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E8" w:rsidRDefault="00C77FE8">
      <w:pPr>
        <w:jc w:val="both"/>
      </w:pPr>
      <w:bookmarkStart w:id="0" w:name="_GoBack"/>
      <w:bookmarkEnd w:id="0"/>
    </w:p>
    <w:p w:rsidR="00C77FE8" w:rsidRDefault="00C77FE8"/>
    <w:p w:rsidR="00C77FE8" w:rsidRDefault="00C77FE8"/>
    <w:p w:rsidR="00C77FE8" w:rsidRDefault="00C77FE8"/>
    <w:p w:rsidR="00C77FE8" w:rsidRDefault="00C77FE8">
      <w:pPr>
        <w:ind w:right="-626"/>
      </w:pPr>
    </w:p>
    <w:p w:rsidR="00C77FE8" w:rsidRDefault="00C72DA3">
      <w:pPr>
        <w:ind w:right="-626"/>
      </w:pPr>
      <w:r>
        <w:rPr>
          <w:rFonts w:ascii="Arial" w:hAnsi="Arial" w:cs="Arial"/>
          <w:sz w:val="20"/>
          <w:szCs w:val="20"/>
        </w:rPr>
        <w:t>Vlagatelj/Organizator javne prireditve: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77FE8" w:rsidRDefault="00C77FE8">
      <w:pPr>
        <w:pBdr>
          <w:bottom w:val="single" w:sz="6" w:space="1" w:color="000000"/>
        </w:pBdr>
        <w:rPr>
          <w:rFonts w:ascii="Arial" w:hAnsi="Arial" w:cs="Arial"/>
          <w:sz w:val="20"/>
          <w:szCs w:val="20"/>
        </w:rPr>
      </w:pPr>
    </w:p>
    <w:p w:rsidR="00C77FE8" w:rsidRDefault="00C72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(ime in priimek oz. naziv pravne osebe, odgovorna oseba javne prireditve) </w:t>
      </w:r>
    </w:p>
    <w:p w:rsidR="00C77FE8" w:rsidRDefault="00C77FE8">
      <w:pPr>
        <w:rPr>
          <w:rFonts w:ascii="Arial" w:hAnsi="Arial" w:cs="Arial"/>
          <w:sz w:val="20"/>
          <w:szCs w:val="20"/>
        </w:rPr>
      </w:pPr>
    </w:p>
    <w:p w:rsidR="00C77FE8" w:rsidRDefault="00C72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C77FE8" w:rsidRDefault="00C72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 (Ulica, hišna številka, poštna številka in kraj)</w:t>
      </w:r>
    </w:p>
    <w:p w:rsidR="00C77FE8" w:rsidRDefault="00C77FE8">
      <w:pPr>
        <w:rPr>
          <w:rFonts w:ascii="Arial" w:hAnsi="Arial" w:cs="Arial"/>
          <w:sz w:val="20"/>
          <w:szCs w:val="20"/>
        </w:rPr>
      </w:pPr>
    </w:p>
    <w:p w:rsidR="00C77FE8" w:rsidRDefault="00C72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C77FE8" w:rsidRDefault="00C72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(telefonska številka, elektronski naslov)</w:t>
      </w:r>
    </w:p>
    <w:p w:rsidR="00C77FE8" w:rsidRDefault="00C77FE8">
      <w:pPr>
        <w:rPr>
          <w:rFonts w:ascii="Arial" w:hAnsi="Arial" w:cs="Arial"/>
          <w:sz w:val="22"/>
          <w:szCs w:val="22"/>
        </w:rPr>
      </w:pPr>
    </w:p>
    <w:p w:rsidR="00C77FE8" w:rsidRDefault="00C77FE8">
      <w:pPr>
        <w:rPr>
          <w:rFonts w:ascii="Arial" w:hAnsi="Arial" w:cs="Arial"/>
          <w:b/>
          <w:sz w:val="22"/>
          <w:szCs w:val="22"/>
        </w:rPr>
      </w:pPr>
    </w:p>
    <w:p w:rsidR="00C77FE8" w:rsidRDefault="00C72D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Vlo</w:t>
      </w:r>
      <w:r>
        <w:rPr>
          <w:rFonts w:ascii="Arial" w:hAnsi="Arial" w:cs="Arial"/>
          <w:b/>
          <w:sz w:val="22"/>
          <w:szCs w:val="22"/>
        </w:rPr>
        <w:t xml:space="preserve">ga za izdajo dovoljenja za začasno čezmerno obremenitev </w:t>
      </w:r>
    </w:p>
    <w:p w:rsidR="00C77FE8" w:rsidRDefault="00C72D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okolja s hrupom </w:t>
      </w:r>
    </w:p>
    <w:p w:rsidR="00C77FE8" w:rsidRDefault="00C77FE8">
      <w:pPr>
        <w:jc w:val="both"/>
        <w:rPr>
          <w:rFonts w:ascii="Arial" w:hAnsi="Arial" w:cs="Arial"/>
          <w:b/>
          <w:sz w:val="22"/>
          <w:szCs w:val="22"/>
        </w:rPr>
      </w:pPr>
    </w:p>
    <w:p w:rsidR="00C77FE8" w:rsidRDefault="00C72DA3">
      <w:pPr>
        <w:jc w:val="both"/>
      </w:pPr>
      <w:r>
        <w:rPr>
          <w:rFonts w:ascii="Arial" w:hAnsi="Arial" w:cs="Arial"/>
          <w:sz w:val="20"/>
          <w:szCs w:val="20"/>
        </w:rPr>
        <w:t xml:space="preserve">(141.člen Zakona o varstvu okolja, ZVO-2, Uradni list RS št. 44/2022, 6.člen Uredbe o načinu uporabe zvočnih naprav, ki na shodih in prireditvah povzročajo hrup, Uradni list RS št. </w:t>
      </w:r>
      <w:r>
        <w:rPr>
          <w:rFonts w:ascii="Arial" w:hAnsi="Arial" w:cs="Arial"/>
          <w:sz w:val="20"/>
          <w:szCs w:val="20"/>
        </w:rPr>
        <w:t xml:space="preserve">118/2005;v nadaljevanju: Uredba) </w:t>
      </w:r>
    </w:p>
    <w:p w:rsidR="00C77FE8" w:rsidRDefault="00C77FE8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C77FE8" w:rsidRDefault="00C77FE8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Naziv prireditve_________________________________________________________</w:t>
      </w: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Kraj in lokacija prireditve_________________________________________________ </w:t>
      </w: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</w:t>
      </w: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 poteka prireditve :  dan _____________ura – od __________do ______________</w:t>
      </w: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 začetka in konca uporabe zvočnih naprav: ura – od _________do ___________</w:t>
      </w: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Vrsta zvočne naprave ____________________________________________________</w:t>
      </w: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Število zvočnik</w:t>
      </w:r>
      <w:r>
        <w:rPr>
          <w:rFonts w:ascii="Arial" w:hAnsi="Arial" w:cs="Arial"/>
          <w:b/>
          <w:sz w:val="20"/>
          <w:szCs w:val="20"/>
        </w:rPr>
        <w:t>ov _______________________________________________________</w:t>
      </w: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2D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Skupna nazivna električna moč zvočne naprave ______________________________</w:t>
      </w: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Obratovalna električna moč zvočne naprave _________________________________</w:t>
      </w: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Mesto namestitve zvočne naprave </w:t>
      </w:r>
      <w:r>
        <w:rPr>
          <w:rFonts w:ascii="Arial" w:hAnsi="Arial" w:cs="Arial"/>
          <w:b/>
          <w:sz w:val="20"/>
          <w:szCs w:val="20"/>
        </w:rPr>
        <w:t>_________________________________________</w:t>
      </w: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Smer emisije hrupa ______________________________________________________</w:t>
      </w:r>
    </w:p>
    <w:p w:rsidR="00C77FE8" w:rsidRDefault="00C77FE8">
      <w:pPr>
        <w:jc w:val="both"/>
        <w:rPr>
          <w:rFonts w:ascii="Arial" w:hAnsi="Arial" w:cs="Arial"/>
          <w:b/>
          <w:sz w:val="22"/>
          <w:szCs w:val="22"/>
        </w:rPr>
      </w:pPr>
    </w:p>
    <w:p w:rsidR="00C77FE8" w:rsidRDefault="00C72DA3">
      <w:pPr>
        <w:ind w:right="-59"/>
        <w:jc w:val="both"/>
      </w:pPr>
      <w:r>
        <w:rPr>
          <w:rFonts w:ascii="Arial" w:hAnsi="Arial" w:cs="Arial"/>
          <w:sz w:val="18"/>
          <w:szCs w:val="18"/>
        </w:rPr>
        <w:t>Na podlagi Zakona o upravnih taksah (Uradni list RS, št.  </w:t>
      </w:r>
      <w:hyperlink r:id="rId7" w:tooltip="Zakon o upravnih taksah (uradno prečiščeno besedilo)" w:history="1">
        <w:r>
          <w:rPr>
            <w:rFonts w:ascii="Arial" w:hAnsi="Arial" w:cs="Arial"/>
            <w:sz w:val="18"/>
            <w:szCs w:val="18"/>
          </w:rPr>
          <w:t>106/10</w:t>
        </w:r>
      </w:hyperlink>
      <w:r>
        <w:rPr>
          <w:rFonts w:ascii="Arial" w:hAnsi="Arial" w:cs="Arial"/>
          <w:sz w:val="18"/>
          <w:szCs w:val="18"/>
        </w:rPr>
        <w:t>  – uradno prečiščeno besedilo, </w:t>
      </w:r>
      <w:hyperlink r:id="rId8" w:tooltip="Zakon o ukrepih za uravnoteženje javnih financ občin" w:history="1">
        <w:r>
          <w:rPr>
            <w:rFonts w:ascii="Arial" w:hAnsi="Arial" w:cs="Arial"/>
            <w:sz w:val="18"/>
            <w:szCs w:val="18"/>
          </w:rPr>
          <w:t>14/15</w:t>
        </w:r>
      </w:hyperlink>
      <w:r>
        <w:rPr>
          <w:rFonts w:ascii="Arial" w:hAnsi="Arial" w:cs="Arial"/>
          <w:sz w:val="18"/>
          <w:szCs w:val="18"/>
        </w:rPr>
        <w:t> – ZUUJFO, </w:t>
      </w:r>
      <w:hyperlink r:id="rId9" w:tooltip="Zakon o spremembah in dopolnitvah Zakona o železniškem prometu" w:history="1">
        <w:r>
          <w:rPr>
            <w:rFonts w:ascii="Arial" w:hAnsi="Arial" w:cs="Arial"/>
            <w:sz w:val="18"/>
            <w:szCs w:val="18"/>
          </w:rPr>
          <w:t>84/15</w:t>
        </w:r>
      </w:hyperlink>
      <w:r>
        <w:rPr>
          <w:rFonts w:ascii="Arial" w:hAnsi="Arial" w:cs="Arial"/>
          <w:sz w:val="18"/>
          <w:szCs w:val="18"/>
        </w:rPr>
        <w:t> – ZZelP-J, </w:t>
      </w:r>
      <w:hyperlink r:id="rId10" w:tooltip="Zakon o spremembah in dopolnitvah Zakona o upravnih taksah" w:history="1">
        <w:r>
          <w:rPr>
            <w:rFonts w:ascii="Arial" w:hAnsi="Arial" w:cs="Arial"/>
            <w:sz w:val="18"/>
            <w:szCs w:val="18"/>
          </w:rPr>
          <w:t>32/16</w:t>
        </w:r>
      </w:hyperlink>
      <w:r>
        <w:rPr>
          <w:rFonts w:ascii="Arial" w:hAnsi="Arial" w:cs="Arial"/>
          <w:sz w:val="18"/>
          <w:szCs w:val="18"/>
        </w:rPr>
        <w:t>, </w:t>
      </w:r>
      <w:hyperlink r:id="rId11" w:tooltip="Zakon o konzularni zaščiti" w:history="1">
        <w:r>
          <w:rPr>
            <w:rFonts w:ascii="Arial" w:hAnsi="Arial" w:cs="Arial"/>
            <w:sz w:val="18"/>
            <w:szCs w:val="18"/>
          </w:rPr>
          <w:t>30</w:t>
        </w:r>
        <w:bookmarkStart w:id="1" w:name="_Hlt77669672"/>
        <w:r>
          <w:rPr>
            <w:rFonts w:ascii="Arial" w:hAnsi="Arial" w:cs="Arial"/>
            <w:sz w:val="18"/>
            <w:szCs w:val="18"/>
          </w:rPr>
          <w:t>/</w:t>
        </w:r>
        <w:bookmarkEnd w:id="1"/>
        <w:r>
          <w:rPr>
            <w:rFonts w:ascii="Arial" w:hAnsi="Arial" w:cs="Arial"/>
            <w:sz w:val="18"/>
            <w:szCs w:val="18"/>
          </w:rPr>
          <w:t>18</w:t>
        </w:r>
      </w:hyperlink>
      <w:r>
        <w:rPr>
          <w:rFonts w:ascii="Arial" w:hAnsi="Arial" w:cs="Arial"/>
          <w:sz w:val="18"/>
          <w:szCs w:val="18"/>
        </w:rPr>
        <w:t xml:space="preserve"> – </w:t>
      </w:r>
      <w:proofErr w:type="spellStart"/>
      <w:r>
        <w:rPr>
          <w:rFonts w:ascii="Arial" w:hAnsi="Arial" w:cs="Arial"/>
          <w:sz w:val="18"/>
          <w:szCs w:val="18"/>
        </w:rPr>
        <w:t>ZKZaš</w:t>
      </w:r>
      <w:proofErr w:type="spellEnd"/>
      <w:r>
        <w:rPr>
          <w:rFonts w:ascii="Arial" w:hAnsi="Arial" w:cs="Arial"/>
          <w:sz w:val="18"/>
          <w:szCs w:val="18"/>
        </w:rPr>
        <w:t xml:space="preserve"> in </w:t>
      </w:r>
      <w:hyperlink r:id="rId12" w:tooltip="Zakon o finančni razbremenitvi občin" w:history="1">
        <w:r>
          <w:rPr>
            <w:rFonts w:ascii="Arial" w:hAnsi="Arial" w:cs="Arial"/>
            <w:sz w:val="18"/>
            <w:szCs w:val="18"/>
          </w:rPr>
          <w:t>189/20</w:t>
        </w:r>
      </w:hyperlink>
      <w:r>
        <w:rPr>
          <w:rFonts w:ascii="Arial" w:hAnsi="Arial" w:cs="Arial"/>
          <w:sz w:val="18"/>
          <w:szCs w:val="18"/>
        </w:rPr>
        <w:t xml:space="preserve"> – ZFRO)    upravna taksa za to vlogo po tarifni številki 1 in 3 znaša v skupnem znesku </w:t>
      </w:r>
      <w:r>
        <w:rPr>
          <w:rFonts w:ascii="Arial" w:hAnsi="Arial" w:cs="Arial"/>
          <w:sz w:val="18"/>
          <w:szCs w:val="18"/>
          <w:shd w:val="clear" w:color="auto" w:fill="FFFF00"/>
        </w:rPr>
        <w:t>22,60 EUR</w:t>
      </w:r>
      <w:r>
        <w:rPr>
          <w:rFonts w:ascii="Arial" w:hAnsi="Arial" w:cs="Arial"/>
          <w:sz w:val="18"/>
          <w:szCs w:val="18"/>
        </w:rPr>
        <w:t xml:space="preserve"> . </w:t>
      </w:r>
    </w:p>
    <w:p w:rsidR="00C77FE8" w:rsidRDefault="00C72DA3">
      <w:pPr>
        <w:ind w:right="-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Takso se lahko  z gotovino  plača v sprejemni pisarni Mestne občine Nova Gorica, soba št. 12/P ali na račun št.: SI56 0128 4484 0309 156, </w:t>
      </w:r>
      <w:r>
        <w:rPr>
          <w:rFonts w:ascii="Arial" w:hAnsi="Arial" w:cs="Arial"/>
          <w:sz w:val="18"/>
          <w:szCs w:val="18"/>
        </w:rPr>
        <w:t>sklic na št. SI11 75833 - 7111002.</w:t>
      </w:r>
    </w:p>
    <w:p w:rsidR="00C77FE8" w:rsidRDefault="00C77FE8">
      <w:pPr>
        <w:ind w:right="-59"/>
        <w:rPr>
          <w:rFonts w:ascii="Arial" w:hAnsi="Arial" w:cs="Arial"/>
          <w:b/>
          <w:sz w:val="22"/>
          <w:szCs w:val="22"/>
        </w:rPr>
      </w:pP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Datum:___________________                                                 Žig (za pravne osebe)           </w:t>
      </w:r>
    </w:p>
    <w:p w:rsidR="00C77FE8" w:rsidRDefault="00C77FE8">
      <w:pPr>
        <w:rPr>
          <w:rFonts w:ascii="Arial" w:hAnsi="Arial" w:cs="Arial"/>
          <w:b/>
          <w:sz w:val="20"/>
          <w:szCs w:val="20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Podpis___________________</w:t>
      </w:r>
    </w:p>
    <w:p w:rsidR="00C77FE8" w:rsidRDefault="00C77FE8">
      <w:pPr>
        <w:rPr>
          <w:rFonts w:ascii="Arial" w:hAnsi="Arial" w:cs="Arial"/>
          <w:b/>
          <w:sz w:val="22"/>
          <w:szCs w:val="22"/>
        </w:rPr>
      </w:pPr>
    </w:p>
    <w:p w:rsidR="00C77FE8" w:rsidRDefault="00C72D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Obvezne priloge:</w:t>
      </w:r>
    </w:p>
    <w:p w:rsidR="00C77FE8" w:rsidRDefault="00C72DA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Poročilo o emisiji hrupa v okolje (4. odst. 6.in 7.člen Uredbe) </w:t>
      </w:r>
    </w:p>
    <w:p w:rsidR="00C77FE8" w:rsidRDefault="00C72DA3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li</w:t>
      </w:r>
    </w:p>
    <w:p w:rsidR="00C77FE8" w:rsidRDefault="00C72DA3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Dokumentacija o nazivni električni moči in številu zvočnih naprav (8.člen Uredbe),</w:t>
      </w:r>
    </w:p>
    <w:p w:rsidR="00C77FE8" w:rsidRDefault="00C72DA3">
      <w:pPr>
        <w:numPr>
          <w:ilvl w:val="0"/>
          <w:numId w:val="1"/>
        </w:numPr>
      </w:pPr>
      <w:r>
        <w:rPr>
          <w:rFonts w:ascii="Arial" w:hAnsi="Arial" w:cs="Arial"/>
          <w:b/>
          <w:sz w:val="20"/>
          <w:szCs w:val="20"/>
        </w:rPr>
        <w:t xml:space="preserve">Načrt prireditvenega prostora in okolice iz Prostorskega pregledovalnika, v merilu </w:t>
      </w:r>
    </w:p>
    <w:p w:rsidR="00C77FE8" w:rsidRDefault="00C72DA3">
      <w:pPr>
        <w:ind w:left="360"/>
      </w:pPr>
      <w:r>
        <w:rPr>
          <w:rFonts w:ascii="Arial" w:hAnsi="Arial" w:cs="Arial"/>
          <w:b/>
          <w:sz w:val="20"/>
          <w:szCs w:val="20"/>
        </w:rPr>
        <w:t>1 : 1000, z označenim mestom namestitve zvočne naprave in smerjo emisije hrupa</w:t>
      </w:r>
    </w:p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2D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VLOGO ZA PRIDOBITEV DOVOLJENJA ZA ZAČASNO OBREMENITEV OKOLJA S HRUPOM JE TREBA VLOŽITI VSAJ TRIDESET (30) DNI PRED ZAČETKOM PRIREDITVE (6.odst 6.člena Uredbe) </w:t>
      </w:r>
    </w:p>
    <w:p w:rsidR="00C77FE8" w:rsidRDefault="00C77FE8">
      <w:pPr>
        <w:rPr>
          <w:rFonts w:ascii="Arial" w:hAnsi="Arial" w:cs="Arial"/>
          <w:b/>
          <w:bCs/>
          <w:sz w:val="20"/>
          <w:szCs w:val="20"/>
        </w:rPr>
      </w:pPr>
    </w:p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/>
    <w:p w:rsidR="00C77FE8" w:rsidRDefault="00C77FE8">
      <w:pPr>
        <w:rPr>
          <w:rFonts w:ascii="Arial" w:hAnsi="Arial" w:cs="Arial"/>
        </w:rPr>
      </w:pPr>
    </w:p>
    <w:p w:rsidR="00C77FE8" w:rsidRDefault="00C77FE8">
      <w:pPr>
        <w:jc w:val="both"/>
        <w:rPr>
          <w:rFonts w:ascii="Arial" w:hAnsi="Arial" w:cs="Arial"/>
          <w:sz w:val="18"/>
          <w:szCs w:val="18"/>
        </w:rPr>
      </w:pPr>
    </w:p>
    <w:p w:rsidR="00C77FE8" w:rsidRDefault="00C77FE8">
      <w:pPr>
        <w:jc w:val="both"/>
        <w:rPr>
          <w:rFonts w:ascii="Arial" w:hAnsi="Arial" w:cs="Arial"/>
          <w:sz w:val="18"/>
          <w:szCs w:val="18"/>
        </w:rPr>
      </w:pPr>
    </w:p>
    <w:p w:rsidR="00C77FE8" w:rsidRDefault="00C77FE8">
      <w:pPr>
        <w:jc w:val="both"/>
        <w:rPr>
          <w:rFonts w:ascii="Arial" w:hAnsi="Arial" w:cs="Arial"/>
          <w:sz w:val="18"/>
          <w:szCs w:val="18"/>
        </w:rPr>
      </w:pPr>
    </w:p>
    <w:p w:rsidR="00C77FE8" w:rsidRDefault="00C77FE8">
      <w:pPr>
        <w:jc w:val="both"/>
        <w:rPr>
          <w:rFonts w:ascii="Arial" w:hAnsi="Arial" w:cs="Arial"/>
          <w:sz w:val="18"/>
          <w:szCs w:val="18"/>
        </w:rPr>
      </w:pPr>
    </w:p>
    <w:p w:rsidR="00C77FE8" w:rsidRDefault="00C77FE8">
      <w:pPr>
        <w:jc w:val="both"/>
        <w:rPr>
          <w:rFonts w:ascii="Arial" w:hAnsi="Arial" w:cs="Arial"/>
          <w:sz w:val="18"/>
          <w:szCs w:val="18"/>
        </w:rPr>
      </w:pPr>
    </w:p>
    <w:p w:rsidR="00C77FE8" w:rsidRDefault="00C77FE8">
      <w:pPr>
        <w:jc w:val="both"/>
        <w:rPr>
          <w:rFonts w:ascii="Arial" w:hAnsi="Arial" w:cs="Arial"/>
          <w:sz w:val="18"/>
          <w:szCs w:val="18"/>
        </w:rPr>
      </w:pPr>
    </w:p>
    <w:p w:rsidR="00C77FE8" w:rsidRDefault="00C77FE8">
      <w:pPr>
        <w:jc w:val="both"/>
        <w:rPr>
          <w:rFonts w:ascii="Arial" w:hAnsi="Arial" w:cs="Arial"/>
          <w:sz w:val="18"/>
          <w:szCs w:val="18"/>
        </w:rPr>
      </w:pPr>
    </w:p>
    <w:p w:rsidR="00C77FE8" w:rsidRDefault="00C77FE8">
      <w:pPr>
        <w:jc w:val="both"/>
        <w:rPr>
          <w:rFonts w:ascii="Arial" w:hAnsi="Arial" w:cs="Arial"/>
          <w:sz w:val="18"/>
          <w:szCs w:val="18"/>
        </w:rPr>
      </w:pPr>
    </w:p>
    <w:p w:rsidR="00C77FE8" w:rsidRDefault="00C72D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INFORMACIJE O VARSTVU OSEBNIH PODATKOV:</w:t>
      </w:r>
    </w:p>
    <w:p w:rsidR="00C77FE8" w:rsidRDefault="00C72DA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Mestna občina Nova </w:t>
      </w:r>
      <w:r>
        <w:rPr>
          <w:rFonts w:ascii="Arial" w:hAnsi="Arial" w:cs="Arial"/>
          <w:color w:val="000000"/>
          <w:sz w:val="18"/>
          <w:szCs w:val="18"/>
        </w:rPr>
        <w:t>Gorica podatke obdeluje in varuje skladno z Zakonom o varstvu osebnih podatkov (Uradni list RS 94/2007) in Uredbo (EU) 2016/679 Evropskega parlamenta in Sveta z dne 27. aprila 2016 o varstvu posameznikov pri obdelavi osebnih podatkov in o prostem pretoku t</w:t>
      </w:r>
      <w:r>
        <w:rPr>
          <w:rFonts w:ascii="Arial" w:hAnsi="Arial" w:cs="Arial"/>
          <w:color w:val="000000"/>
          <w:sz w:val="18"/>
          <w:szCs w:val="18"/>
        </w:rPr>
        <w:t xml:space="preserve">akih podatkov ter o razveljavitvi Direktive 95/46/ES (Splošna uredba o varstvu podatkov) (UL. L. 119, 4. 5. 2016, str. 1–88).   </w:t>
      </w:r>
    </w:p>
    <w:p w:rsidR="00C77FE8" w:rsidRDefault="00C72D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NAVODILA ORGANIZATORJEM PRIREDITEV</w:t>
      </w:r>
    </w:p>
    <w:p w:rsidR="00C77FE8" w:rsidRDefault="00C77FE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Podlaga za izdajo dovoljenja oz. potrebno prijavo prireditve je Zakon o varstvu okolja (ZVO</w:t>
      </w:r>
      <w:r>
        <w:rPr>
          <w:rFonts w:ascii="Arial" w:hAnsi="Arial" w:cs="Arial"/>
          <w:sz w:val="20"/>
          <w:szCs w:val="20"/>
        </w:rPr>
        <w:t xml:space="preserve">-2, Uradni list RS št. 44/2022), Uredba o načinu uporabe zvočnih naprav, ki na shodih in prireditvah povzročajo hrup (v nadaljevanju: Uredba, Uradni list RS št. 118/2005) in Uredba o mejnih vrednostih kazalcev hrupa v okolju (Uradni list RS št. 105/2005). 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uporabo zvočne naprave na prireditvi mora organizator prireditve pridobiti dovoljenje za začasno čezmerno obremenitev okolja s hrupom v skladu z 141.členom ZVO-2.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vlogi za pridobitev dovoljenja za začasno čezmerno obremenitev okolja s hrupom je tre</w:t>
      </w:r>
      <w:r>
        <w:rPr>
          <w:rFonts w:ascii="Arial" w:hAnsi="Arial" w:cs="Arial"/>
          <w:sz w:val="20"/>
          <w:szCs w:val="20"/>
        </w:rPr>
        <w:t xml:space="preserve">ba priložiti Poročilo o emisiji hrupa v okolje (4.odst.6.člena Uredbe).   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Dovoljenje za začasno čezmerno obremenitev okolja s hrupom se lahko izda tudi za prireditev, ki traja več dni zaporedoma, če se v posameznem dnevu zvočne naprave uporabljajo največ</w:t>
      </w:r>
      <w:r>
        <w:rPr>
          <w:rFonts w:ascii="Arial" w:hAnsi="Arial" w:cs="Arial"/>
          <w:sz w:val="20"/>
          <w:szCs w:val="20"/>
        </w:rPr>
        <w:t xml:space="preserve"> 8 ur, od tega največ štiri ure v času noči (začetek noči je od 22.00 do 06.00 ure) in največ do 2.00 ponoči, ali za več prireditev skupaj, če jih organizira ista oseba na istem kraju v obdobju šest mesecev po izdaji dovoljenja za začasno čezmerno obremeni</w:t>
      </w:r>
      <w:r>
        <w:rPr>
          <w:rFonts w:ascii="Arial" w:hAnsi="Arial" w:cs="Arial"/>
          <w:sz w:val="20"/>
          <w:szCs w:val="20"/>
        </w:rPr>
        <w:t>tev s hrupom, število prireditev pa ni večje od šest. (6. člen, 9. odstavek).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 v poročilu o emisiji hrupa v okolje za posamezno stanovanjsko stavbo ni ocenjena izpostavljenost hrupu, je treba k vlogi za izdajo dovoljenja za začasno čezmerno obremenitev </w:t>
      </w:r>
      <w:r>
        <w:rPr>
          <w:rFonts w:ascii="Arial" w:hAnsi="Arial" w:cs="Arial"/>
          <w:sz w:val="20"/>
          <w:szCs w:val="20"/>
        </w:rPr>
        <w:t>okolja s hrupom priložiti tudi izjave lastnikov stanovanjske stavbe oziroma stanovanj v njej, da se strinjajo z uporabo zvočnih naprav na prireditvi. Na podlagi teh izjav se varovani prostori stanovanjskih stavb oziroma stanovanj, ki so v lasti podpisnikov</w:t>
      </w:r>
      <w:r>
        <w:rPr>
          <w:rFonts w:ascii="Arial" w:hAnsi="Arial" w:cs="Arial"/>
          <w:sz w:val="20"/>
          <w:szCs w:val="20"/>
        </w:rPr>
        <w:t xml:space="preserve"> izjav, v času prireditve ne štejejo za varovane prostore (7. člen, 2. odstavek).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glede na določbe 6. člena uredbe lahko pristojni občinski organ izda dovoljenje za začasno čezmerno obremenitev okolja s hrupom organizatorju prireditve na podlagi vloge,</w:t>
      </w:r>
      <w:r>
        <w:rPr>
          <w:rFonts w:ascii="Arial" w:hAnsi="Arial" w:cs="Arial"/>
          <w:sz w:val="20"/>
          <w:szCs w:val="20"/>
        </w:rPr>
        <w:t xml:space="preserve"> kateri je namesto poročila o emisiji hrupa v okolje priložena dokumentacija o nazivni električni moči in številu zvočnih naprav ter načrt prireditvenega prostora in njegove neposredne okolice, če je iz priložene dokumentacije razvidno, da:</w:t>
      </w: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– razdalja od </w:t>
      </w:r>
      <w:r>
        <w:rPr>
          <w:rFonts w:ascii="Arial" w:hAnsi="Arial" w:cs="Arial"/>
          <w:sz w:val="20"/>
          <w:szCs w:val="20"/>
        </w:rPr>
        <w:t xml:space="preserve">zvočnikov do najbližjih stavb z varovanimi prostori ni manjša od razdalje, ki je za nazivno električno moč določena v Prilogi 2 (glej spodnjo tabelo), ki je sestavni del te uredbe, in </w:t>
      </w: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število vseh zvočnikov ni večje od šest. </w:t>
      </w: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razdaljo od zvočnikov do</w:t>
      </w:r>
      <w:r>
        <w:rPr>
          <w:rFonts w:ascii="Arial" w:hAnsi="Arial" w:cs="Arial"/>
          <w:sz w:val="20"/>
          <w:szCs w:val="20"/>
        </w:rPr>
        <w:t xml:space="preserve"> najbližjih stavb z varovanimi prostori je treba upoštevati razdalje v vseh smereh, ki od glavne osi zvočnika niso odklonjene več kot 45 kotnih stopinj.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2DA3">
      <w:pPr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Načrt prireditvenega prostora</w:t>
      </w:r>
      <w:r>
        <w:rPr>
          <w:rFonts w:ascii="Arial" w:hAnsi="Arial" w:cs="Arial"/>
          <w:sz w:val="20"/>
          <w:szCs w:val="20"/>
        </w:rPr>
        <w:t xml:space="preserve"> mora biti izrisan v merilu 1:1000 (1cm na načrtu je enako 1000cm (10m) v</w:t>
      </w:r>
      <w:r>
        <w:rPr>
          <w:rFonts w:ascii="Arial" w:hAnsi="Arial" w:cs="Arial"/>
          <w:sz w:val="20"/>
          <w:szCs w:val="20"/>
        </w:rPr>
        <w:t xml:space="preserve"> naravi), na njem pa </w:t>
      </w:r>
      <w:r>
        <w:rPr>
          <w:rFonts w:ascii="Arial" w:hAnsi="Arial" w:cs="Arial"/>
          <w:b/>
          <w:sz w:val="20"/>
          <w:szCs w:val="20"/>
        </w:rPr>
        <w:t>mora biti označena</w:t>
      </w:r>
      <w:r>
        <w:rPr>
          <w:rFonts w:ascii="Arial" w:hAnsi="Arial" w:cs="Arial"/>
          <w:sz w:val="20"/>
          <w:szCs w:val="20"/>
        </w:rPr>
        <w:t xml:space="preserve"> smer glavnih osi zvočnikov ter smeri odklona od glavne smeri za 45° v vsako smer. Označeni morajo biti tlorisi stavb, ki so od prireditvenega prostora oddaljene največ 600m. Načrt mora biti opremljen z informacijo o </w:t>
      </w:r>
      <w:r>
        <w:rPr>
          <w:rFonts w:ascii="Arial" w:hAnsi="Arial" w:cs="Arial"/>
          <w:sz w:val="20"/>
          <w:szCs w:val="20"/>
        </w:rPr>
        <w:t xml:space="preserve">orientaciji (smer severa) in merilu ter avtorju načrta. </w:t>
      </w:r>
      <w:proofErr w:type="spellStart"/>
      <w:r>
        <w:rPr>
          <w:rFonts w:ascii="Arial" w:hAnsi="Arial" w:cs="Arial"/>
          <w:sz w:val="20"/>
          <w:szCs w:val="20"/>
        </w:rPr>
        <w:t>Zaželjena</w:t>
      </w:r>
      <w:proofErr w:type="spellEnd"/>
      <w:r>
        <w:rPr>
          <w:rFonts w:ascii="Arial" w:hAnsi="Arial" w:cs="Arial"/>
          <w:sz w:val="20"/>
          <w:szCs w:val="20"/>
        </w:rPr>
        <w:t xml:space="preserve"> je tudi natančnejša skica prireditvenega prostora, kjer je označena lega zvočnih naprav in zvočnikov ter glavne osi zvočnikov glede na prireditveni prostor. </w:t>
      </w:r>
    </w:p>
    <w:p w:rsidR="00C77FE8" w:rsidRDefault="00C72DA3">
      <w:pPr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 xml:space="preserve">Dokumentacija o nazivni </w:t>
      </w:r>
      <w:r>
        <w:rPr>
          <w:rFonts w:ascii="Arial" w:hAnsi="Arial" w:cs="Arial"/>
          <w:b/>
          <w:sz w:val="20"/>
          <w:szCs w:val="20"/>
        </w:rPr>
        <w:t xml:space="preserve">električni moči in številu zvočnih naprav </w:t>
      </w:r>
      <w:r>
        <w:rPr>
          <w:rFonts w:ascii="Arial" w:hAnsi="Arial" w:cs="Arial"/>
          <w:sz w:val="20"/>
          <w:szCs w:val="20"/>
        </w:rPr>
        <w:t xml:space="preserve">priloži vlagatelj v obliki fotokopije dokumentacije, ki spremlja tovrstno napravo in sicer za vsako napravo in zvočnik posebej. 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Najmanjša razdalja zvočnikov do najbližjih stavb z varovanimi prostori glede na </w:t>
      </w:r>
      <w:r>
        <w:rPr>
          <w:rFonts w:ascii="Arial" w:hAnsi="Arial" w:cs="Arial"/>
          <w:sz w:val="20"/>
          <w:szCs w:val="20"/>
        </w:rPr>
        <w:t xml:space="preserve">nazivno električno moč: 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2DA3">
      <w:pPr>
        <w:pStyle w:val="HTML-oblikovano"/>
        <w:tabs>
          <w:tab w:val="clear" w:pos="916"/>
          <w:tab w:val="left" w:pos="1440"/>
        </w:tabs>
        <w:ind w:right="7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Najmanjša razdalja zvočnikov do najbližjih stavb z varovanimi prostori glede na nazivno električno moč:</w:t>
      </w:r>
    </w:p>
    <w:p w:rsidR="00C77FE8" w:rsidRDefault="00C77FE8">
      <w:pPr>
        <w:pStyle w:val="HTML-oblikovano"/>
        <w:ind w:left="916" w:right="-270"/>
        <w:rPr>
          <w:sz w:val="18"/>
          <w:szCs w:val="18"/>
        </w:rPr>
      </w:pPr>
    </w:p>
    <w:tbl>
      <w:tblPr>
        <w:tblW w:w="8252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4047"/>
      </w:tblGrid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Najmanjša razdalja zvočnikov do najbližjih stavb z varovanimi prostori* (m)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Nazivna električna moč (W)</w:t>
            </w:r>
          </w:p>
        </w:tc>
      </w:tr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več kot 600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več kot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</w:tr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</w:t>
            </w:r>
          </w:p>
        </w:tc>
      </w:tr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</w:tr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C77FE8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E8" w:rsidRDefault="00C72DA3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</w:tbl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2D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*Varovani prostori: </w:t>
      </w:r>
    </w:p>
    <w:p w:rsidR="00C77FE8" w:rsidRDefault="00C72D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 tisti prostori v stavbah, v katerih se opravljajo vzgojno varstvene, izobraževalne, zdravstvene in podobne </w:t>
      </w:r>
      <w:r>
        <w:rPr>
          <w:rFonts w:ascii="Arial" w:hAnsi="Arial" w:cs="Arial"/>
          <w:sz w:val="18"/>
          <w:szCs w:val="18"/>
        </w:rPr>
        <w:t xml:space="preserve">dejavnosti, stanovanjski in drugi prostori v stavbah, v katerih se ljudje zadržujejo pogosto in daljši čas (3. člen, 10. tč. Uredbe o mejnih vrednostih kazalcev hrupa v okolju, Ur. l. RS št. 105/2005) 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7FE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77FE8" w:rsidRDefault="00C72DA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DOVOLJENJE ZA PRIREDITEV NI POTREBNO V NASLEDNJIH P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RIMERIH: </w:t>
      </w:r>
    </w:p>
    <w:p w:rsidR="00C77FE8" w:rsidRDefault="00C77FE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Dovoljenja za začasno čezmerno obremenitev okolja s hrupom organizatorju prireditve ni treba pridobiti, če uporaba zvočnih naprav ne povzroča čezmerne obremenitve okolja s hrupom (12.člen Uredbe). 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Šteje se, da uporaba zvočnih naprav na priredi</w:t>
      </w:r>
      <w:r>
        <w:rPr>
          <w:rFonts w:ascii="Arial" w:hAnsi="Arial" w:cs="Arial"/>
          <w:sz w:val="20"/>
          <w:szCs w:val="20"/>
        </w:rPr>
        <w:t xml:space="preserve">tvi ne povzroča čezmerne obremenitve okolja s hrupom, če: </w:t>
      </w: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prireditev poteka oziroma se izvaja podnevi ali zvečer na območju, kjer je v skladu s predpisom s področja varstva okolja, ki ureja mejne vrednosti kazalcev hrupa v okolju, določena IV. stopnja v</w:t>
      </w:r>
      <w:r>
        <w:rPr>
          <w:rFonts w:ascii="Arial" w:hAnsi="Arial" w:cs="Arial"/>
          <w:sz w:val="20"/>
          <w:szCs w:val="20"/>
        </w:rPr>
        <w:t xml:space="preserve">arstva pred hrupom, in razdalja od zvočnikov do območja, kjer je določena III. stopnja varstva pred hrupom, ni manjša od 300 m, nazivna električna moč ne presega 4000 W in vseh zvočnikov ni več kot štiri, </w:t>
      </w: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prireditev poteka oziroma se izvaja podnevi na o</w:t>
      </w:r>
      <w:r>
        <w:rPr>
          <w:rFonts w:ascii="Arial" w:hAnsi="Arial" w:cs="Arial"/>
          <w:sz w:val="20"/>
          <w:szCs w:val="20"/>
        </w:rPr>
        <w:t>bmočju, kjer je v skladu s predpisom s področja varstva okolja, ki ureja mejne vrednosti kazalcev hrupa v okolju, določena III. Stopnja varstva pred hrupom, in razdalja od zvočnikov do najbližjih stavb z varovanimi prostori ni manjša od 300 m, nazivna elek</w:t>
      </w:r>
      <w:r>
        <w:rPr>
          <w:rFonts w:ascii="Arial" w:hAnsi="Arial" w:cs="Arial"/>
          <w:sz w:val="20"/>
          <w:szCs w:val="20"/>
        </w:rPr>
        <w:t xml:space="preserve">trična moč ne presega 1000 W, število vseh zvočnikov pa ni večje od štiri, ali </w:t>
      </w: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prireditev poteka oziroma se izvaja podnevi na javnih površinah ob uporabi štirih zvočnikov, priključenih na zvočno napravo, z nazivno električno močjo, ki ne presega 100 W, </w:t>
      </w:r>
      <w:r>
        <w:rPr>
          <w:rFonts w:ascii="Arial" w:hAnsi="Arial" w:cs="Arial"/>
          <w:sz w:val="20"/>
          <w:szCs w:val="20"/>
        </w:rPr>
        <w:t xml:space="preserve">in čas uporabe zvočnih naprav na prireditvi ni daljši od osem ur. 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2D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 je zvočnik zvočne naprave na prireditvi nameščen na vozilu ali se drugače premika, se šteje, da uporaba zvočnih naprav na prireditvi ne povzroča čezmerne obremenitve okolja, če nazivna </w:t>
      </w:r>
      <w:r>
        <w:rPr>
          <w:rFonts w:ascii="Arial" w:hAnsi="Arial" w:cs="Arial"/>
          <w:sz w:val="20"/>
          <w:szCs w:val="20"/>
        </w:rPr>
        <w:t xml:space="preserve">električna moč posamezne zvočne naprave, uporabljene na prireditvi, ne presega 30 W, prireditev pa se ne izvaja ponoči. 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p w:rsidR="00C77FE8" w:rsidRDefault="00C72DA3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V TEM PRIMERU MORA ORGANIZATOR PRIREDITVE NA PODLAGI 14. ČLENA UREDBE PRIJAVITI OBČINI UPORABO ZVOČNIH NAPRAVA NA TAKŠNI PRIREDITVI NA</w:t>
      </w:r>
      <w:r>
        <w:rPr>
          <w:rFonts w:ascii="Arial" w:hAnsi="Arial" w:cs="Arial"/>
          <w:b/>
          <w:bCs/>
          <w:sz w:val="20"/>
          <w:szCs w:val="20"/>
        </w:rPr>
        <w:t>JMANJ SEDEM DNI PRED ZAČETKOM PRIREDITVE</w:t>
      </w:r>
    </w:p>
    <w:p w:rsidR="00C77FE8" w:rsidRDefault="00C77FE8">
      <w:pPr>
        <w:jc w:val="both"/>
        <w:rPr>
          <w:rFonts w:ascii="Arial" w:hAnsi="Arial" w:cs="Arial"/>
          <w:sz w:val="20"/>
          <w:szCs w:val="20"/>
        </w:rPr>
      </w:pPr>
    </w:p>
    <w:sectPr w:rsidR="00C77FE8">
      <w:footerReference w:type="default" r:id="rId13"/>
      <w:headerReference w:type="first" r:id="rId14"/>
      <w:footerReference w:type="first" r:id="rId15"/>
      <w:pgSz w:w="11906" w:h="16838"/>
      <w:pgMar w:top="1418" w:right="141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A3" w:rsidRDefault="00C72DA3">
      <w:r>
        <w:separator/>
      </w:r>
    </w:p>
  </w:endnote>
  <w:endnote w:type="continuationSeparator" w:id="0">
    <w:p w:rsidR="00C72DA3" w:rsidRDefault="00C7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2F" w:rsidRDefault="00C72DA3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440685</wp:posOffset>
          </wp:positionH>
          <wp:positionV relativeFrom="page">
            <wp:posOffset>9981562</wp:posOffset>
          </wp:positionV>
          <wp:extent cx="5543549" cy="314325"/>
          <wp:effectExtent l="0" t="0" r="1" b="9525"/>
          <wp:wrapTopAndBottom/>
          <wp:docPr id="1" name="Slika 10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49" cy="314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2F" w:rsidRDefault="00C72DA3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4365" cy="634365"/>
              <wp:effectExtent l="0" t="0" r="13335" b="13335"/>
              <wp:wrapNone/>
              <wp:docPr id="3" name="AutoShape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365" cy="63436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259D271E" id="AutoShape 1038" o:spid="_x0000_s1026" style="position:absolute;margin-left:0;margin-top:0;width:49.95pt;height:4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" filled="f" stroked="f">
              <v:textbox inset="0,0,0,0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288292</wp:posOffset>
          </wp:positionH>
          <wp:positionV relativeFrom="page">
            <wp:posOffset>9829169</wp:posOffset>
          </wp:positionV>
          <wp:extent cx="5543549" cy="314325"/>
          <wp:effectExtent l="0" t="0" r="1" b="9525"/>
          <wp:wrapTopAndBottom/>
          <wp:docPr id="4" name="Slika 10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49" cy="314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A3" w:rsidRDefault="00C72DA3">
      <w:r>
        <w:rPr>
          <w:color w:val="000000"/>
        </w:rPr>
        <w:separator/>
      </w:r>
    </w:p>
  </w:footnote>
  <w:footnote w:type="continuationSeparator" w:id="0">
    <w:p w:rsidR="00C72DA3" w:rsidRDefault="00C7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2F" w:rsidRDefault="00C72DA3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-706758</wp:posOffset>
          </wp:positionH>
          <wp:positionV relativeFrom="paragraph">
            <wp:posOffset>-50163</wp:posOffset>
          </wp:positionV>
          <wp:extent cx="2541273" cy="1136013"/>
          <wp:effectExtent l="0" t="0" r="0" b="6987"/>
          <wp:wrapSquare wrapText="bothSides"/>
          <wp:docPr id="2" name="Slika 10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1273" cy="11360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736"/>
    <w:multiLevelType w:val="multilevel"/>
    <w:tmpl w:val="892A79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7FE8"/>
    <w:rsid w:val="003E6D91"/>
    <w:rsid w:val="00C72DA3"/>
    <w:rsid w:val="00C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04E29-E8D4-4AC7-9960-8B4EE770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pPr>
      <w:spacing w:line="288" w:lineRule="auto"/>
    </w:pPr>
    <w:rPr>
      <w:rFonts w:ascii="MinionPro-Regular" w:eastAsia="Arial Unicode MS" w:hAnsi="MinionPro-Regular" w:cs="Arial Unicode MS"/>
      <w:color w:val="000000"/>
      <w:lang w:val="en-US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050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0-01-5482" TargetMode="External"/><Relationship Id="rId12" Type="http://schemas.openxmlformats.org/officeDocument/2006/relationships/hyperlink" Target="http://www.uradni-list.si/1/objava.jsp?sop=2020-01-32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8-01-134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16-01-1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330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OPJI%20-%20dopis%20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OOPJI%20-%20dopis%201</Template>
  <TotalTime>1</TotalTime>
  <Pages>4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mezgec</dc:creator>
  <cp:lastModifiedBy>Jan Drol</cp:lastModifiedBy>
  <cp:revision>2</cp:revision>
  <cp:lastPrinted>2022-04-11T10:32:00Z</cp:lastPrinted>
  <dcterms:created xsi:type="dcterms:W3CDTF">2022-09-16T08:29:00Z</dcterms:created>
  <dcterms:modified xsi:type="dcterms:W3CDTF">2022-09-16T08:29:00Z</dcterms:modified>
</cp:coreProperties>
</file>