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4A82" w14:textId="77777777" w:rsidR="001B4CD9" w:rsidRDefault="004C5C4C" w:rsidP="001B4CD9">
      <w:pPr>
        <w:pStyle w:val="Nazivenote"/>
        <w:rPr>
          <w:b w:val="0"/>
          <w:bCs/>
        </w:rPr>
      </w:pPr>
      <w:r>
        <w:t>Župan</w:t>
      </w:r>
      <w:r w:rsidR="00722FAC">
        <w:br/>
      </w:r>
      <w:r w:rsidR="001B4CD9" w:rsidRPr="008802E3">
        <w:rPr>
          <w:b w:val="0"/>
          <w:bCs/>
        </w:rPr>
        <w:t>Trg Edvarda Kardelja 1, 5000 Nova Gorica</w:t>
      </w:r>
    </w:p>
    <w:p w14:paraId="4ABE269C" w14:textId="77777777" w:rsidR="00346CBB" w:rsidRDefault="00346CBB" w:rsidP="001B4CD9">
      <w:pPr>
        <w:pStyle w:val="Nazivenote"/>
        <w:rPr>
          <w:b w:val="0"/>
          <w:bCs/>
        </w:rPr>
      </w:pPr>
    </w:p>
    <w:p w14:paraId="31FAB811" w14:textId="77777777" w:rsidR="009F6CAA" w:rsidRDefault="009F6CAA" w:rsidP="009F6CAA">
      <w:pPr>
        <w:pStyle w:val="Nazivenote"/>
        <w:ind w:left="0"/>
        <w:rPr>
          <w:b w:val="0"/>
          <w:bCs/>
        </w:rPr>
      </w:pPr>
    </w:p>
    <w:p w14:paraId="13893FDF" w14:textId="77777777" w:rsidR="009F6CAA" w:rsidRPr="009F6CAA" w:rsidRDefault="009F6CAA" w:rsidP="009962CD">
      <w:pPr>
        <w:spacing w:line="240" w:lineRule="auto"/>
        <w:ind w:left="0"/>
        <w:rPr>
          <w:bCs w:val="0"/>
          <w:noProof w:val="0"/>
          <w:color w:val="000000"/>
          <w:szCs w:val="20"/>
        </w:rPr>
      </w:pPr>
      <w:r w:rsidRPr="009F6CAA">
        <w:rPr>
          <w:szCs w:val="20"/>
        </w:rPr>
        <w:t xml:space="preserve">Na podlagi Odloka o proračunu Mestne občine Nova Gorica (Uradni list 110/2025) ter  Odloka o </w:t>
      </w:r>
      <w:r w:rsidRPr="009F6CAA">
        <w:rPr>
          <w:rFonts w:eastAsia="Arial"/>
          <w:bCs w:val="0"/>
          <w:szCs w:val="20"/>
          <w:lang w:eastAsia="en-US"/>
        </w:rPr>
        <w:t xml:space="preserve"> dodeljevanju proračunskih sredstev za  spodbujanje podjetništva </w:t>
      </w:r>
      <w:r w:rsidRPr="009F6CAA">
        <w:rPr>
          <w:bCs w:val="0"/>
          <w:szCs w:val="20"/>
          <w:lang w:eastAsia="en-US"/>
        </w:rPr>
        <w:t xml:space="preserve">in inovativnosti v Mestni občini Nova Gorica </w:t>
      </w:r>
      <w:r w:rsidRPr="009F6CAA">
        <w:rPr>
          <w:szCs w:val="20"/>
        </w:rPr>
        <w:t xml:space="preserve">(Uradni list 134/2023 in  5/2025) </w:t>
      </w:r>
      <w:r w:rsidRPr="009F6CAA">
        <w:rPr>
          <w:color w:val="000000"/>
          <w:szCs w:val="20"/>
        </w:rPr>
        <w:t xml:space="preserve">objavlja Mestna občina  Nova Gorica </w:t>
      </w:r>
    </w:p>
    <w:p w14:paraId="527027D8" w14:textId="77777777" w:rsidR="009F6CAA" w:rsidRDefault="009F6CAA" w:rsidP="007D5B48">
      <w:pPr>
        <w:rPr>
          <w:b/>
          <w:szCs w:val="20"/>
        </w:rPr>
      </w:pPr>
    </w:p>
    <w:p w14:paraId="00B023DC" w14:textId="564C9154" w:rsidR="009F6CAA" w:rsidRPr="009F6CAA" w:rsidRDefault="009F6CAA" w:rsidP="007D5B48">
      <w:pPr>
        <w:jc w:val="center"/>
        <w:rPr>
          <w:b/>
          <w:szCs w:val="20"/>
        </w:rPr>
      </w:pPr>
      <w:r w:rsidRPr="009F6CAA">
        <w:rPr>
          <w:b/>
          <w:szCs w:val="20"/>
        </w:rPr>
        <w:t>JAVNI   RAZPIS</w:t>
      </w:r>
    </w:p>
    <w:p w14:paraId="005C53B7" w14:textId="77777777" w:rsidR="009F6CAA" w:rsidRPr="009F6CAA" w:rsidRDefault="009F6CAA" w:rsidP="009F6CAA">
      <w:pPr>
        <w:jc w:val="center"/>
        <w:rPr>
          <w:b/>
          <w:color w:val="FF0000"/>
          <w:szCs w:val="20"/>
        </w:rPr>
      </w:pPr>
      <w:r w:rsidRPr="009F6CAA">
        <w:rPr>
          <w:b/>
          <w:bCs w:val="0"/>
          <w:szCs w:val="20"/>
        </w:rPr>
        <w:t>ZA SOFINANCIRANJE STROŠKOV KOMUNALNEGA PRISPEVKA V MESTNI OBČINI NOVA GORICA V LETU 2026</w:t>
      </w:r>
    </w:p>
    <w:p w14:paraId="4D3415E4" w14:textId="77777777" w:rsidR="009F6CAA" w:rsidRPr="009F6CAA" w:rsidRDefault="009F6CAA" w:rsidP="009F6CAA">
      <w:pPr>
        <w:jc w:val="center"/>
        <w:rPr>
          <w:color w:val="FF0000"/>
          <w:szCs w:val="20"/>
        </w:rPr>
      </w:pPr>
    </w:p>
    <w:p w14:paraId="623897E1" w14:textId="77777777" w:rsidR="009F6CAA" w:rsidRPr="009F6CAA" w:rsidRDefault="009F6CAA" w:rsidP="009F6CAA">
      <w:pPr>
        <w:ind w:left="1701" w:hanging="1701"/>
        <w:jc w:val="both"/>
        <w:rPr>
          <w:szCs w:val="20"/>
        </w:rPr>
      </w:pPr>
      <w:r w:rsidRPr="009F6CAA">
        <w:rPr>
          <w:b/>
          <w:bCs w:val="0"/>
          <w:szCs w:val="20"/>
        </w:rPr>
        <w:t>I.  SOFINANCER:</w:t>
      </w:r>
      <w:r w:rsidRPr="009F6CAA">
        <w:rPr>
          <w:szCs w:val="20"/>
        </w:rPr>
        <w:t xml:space="preserve"> Mestna občina Nova Gorica, Trg Edvarda Kardelja 1, 5000  Nova Gorica </w:t>
      </w:r>
    </w:p>
    <w:p w14:paraId="2FD4346B" w14:textId="77777777" w:rsidR="009F6CAA" w:rsidRDefault="009F6CAA" w:rsidP="009F6CAA">
      <w:pPr>
        <w:pStyle w:val="Naslov3"/>
        <w:rPr>
          <w:rFonts w:cs="Arial"/>
          <w:b/>
          <w:bCs w:val="0"/>
          <w:color w:val="auto"/>
          <w:sz w:val="20"/>
          <w:szCs w:val="20"/>
        </w:rPr>
      </w:pPr>
    </w:p>
    <w:p w14:paraId="6A809068" w14:textId="486851EF" w:rsidR="009F6CAA" w:rsidRPr="009F6CAA" w:rsidRDefault="009F6CAA" w:rsidP="00F67557">
      <w:pPr>
        <w:pStyle w:val="Naslov3"/>
        <w:tabs>
          <w:tab w:val="left" w:pos="0"/>
        </w:tabs>
        <w:ind w:hanging="709"/>
        <w:rPr>
          <w:rFonts w:cs="Arial"/>
          <w:sz w:val="20"/>
          <w:szCs w:val="20"/>
        </w:rPr>
      </w:pPr>
      <w:r w:rsidRPr="009F6CAA">
        <w:rPr>
          <w:rFonts w:cs="Arial"/>
          <w:b/>
          <w:bCs w:val="0"/>
          <w:color w:val="auto"/>
          <w:sz w:val="20"/>
          <w:szCs w:val="20"/>
        </w:rPr>
        <w:t>II. PREDMET JAVNEGA RAZPISA</w:t>
      </w:r>
    </w:p>
    <w:p w14:paraId="6130D187" w14:textId="77777777" w:rsidR="009F6CAA" w:rsidRPr="009F6CAA" w:rsidRDefault="009F6CAA" w:rsidP="007D5B48">
      <w:pPr>
        <w:pStyle w:val="Telobesedila"/>
        <w:jc w:val="left"/>
        <w:rPr>
          <w:rFonts w:ascii="Verdana" w:hAnsi="Verdana" w:cs="Arial"/>
          <w:sz w:val="20"/>
        </w:rPr>
      </w:pPr>
      <w:r w:rsidRPr="009F6CAA">
        <w:rPr>
          <w:rFonts w:ascii="Verdana" w:hAnsi="Verdana" w:cs="Arial"/>
          <w:sz w:val="20"/>
        </w:rPr>
        <w:t xml:space="preserve">Predmet  javnega razpisa je dodelitev »de </w:t>
      </w:r>
      <w:proofErr w:type="spellStart"/>
      <w:r w:rsidRPr="009F6CAA">
        <w:rPr>
          <w:rFonts w:ascii="Verdana" w:hAnsi="Verdana" w:cs="Arial"/>
          <w:sz w:val="20"/>
        </w:rPr>
        <w:t>minimis</w:t>
      </w:r>
      <w:proofErr w:type="spellEnd"/>
      <w:r w:rsidRPr="009F6CAA">
        <w:rPr>
          <w:rFonts w:ascii="Verdana" w:hAnsi="Verdana" w:cs="Arial"/>
          <w:sz w:val="20"/>
        </w:rPr>
        <w:t xml:space="preserve">« pomoči za sofinanciranje stroškov komunalnega prispevka  odmerjenega investitorjem  po pravnomočni odločbi na območju Mestne občine Nova Gorica, ki gradijo obrtne in proizvodne objekte ter objekte za razvojno raziskovalno in turistično dejavnost. </w:t>
      </w:r>
    </w:p>
    <w:p w14:paraId="28F13F95" w14:textId="77777777" w:rsidR="009F6CAA" w:rsidRPr="009F6CAA" w:rsidRDefault="009F6CAA" w:rsidP="007D5B48">
      <w:pPr>
        <w:rPr>
          <w:b/>
          <w:szCs w:val="20"/>
        </w:rPr>
      </w:pPr>
    </w:p>
    <w:p w14:paraId="4A21122B" w14:textId="77777777" w:rsidR="009F6CAA" w:rsidRPr="009F6CAA" w:rsidRDefault="009F6CAA" w:rsidP="007D5B48">
      <w:pPr>
        <w:ind w:left="0"/>
        <w:rPr>
          <w:b/>
          <w:szCs w:val="20"/>
        </w:rPr>
      </w:pPr>
      <w:r w:rsidRPr="009F6CAA">
        <w:rPr>
          <w:b/>
          <w:szCs w:val="20"/>
        </w:rPr>
        <w:t>III.  NAMEN JAVNEGA RAZPISA</w:t>
      </w:r>
    </w:p>
    <w:p w14:paraId="58C095D8" w14:textId="77777777" w:rsidR="009F6CAA" w:rsidRPr="009F6CAA" w:rsidRDefault="009F6CAA" w:rsidP="007D5B48">
      <w:pPr>
        <w:spacing w:line="240" w:lineRule="auto"/>
        <w:ind w:left="0"/>
        <w:rPr>
          <w:rFonts w:eastAsia="Symbol"/>
          <w:bCs w:val="0"/>
          <w:szCs w:val="20"/>
        </w:rPr>
      </w:pPr>
      <w:r w:rsidRPr="009F6CAA">
        <w:rPr>
          <w:rFonts w:eastAsia="Symbol"/>
          <w:szCs w:val="20"/>
        </w:rPr>
        <w:t>Namen  javnega razpisa  je privabljanje  novih investitorjev  na območje občine ter spodbujanje razvoja že obstoječih podjetij na območju, ki  bodo z  prijavljenimi investicijskimi projekti  zagotavljali nove  zaposlitve  in prispevali k spodbudnemu gospodarskemu razvoju občine.</w:t>
      </w:r>
    </w:p>
    <w:p w14:paraId="383746F1" w14:textId="77777777" w:rsidR="009F6CAA" w:rsidRPr="009F6CAA" w:rsidRDefault="009F6CAA" w:rsidP="007D5B48">
      <w:pPr>
        <w:rPr>
          <w:szCs w:val="20"/>
        </w:rPr>
      </w:pPr>
    </w:p>
    <w:p w14:paraId="3BA962FE" w14:textId="77777777" w:rsidR="009F6CAA" w:rsidRPr="00F67557" w:rsidRDefault="009F6CAA" w:rsidP="007D5B48">
      <w:pPr>
        <w:pStyle w:val="Naslov2"/>
        <w:ind w:left="0"/>
        <w:rPr>
          <w:rFonts w:cs="Arial"/>
          <w:color w:val="auto"/>
          <w:sz w:val="20"/>
          <w:szCs w:val="20"/>
        </w:rPr>
      </w:pPr>
      <w:r w:rsidRPr="00F67557">
        <w:rPr>
          <w:rFonts w:cs="Arial"/>
          <w:color w:val="auto"/>
          <w:sz w:val="20"/>
          <w:szCs w:val="20"/>
        </w:rPr>
        <w:t>IV. VIŠINA RAZPOLOŽLJIVIH SREDSTEV</w:t>
      </w:r>
    </w:p>
    <w:p w14:paraId="0E7EBFE4" w14:textId="77777777" w:rsidR="009F6CAA" w:rsidRPr="00F67557" w:rsidRDefault="009F6CAA" w:rsidP="007D5B48">
      <w:pPr>
        <w:pStyle w:val="Naslov2"/>
        <w:ind w:left="0"/>
        <w:rPr>
          <w:rFonts w:cs="Arial"/>
          <w:b w:val="0"/>
          <w:color w:val="auto"/>
          <w:sz w:val="20"/>
          <w:szCs w:val="20"/>
        </w:rPr>
      </w:pPr>
      <w:r w:rsidRPr="00F67557">
        <w:rPr>
          <w:rFonts w:cs="Arial"/>
          <w:b w:val="0"/>
          <w:color w:val="auto"/>
          <w:sz w:val="20"/>
          <w:szCs w:val="20"/>
        </w:rPr>
        <w:t xml:space="preserve">Okvirna višina razpoložljivih proračunskih  sredstev za izvedbo razpisa je  300.000 EUR, </w:t>
      </w:r>
    </w:p>
    <w:p w14:paraId="67D34566" w14:textId="77777777" w:rsidR="009F6CAA" w:rsidRPr="009F6CAA" w:rsidRDefault="009F6CAA" w:rsidP="007D5B48">
      <w:pPr>
        <w:pStyle w:val="Telobesedila"/>
        <w:jc w:val="left"/>
        <w:rPr>
          <w:rFonts w:ascii="Verdana" w:hAnsi="Verdana" w:cs="Arial"/>
          <w:sz w:val="20"/>
        </w:rPr>
      </w:pPr>
      <w:r w:rsidRPr="009F6CAA">
        <w:rPr>
          <w:rFonts w:ascii="Verdana" w:hAnsi="Verdana" w:cs="Arial"/>
          <w:sz w:val="20"/>
        </w:rPr>
        <w:t xml:space="preserve">Proračunska sredstva se dodeljujejo kot nepovratna sredstva skladno s pravili o dodeljevanju državnih pomoči »de </w:t>
      </w:r>
      <w:proofErr w:type="spellStart"/>
      <w:r w:rsidRPr="009F6CAA">
        <w:rPr>
          <w:rFonts w:ascii="Verdana" w:hAnsi="Verdana" w:cs="Arial"/>
          <w:sz w:val="20"/>
        </w:rPr>
        <w:t>minimis</w:t>
      </w:r>
      <w:proofErr w:type="spellEnd"/>
      <w:r w:rsidRPr="009F6CAA">
        <w:rPr>
          <w:rFonts w:ascii="Verdana" w:hAnsi="Verdana" w:cs="Arial"/>
          <w:sz w:val="20"/>
        </w:rPr>
        <w:t>«.</w:t>
      </w:r>
    </w:p>
    <w:p w14:paraId="1F677A46" w14:textId="77777777" w:rsidR="009F6CAA" w:rsidRPr="009F6CAA" w:rsidRDefault="009F6CAA" w:rsidP="007D5B48">
      <w:pPr>
        <w:pStyle w:val="Telobesedila"/>
        <w:jc w:val="left"/>
        <w:rPr>
          <w:rFonts w:ascii="Verdana" w:hAnsi="Verdana" w:cs="Arial"/>
          <w:sz w:val="20"/>
        </w:rPr>
      </w:pPr>
      <w:r w:rsidRPr="009F6CAA">
        <w:rPr>
          <w:rFonts w:ascii="Verdana" w:hAnsi="Verdana" w:cs="Arial"/>
          <w:sz w:val="20"/>
        </w:rPr>
        <w:t>Sredstva bremenijo proračunsko postavko 1402/09.070 – Finančne spodbude podjetnikom</w:t>
      </w:r>
    </w:p>
    <w:p w14:paraId="5FCA9470" w14:textId="43B0EC9F" w:rsidR="009F6CAA" w:rsidRPr="009F6CAA" w:rsidRDefault="00F67557" w:rsidP="007D5B48">
      <w:pPr>
        <w:ind w:left="0"/>
        <w:rPr>
          <w:szCs w:val="20"/>
        </w:rPr>
      </w:pPr>
      <w:r>
        <w:rPr>
          <w:bCs w:val="0"/>
          <w:szCs w:val="20"/>
        </w:rPr>
        <w:t>S</w:t>
      </w:r>
      <w:r w:rsidR="009F6CAA" w:rsidRPr="009F6CAA">
        <w:rPr>
          <w:bCs w:val="0"/>
          <w:szCs w:val="20"/>
        </w:rPr>
        <w:t xml:space="preserve">redstva za sofinanciranje komunalnega prispevka </w:t>
      </w:r>
    </w:p>
    <w:p w14:paraId="79AD71B0" w14:textId="77777777" w:rsidR="009F6CAA" w:rsidRPr="009F6CAA" w:rsidRDefault="009F6CAA" w:rsidP="007D5B48">
      <w:pPr>
        <w:rPr>
          <w:bCs w:val="0"/>
          <w:szCs w:val="20"/>
        </w:rPr>
      </w:pPr>
    </w:p>
    <w:p w14:paraId="0DEF6773" w14:textId="77777777" w:rsidR="009F6CAA" w:rsidRPr="009F6CAA" w:rsidRDefault="009F6CAA" w:rsidP="007D5B48">
      <w:pPr>
        <w:rPr>
          <w:b/>
          <w:bCs w:val="0"/>
          <w:szCs w:val="20"/>
        </w:rPr>
      </w:pPr>
    </w:p>
    <w:p w14:paraId="346059A8" w14:textId="77777777" w:rsidR="009F6CAA" w:rsidRPr="009F6CAA" w:rsidRDefault="009F6CAA" w:rsidP="007D5B48">
      <w:pPr>
        <w:ind w:left="142"/>
        <w:rPr>
          <w:b/>
          <w:szCs w:val="20"/>
        </w:rPr>
      </w:pPr>
      <w:r w:rsidRPr="009F6CAA">
        <w:rPr>
          <w:b/>
          <w:bCs w:val="0"/>
          <w:szCs w:val="20"/>
        </w:rPr>
        <w:lastRenderedPageBreak/>
        <w:t>V. POGOJI ZA KANDIDIRANJE NA JAVNEM RAZPISU</w:t>
      </w:r>
    </w:p>
    <w:p w14:paraId="416917C9" w14:textId="77777777" w:rsidR="009F6CAA" w:rsidRPr="009F6CAA" w:rsidRDefault="009F6CAA" w:rsidP="007D5B48">
      <w:pPr>
        <w:ind w:left="142"/>
        <w:rPr>
          <w:rFonts w:eastAsia="Calibri"/>
          <w:b/>
          <w:bCs w:val="0"/>
          <w:szCs w:val="20"/>
          <w:lang w:eastAsia="en-US"/>
        </w:rPr>
      </w:pPr>
      <w:r w:rsidRPr="009F6CAA">
        <w:rPr>
          <w:rFonts w:eastAsia="Calibri"/>
          <w:b/>
          <w:bCs w:val="0"/>
          <w:szCs w:val="20"/>
          <w:lang w:eastAsia="en-US"/>
        </w:rPr>
        <w:t>5.1.  Splošni pogoji</w:t>
      </w:r>
    </w:p>
    <w:p w14:paraId="77C24552" w14:textId="77777777" w:rsidR="009F6CAA" w:rsidRPr="009F6CAA" w:rsidRDefault="009F6CAA" w:rsidP="007D5B48">
      <w:pPr>
        <w:ind w:left="142"/>
        <w:rPr>
          <w:rFonts w:eastAsia="Calibri"/>
          <w:b/>
          <w:bCs w:val="0"/>
          <w:szCs w:val="20"/>
          <w:lang w:eastAsia="en-US"/>
        </w:rPr>
      </w:pPr>
    </w:p>
    <w:p w14:paraId="72EA49AE" w14:textId="77777777" w:rsidR="009F6CAA" w:rsidRPr="009F6CAA" w:rsidRDefault="009F6CAA" w:rsidP="007D5B48">
      <w:pPr>
        <w:spacing w:after="160" w:line="256" w:lineRule="auto"/>
        <w:ind w:left="142"/>
        <w:rPr>
          <w:rFonts w:eastAsia="Calibri"/>
          <w:b/>
          <w:bCs w:val="0"/>
          <w:szCs w:val="20"/>
          <w:u w:val="single"/>
          <w:lang w:eastAsia="en-US"/>
        </w:rPr>
      </w:pPr>
      <w:r w:rsidRPr="009F6CAA">
        <w:rPr>
          <w:rFonts w:eastAsia="Calibri"/>
          <w:b/>
          <w:bCs w:val="0"/>
          <w:szCs w:val="20"/>
          <w:u w:val="single"/>
          <w:lang w:eastAsia="en-US"/>
        </w:rPr>
        <w:t>Na razpis se lahko prijavijo:</w:t>
      </w:r>
    </w:p>
    <w:p w14:paraId="211991D2" w14:textId="77777777" w:rsidR="009F6CAA" w:rsidRPr="00F67557" w:rsidRDefault="009F6CAA" w:rsidP="007D5B48">
      <w:pPr>
        <w:pStyle w:val="Odstavekseznama"/>
        <w:numPr>
          <w:ilvl w:val="0"/>
          <w:numId w:val="9"/>
        </w:numPr>
        <w:spacing w:after="120" w:line="240" w:lineRule="auto"/>
        <w:ind w:left="426" w:right="0" w:hanging="426"/>
        <w:rPr>
          <w:bCs w:val="0"/>
          <w:color w:val="000000"/>
          <w:szCs w:val="20"/>
        </w:rPr>
      </w:pPr>
      <w:r w:rsidRPr="00F67557">
        <w:rPr>
          <w:color w:val="000000"/>
          <w:szCs w:val="20"/>
        </w:rPr>
        <w:t>Na javni razpis se lahko prijavijo  podjetniki posamezniki in  mikro, mala in  srednja podjetja  ki izpolnjujejo pogoje v skladu z zakonodajo o gospodarskih družbah:(v nadaljevanju: podjetje) in spadajo v:</w:t>
      </w:r>
    </w:p>
    <w:p w14:paraId="6CFBF7A2" w14:textId="77777777" w:rsidR="009F6CAA" w:rsidRPr="00F67557" w:rsidRDefault="009F6CAA" w:rsidP="007D5B48">
      <w:pPr>
        <w:pStyle w:val="Odstavekseznama"/>
        <w:numPr>
          <w:ilvl w:val="0"/>
          <w:numId w:val="10"/>
        </w:numPr>
        <w:spacing w:after="0" w:line="240" w:lineRule="auto"/>
        <w:ind w:left="851" w:right="0" w:hanging="426"/>
        <w:rPr>
          <w:color w:val="000000"/>
          <w:szCs w:val="20"/>
        </w:rPr>
      </w:pPr>
      <w:r w:rsidRPr="00F67557">
        <w:rPr>
          <w:color w:val="000000"/>
          <w:szCs w:val="20"/>
        </w:rPr>
        <w:t>v kategorijo mikro, malih  in srednje velikih podjetij kamor  sodijo podjetja., ki imajo vsaj  eno zaposleno osebo. Kot zaposlena oseba se pri samostojnih podjetnikih  upošteva tudi nosilec dejavnosti če je to njegova edina podlaga za zavarovanje in direktor enoosebne družbe z omejeno odgovornostjo s pogodbo o poslovodenju po zavarovalni podlagi 112, v kolikor je ta direktor hkrati tudi lastnik te družbe,</w:t>
      </w:r>
    </w:p>
    <w:p w14:paraId="5E28DDDE" w14:textId="77777777" w:rsidR="009F6CAA" w:rsidRPr="00F67557" w:rsidRDefault="009F6CAA" w:rsidP="007D5B48">
      <w:pPr>
        <w:pStyle w:val="Odstavekseznama"/>
        <w:numPr>
          <w:ilvl w:val="0"/>
          <w:numId w:val="9"/>
        </w:numPr>
        <w:autoSpaceDE w:val="0"/>
        <w:autoSpaceDN w:val="0"/>
        <w:adjustRightInd w:val="0"/>
        <w:spacing w:after="160" w:line="256" w:lineRule="auto"/>
        <w:ind w:left="426" w:right="0" w:hanging="426"/>
        <w:rPr>
          <w:rFonts w:eastAsia="Arial" w:cs="Times New Roman"/>
          <w:szCs w:val="20"/>
          <w:lang w:eastAsia="en-US"/>
        </w:rPr>
      </w:pPr>
      <w:r w:rsidRPr="00F67557">
        <w:rPr>
          <w:szCs w:val="20"/>
        </w:rPr>
        <w:t xml:space="preserve">Skladno z </w:t>
      </w:r>
      <w:r w:rsidRPr="00F67557">
        <w:rPr>
          <w:rFonts w:eastAsia="Arial"/>
          <w:szCs w:val="20"/>
          <w:lang w:eastAsia="en-US"/>
        </w:rPr>
        <w:t xml:space="preserve">Uredbo Komisije (EU) 2023/2831 </w:t>
      </w:r>
      <w:r w:rsidRPr="00F67557">
        <w:rPr>
          <w:szCs w:val="20"/>
        </w:rPr>
        <w:t xml:space="preserve">se upošteva definicija enotnega podjetja. </w:t>
      </w:r>
      <w:r w:rsidRPr="00F67557">
        <w:rPr>
          <w:rFonts w:eastAsia="Arial"/>
          <w:szCs w:val="20"/>
          <w:lang w:eastAsia="en-US"/>
        </w:rPr>
        <w:t>»Enotno podjetje« pomeni vsa podjetja, ki so med seboj najmanj v enem naslednjih razmerij:</w:t>
      </w:r>
    </w:p>
    <w:p w14:paraId="60D46AB5" w14:textId="77777777" w:rsidR="009F6CAA" w:rsidRPr="00F67557" w:rsidRDefault="009F6CAA" w:rsidP="007D5B48">
      <w:pPr>
        <w:pStyle w:val="Odstavekseznama"/>
        <w:numPr>
          <w:ilvl w:val="0"/>
          <w:numId w:val="9"/>
        </w:numPr>
        <w:tabs>
          <w:tab w:val="left" w:pos="357"/>
          <w:tab w:val="left" w:pos="720"/>
          <w:tab w:val="left" w:pos="1460"/>
        </w:tabs>
        <w:spacing w:after="0" w:line="256" w:lineRule="auto"/>
        <w:ind w:left="426" w:right="0" w:hanging="426"/>
        <w:rPr>
          <w:szCs w:val="20"/>
          <w:lang w:eastAsia="en-US"/>
        </w:rPr>
      </w:pPr>
      <w:r w:rsidRPr="00F67557">
        <w:rPr>
          <w:rFonts w:eastAsia="Arial"/>
          <w:szCs w:val="20"/>
          <w:lang w:eastAsia="en-US"/>
        </w:rPr>
        <w:t>podjetje ima večino glasovalnih pravic delničarjev ali družbenikov drugega podjetja,</w:t>
      </w:r>
    </w:p>
    <w:p w14:paraId="500E9285" w14:textId="77777777" w:rsidR="009F6CAA" w:rsidRPr="00F67557" w:rsidRDefault="009F6CAA" w:rsidP="007D5B48">
      <w:pPr>
        <w:pStyle w:val="Odstavekseznama"/>
        <w:numPr>
          <w:ilvl w:val="0"/>
          <w:numId w:val="9"/>
        </w:numPr>
        <w:tabs>
          <w:tab w:val="left" w:pos="357"/>
          <w:tab w:val="left" w:pos="720"/>
          <w:tab w:val="left" w:pos="1460"/>
        </w:tabs>
        <w:spacing w:after="0" w:line="256" w:lineRule="auto"/>
        <w:ind w:left="426" w:right="0" w:hanging="426"/>
        <w:rPr>
          <w:rFonts w:eastAsia="Arial"/>
          <w:szCs w:val="20"/>
          <w:lang w:eastAsia="en-US"/>
        </w:rPr>
      </w:pPr>
      <w:r w:rsidRPr="00F67557">
        <w:rPr>
          <w:rFonts w:eastAsia="Arial"/>
          <w:szCs w:val="20"/>
          <w:lang w:eastAsia="en-US"/>
        </w:rPr>
        <w:t>podjetje ima pravico imenovati ali odpoklicati večino članov upravnega, poslovodnega ali nadzornega organa drugega podjetja,</w:t>
      </w:r>
    </w:p>
    <w:p w14:paraId="5A17E051" w14:textId="77777777" w:rsidR="009F6CAA" w:rsidRPr="00F67557" w:rsidRDefault="009F6CAA" w:rsidP="007D5B48">
      <w:pPr>
        <w:pStyle w:val="Odstavekseznama"/>
        <w:numPr>
          <w:ilvl w:val="0"/>
          <w:numId w:val="9"/>
        </w:numPr>
        <w:tabs>
          <w:tab w:val="left" w:pos="357"/>
          <w:tab w:val="left" w:pos="720"/>
          <w:tab w:val="left" w:pos="1460"/>
        </w:tabs>
        <w:spacing w:after="0" w:line="256" w:lineRule="auto"/>
        <w:ind w:left="426" w:right="0" w:hanging="426"/>
        <w:rPr>
          <w:rFonts w:eastAsia="Arial"/>
          <w:szCs w:val="20"/>
          <w:lang w:eastAsia="en-US"/>
        </w:rPr>
      </w:pPr>
      <w:r w:rsidRPr="00F67557">
        <w:rPr>
          <w:rFonts w:eastAsia="Arial"/>
          <w:szCs w:val="20"/>
          <w:lang w:eastAsia="en-US"/>
        </w:rPr>
        <w:t>podjetje ima pravico izvrševati prevladujoč vpliv na drugo podjetje na podlagi pogodbe, sklenjene z navedenim podjetjem, ali določbe v njegovi družbeni pogodbi ali statutu,</w:t>
      </w:r>
    </w:p>
    <w:p w14:paraId="610561C2" w14:textId="77777777" w:rsidR="009F6CAA" w:rsidRPr="00F67557" w:rsidRDefault="009F6CAA" w:rsidP="007D5B48">
      <w:pPr>
        <w:pStyle w:val="Odstavekseznama"/>
        <w:numPr>
          <w:ilvl w:val="0"/>
          <w:numId w:val="9"/>
        </w:numPr>
        <w:tabs>
          <w:tab w:val="left" w:pos="357"/>
          <w:tab w:val="left" w:pos="720"/>
          <w:tab w:val="left" w:pos="1460"/>
        </w:tabs>
        <w:spacing w:after="0" w:line="256" w:lineRule="auto"/>
        <w:ind w:left="426" w:right="0" w:hanging="426"/>
        <w:rPr>
          <w:rFonts w:eastAsia="Arial"/>
          <w:szCs w:val="20"/>
          <w:lang w:eastAsia="en-US"/>
        </w:rPr>
      </w:pPr>
      <w:r w:rsidRPr="00F67557">
        <w:rPr>
          <w:rFonts w:eastAsia="Arial"/>
          <w:szCs w:val="20"/>
          <w:lang w:eastAsia="en-US"/>
        </w:rPr>
        <w:t>podjetje, ki je delničar ali družbenik drugega podjetja, na podlagi dogovora z drugimi delničarji ali družbeniki navedenega podjetja edino nadzoruje večino glasovalnih pravic delničarjev ali družbenikov navedenega podjetja,</w:t>
      </w:r>
    </w:p>
    <w:p w14:paraId="2684439E" w14:textId="77777777" w:rsidR="009F6CAA" w:rsidRPr="00F67557" w:rsidRDefault="009F6CAA" w:rsidP="007D5B48">
      <w:pPr>
        <w:pStyle w:val="Odstavekseznama"/>
        <w:numPr>
          <w:ilvl w:val="0"/>
          <w:numId w:val="9"/>
        </w:numPr>
        <w:tabs>
          <w:tab w:val="left" w:pos="357"/>
          <w:tab w:val="left" w:pos="720"/>
          <w:tab w:val="left" w:pos="1460"/>
        </w:tabs>
        <w:spacing w:after="0" w:line="256" w:lineRule="auto"/>
        <w:ind w:left="426" w:right="0" w:hanging="426"/>
        <w:rPr>
          <w:rFonts w:eastAsia="Arial"/>
          <w:szCs w:val="20"/>
          <w:lang w:eastAsia="en-US"/>
        </w:rPr>
      </w:pPr>
      <w:r w:rsidRPr="00F67557">
        <w:rPr>
          <w:rFonts w:eastAsia="Arial"/>
          <w:szCs w:val="20"/>
          <w:lang w:eastAsia="en-US"/>
        </w:rPr>
        <w:t>podjetja, ki so v katerem koli razmerju iz prve do četrte alineje te točke preko</w:t>
      </w:r>
    </w:p>
    <w:p w14:paraId="3B22CCB4" w14:textId="77777777" w:rsidR="009F6CAA" w:rsidRPr="00F67557" w:rsidRDefault="009F6CAA" w:rsidP="007D5B48">
      <w:pPr>
        <w:pStyle w:val="Odstavekseznama"/>
        <w:numPr>
          <w:ilvl w:val="0"/>
          <w:numId w:val="9"/>
        </w:numPr>
        <w:tabs>
          <w:tab w:val="left" w:pos="357"/>
          <w:tab w:val="left" w:pos="720"/>
          <w:tab w:val="left" w:pos="1460"/>
        </w:tabs>
        <w:spacing w:after="0" w:line="256" w:lineRule="auto"/>
        <w:ind w:left="426" w:right="0" w:hanging="426"/>
        <w:rPr>
          <w:rFonts w:eastAsia="Arial"/>
          <w:szCs w:val="20"/>
          <w:lang w:eastAsia="en-US"/>
        </w:rPr>
      </w:pPr>
      <w:r w:rsidRPr="00F67557">
        <w:rPr>
          <w:rFonts w:eastAsia="Arial"/>
          <w:szCs w:val="20"/>
          <w:lang w:eastAsia="en-US"/>
        </w:rPr>
        <w:t>enega ali več drugih podjetij, prav tako veljajo za enotno.</w:t>
      </w:r>
    </w:p>
    <w:p w14:paraId="4113FA18" w14:textId="77777777" w:rsidR="009F6CAA" w:rsidRPr="00F67557" w:rsidRDefault="009F6CAA" w:rsidP="007D5B48">
      <w:pPr>
        <w:pStyle w:val="Odstavekseznama"/>
        <w:numPr>
          <w:ilvl w:val="0"/>
          <w:numId w:val="9"/>
        </w:numPr>
        <w:tabs>
          <w:tab w:val="left" w:pos="357"/>
          <w:tab w:val="left" w:pos="709"/>
        </w:tabs>
        <w:spacing w:after="0" w:line="256" w:lineRule="auto"/>
        <w:ind w:left="426" w:right="0" w:hanging="426"/>
        <w:rPr>
          <w:rFonts w:eastAsia="Arial"/>
          <w:szCs w:val="20"/>
          <w:lang w:eastAsia="en-US"/>
        </w:rPr>
      </w:pPr>
      <w:r w:rsidRPr="00F67557">
        <w:rPr>
          <w:rFonts w:eastAsia="Arial"/>
          <w:szCs w:val="20"/>
          <w:lang w:eastAsia="en-US"/>
        </w:rPr>
        <w:t>Podjetja ne smejo opravljati nobene od naslednjih dejavnosti, ki so razvrščene v naslednje sektorje:</w:t>
      </w:r>
    </w:p>
    <w:p w14:paraId="366E495B" w14:textId="77777777" w:rsidR="009F6CAA" w:rsidRPr="00F67557" w:rsidRDefault="009F6CAA" w:rsidP="007D5B48">
      <w:pPr>
        <w:pStyle w:val="Odstavekseznama"/>
        <w:numPr>
          <w:ilvl w:val="0"/>
          <w:numId w:val="9"/>
        </w:numPr>
        <w:tabs>
          <w:tab w:val="left" w:pos="357"/>
          <w:tab w:val="left" w:pos="720"/>
          <w:tab w:val="left" w:pos="1460"/>
        </w:tabs>
        <w:spacing w:after="0" w:line="256" w:lineRule="auto"/>
        <w:ind w:left="426" w:right="0" w:hanging="426"/>
        <w:rPr>
          <w:rFonts w:eastAsia="Arial"/>
          <w:szCs w:val="20"/>
          <w:lang w:eastAsia="en-US"/>
        </w:rPr>
      </w:pPr>
      <w:r w:rsidRPr="00F67557">
        <w:rPr>
          <w:rFonts w:eastAsia="Arial"/>
          <w:szCs w:val="20"/>
          <w:lang w:eastAsia="en-US"/>
        </w:rPr>
        <w:t xml:space="preserve">predelava in trženje ribiških proizvodov in proizvodov iz akvakulture, kadar je  znesek  pomoči določen na  podlagi cene ali količine proizvodov, nabavljenih ali danih na trg, </w:t>
      </w:r>
    </w:p>
    <w:p w14:paraId="4000EB58" w14:textId="77777777" w:rsidR="009F6CAA" w:rsidRPr="00F67557" w:rsidRDefault="009F6CAA" w:rsidP="007D5B48">
      <w:pPr>
        <w:pStyle w:val="Odstavekseznama"/>
        <w:numPr>
          <w:ilvl w:val="0"/>
          <w:numId w:val="9"/>
        </w:numPr>
        <w:tabs>
          <w:tab w:val="left" w:pos="357"/>
          <w:tab w:val="left" w:pos="720"/>
          <w:tab w:val="left" w:pos="1460"/>
        </w:tabs>
        <w:spacing w:after="0" w:line="256" w:lineRule="auto"/>
        <w:ind w:left="426" w:right="0" w:hanging="426"/>
        <w:rPr>
          <w:rFonts w:eastAsia="Arial"/>
          <w:szCs w:val="20"/>
          <w:lang w:eastAsia="en-US"/>
        </w:rPr>
      </w:pPr>
      <w:r w:rsidRPr="00F67557">
        <w:rPr>
          <w:rFonts w:eastAsia="Arial"/>
          <w:szCs w:val="20"/>
          <w:lang w:eastAsia="en-US"/>
        </w:rPr>
        <w:t xml:space="preserve">primarna proizvodnja kmetijskih proizvodov, </w:t>
      </w:r>
    </w:p>
    <w:p w14:paraId="7E516D26" w14:textId="77777777" w:rsidR="009F6CAA" w:rsidRPr="00F67557" w:rsidRDefault="009F6CAA" w:rsidP="007D5B48">
      <w:pPr>
        <w:pStyle w:val="Odstavekseznama"/>
        <w:numPr>
          <w:ilvl w:val="0"/>
          <w:numId w:val="9"/>
        </w:numPr>
        <w:tabs>
          <w:tab w:val="left" w:pos="357"/>
          <w:tab w:val="left" w:pos="720"/>
          <w:tab w:val="left" w:pos="1460"/>
        </w:tabs>
        <w:spacing w:after="0" w:line="256" w:lineRule="auto"/>
        <w:ind w:left="426" w:right="0" w:hanging="426"/>
        <w:rPr>
          <w:rFonts w:eastAsia="Arial"/>
          <w:szCs w:val="20"/>
          <w:lang w:eastAsia="en-US"/>
        </w:rPr>
      </w:pPr>
      <w:r w:rsidRPr="00F67557">
        <w:rPr>
          <w:rFonts w:eastAsia="Arial"/>
          <w:szCs w:val="20"/>
          <w:lang w:eastAsia="en-US"/>
        </w:rPr>
        <w:t>predelava in trženje kmetijskih proizvodov kadar je znesek pomoči določen na podlagi cene ali količine takih  proizvodov, ki so kupljeni od primarnih proizvajalcev ali jih je na trg dalo zadevno podjetje ali kadar je pomoč pogojena s tem, da se v celoti ali delno prenese na primarne proizvajalce.</w:t>
      </w:r>
    </w:p>
    <w:p w14:paraId="14D55760" w14:textId="77777777" w:rsidR="009F6CAA" w:rsidRPr="00F67557" w:rsidRDefault="009F6CAA" w:rsidP="007D5B48">
      <w:pPr>
        <w:pStyle w:val="Odstavekseznama"/>
        <w:numPr>
          <w:ilvl w:val="0"/>
          <w:numId w:val="9"/>
        </w:numPr>
        <w:tabs>
          <w:tab w:val="left" w:pos="357"/>
          <w:tab w:val="left" w:pos="709"/>
        </w:tabs>
        <w:spacing w:after="0" w:line="256" w:lineRule="auto"/>
        <w:ind w:left="426" w:right="0" w:hanging="426"/>
        <w:rPr>
          <w:rFonts w:eastAsia="Arial"/>
          <w:szCs w:val="20"/>
          <w:lang w:eastAsia="en-US"/>
        </w:rPr>
      </w:pPr>
      <w:r w:rsidRPr="00F67557">
        <w:rPr>
          <w:rFonts w:eastAsia="Arial"/>
          <w:szCs w:val="20"/>
          <w:lang w:eastAsia="en-US"/>
        </w:rPr>
        <w:t>Podjetje ni v postopku vračanja neupravičeno prejete državne pomoči.</w:t>
      </w:r>
    </w:p>
    <w:p w14:paraId="5785A80F" w14:textId="77777777" w:rsidR="009F6CAA" w:rsidRPr="00F67557" w:rsidRDefault="009F6CAA" w:rsidP="007D5B48">
      <w:pPr>
        <w:pStyle w:val="Odstavekseznama"/>
        <w:numPr>
          <w:ilvl w:val="0"/>
          <w:numId w:val="9"/>
        </w:numPr>
        <w:tabs>
          <w:tab w:val="left" w:pos="357"/>
          <w:tab w:val="left" w:pos="709"/>
        </w:tabs>
        <w:spacing w:after="0" w:line="256" w:lineRule="auto"/>
        <w:ind w:left="426" w:right="0" w:hanging="426"/>
        <w:rPr>
          <w:rFonts w:eastAsia="Arial"/>
          <w:szCs w:val="20"/>
          <w:lang w:eastAsia="en-US"/>
        </w:rPr>
      </w:pPr>
      <w:r w:rsidRPr="00F67557">
        <w:rPr>
          <w:rFonts w:eastAsia="Arial"/>
          <w:szCs w:val="20"/>
          <w:lang w:eastAsia="en-US"/>
        </w:rPr>
        <w:t>Podjetje ima pravočasno in v celoti izpolnjene vse obveznosti do Mestne občine Nova Gorica ter do drugih pravnih oseb, katerih ustanoviteljica je Mestna občina Nova Gorica.</w:t>
      </w:r>
    </w:p>
    <w:p w14:paraId="3D8D2B67" w14:textId="77777777" w:rsidR="009F6CAA" w:rsidRPr="00F67557" w:rsidRDefault="009F6CAA" w:rsidP="007D5B48">
      <w:pPr>
        <w:pStyle w:val="Odstavekseznama"/>
        <w:numPr>
          <w:ilvl w:val="0"/>
          <w:numId w:val="9"/>
        </w:numPr>
        <w:tabs>
          <w:tab w:val="left" w:pos="357"/>
          <w:tab w:val="left" w:pos="709"/>
        </w:tabs>
        <w:spacing w:after="0" w:line="256" w:lineRule="auto"/>
        <w:ind w:left="426" w:right="0" w:hanging="426"/>
        <w:rPr>
          <w:rFonts w:eastAsia="Arial"/>
          <w:szCs w:val="20"/>
          <w:lang w:eastAsia="en-US"/>
        </w:rPr>
      </w:pPr>
      <w:r w:rsidRPr="00F67557">
        <w:rPr>
          <w:rFonts w:eastAsia="Arial"/>
          <w:szCs w:val="20"/>
          <w:lang w:eastAsia="en-US"/>
        </w:rPr>
        <w:t>Podjetje ima  poravnane vse davke  in prispevke.</w:t>
      </w:r>
    </w:p>
    <w:p w14:paraId="6BC6F418" w14:textId="77777777" w:rsidR="009F6CAA" w:rsidRPr="00F67557" w:rsidRDefault="009F6CAA" w:rsidP="007D5B48">
      <w:pPr>
        <w:pStyle w:val="Odstavekseznama"/>
        <w:numPr>
          <w:ilvl w:val="0"/>
          <w:numId w:val="9"/>
        </w:numPr>
        <w:tabs>
          <w:tab w:val="left" w:pos="357"/>
          <w:tab w:val="left" w:pos="709"/>
        </w:tabs>
        <w:spacing w:after="0" w:line="256" w:lineRule="auto"/>
        <w:ind w:left="426" w:right="0" w:hanging="426"/>
        <w:rPr>
          <w:rFonts w:eastAsia="Arial"/>
          <w:szCs w:val="20"/>
          <w:lang w:eastAsia="en-US"/>
        </w:rPr>
      </w:pPr>
      <w:r w:rsidRPr="00F67557">
        <w:rPr>
          <w:rFonts w:eastAsia="Arial"/>
          <w:szCs w:val="20"/>
          <w:lang w:eastAsia="en-US"/>
        </w:rPr>
        <w:t xml:space="preserve">Podjetje ne  krši obveznosti iz socialnega, okolijskega in delovnega prava. </w:t>
      </w:r>
    </w:p>
    <w:p w14:paraId="4A8F2937" w14:textId="77777777" w:rsidR="009F6CAA" w:rsidRDefault="009F6CAA" w:rsidP="007D5B48">
      <w:pPr>
        <w:spacing w:after="160" w:line="256" w:lineRule="auto"/>
        <w:ind w:left="349"/>
        <w:rPr>
          <w:szCs w:val="20"/>
          <w:lang w:eastAsia="en-US"/>
        </w:rPr>
      </w:pPr>
    </w:p>
    <w:p w14:paraId="38CE0DE7" w14:textId="77777777" w:rsidR="00F67557" w:rsidRDefault="00F67557" w:rsidP="007D5B48">
      <w:pPr>
        <w:spacing w:after="160" w:line="256" w:lineRule="auto"/>
        <w:ind w:left="349"/>
        <w:rPr>
          <w:szCs w:val="20"/>
          <w:lang w:eastAsia="en-US"/>
        </w:rPr>
      </w:pPr>
    </w:p>
    <w:p w14:paraId="748A3311" w14:textId="77777777" w:rsidR="00F67557" w:rsidRPr="009F6CAA" w:rsidRDefault="00F67557" w:rsidP="007D5B48">
      <w:pPr>
        <w:spacing w:after="160" w:line="256" w:lineRule="auto"/>
        <w:ind w:left="349"/>
        <w:rPr>
          <w:szCs w:val="20"/>
          <w:lang w:eastAsia="en-US"/>
        </w:rPr>
      </w:pPr>
    </w:p>
    <w:p w14:paraId="712CFD6B" w14:textId="77777777" w:rsidR="009F6CAA" w:rsidRPr="009F6CAA" w:rsidRDefault="009F6CAA" w:rsidP="007D5B48">
      <w:pPr>
        <w:spacing w:after="160" w:line="256" w:lineRule="auto"/>
        <w:ind w:left="-142"/>
        <w:rPr>
          <w:rFonts w:eastAsia="Arial"/>
          <w:b/>
          <w:szCs w:val="20"/>
          <w:lang w:eastAsia="en-US"/>
        </w:rPr>
      </w:pPr>
      <w:r w:rsidRPr="009F6CAA">
        <w:rPr>
          <w:rFonts w:eastAsia="Arial"/>
          <w:b/>
          <w:szCs w:val="20"/>
          <w:lang w:eastAsia="en-US"/>
        </w:rPr>
        <w:t>Ostali pogoji dodeljevanja »de minimis« pomoči v skladu  z uredbo EU Komisije (EU) št. 2023/2831)</w:t>
      </w:r>
    </w:p>
    <w:p w14:paraId="6602D4ED" w14:textId="77777777" w:rsidR="009F6CAA" w:rsidRPr="009F6CAA" w:rsidRDefault="009F6CAA" w:rsidP="007D5B48">
      <w:pPr>
        <w:numPr>
          <w:ilvl w:val="0"/>
          <w:numId w:val="2"/>
        </w:numPr>
        <w:tabs>
          <w:tab w:val="left" w:pos="357"/>
          <w:tab w:val="left" w:pos="680"/>
        </w:tabs>
        <w:spacing w:after="0" w:line="240" w:lineRule="auto"/>
        <w:ind w:left="720" w:right="0"/>
        <w:contextualSpacing/>
        <w:rPr>
          <w:rFonts w:eastAsia="Arial"/>
          <w:szCs w:val="20"/>
          <w:lang w:eastAsia="en-US"/>
        </w:rPr>
      </w:pPr>
      <w:r w:rsidRPr="009F6CAA">
        <w:rPr>
          <w:rFonts w:eastAsia="Arial"/>
          <w:szCs w:val="20"/>
          <w:lang w:eastAsia="en-US"/>
        </w:rPr>
        <w:lastRenderedPageBreak/>
        <w:t>Pri odobritvi pomoči po načelu »de minimis« bo Mestna občina Nova Gorica upoštevala, da:</w:t>
      </w:r>
    </w:p>
    <w:p w14:paraId="15AF6709" w14:textId="77777777" w:rsidR="009F6CAA" w:rsidRPr="009F6CAA" w:rsidRDefault="009F6CAA" w:rsidP="007D5B48">
      <w:pPr>
        <w:numPr>
          <w:ilvl w:val="0"/>
          <w:numId w:val="3"/>
        </w:numPr>
        <w:tabs>
          <w:tab w:val="left" w:pos="357"/>
          <w:tab w:val="left" w:pos="720"/>
        </w:tabs>
        <w:spacing w:after="0" w:line="240" w:lineRule="auto"/>
        <w:ind w:left="1440" w:right="0"/>
        <w:contextualSpacing/>
        <w:rPr>
          <w:rFonts w:eastAsia="Arial"/>
          <w:szCs w:val="20"/>
          <w:lang w:eastAsia="en-US"/>
        </w:rPr>
      </w:pPr>
      <w:r w:rsidRPr="009F6CAA">
        <w:rPr>
          <w:rFonts w:eastAsia="Arial"/>
          <w:szCs w:val="20"/>
          <w:lang w:eastAsia="en-US"/>
        </w:rPr>
        <w:t>pomoč ne bo namenjena izvozu oz. z izvozom povezane dejavnosti v tretje države ali države članice, kot je pomoč neposredno povezana z izvoženimi količinami, z ustanovitvijo in delovanjem distribucijske mreže ali drugimi tekočimi izdatki povezanimi z izvozno dejavnostjo,</w:t>
      </w:r>
    </w:p>
    <w:p w14:paraId="05107D12" w14:textId="77777777" w:rsidR="009F6CAA" w:rsidRPr="009F6CAA" w:rsidRDefault="009F6CAA" w:rsidP="007D5B48">
      <w:pPr>
        <w:numPr>
          <w:ilvl w:val="0"/>
          <w:numId w:val="3"/>
        </w:numPr>
        <w:tabs>
          <w:tab w:val="left" w:pos="357"/>
          <w:tab w:val="left" w:pos="720"/>
        </w:tabs>
        <w:spacing w:after="0" w:line="240" w:lineRule="auto"/>
        <w:ind w:left="1440" w:right="0"/>
        <w:contextualSpacing/>
        <w:rPr>
          <w:rFonts w:eastAsia="Arial"/>
          <w:szCs w:val="20"/>
          <w:lang w:eastAsia="en-US"/>
        </w:rPr>
      </w:pPr>
      <w:r w:rsidRPr="009F6CAA">
        <w:rPr>
          <w:rFonts w:eastAsia="Arial"/>
          <w:szCs w:val="20"/>
          <w:lang w:eastAsia="en-US"/>
        </w:rPr>
        <w:t>pomoči ne bodo pogojene s prednostjo rabe domačega blaga pred rabo uvoženega blaga,</w:t>
      </w:r>
    </w:p>
    <w:p w14:paraId="649AC2E0" w14:textId="77777777" w:rsidR="009F6CAA" w:rsidRPr="009F6CAA" w:rsidRDefault="009F6CAA" w:rsidP="007D5B48">
      <w:pPr>
        <w:numPr>
          <w:ilvl w:val="0"/>
          <w:numId w:val="3"/>
        </w:numPr>
        <w:tabs>
          <w:tab w:val="left" w:pos="357"/>
          <w:tab w:val="left" w:pos="720"/>
        </w:tabs>
        <w:spacing w:after="0" w:line="240" w:lineRule="auto"/>
        <w:ind w:left="1440" w:right="0"/>
        <w:contextualSpacing/>
        <w:rPr>
          <w:rFonts w:eastAsia="Arial"/>
          <w:szCs w:val="20"/>
          <w:lang w:eastAsia="en-US"/>
        </w:rPr>
      </w:pPr>
      <w:r w:rsidRPr="009F6CAA">
        <w:rPr>
          <w:rFonts w:eastAsia="Arial"/>
          <w:szCs w:val="20"/>
          <w:lang w:eastAsia="en-US"/>
        </w:rPr>
        <w:t xml:space="preserve">skupni znesek pomoči, dodeljen enotnemu podjetju ne bo presegel 300.000 EUR v obdobju zadnjih treh proračunskih let, ne glede na obliko ali namen pomoči ter  ne  glede na to, ali se pomoč dodeli iz sredstev države, občine ali Unije. </w:t>
      </w:r>
    </w:p>
    <w:p w14:paraId="2032F314" w14:textId="77777777" w:rsidR="009F6CAA" w:rsidRPr="009F6CAA" w:rsidRDefault="009F6CAA" w:rsidP="007D5B48">
      <w:pPr>
        <w:numPr>
          <w:ilvl w:val="0"/>
          <w:numId w:val="3"/>
        </w:numPr>
        <w:tabs>
          <w:tab w:val="left" w:pos="357"/>
          <w:tab w:val="left" w:pos="709"/>
        </w:tabs>
        <w:spacing w:after="0" w:line="240" w:lineRule="auto"/>
        <w:ind w:left="1440" w:right="0"/>
        <w:contextualSpacing/>
        <w:rPr>
          <w:rFonts w:eastAsia="Arial"/>
          <w:szCs w:val="20"/>
          <w:lang w:eastAsia="en-US"/>
        </w:rPr>
      </w:pPr>
      <w:r w:rsidRPr="009F6CAA">
        <w:rPr>
          <w:rFonts w:eastAsia="Arial"/>
          <w:szCs w:val="20"/>
          <w:lang w:eastAsia="en-US"/>
        </w:rPr>
        <w:t>v skladu z 8. in 9. točko 3. člena Uredbe  2023/2831  se v primeru združitev  ali pripojitev  vsa prejšnja pomoč «de minimis«, dodeljena kateremu koli od podjetij  udeleženih v združitvi upošteva  pri ugotavljanju ali nova pomoč  »de minimis«  za novo ali prevzemno podjetje presega ustrezno zgornjo mejo. Pomoč »de minimis«,  ki je bila zakonito dodeljena pred združitvijo  ali prevzemom, ostane zakonita.</w:t>
      </w:r>
    </w:p>
    <w:p w14:paraId="5DA408BA" w14:textId="77777777" w:rsidR="009F6CAA" w:rsidRPr="009F6CAA" w:rsidRDefault="009F6CAA" w:rsidP="007D5B48">
      <w:pPr>
        <w:numPr>
          <w:ilvl w:val="0"/>
          <w:numId w:val="3"/>
        </w:numPr>
        <w:tabs>
          <w:tab w:val="left" w:pos="357"/>
          <w:tab w:val="left" w:pos="709"/>
        </w:tabs>
        <w:spacing w:after="0" w:line="240" w:lineRule="auto"/>
        <w:ind w:left="1440" w:right="0"/>
        <w:contextualSpacing/>
        <w:rPr>
          <w:rFonts w:eastAsia="Arial"/>
          <w:szCs w:val="20"/>
          <w:lang w:eastAsia="en-US"/>
        </w:rPr>
      </w:pPr>
      <w:r w:rsidRPr="009F6CAA">
        <w:rPr>
          <w:rFonts w:eastAsia="Arial"/>
          <w:szCs w:val="20"/>
          <w:lang w:eastAsia="en-US"/>
        </w:rPr>
        <w:t xml:space="preserve">če se podjetje razdeli na dve ali več  ločenih podjetij, se pomoč »de minimis« dodeljena pred razdelitvijo, dodeli podjetju, ki jo je koristilo, in je to načeloma podjetje, ki prevzame dejavnosti, za  katere  se je pomoč »de minimis«  uporabila. Če taka dodelitev ni mogoča, se pomoč »de minimis« dodeli sorazmerno na podlagi knjigovodske vrednosti lastniškega kapitala novih podjetij na dejanski datum razdelitve,    </w:t>
      </w:r>
    </w:p>
    <w:p w14:paraId="78EFA5D4" w14:textId="77777777" w:rsidR="009F6CAA" w:rsidRPr="009F6CAA" w:rsidRDefault="009F6CAA" w:rsidP="007D5B48">
      <w:pPr>
        <w:numPr>
          <w:ilvl w:val="0"/>
          <w:numId w:val="3"/>
        </w:numPr>
        <w:tabs>
          <w:tab w:val="left" w:pos="357"/>
          <w:tab w:val="left" w:pos="709"/>
        </w:tabs>
        <w:spacing w:after="0" w:line="240" w:lineRule="auto"/>
        <w:ind w:left="1440" w:right="0"/>
        <w:contextualSpacing/>
        <w:rPr>
          <w:rFonts w:eastAsia="Arial"/>
          <w:szCs w:val="20"/>
          <w:lang w:eastAsia="en-US"/>
        </w:rPr>
      </w:pPr>
      <w:r w:rsidRPr="009F6CAA">
        <w:rPr>
          <w:rFonts w:eastAsia="Arial"/>
          <w:szCs w:val="20"/>
          <w:lang w:eastAsia="en-US"/>
        </w:rPr>
        <w:t>pomoč »de minimis« ne kumulira  z državno pomočjo  v zvezi z istimi upravičenimi stroški ali državno pomočjo za isti ukrep za financiranje tveganja, če bi s takšno kumulacijo presegla intenzivnost pomoči ali znesek pomoči,</w:t>
      </w:r>
    </w:p>
    <w:p w14:paraId="1CB9A330" w14:textId="77777777" w:rsidR="009F6CAA" w:rsidRPr="009F6CAA" w:rsidRDefault="009F6CAA" w:rsidP="007D5B48">
      <w:pPr>
        <w:numPr>
          <w:ilvl w:val="0"/>
          <w:numId w:val="3"/>
        </w:numPr>
        <w:tabs>
          <w:tab w:val="left" w:pos="357"/>
          <w:tab w:val="left" w:pos="709"/>
        </w:tabs>
        <w:spacing w:after="0" w:line="240" w:lineRule="auto"/>
        <w:ind w:left="1440" w:right="0"/>
        <w:contextualSpacing/>
        <w:rPr>
          <w:rFonts w:eastAsia="Arial"/>
          <w:szCs w:val="20"/>
          <w:lang w:eastAsia="en-US"/>
        </w:rPr>
      </w:pPr>
      <w:r w:rsidRPr="009F6CAA">
        <w:rPr>
          <w:rFonts w:eastAsia="Arial"/>
          <w:szCs w:val="20"/>
          <w:lang w:eastAsia="en-US"/>
        </w:rPr>
        <w:t>pomoč »de minimis« dodeljena v skladu z Uredbo Komisije(EU) št.2023/2831  lahko kumulira s pomočjo »de minimis«, dodeljeno v skladu z uredbama  Komisije(EU) št.1408/2013  in (EU) ŠT. 717/2014 do ustrezne zgornje meje,  določene v 2.točki 3.člena  Uredbe (EU) 2023/2831.</w:t>
      </w:r>
    </w:p>
    <w:p w14:paraId="18B634F1" w14:textId="77777777" w:rsidR="009F6CAA" w:rsidRPr="009F6CAA" w:rsidRDefault="009F6CAA" w:rsidP="007D5B48">
      <w:pPr>
        <w:numPr>
          <w:ilvl w:val="0"/>
          <w:numId w:val="2"/>
        </w:numPr>
        <w:tabs>
          <w:tab w:val="left" w:pos="357"/>
          <w:tab w:val="left" w:pos="680"/>
          <w:tab w:val="left" w:pos="720"/>
        </w:tabs>
        <w:spacing w:after="0" w:line="240" w:lineRule="auto"/>
        <w:ind w:left="720" w:right="0"/>
        <w:contextualSpacing/>
        <w:rPr>
          <w:rFonts w:eastAsia="Arial"/>
          <w:szCs w:val="20"/>
          <w:lang w:eastAsia="en-US"/>
        </w:rPr>
      </w:pPr>
      <w:r w:rsidRPr="009F6CAA">
        <w:rPr>
          <w:rFonts w:eastAsia="Arial"/>
          <w:szCs w:val="20"/>
          <w:lang w:eastAsia="en-US"/>
        </w:rPr>
        <w:t>Mestna občina Nova Gorica bo pisno obvestila prejemnika pomoči:</w:t>
      </w:r>
    </w:p>
    <w:p w14:paraId="2119C67D" w14:textId="77777777" w:rsidR="009F6CAA" w:rsidRPr="009F6CAA" w:rsidRDefault="009F6CAA" w:rsidP="007D5B48">
      <w:pPr>
        <w:pStyle w:val="Odstavekseznama"/>
        <w:numPr>
          <w:ilvl w:val="0"/>
          <w:numId w:val="4"/>
        </w:numPr>
        <w:tabs>
          <w:tab w:val="left" w:pos="357"/>
          <w:tab w:val="left" w:pos="709"/>
        </w:tabs>
        <w:spacing w:after="0" w:line="240" w:lineRule="auto"/>
        <w:ind w:right="0"/>
        <w:contextualSpacing w:val="0"/>
        <w:rPr>
          <w:rFonts w:eastAsia="Arial"/>
          <w:szCs w:val="20"/>
          <w:lang w:eastAsia="en-US"/>
        </w:rPr>
      </w:pPr>
      <w:r w:rsidRPr="009F6CAA">
        <w:rPr>
          <w:rFonts w:eastAsia="Arial"/>
          <w:szCs w:val="20"/>
          <w:lang w:eastAsia="en-US"/>
        </w:rPr>
        <w:t>da je pomoč dodeljena po pravilu »de minimis« v skladu z Uredbo komisije (EU) št.2023/ 2831 z dne 13. 12. 2023 o uporabi členov 107 in 108 pogodbe o delovanju Evropske Unije pri pomoči »de minimis« (UL L. 2023/2831, 15.12. 2023), o znesku »de minimis« pomoči.</w:t>
      </w:r>
    </w:p>
    <w:p w14:paraId="74E06114" w14:textId="77777777" w:rsidR="009F6CAA" w:rsidRPr="009F6CAA" w:rsidRDefault="009F6CAA" w:rsidP="007D5B48">
      <w:pPr>
        <w:numPr>
          <w:ilvl w:val="0"/>
          <w:numId w:val="2"/>
        </w:numPr>
        <w:tabs>
          <w:tab w:val="left" w:pos="357"/>
          <w:tab w:val="left" w:pos="709"/>
        </w:tabs>
        <w:spacing w:after="160" w:line="240" w:lineRule="auto"/>
        <w:ind w:left="720" w:right="0"/>
        <w:contextualSpacing/>
        <w:rPr>
          <w:rFonts w:eastAsia="Arial"/>
          <w:szCs w:val="20"/>
          <w:lang w:eastAsia="en-US"/>
        </w:rPr>
      </w:pPr>
      <w:r w:rsidRPr="009F6CAA">
        <w:rPr>
          <w:rFonts w:eastAsia="Arial"/>
          <w:szCs w:val="20"/>
          <w:lang w:eastAsia="en-US"/>
        </w:rPr>
        <w:t>Mestna občina Nova Gorica bo hranila evidence  individualnih pomoči »de minimis« 10  let od datuma odobritve pomoči.</w:t>
      </w:r>
    </w:p>
    <w:p w14:paraId="5EF93AE5" w14:textId="77777777" w:rsidR="009F6CAA" w:rsidRPr="009F6CAA" w:rsidRDefault="009F6CAA" w:rsidP="007D5B48">
      <w:pPr>
        <w:spacing w:after="160" w:line="240" w:lineRule="auto"/>
        <w:ind w:left="348"/>
        <w:rPr>
          <w:rFonts w:eastAsia="Calibri"/>
          <w:b/>
          <w:szCs w:val="20"/>
          <w:u w:val="single"/>
          <w:lang w:eastAsia="en-US"/>
        </w:rPr>
      </w:pPr>
    </w:p>
    <w:p w14:paraId="1A553C22" w14:textId="77777777" w:rsidR="009F6CAA" w:rsidRPr="009F6CAA" w:rsidRDefault="009F6CAA" w:rsidP="007D5B48">
      <w:pPr>
        <w:spacing w:line="240" w:lineRule="auto"/>
        <w:ind w:left="0"/>
        <w:rPr>
          <w:b/>
          <w:szCs w:val="20"/>
        </w:rPr>
      </w:pPr>
      <w:r w:rsidRPr="009F6CAA">
        <w:rPr>
          <w:b/>
          <w:bCs w:val="0"/>
          <w:szCs w:val="20"/>
        </w:rPr>
        <w:t xml:space="preserve">VI. POSEBNI POGOJI PRIJAVE NA RAZPIS </w:t>
      </w:r>
    </w:p>
    <w:p w14:paraId="767B6977" w14:textId="77777777" w:rsidR="009F6CAA" w:rsidRPr="009F6CAA" w:rsidRDefault="009F6CAA" w:rsidP="007D5B48">
      <w:pPr>
        <w:spacing w:line="240" w:lineRule="auto"/>
        <w:ind w:left="0"/>
        <w:rPr>
          <w:bCs w:val="0"/>
          <w:color w:val="000000"/>
          <w:szCs w:val="20"/>
        </w:rPr>
      </w:pPr>
      <w:r w:rsidRPr="009F6CAA">
        <w:rPr>
          <w:color w:val="000000"/>
          <w:szCs w:val="20"/>
        </w:rPr>
        <w:t xml:space="preserve">Upravičenci do sofinanciranja  odmerjenega komunalnega prispevka  s pravnomočno odločbo  so podjetja iz V. poglavja  tega razpisa , ki poleg tega izpolnjujejo  še sledeče pogoje: </w:t>
      </w:r>
    </w:p>
    <w:p w14:paraId="7789EA52" w14:textId="77777777" w:rsidR="009F6CAA" w:rsidRPr="009F6CAA" w:rsidRDefault="009F6CAA" w:rsidP="007D5B48">
      <w:pPr>
        <w:spacing w:line="240" w:lineRule="auto"/>
        <w:rPr>
          <w:szCs w:val="20"/>
        </w:rPr>
      </w:pPr>
    </w:p>
    <w:p w14:paraId="00EF41CE" w14:textId="77777777" w:rsidR="009F6CAA" w:rsidRPr="009F6CAA" w:rsidRDefault="009F6CAA" w:rsidP="007D5B48">
      <w:pPr>
        <w:pStyle w:val="Odstavekseznama"/>
        <w:numPr>
          <w:ilvl w:val="0"/>
          <w:numId w:val="4"/>
        </w:numPr>
        <w:spacing w:after="0" w:line="240" w:lineRule="auto"/>
        <w:ind w:right="0"/>
        <w:rPr>
          <w:szCs w:val="20"/>
        </w:rPr>
      </w:pPr>
      <w:r w:rsidRPr="009F6CAA">
        <w:rPr>
          <w:szCs w:val="20"/>
        </w:rPr>
        <w:t xml:space="preserve">ki investirajo v razvoj in razširitev dejavnosti  na geografskem območju , ki je predmet tega razpisa </w:t>
      </w:r>
    </w:p>
    <w:p w14:paraId="75BC329B" w14:textId="77777777" w:rsidR="009F6CAA" w:rsidRPr="009F6CAA" w:rsidRDefault="009F6CAA" w:rsidP="007D5B48">
      <w:pPr>
        <w:pStyle w:val="Odstavekseznama"/>
        <w:numPr>
          <w:ilvl w:val="0"/>
          <w:numId w:val="4"/>
        </w:numPr>
        <w:spacing w:after="0" w:line="240" w:lineRule="auto"/>
        <w:ind w:right="0"/>
        <w:rPr>
          <w:szCs w:val="20"/>
        </w:rPr>
      </w:pPr>
      <w:r w:rsidRPr="009F6CAA">
        <w:rPr>
          <w:szCs w:val="20"/>
        </w:rPr>
        <w:t>upravičenec mora izvajati dejavnost v stavbi, ki stoji na zemljišču/ih, ki  je/so bile predmet sofinanciranja stroškov komunalnega prispevka najmanj 5 let po zaključku investicije</w:t>
      </w:r>
    </w:p>
    <w:p w14:paraId="4FEE5C0B" w14:textId="77777777" w:rsidR="009F6CAA" w:rsidRPr="009F6CAA" w:rsidRDefault="009F6CAA" w:rsidP="007D5B48">
      <w:pPr>
        <w:pStyle w:val="Odstavekseznama"/>
        <w:numPr>
          <w:ilvl w:val="0"/>
          <w:numId w:val="4"/>
        </w:numPr>
        <w:spacing w:after="0" w:line="240" w:lineRule="auto"/>
        <w:ind w:right="0"/>
        <w:rPr>
          <w:szCs w:val="20"/>
        </w:rPr>
      </w:pPr>
      <w:r w:rsidRPr="009F6CAA">
        <w:rPr>
          <w:szCs w:val="20"/>
        </w:rPr>
        <w:t>podjetje  mora imeti zaposleno najmanj  eno osebo za polni delovni čas,</w:t>
      </w:r>
    </w:p>
    <w:p w14:paraId="064E016B" w14:textId="77777777" w:rsidR="009F6CAA" w:rsidRPr="009F6CAA" w:rsidRDefault="009F6CAA" w:rsidP="007D5B48">
      <w:pPr>
        <w:pStyle w:val="Odstavekseznama"/>
        <w:numPr>
          <w:ilvl w:val="0"/>
          <w:numId w:val="4"/>
        </w:numPr>
        <w:spacing w:after="0" w:line="240" w:lineRule="auto"/>
        <w:ind w:right="0"/>
        <w:rPr>
          <w:szCs w:val="20"/>
        </w:rPr>
      </w:pPr>
      <w:r w:rsidRPr="009F6CAA">
        <w:rPr>
          <w:szCs w:val="20"/>
        </w:rPr>
        <w:lastRenderedPageBreak/>
        <w:t>do sredstev je podjetje upravičeno v primeru, da ima pridobljeno pravnomočno gradbeno dovoljenje in v celoti plačan komunalni prispevek odmerjen po pravnomočni odločbi</w:t>
      </w:r>
    </w:p>
    <w:p w14:paraId="79991D2A" w14:textId="77777777" w:rsidR="009F6CAA" w:rsidRPr="009F6CAA" w:rsidRDefault="009F6CAA" w:rsidP="007D5B48">
      <w:pPr>
        <w:spacing w:line="240" w:lineRule="auto"/>
        <w:ind w:left="720"/>
        <w:contextualSpacing/>
        <w:rPr>
          <w:color w:val="ED0000"/>
          <w:szCs w:val="20"/>
        </w:rPr>
      </w:pPr>
    </w:p>
    <w:p w14:paraId="0200D66A" w14:textId="77777777" w:rsidR="009F6CAA" w:rsidRPr="009F6CAA" w:rsidRDefault="009F6CAA" w:rsidP="007D5B48">
      <w:pPr>
        <w:spacing w:line="240" w:lineRule="auto"/>
        <w:ind w:left="-142"/>
        <w:rPr>
          <w:szCs w:val="20"/>
        </w:rPr>
      </w:pPr>
      <w:r w:rsidRPr="009F6CAA">
        <w:rPr>
          <w:szCs w:val="20"/>
        </w:rPr>
        <w:t xml:space="preserve">V primeru dodeljenih sredstev za ukrep sofinanciranja odmerjenega komunalnega prispevka bo moralo podjetje  v kolikor bo v skladu z 1. odstavkom 225.člena Zakona o urejanju prostora (ZureP-2)  (Uradni list Rs, št.16/17 in nasl.) upravičeno  do vračila že plačanega komunalnega prispevka Mestni občini Nova Gorica povrniti  dodeljena finančna sredstva po tem razpisu. Ob vračilu komunalnega prispevka s strani občine bo opravljen pobot v višini dodeljenih sredstev po tem razpisu, vključno z morebitnimi obrestmi. </w:t>
      </w:r>
    </w:p>
    <w:p w14:paraId="752E4140" w14:textId="77777777" w:rsidR="009F6CAA" w:rsidRPr="009F6CAA" w:rsidRDefault="009F6CAA" w:rsidP="007D5B48">
      <w:pPr>
        <w:spacing w:line="240" w:lineRule="auto"/>
        <w:ind w:left="-142"/>
        <w:contextualSpacing/>
        <w:rPr>
          <w:color w:val="000000"/>
          <w:szCs w:val="20"/>
        </w:rPr>
      </w:pPr>
    </w:p>
    <w:p w14:paraId="0A8A1C8E" w14:textId="77777777" w:rsidR="009F6CAA" w:rsidRPr="009F6CAA" w:rsidRDefault="009F6CAA" w:rsidP="007D5B48">
      <w:pPr>
        <w:spacing w:line="240" w:lineRule="auto"/>
        <w:ind w:left="-142"/>
        <w:rPr>
          <w:rFonts w:eastAsia="Arial" w:cs="Times New Roman"/>
          <w:szCs w:val="20"/>
        </w:rPr>
      </w:pPr>
      <w:r w:rsidRPr="009F6CAA">
        <w:rPr>
          <w:rFonts w:eastAsia="Arial"/>
          <w:szCs w:val="20"/>
        </w:rPr>
        <w:t>Do sredstev v okviru tega  razpisa niso upravičena podjetja, ki investirajo v objekt ali kupujejo zemljišče z namenom gradnje objekta, ki  po  enotni klasifikaciji vrst objektov (CC-SI) skladno z  veljavno Uredbo o razvrščanju objektov spada v  :</w:t>
      </w:r>
    </w:p>
    <w:p w14:paraId="6F763825" w14:textId="77777777" w:rsidR="009F6CAA" w:rsidRPr="009F6CAA" w:rsidRDefault="009F6CAA" w:rsidP="007D5B48">
      <w:pPr>
        <w:pStyle w:val="Odstavekseznama"/>
        <w:numPr>
          <w:ilvl w:val="0"/>
          <w:numId w:val="5"/>
        </w:numPr>
        <w:tabs>
          <w:tab w:val="left" w:pos="357"/>
          <w:tab w:val="left" w:pos="720"/>
        </w:tabs>
        <w:spacing w:after="0" w:line="240" w:lineRule="auto"/>
        <w:ind w:right="0"/>
        <w:contextualSpacing w:val="0"/>
        <w:rPr>
          <w:rFonts w:eastAsia="Arial"/>
          <w:szCs w:val="20"/>
        </w:rPr>
      </w:pPr>
      <w:r w:rsidRPr="009F6CAA">
        <w:rPr>
          <w:rFonts w:eastAsia="Arial"/>
          <w:szCs w:val="20"/>
        </w:rPr>
        <w:t xml:space="preserve">oddelek  Stanovanjske stavbe – 11,  </w:t>
      </w:r>
    </w:p>
    <w:p w14:paraId="2554C500" w14:textId="77777777" w:rsidR="009F6CAA" w:rsidRPr="009F6CAA" w:rsidRDefault="009F6CAA" w:rsidP="007D5B48">
      <w:pPr>
        <w:pStyle w:val="Odstavekseznama"/>
        <w:numPr>
          <w:ilvl w:val="0"/>
          <w:numId w:val="5"/>
        </w:numPr>
        <w:tabs>
          <w:tab w:val="left" w:pos="357"/>
          <w:tab w:val="left" w:pos="720"/>
        </w:tabs>
        <w:spacing w:after="0" w:line="240" w:lineRule="auto"/>
        <w:ind w:right="0"/>
        <w:contextualSpacing w:val="0"/>
        <w:rPr>
          <w:rFonts w:eastAsia="Arial"/>
          <w:szCs w:val="20"/>
        </w:rPr>
      </w:pPr>
      <w:r w:rsidRPr="009F6CAA">
        <w:rPr>
          <w:rFonts w:eastAsia="Arial"/>
          <w:szCs w:val="20"/>
        </w:rPr>
        <w:t>v skupino  Stavbe za promet in stavbe za izvajanje komunikacij – 124</w:t>
      </w:r>
    </w:p>
    <w:p w14:paraId="401657A8" w14:textId="77777777" w:rsidR="009F6CAA" w:rsidRPr="009F6CAA" w:rsidRDefault="009F6CAA" w:rsidP="007D5B48">
      <w:pPr>
        <w:pStyle w:val="Odstavekseznama"/>
        <w:numPr>
          <w:ilvl w:val="0"/>
          <w:numId w:val="5"/>
        </w:numPr>
        <w:tabs>
          <w:tab w:val="left" w:pos="357"/>
          <w:tab w:val="left" w:pos="720"/>
        </w:tabs>
        <w:spacing w:after="0" w:line="240" w:lineRule="auto"/>
        <w:ind w:right="0"/>
        <w:contextualSpacing w:val="0"/>
        <w:rPr>
          <w:rFonts w:eastAsia="Arial"/>
          <w:szCs w:val="20"/>
        </w:rPr>
      </w:pPr>
      <w:r w:rsidRPr="009F6CAA">
        <w:rPr>
          <w:rFonts w:eastAsia="Arial"/>
          <w:szCs w:val="20"/>
        </w:rPr>
        <w:t>v skupino  Stavbe splošnega družbenega pomena – 126</w:t>
      </w:r>
    </w:p>
    <w:p w14:paraId="342DACE3" w14:textId="77777777" w:rsidR="009F6CAA" w:rsidRPr="009F6CAA" w:rsidRDefault="009F6CAA" w:rsidP="007D5B48">
      <w:pPr>
        <w:pStyle w:val="Odstavekseznama"/>
        <w:numPr>
          <w:ilvl w:val="0"/>
          <w:numId w:val="5"/>
        </w:numPr>
        <w:tabs>
          <w:tab w:val="left" w:pos="357"/>
          <w:tab w:val="left" w:pos="720"/>
        </w:tabs>
        <w:spacing w:after="0" w:line="240" w:lineRule="auto"/>
        <w:ind w:right="0"/>
        <w:contextualSpacing w:val="0"/>
        <w:rPr>
          <w:rFonts w:eastAsia="Arial"/>
          <w:szCs w:val="20"/>
        </w:rPr>
      </w:pPr>
      <w:r w:rsidRPr="009F6CAA">
        <w:rPr>
          <w:rFonts w:eastAsia="Arial"/>
          <w:szCs w:val="20"/>
        </w:rPr>
        <w:t>v razred Obredne stavbe – 1272</w:t>
      </w:r>
    </w:p>
    <w:p w14:paraId="574E46AC" w14:textId="77777777" w:rsidR="009F6CAA" w:rsidRPr="009F6CAA" w:rsidRDefault="009F6CAA" w:rsidP="007D5B48">
      <w:pPr>
        <w:pStyle w:val="Odstavekseznama"/>
        <w:numPr>
          <w:ilvl w:val="0"/>
          <w:numId w:val="5"/>
        </w:numPr>
        <w:tabs>
          <w:tab w:val="left" w:pos="357"/>
          <w:tab w:val="left" w:pos="720"/>
        </w:tabs>
        <w:spacing w:after="0" w:line="240" w:lineRule="auto"/>
        <w:ind w:right="0"/>
        <w:contextualSpacing w:val="0"/>
        <w:rPr>
          <w:rFonts w:eastAsia="Arial"/>
          <w:szCs w:val="20"/>
        </w:rPr>
      </w:pPr>
      <w:r w:rsidRPr="009F6CAA">
        <w:rPr>
          <w:rFonts w:eastAsia="Arial"/>
          <w:szCs w:val="20"/>
        </w:rPr>
        <w:t>v razred Kulturna dediščina, ki se ne uporablja za druge namene  - 1273</w:t>
      </w:r>
    </w:p>
    <w:p w14:paraId="70FA15E3" w14:textId="77777777" w:rsidR="009F6CAA" w:rsidRPr="009F6CAA" w:rsidRDefault="009F6CAA" w:rsidP="007D5B48">
      <w:pPr>
        <w:pStyle w:val="Odstavekseznama"/>
        <w:numPr>
          <w:ilvl w:val="0"/>
          <w:numId w:val="5"/>
        </w:numPr>
        <w:tabs>
          <w:tab w:val="left" w:pos="357"/>
          <w:tab w:val="left" w:pos="720"/>
        </w:tabs>
        <w:spacing w:after="0" w:line="240" w:lineRule="auto"/>
        <w:ind w:right="0"/>
        <w:contextualSpacing w:val="0"/>
        <w:rPr>
          <w:rFonts w:eastAsia="Arial"/>
          <w:szCs w:val="20"/>
        </w:rPr>
      </w:pPr>
      <w:r w:rsidRPr="009F6CAA">
        <w:rPr>
          <w:rFonts w:eastAsia="Arial"/>
          <w:szCs w:val="20"/>
        </w:rPr>
        <w:t>v razred  Druge stavbe, ki niso uvrščene drugje  -1274</w:t>
      </w:r>
    </w:p>
    <w:p w14:paraId="4526AAC3" w14:textId="77777777" w:rsidR="009F6CAA" w:rsidRPr="009F6CAA" w:rsidRDefault="009F6CAA" w:rsidP="007D5B48">
      <w:pPr>
        <w:pStyle w:val="Odstavekseznama"/>
        <w:numPr>
          <w:ilvl w:val="0"/>
          <w:numId w:val="5"/>
        </w:numPr>
        <w:tabs>
          <w:tab w:val="left" w:pos="357"/>
          <w:tab w:val="left" w:pos="720"/>
        </w:tabs>
        <w:spacing w:after="0" w:line="240" w:lineRule="auto"/>
        <w:ind w:right="0"/>
        <w:contextualSpacing w:val="0"/>
        <w:rPr>
          <w:rFonts w:eastAsia="Arial"/>
          <w:szCs w:val="20"/>
        </w:rPr>
      </w:pPr>
      <w:r w:rsidRPr="009F6CAA">
        <w:rPr>
          <w:rFonts w:eastAsia="Arial"/>
          <w:szCs w:val="20"/>
        </w:rPr>
        <w:t>v podrazred  stavbe javne uprave -12201</w:t>
      </w:r>
    </w:p>
    <w:p w14:paraId="7771DA12" w14:textId="77777777" w:rsidR="009F6CAA" w:rsidRPr="009F6CAA" w:rsidRDefault="009F6CAA" w:rsidP="007D5B48">
      <w:pPr>
        <w:pStyle w:val="Odstavekseznama"/>
        <w:numPr>
          <w:ilvl w:val="0"/>
          <w:numId w:val="5"/>
        </w:numPr>
        <w:tabs>
          <w:tab w:val="left" w:pos="357"/>
          <w:tab w:val="left" w:pos="720"/>
        </w:tabs>
        <w:spacing w:after="0" w:line="240" w:lineRule="auto"/>
        <w:ind w:right="0"/>
        <w:contextualSpacing w:val="0"/>
        <w:rPr>
          <w:rFonts w:eastAsia="Arial"/>
          <w:szCs w:val="20"/>
        </w:rPr>
      </w:pPr>
      <w:r w:rsidRPr="009F6CAA">
        <w:rPr>
          <w:rFonts w:eastAsia="Arial"/>
          <w:szCs w:val="20"/>
        </w:rPr>
        <w:t>v podrazred stavbe bank, pošt, zavarovalnic – 12202</w:t>
      </w:r>
    </w:p>
    <w:p w14:paraId="65C7DF92" w14:textId="77777777" w:rsidR="009F6CAA" w:rsidRPr="009F6CAA" w:rsidRDefault="009F6CAA" w:rsidP="007D5B48">
      <w:pPr>
        <w:pStyle w:val="Odstavekseznama"/>
        <w:numPr>
          <w:ilvl w:val="0"/>
          <w:numId w:val="5"/>
        </w:numPr>
        <w:tabs>
          <w:tab w:val="left" w:pos="357"/>
          <w:tab w:val="left" w:pos="720"/>
        </w:tabs>
        <w:spacing w:after="0" w:line="240" w:lineRule="auto"/>
        <w:ind w:right="0"/>
        <w:contextualSpacing w:val="0"/>
        <w:rPr>
          <w:rFonts w:eastAsia="Arial"/>
          <w:szCs w:val="20"/>
        </w:rPr>
      </w:pPr>
      <w:r w:rsidRPr="009F6CAA">
        <w:rPr>
          <w:rFonts w:eastAsia="Arial"/>
          <w:szCs w:val="20"/>
        </w:rPr>
        <w:t xml:space="preserve">v podrazred Trgovske stavbe – 12301   </w:t>
      </w:r>
    </w:p>
    <w:p w14:paraId="3FD8C7C5" w14:textId="77777777" w:rsidR="009F6CAA" w:rsidRPr="009F6CAA" w:rsidRDefault="009F6CAA" w:rsidP="007D5B48">
      <w:pPr>
        <w:tabs>
          <w:tab w:val="left" w:pos="357"/>
          <w:tab w:val="left" w:pos="720"/>
        </w:tabs>
        <w:spacing w:line="240" w:lineRule="auto"/>
        <w:ind w:left="1422"/>
        <w:rPr>
          <w:rFonts w:eastAsia="Arial"/>
          <w:szCs w:val="20"/>
        </w:rPr>
      </w:pPr>
    </w:p>
    <w:p w14:paraId="7A74A156" w14:textId="77777777" w:rsidR="009F6CAA" w:rsidRPr="009F6CAA" w:rsidRDefault="009F6CAA" w:rsidP="007D5B48">
      <w:pPr>
        <w:spacing w:line="240" w:lineRule="auto"/>
        <w:ind w:left="0"/>
        <w:rPr>
          <w:rFonts w:eastAsia="Arial"/>
          <w:szCs w:val="20"/>
        </w:rPr>
      </w:pPr>
      <w:r w:rsidRPr="009F6CAA">
        <w:rPr>
          <w:rFonts w:eastAsia="Arial"/>
          <w:szCs w:val="20"/>
        </w:rPr>
        <w:t>Do sredstev v okviru tega ukrepa  tudi  niso upravičena podjetja, ki investirajo v objekt ali kupujejo zemljišče z namenom gradnje objekta, ki se po  enotni klasifikaciji vrst objektov (CC-SI) skladno z  veljavno Uredbo o razvrščanju objektov spada v  področje: Gradbeni inženirski objekti – 2 razen za:</w:t>
      </w:r>
    </w:p>
    <w:p w14:paraId="675E5919" w14:textId="77777777" w:rsidR="009F6CAA" w:rsidRPr="009F6CAA" w:rsidRDefault="009F6CAA" w:rsidP="007D5B48">
      <w:pPr>
        <w:pStyle w:val="Odstavekseznama"/>
        <w:numPr>
          <w:ilvl w:val="0"/>
          <w:numId w:val="6"/>
        </w:numPr>
        <w:tabs>
          <w:tab w:val="left" w:pos="357"/>
          <w:tab w:val="left" w:pos="720"/>
        </w:tabs>
        <w:spacing w:after="0" w:line="240" w:lineRule="auto"/>
        <w:ind w:right="0"/>
        <w:contextualSpacing w:val="0"/>
        <w:rPr>
          <w:rFonts w:eastAsia="Arial"/>
          <w:szCs w:val="20"/>
        </w:rPr>
      </w:pPr>
      <w:r w:rsidRPr="009F6CAA">
        <w:rPr>
          <w:rFonts w:eastAsia="Arial"/>
          <w:szCs w:val="20"/>
        </w:rPr>
        <w:t>skupino Industrijski kompleksi – 230</w:t>
      </w:r>
    </w:p>
    <w:p w14:paraId="298D13D6" w14:textId="77777777" w:rsidR="009F6CAA" w:rsidRPr="009F6CAA" w:rsidRDefault="009F6CAA" w:rsidP="007D5B48">
      <w:pPr>
        <w:pStyle w:val="Odstavekseznama"/>
        <w:numPr>
          <w:ilvl w:val="0"/>
          <w:numId w:val="6"/>
        </w:numPr>
        <w:tabs>
          <w:tab w:val="left" w:pos="357"/>
          <w:tab w:val="left" w:pos="720"/>
        </w:tabs>
        <w:spacing w:after="0" w:line="240" w:lineRule="auto"/>
        <w:ind w:right="0"/>
        <w:contextualSpacing w:val="0"/>
        <w:rPr>
          <w:rFonts w:eastAsia="Arial"/>
          <w:szCs w:val="20"/>
        </w:rPr>
      </w:pPr>
      <w:r w:rsidRPr="009F6CAA">
        <w:rPr>
          <w:rFonts w:eastAsia="Arial"/>
          <w:szCs w:val="20"/>
        </w:rPr>
        <w:t xml:space="preserve">skupino Drugi objekti za šport, rekreacijo in prosti čas – 2412 </w:t>
      </w:r>
    </w:p>
    <w:p w14:paraId="243EC6F8" w14:textId="77777777" w:rsidR="009F6CAA" w:rsidRPr="009F6CAA" w:rsidRDefault="009F6CAA" w:rsidP="007D5B48">
      <w:pPr>
        <w:pStyle w:val="Odstavekseznama"/>
        <w:numPr>
          <w:ilvl w:val="0"/>
          <w:numId w:val="6"/>
        </w:numPr>
        <w:tabs>
          <w:tab w:val="left" w:pos="357"/>
          <w:tab w:val="left" w:pos="720"/>
        </w:tabs>
        <w:spacing w:after="0" w:line="240" w:lineRule="auto"/>
        <w:ind w:right="0"/>
        <w:contextualSpacing w:val="0"/>
        <w:rPr>
          <w:rFonts w:eastAsia="Arial"/>
          <w:szCs w:val="20"/>
        </w:rPr>
      </w:pPr>
      <w:r w:rsidRPr="009F6CAA">
        <w:rPr>
          <w:rFonts w:eastAsia="Arial"/>
          <w:szCs w:val="20"/>
        </w:rPr>
        <w:t xml:space="preserve">podrazred Drugi kmetijski gradbeni in inženirski objekti – 24202 </w:t>
      </w:r>
    </w:p>
    <w:p w14:paraId="1763E3D9" w14:textId="77777777" w:rsidR="009F6CAA" w:rsidRPr="009F6CAA" w:rsidRDefault="009F6CAA" w:rsidP="007D5B48">
      <w:pPr>
        <w:spacing w:line="240" w:lineRule="auto"/>
        <w:ind w:left="1776"/>
        <w:rPr>
          <w:rFonts w:eastAsia="Arial"/>
          <w:szCs w:val="20"/>
        </w:rPr>
      </w:pPr>
    </w:p>
    <w:p w14:paraId="6E28C7CF" w14:textId="77777777" w:rsidR="009F6CAA" w:rsidRPr="009F6CAA" w:rsidRDefault="009F6CAA" w:rsidP="007D5B48">
      <w:pPr>
        <w:spacing w:after="120" w:line="240" w:lineRule="auto"/>
        <w:ind w:left="0"/>
        <w:rPr>
          <w:color w:val="000000"/>
          <w:szCs w:val="20"/>
        </w:rPr>
      </w:pPr>
      <w:r w:rsidRPr="009F6CAA">
        <w:rPr>
          <w:rFonts w:eastAsia="Arial"/>
          <w:bCs w:val="0"/>
          <w:szCs w:val="20"/>
        </w:rPr>
        <w:t>V</w:t>
      </w:r>
      <w:r w:rsidRPr="009F6CAA">
        <w:rPr>
          <w:rFonts w:eastAsia="Arial"/>
          <w:b/>
          <w:szCs w:val="20"/>
        </w:rPr>
        <w:t xml:space="preserve"> </w:t>
      </w:r>
      <w:r w:rsidRPr="009F6CAA">
        <w:rPr>
          <w:color w:val="000000"/>
          <w:szCs w:val="20"/>
        </w:rPr>
        <w:t>primeru odobrene vloge na javni razpis bosta podjetje in Mestna občina Nova Gorica podpisala  pogodbo v kateri bosta podrobno opredelila pogoje, pravice in obveznosti  V primeru da podjetje :</w:t>
      </w:r>
    </w:p>
    <w:p w14:paraId="2D863115" w14:textId="77777777" w:rsidR="009F6CAA" w:rsidRPr="009F6CAA" w:rsidRDefault="009F6CAA" w:rsidP="007D5B48">
      <w:pPr>
        <w:pStyle w:val="Odstavekseznama"/>
        <w:numPr>
          <w:ilvl w:val="0"/>
          <w:numId w:val="7"/>
        </w:numPr>
        <w:spacing w:after="120" w:line="240" w:lineRule="auto"/>
        <w:ind w:right="0"/>
        <w:rPr>
          <w:szCs w:val="20"/>
        </w:rPr>
      </w:pPr>
      <w:r w:rsidRPr="009F6CAA">
        <w:rPr>
          <w:szCs w:val="20"/>
        </w:rPr>
        <w:t xml:space="preserve">ne zgradi ali ne zgradi objekta v skladu s projektno dokumentacijo, na podlagi katere mu je bilo sofinancirano plačilo komunalnega prispevka  </w:t>
      </w:r>
    </w:p>
    <w:p w14:paraId="1015C73A" w14:textId="77777777" w:rsidR="009F6CAA" w:rsidRPr="009F6CAA" w:rsidRDefault="009F6CAA" w:rsidP="007D5B48">
      <w:pPr>
        <w:spacing w:line="240" w:lineRule="auto"/>
        <w:ind w:left="0"/>
        <w:contextualSpacing/>
        <w:rPr>
          <w:szCs w:val="20"/>
        </w:rPr>
      </w:pPr>
      <w:r w:rsidRPr="009F6CAA">
        <w:rPr>
          <w:szCs w:val="20"/>
        </w:rPr>
        <w:t xml:space="preserve">mora v roku 30 dni od poziva Mestne občine Nova Gorica vrniti   dodeljeno de minimis pomoč po revalorizacijski vrednosti  od dneva sklenitve pogodbe do dneva plačila skupaj z zamudnimi obrestmi.  Poleg tega ne sme sodelovati v naslednjih razpisih Mestne občine Nova Gorica. </w:t>
      </w:r>
    </w:p>
    <w:p w14:paraId="2E88B252" w14:textId="77777777" w:rsidR="009F6CAA" w:rsidRPr="009F6CAA" w:rsidRDefault="009F6CAA" w:rsidP="007D5B48">
      <w:pPr>
        <w:rPr>
          <w:szCs w:val="20"/>
        </w:rPr>
      </w:pPr>
    </w:p>
    <w:p w14:paraId="2CF631C4" w14:textId="77777777" w:rsidR="00534D33" w:rsidRDefault="00534D33" w:rsidP="007D5B48">
      <w:pPr>
        <w:pStyle w:val="Telobesedila"/>
        <w:jc w:val="left"/>
        <w:rPr>
          <w:rFonts w:ascii="Verdana" w:hAnsi="Verdana" w:cs="Arial"/>
          <w:b/>
          <w:sz w:val="20"/>
        </w:rPr>
      </w:pPr>
    </w:p>
    <w:p w14:paraId="771776CD" w14:textId="77777777" w:rsidR="00EA4357" w:rsidRDefault="00EA4357" w:rsidP="007D5B48">
      <w:pPr>
        <w:pStyle w:val="Telobesedila"/>
        <w:jc w:val="left"/>
        <w:rPr>
          <w:rFonts w:ascii="Verdana" w:hAnsi="Verdana" w:cs="Arial"/>
          <w:b/>
          <w:sz w:val="20"/>
        </w:rPr>
      </w:pPr>
    </w:p>
    <w:p w14:paraId="4D2DBABF" w14:textId="256A38F3" w:rsidR="009F6CAA" w:rsidRPr="009F6CAA" w:rsidRDefault="009F6CAA" w:rsidP="007D5B48">
      <w:pPr>
        <w:pStyle w:val="Telobesedila"/>
        <w:jc w:val="left"/>
        <w:rPr>
          <w:rFonts w:ascii="Verdana" w:hAnsi="Verdana" w:cs="Arial"/>
          <w:b/>
          <w:sz w:val="20"/>
        </w:rPr>
      </w:pPr>
      <w:r w:rsidRPr="009F6CAA">
        <w:rPr>
          <w:rFonts w:ascii="Verdana" w:hAnsi="Verdana" w:cs="Arial"/>
          <w:b/>
          <w:sz w:val="20"/>
        </w:rPr>
        <w:t>VII. UPRAVIČENI STROŠKI</w:t>
      </w:r>
    </w:p>
    <w:p w14:paraId="6E620BBF" w14:textId="77777777" w:rsidR="009F6CAA" w:rsidRPr="009F6CAA" w:rsidRDefault="009F6CAA" w:rsidP="007D5B48">
      <w:pPr>
        <w:pStyle w:val="Telobesedila"/>
        <w:ind w:left="708"/>
        <w:jc w:val="left"/>
        <w:rPr>
          <w:rFonts w:ascii="Verdana" w:hAnsi="Verdana" w:cs="Arial"/>
          <w:color w:val="FF0000"/>
          <w:sz w:val="20"/>
        </w:rPr>
      </w:pPr>
    </w:p>
    <w:p w14:paraId="4269A0D6" w14:textId="77777777" w:rsidR="009F6CAA" w:rsidRPr="009F6CAA" w:rsidRDefault="009F6CAA" w:rsidP="007D5B48">
      <w:pPr>
        <w:pStyle w:val="Telobesedila"/>
        <w:jc w:val="left"/>
        <w:rPr>
          <w:rFonts w:ascii="Verdana" w:hAnsi="Verdana" w:cs="Arial"/>
          <w:sz w:val="20"/>
        </w:rPr>
      </w:pPr>
      <w:r w:rsidRPr="009F6CAA">
        <w:rPr>
          <w:rFonts w:ascii="Verdana" w:hAnsi="Verdana" w:cs="Arial"/>
          <w:sz w:val="20"/>
        </w:rPr>
        <w:t xml:space="preserve">Upravičen strošek za katerega se dodeli de </w:t>
      </w:r>
      <w:proofErr w:type="spellStart"/>
      <w:r w:rsidRPr="009F6CAA">
        <w:rPr>
          <w:rFonts w:ascii="Verdana" w:hAnsi="Verdana" w:cs="Arial"/>
          <w:sz w:val="20"/>
        </w:rPr>
        <w:t>minimis</w:t>
      </w:r>
      <w:proofErr w:type="spellEnd"/>
      <w:r w:rsidRPr="009F6CAA">
        <w:rPr>
          <w:rFonts w:ascii="Verdana" w:hAnsi="Verdana" w:cs="Arial"/>
          <w:sz w:val="20"/>
        </w:rPr>
        <w:t xml:space="preserve"> pomoč je:</w:t>
      </w:r>
    </w:p>
    <w:p w14:paraId="694C14B8" w14:textId="77777777" w:rsidR="009F6CAA" w:rsidRPr="009F6CAA" w:rsidRDefault="009F6CAA" w:rsidP="007D5B48">
      <w:pPr>
        <w:pStyle w:val="Telobesedila"/>
        <w:numPr>
          <w:ilvl w:val="0"/>
          <w:numId w:val="8"/>
        </w:numPr>
        <w:jc w:val="left"/>
        <w:rPr>
          <w:rFonts w:ascii="Verdana" w:hAnsi="Verdana" w:cs="Arial"/>
          <w:sz w:val="20"/>
        </w:rPr>
      </w:pPr>
      <w:r w:rsidRPr="009F6CAA">
        <w:rPr>
          <w:rFonts w:ascii="Verdana" w:hAnsi="Verdana" w:cs="Arial"/>
          <w:sz w:val="20"/>
        </w:rPr>
        <w:t xml:space="preserve"> strošek    komunalnega  prispevka  odmerjenega s pravnomočno odločbo </w:t>
      </w:r>
    </w:p>
    <w:p w14:paraId="26C3D506" w14:textId="77777777" w:rsidR="009F6CAA" w:rsidRPr="009F6CAA" w:rsidRDefault="009F6CAA" w:rsidP="007D5B48">
      <w:pPr>
        <w:pStyle w:val="Telobesedila-zamik2"/>
        <w:ind w:left="0"/>
        <w:jc w:val="left"/>
        <w:rPr>
          <w:rFonts w:ascii="Verdana" w:hAnsi="Verdana" w:cs="Arial"/>
          <w:b/>
          <w:sz w:val="20"/>
        </w:rPr>
      </w:pPr>
    </w:p>
    <w:p w14:paraId="41D01C86" w14:textId="77777777" w:rsidR="009F6CAA" w:rsidRPr="009F6CAA" w:rsidRDefault="009F6CAA" w:rsidP="007D5B48">
      <w:pPr>
        <w:pStyle w:val="Telobesedila-zamik2"/>
        <w:ind w:left="0"/>
        <w:jc w:val="left"/>
        <w:rPr>
          <w:rFonts w:ascii="Verdana" w:hAnsi="Verdana" w:cs="Arial"/>
          <w:b/>
          <w:sz w:val="20"/>
        </w:rPr>
      </w:pPr>
    </w:p>
    <w:p w14:paraId="67E3163F" w14:textId="77777777" w:rsidR="009F6CAA" w:rsidRPr="009F6CAA" w:rsidRDefault="009F6CAA" w:rsidP="007D5B48">
      <w:pPr>
        <w:pStyle w:val="Telobesedila-zamik2"/>
        <w:ind w:left="0"/>
        <w:jc w:val="left"/>
        <w:rPr>
          <w:rFonts w:ascii="Verdana" w:hAnsi="Verdana" w:cs="Arial"/>
          <w:b/>
          <w:bCs/>
          <w:sz w:val="20"/>
        </w:rPr>
      </w:pPr>
      <w:r w:rsidRPr="009F6CAA">
        <w:rPr>
          <w:rFonts w:ascii="Verdana" w:hAnsi="Verdana" w:cs="Arial"/>
          <w:b/>
          <w:sz w:val="20"/>
        </w:rPr>
        <w:t xml:space="preserve">IX. </w:t>
      </w:r>
      <w:r w:rsidRPr="009F6CAA">
        <w:rPr>
          <w:rFonts w:ascii="Verdana" w:hAnsi="Verdana" w:cs="Arial"/>
          <w:b/>
          <w:bCs/>
          <w:sz w:val="20"/>
        </w:rPr>
        <w:t>VIŠINA ODOBRENIH SREDSTEV:</w:t>
      </w:r>
    </w:p>
    <w:p w14:paraId="0DD9595D" w14:textId="77777777" w:rsidR="009F6CAA" w:rsidRPr="009F6CAA" w:rsidRDefault="009F6CAA" w:rsidP="007D5B48">
      <w:pPr>
        <w:pStyle w:val="Telobesedila-zamik2"/>
        <w:ind w:left="0"/>
        <w:jc w:val="left"/>
        <w:rPr>
          <w:rFonts w:ascii="Verdana" w:hAnsi="Verdana" w:cs="Arial"/>
          <w:b/>
          <w:bCs/>
          <w:sz w:val="20"/>
        </w:rPr>
      </w:pPr>
    </w:p>
    <w:p w14:paraId="6645FC88" w14:textId="77777777" w:rsidR="009F6CAA" w:rsidRPr="002910D5" w:rsidRDefault="009F6CAA" w:rsidP="007D5B48">
      <w:pPr>
        <w:pStyle w:val="Naslov3"/>
        <w:ind w:left="0"/>
        <w:rPr>
          <w:rFonts w:cs="Arial"/>
          <w:bCs w:val="0"/>
          <w:color w:val="auto"/>
          <w:sz w:val="20"/>
          <w:szCs w:val="20"/>
        </w:rPr>
      </w:pPr>
      <w:r w:rsidRPr="002910D5">
        <w:rPr>
          <w:rFonts w:cs="Arial"/>
          <w:bCs w:val="0"/>
          <w:color w:val="auto"/>
          <w:sz w:val="20"/>
          <w:szCs w:val="20"/>
        </w:rPr>
        <w:t xml:space="preserve">Višina sredstev, ki se dodeli posameznemu upravičencu, se določi na podlagi določb iz odloka in tega  javnega razpisa, rezultatov ocenjevanja vseh vlog, višine zaprošenih sredstev s strani upravičenca ter višine razpoložljivih razpisanih    proračunskih sredstev. </w:t>
      </w:r>
    </w:p>
    <w:p w14:paraId="61B8843F" w14:textId="77777777" w:rsidR="009F6CAA" w:rsidRPr="009F6CAA" w:rsidRDefault="009F6CAA" w:rsidP="007D5B48">
      <w:pPr>
        <w:tabs>
          <w:tab w:val="left" w:pos="357"/>
          <w:tab w:val="left" w:pos="709"/>
        </w:tabs>
        <w:ind w:hanging="709"/>
        <w:rPr>
          <w:rFonts w:eastAsia="Arial"/>
          <w:szCs w:val="20"/>
        </w:rPr>
      </w:pPr>
      <w:r w:rsidRPr="009F6CAA">
        <w:rPr>
          <w:rFonts w:eastAsia="Arial"/>
          <w:szCs w:val="20"/>
        </w:rPr>
        <w:t>Višina sofinanciranja upravičenih stroškov:</w:t>
      </w:r>
    </w:p>
    <w:p w14:paraId="7EB64877" w14:textId="77777777" w:rsidR="009F6CAA" w:rsidRPr="009F6CAA" w:rsidRDefault="009F6CAA" w:rsidP="007D5B48">
      <w:pPr>
        <w:pStyle w:val="Telobesedila"/>
        <w:numPr>
          <w:ilvl w:val="0"/>
          <w:numId w:val="8"/>
        </w:numPr>
        <w:tabs>
          <w:tab w:val="left" w:pos="709"/>
        </w:tabs>
        <w:ind w:hanging="294"/>
        <w:jc w:val="left"/>
        <w:rPr>
          <w:rFonts w:ascii="Verdana" w:hAnsi="Verdana" w:cs="Arial"/>
          <w:b/>
          <w:bCs/>
          <w:sz w:val="20"/>
        </w:rPr>
      </w:pPr>
      <w:r w:rsidRPr="009F6CAA">
        <w:rPr>
          <w:rFonts w:ascii="Verdana" w:eastAsia="Arial" w:hAnsi="Verdana"/>
          <w:sz w:val="20"/>
        </w:rPr>
        <w:t xml:space="preserve">do višine 50%  vrednosti komunalnega prispevka odmerjenega s pravnomočno odločbo  </w:t>
      </w:r>
    </w:p>
    <w:p w14:paraId="3206E66E" w14:textId="77777777" w:rsidR="009F6CAA" w:rsidRPr="009F6CAA" w:rsidRDefault="009F6CAA" w:rsidP="007D5B48">
      <w:pPr>
        <w:pStyle w:val="Telobesedila"/>
        <w:tabs>
          <w:tab w:val="left" w:pos="709"/>
        </w:tabs>
        <w:ind w:left="360"/>
        <w:jc w:val="left"/>
        <w:rPr>
          <w:rFonts w:ascii="Verdana" w:hAnsi="Verdana" w:cs="Arial"/>
          <w:b/>
          <w:bCs/>
          <w:sz w:val="20"/>
        </w:rPr>
      </w:pPr>
    </w:p>
    <w:p w14:paraId="4DC2E4B3" w14:textId="77777777" w:rsidR="009F6CAA" w:rsidRPr="009F6CAA" w:rsidRDefault="009F6CAA" w:rsidP="007D5B48">
      <w:pPr>
        <w:pStyle w:val="Telobesedila"/>
        <w:ind w:left="360"/>
        <w:jc w:val="left"/>
        <w:rPr>
          <w:rFonts w:ascii="Verdana" w:hAnsi="Verdana" w:cs="Arial"/>
          <w:b/>
          <w:bCs/>
          <w:sz w:val="20"/>
        </w:rPr>
      </w:pPr>
    </w:p>
    <w:p w14:paraId="48CC7F98" w14:textId="77777777" w:rsidR="009F6CAA" w:rsidRPr="009F6CAA" w:rsidRDefault="009F6CAA" w:rsidP="007D5B48">
      <w:pPr>
        <w:pStyle w:val="Telobesedila"/>
        <w:jc w:val="left"/>
        <w:rPr>
          <w:rFonts w:ascii="Verdana" w:hAnsi="Verdana" w:cs="Arial"/>
          <w:b/>
          <w:bCs/>
          <w:sz w:val="20"/>
        </w:rPr>
      </w:pPr>
      <w:r w:rsidRPr="009F6CAA">
        <w:rPr>
          <w:rFonts w:ascii="Verdana" w:hAnsi="Verdana" w:cs="Arial"/>
          <w:b/>
          <w:bCs/>
          <w:sz w:val="20"/>
        </w:rPr>
        <w:t>VIII. MERILA ZA IZBOR UPRAVIČENCEV, KI IZPOLNJUJEJO POGOJE</w:t>
      </w:r>
    </w:p>
    <w:p w14:paraId="6847B884" w14:textId="77777777" w:rsidR="009F6CAA" w:rsidRPr="009F6CAA" w:rsidRDefault="009F6CAA" w:rsidP="007D5B48">
      <w:pPr>
        <w:pStyle w:val="Telobesedila"/>
        <w:jc w:val="left"/>
        <w:rPr>
          <w:rFonts w:ascii="Verdana" w:hAnsi="Verdana" w:cs="Arial"/>
          <w:b/>
          <w:bCs/>
          <w:sz w:val="20"/>
        </w:rPr>
      </w:pPr>
    </w:p>
    <w:p w14:paraId="227E990A" w14:textId="77777777" w:rsidR="009F6CAA" w:rsidRPr="009F6CAA" w:rsidRDefault="009F6CAA" w:rsidP="007D5B48">
      <w:pPr>
        <w:pStyle w:val="Telobesedila"/>
        <w:jc w:val="left"/>
        <w:rPr>
          <w:rFonts w:ascii="Verdana" w:hAnsi="Verdana" w:cs="Arial"/>
          <w:bCs/>
          <w:sz w:val="20"/>
        </w:rPr>
      </w:pPr>
      <w:r w:rsidRPr="009F6CAA">
        <w:rPr>
          <w:rFonts w:ascii="Verdana" w:hAnsi="Verdana" w:cs="Arial"/>
          <w:bCs/>
          <w:sz w:val="20"/>
        </w:rPr>
        <w:t xml:space="preserve">Vse formalno popolne vloge, ki bodo izpolnjevale pogoje za kandidiranje in bodo skladne z namenom javnega razpisa bodo ocenjene na osnovi naslednjih meril: </w:t>
      </w:r>
    </w:p>
    <w:p w14:paraId="6DC1DC7D" w14:textId="77777777" w:rsidR="009F6CAA" w:rsidRPr="009F6CAA" w:rsidRDefault="009F6CAA" w:rsidP="009F6CAA">
      <w:pPr>
        <w:jc w:val="both"/>
        <w:rPr>
          <w:bCs w:val="0"/>
          <w:szCs w:val="20"/>
        </w:rPr>
      </w:pPr>
    </w:p>
    <w:tbl>
      <w:tblPr>
        <w:tblW w:w="10065" w:type="dxa"/>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5670"/>
        <w:gridCol w:w="1985"/>
        <w:gridCol w:w="1559"/>
      </w:tblGrid>
      <w:tr w:rsidR="009F6CAA" w:rsidRPr="002910D5" w14:paraId="70302BBA" w14:textId="77777777" w:rsidTr="00E3505E">
        <w:trPr>
          <w:trHeight w:val="840"/>
        </w:trPr>
        <w:tc>
          <w:tcPr>
            <w:tcW w:w="851" w:type="dxa"/>
            <w:tcBorders>
              <w:top w:val="single" w:sz="8" w:space="0" w:color="auto"/>
              <w:left w:val="single" w:sz="8" w:space="0" w:color="auto"/>
              <w:bottom w:val="single" w:sz="8" w:space="0" w:color="auto"/>
              <w:right w:val="single" w:sz="8" w:space="0" w:color="auto"/>
            </w:tcBorders>
          </w:tcPr>
          <w:p w14:paraId="413488AB" w14:textId="77777777" w:rsidR="009F6CAA" w:rsidRPr="005B367A" w:rsidRDefault="009F6CAA">
            <w:pPr>
              <w:ind w:left="360"/>
              <w:rPr>
                <w:b/>
                <w:sz w:val="16"/>
                <w:szCs w:val="16"/>
              </w:rPr>
            </w:pPr>
          </w:p>
        </w:tc>
        <w:tc>
          <w:tcPr>
            <w:tcW w:w="5670" w:type="dxa"/>
            <w:tcBorders>
              <w:top w:val="single" w:sz="8" w:space="0" w:color="auto"/>
              <w:left w:val="single" w:sz="8" w:space="0" w:color="auto"/>
              <w:bottom w:val="single" w:sz="8" w:space="0" w:color="auto"/>
              <w:right w:val="single" w:sz="8" w:space="0" w:color="auto"/>
            </w:tcBorders>
            <w:hideMark/>
          </w:tcPr>
          <w:p w14:paraId="176BD945" w14:textId="77777777" w:rsidR="009F6CAA" w:rsidRPr="005B367A" w:rsidRDefault="009F6CAA">
            <w:pPr>
              <w:ind w:left="360"/>
              <w:rPr>
                <w:b/>
                <w:sz w:val="16"/>
                <w:szCs w:val="16"/>
              </w:rPr>
            </w:pPr>
            <w:r w:rsidRPr="005B367A">
              <w:rPr>
                <w:b/>
                <w:sz w:val="16"/>
                <w:szCs w:val="16"/>
              </w:rPr>
              <w:t xml:space="preserve">Merila </w:t>
            </w:r>
          </w:p>
        </w:tc>
        <w:tc>
          <w:tcPr>
            <w:tcW w:w="1985" w:type="dxa"/>
            <w:tcBorders>
              <w:top w:val="single" w:sz="8" w:space="0" w:color="auto"/>
              <w:left w:val="single" w:sz="8" w:space="0" w:color="auto"/>
              <w:bottom w:val="single" w:sz="8" w:space="0" w:color="auto"/>
              <w:right w:val="single" w:sz="8" w:space="0" w:color="auto"/>
            </w:tcBorders>
            <w:hideMark/>
          </w:tcPr>
          <w:p w14:paraId="1F7AFB0B" w14:textId="77777777" w:rsidR="009F6CAA" w:rsidRPr="005B367A" w:rsidRDefault="009F6CAA">
            <w:pPr>
              <w:ind w:left="360"/>
              <w:rPr>
                <w:b/>
                <w:sz w:val="16"/>
                <w:szCs w:val="16"/>
              </w:rPr>
            </w:pPr>
            <w:r w:rsidRPr="005B367A">
              <w:rPr>
                <w:b/>
                <w:sz w:val="16"/>
                <w:szCs w:val="16"/>
              </w:rPr>
              <w:t>št. možnih točk</w:t>
            </w:r>
          </w:p>
        </w:tc>
        <w:tc>
          <w:tcPr>
            <w:tcW w:w="1559" w:type="dxa"/>
            <w:tcBorders>
              <w:top w:val="single" w:sz="8" w:space="0" w:color="auto"/>
              <w:left w:val="single" w:sz="8" w:space="0" w:color="auto"/>
              <w:bottom w:val="single" w:sz="8" w:space="0" w:color="auto"/>
              <w:right w:val="single" w:sz="8" w:space="0" w:color="auto"/>
            </w:tcBorders>
          </w:tcPr>
          <w:p w14:paraId="4BFD99B4" w14:textId="1921EC6F" w:rsidR="009F6CAA" w:rsidRPr="005B367A" w:rsidRDefault="009F6CAA">
            <w:pPr>
              <w:ind w:left="360"/>
              <w:rPr>
                <w:b/>
                <w:sz w:val="16"/>
                <w:szCs w:val="16"/>
              </w:rPr>
            </w:pPr>
            <w:r w:rsidRPr="005B367A">
              <w:rPr>
                <w:b/>
                <w:sz w:val="16"/>
                <w:szCs w:val="16"/>
              </w:rPr>
              <w:t>št. dos</w:t>
            </w:r>
            <w:r w:rsidR="00E3505E" w:rsidRPr="005B367A">
              <w:rPr>
                <w:b/>
                <w:sz w:val="16"/>
                <w:szCs w:val="16"/>
              </w:rPr>
              <w:t>ež.</w:t>
            </w:r>
            <w:r w:rsidRPr="005B367A">
              <w:rPr>
                <w:b/>
                <w:sz w:val="16"/>
                <w:szCs w:val="16"/>
              </w:rPr>
              <w:t xml:space="preserve"> točk</w:t>
            </w:r>
          </w:p>
          <w:p w14:paraId="5AFE7DE2" w14:textId="77777777" w:rsidR="009F6CAA" w:rsidRPr="005B367A" w:rsidRDefault="009F6CAA">
            <w:pPr>
              <w:rPr>
                <w:b/>
                <w:sz w:val="16"/>
                <w:szCs w:val="16"/>
              </w:rPr>
            </w:pPr>
          </w:p>
        </w:tc>
      </w:tr>
      <w:tr w:rsidR="009F6CAA" w:rsidRPr="002910D5" w14:paraId="6A7A2B58" w14:textId="77777777" w:rsidTr="00E3505E">
        <w:trPr>
          <w:trHeight w:val="356"/>
        </w:trPr>
        <w:tc>
          <w:tcPr>
            <w:tcW w:w="851" w:type="dxa"/>
            <w:tcBorders>
              <w:top w:val="single" w:sz="8" w:space="0" w:color="auto"/>
              <w:left w:val="single" w:sz="8" w:space="0" w:color="auto"/>
              <w:bottom w:val="single" w:sz="8" w:space="0" w:color="auto"/>
              <w:right w:val="single" w:sz="8" w:space="0" w:color="auto"/>
            </w:tcBorders>
            <w:shd w:val="clear" w:color="auto" w:fill="BFBFBF"/>
            <w:hideMark/>
          </w:tcPr>
          <w:p w14:paraId="030A7C9B" w14:textId="77777777" w:rsidR="009F6CAA" w:rsidRPr="005B367A" w:rsidRDefault="009F6CAA">
            <w:pPr>
              <w:ind w:left="360"/>
              <w:rPr>
                <w:b/>
                <w:sz w:val="16"/>
                <w:szCs w:val="16"/>
              </w:rPr>
            </w:pPr>
            <w:r w:rsidRPr="005B367A">
              <w:rPr>
                <w:b/>
                <w:sz w:val="16"/>
                <w:szCs w:val="16"/>
              </w:rPr>
              <w:t>1.</w:t>
            </w:r>
          </w:p>
        </w:tc>
        <w:tc>
          <w:tcPr>
            <w:tcW w:w="5670" w:type="dxa"/>
            <w:tcBorders>
              <w:top w:val="single" w:sz="8" w:space="0" w:color="auto"/>
              <w:left w:val="single" w:sz="8" w:space="0" w:color="auto"/>
              <w:bottom w:val="single" w:sz="8" w:space="0" w:color="auto"/>
              <w:right w:val="single" w:sz="8" w:space="0" w:color="auto"/>
            </w:tcBorders>
            <w:shd w:val="clear" w:color="auto" w:fill="BFBFBF"/>
            <w:hideMark/>
          </w:tcPr>
          <w:p w14:paraId="445AE780" w14:textId="77777777" w:rsidR="009F6CAA" w:rsidRPr="005B367A" w:rsidRDefault="009F6CAA">
            <w:pPr>
              <w:ind w:left="38"/>
              <w:jc w:val="both"/>
              <w:rPr>
                <w:b/>
                <w:sz w:val="16"/>
                <w:szCs w:val="16"/>
              </w:rPr>
            </w:pPr>
            <w:r w:rsidRPr="005B367A">
              <w:rPr>
                <w:b/>
                <w:sz w:val="16"/>
                <w:szCs w:val="16"/>
              </w:rPr>
              <w:t xml:space="preserve">VRSTA    INVESTICIJE  </w:t>
            </w:r>
          </w:p>
        </w:tc>
        <w:tc>
          <w:tcPr>
            <w:tcW w:w="1985" w:type="dxa"/>
            <w:tcBorders>
              <w:top w:val="single" w:sz="8" w:space="0" w:color="auto"/>
              <w:left w:val="single" w:sz="8" w:space="0" w:color="auto"/>
              <w:bottom w:val="single" w:sz="8" w:space="0" w:color="auto"/>
              <w:right w:val="single" w:sz="8" w:space="0" w:color="auto"/>
            </w:tcBorders>
            <w:shd w:val="clear" w:color="auto" w:fill="BFBFBF"/>
            <w:hideMark/>
          </w:tcPr>
          <w:p w14:paraId="6E70053F" w14:textId="77777777" w:rsidR="009F6CAA" w:rsidRPr="005B367A" w:rsidRDefault="009F6CAA" w:rsidP="002910D5">
            <w:pPr>
              <w:ind w:left="0" w:right="173"/>
              <w:jc w:val="right"/>
              <w:rPr>
                <w:b/>
                <w:sz w:val="16"/>
                <w:szCs w:val="16"/>
              </w:rPr>
            </w:pPr>
            <w:r w:rsidRPr="005B367A">
              <w:rPr>
                <w:b/>
                <w:sz w:val="16"/>
                <w:szCs w:val="16"/>
              </w:rPr>
              <w:t>10</w:t>
            </w:r>
          </w:p>
        </w:tc>
        <w:tc>
          <w:tcPr>
            <w:tcW w:w="1559" w:type="dxa"/>
            <w:tcBorders>
              <w:top w:val="single" w:sz="8" w:space="0" w:color="auto"/>
              <w:left w:val="single" w:sz="8" w:space="0" w:color="auto"/>
              <w:bottom w:val="single" w:sz="8" w:space="0" w:color="auto"/>
              <w:right w:val="single" w:sz="8" w:space="0" w:color="auto"/>
            </w:tcBorders>
            <w:shd w:val="clear" w:color="auto" w:fill="BFBFBF"/>
          </w:tcPr>
          <w:p w14:paraId="5A863A5F" w14:textId="77777777" w:rsidR="009F6CAA" w:rsidRPr="005B367A" w:rsidRDefault="009F6CAA" w:rsidP="002910D5">
            <w:pPr>
              <w:ind w:left="360" w:right="173"/>
              <w:rPr>
                <w:sz w:val="16"/>
                <w:szCs w:val="16"/>
              </w:rPr>
            </w:pPr>
          </w:p>
        </w:tc>
      </w:tr>
      <w:tr w:rsidR="009F6CAA" w:rsidRPr="002910D5" w14:paraId="2B82467A" w14:textId="77777777" w:rsidTr="00E3505E">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hideMark/>
          </w:tcPr>
          <w:p w14:paraId="6BDDD131" w14:textId="77777777" w:rsidR="009F6CAA" w:rsidRPr="005B367A" w:rsidRDefault="009F6CAA">
            <w:pPr>
              <w:ind w:left="360"/>
              <w:rPr>
                <w:sz w:val="16"/>
                <w:szCs w:val="16"/>
              </w:rPr>
            </w:pPr>
            <w:r w:rsidRPr="005B367A">
              <w:rPr>
                <w:bCs w:val="0"/>
                <w:sz w:val="16"/>
                <w:szCs w:val="16"/>
              </w:rPr>
              <w:t>1.1</w:t>
            </w:r>
          </w:p>
        </w:tc>
        <w:tc>
          <w:tcPr>
            <w:tcW w:w="5670" w:type="dxa"/>
            <w:tcBorders>
              <w:top w:val="single" w:sz="8" w:space="0" w:color="auto"/>
              <w:left w:val="single" w:sz="8" w:space="0" w:color="auto"/>
              <w:bottom w:val="single" w:sz="8" w:space="0" w:color="auto"/>
              <w:right w:val="single" w:sz="8" w:space="0" w:color="auto"/>
            </w:tcBorders>
            <w:shd w:val="clear" w:color="auto" w:fill="FFFFFF" w:themeFill="background1"/>
            <w:hideMark/>
          </w:tcPr>
          <w:p w14:paraId="37AF392A" w14:textId="77777777" w:rsidR="009F6CAA" w:rsidRPr="005B367A" w:rsidRDefault="009F6CAA" w:rsidP="002910D5">
            <w:pPr>
              <w:ind w:left="32" w:hanging="32"/>
              <w:rPr>
                <w:bCs w:val="0"/>
                <w:sz w:val="16"/>
                <w:szCs w:val="16"/>
              </w:rPr>
            </w:pPr>
            <w:r w:rsidRPr="005B367A">
              <w:rPr>
                <w:bCs w:val="0"/>
                <w:sz w:val="16"/>
                <w:szCs w:val="16"/>
              </w:rPr>
              <w:t>gradnja novega objekta</w:t>
            </w:r>
          </w:p>
        </w:tc>
        <w:tc>
          <w:tcPr>
            <w:tcW w:w="1985" w:type="dxa"/>
            <w:tcBorders>
              <w:top w:val="single" w:sz="8" w:space="0" w:color="auto"/>
              <w:left w:val="single" w:sz="8" w:space="0" w:color="auto"/>
              <w:bottom w:val="single" w:sz="8" w:space="0" w:color="auto"/>
              <w:right w:val="single" w:sz="8" w:space="0" w:color="auto"/>
            </w:tcBorders>
            <w:shd w:val="clear" w:color="auto" w:fill="FFFFFF" w:themeFill="background1"/>
            <w:hideMark/>
          </w:tcPr>
          <w:p w14:paraId="5830DD8B" w14:textId="77777777" w:rsidR="009F6CAA" w:rsidRPr="005B367A" w:rsidRDefault="009F6CAA" w:rsidP="002910D5">
            <w:pPr>
              <w:ind w:left="0" w:right="173"/>
              <w:jc w:val="right"/>
              <w:rPr>
                <w:bCs w:val="0"/>
                <w:sz w:val="16"/>
                <w:szCs w:val="16"/>
              </w:rPr>
            </w:pPr>
            <w:r w:rsidRPr="005B367A">
              <w:rPr>
                <w:bCs w:val="0"/>
                <w:sz w:val="16"/>
                <w:szCs w:val="16"/>
              </w:rPr>
              <w:t>10</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Pr>
          <w:p w14:paraId="65AFFCCE" w14:textId="77777777" w:rsidR="009F6CAA" w:rsidRPr="005B367A" w:rsidRDefault="009F6CAA">
            <w:pPr>
              <w:ind w:left="360"/>
              <w:rPr>
                <w:bCs w:val="0"/>
                <w:sz w:val="16"/>
                <w:szCs w:val="16"/>
              </w:rPr>
            </w:pPr>
          </w:p>
        </w:tc>
      </w:tr>
      <w:tr w:rsidR="009F6CAA" w:rsidRPr="002910D5" w14:paraId="3390DAFF" w14:textId="77777777" w:rsidTr="00E3505E">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hideMark/>
          </w:tcPr>
          <w:p w14:paraId="3FD66F6A" w14:textId="77777777" w:rsidR="009F6CAA" w:rsidRPr="005B367A" w:rsidRDefault="009F6CAA">
            <w:pPr>
              <w:ind w:left="360"/>
              <w:rPr>
                <w:sz w:val="16"/>
                <w:szCs w:val="16"/>
              </w:rPr>
            </w:pPr>
            <w:r w:rsidRPr="005B367A">
              <w:rPr>
                <w:bCs w:val="0"/>
                <w:sz w:val="16"/>
                <w:szCs w:val="16"/>
              </w:rPr>
              <w:t>1.2</w:t>
            </w:r>
          </w:p>
        </w:tc>
        <w:tc>
          <w:tcPr>
            <w:tcW w:w="5670" w:type="dxa"/>
            <w:tcBorders>
              <w:top w:val="single" w:sz="8" w:space="0" w:color="auto"/>
              <w:left w:val="single" w:sz="8" w:space="0" w:color="auto"/>
              <w:bottom w:val="single" w:sz="8" w:space="0" w:color="auto"/>
              <w:right w:val="single" w:sz="8" w:space="0" w:color="auto"/>
            </w:tcBorders>
            <w:shd w:val="clear" w:color="auto" w:fill="FFFFFF" w:themeFill="background1"/>
            <w:hideMark/>
          </w:tcPr>
          <w:p w14:paraId="207D1F16" w14:textId="77777777" w:rsidR="009F6CAA" w:rsidRPr="005B367A" w:rsidRDefault="009F6CAA" w:rsidP="002910D5">
            <w:pPr>
              <w:ind w:left="32" w:hanging="32"/>
              <w:rPr>
                <w:bCs w:val="0"/>
                <w:sz w:val="16"/>
                <w:szCs w:val="16"/>
              </w:rPr>
            </w:pPr>
            <w:r w:rsidRPr="005B367A">
              <w:rPr>
                <w:bCs w:val="0"/>
                <w:sz w:val="16"/>
                <w:szCs w:val="16"/>
              </w:rPr>
              <w:t xml:space="preserve">dozidava že obstoječega objekta l </w:t>
            </w:r>
          </w:p>
        </w:tc>
        <w:tc>
          <w:tcPr>
            <w:tcW w:w="1985" w:type="dxa"/>
            <w:tcBorders>
              <w:top w:val="single" w:sz="8" w:space="0" w:color="auto"/>
              <w:left w:val="single" w:sz="8" w:space="0" w:color="auto"/>
              <w:bottom w:val="single" w:sz="8" w:space="0" w:color="auto"/>
              <w:right w:val="single" w:sz="8" w:space="0" w:color="auto"/>
            </w:tcBorders>
            <w:shd w:val="clear" w:color="auto" w:fill="FFFFFF" w:themeFill="background1"/>
            <w:hideMark/>
          </w:tcPr>
          <w:p w14:paraId="7B1E3FD8" w14:textId="77777777" w:rsidR="009F6CAA" w:rsidRPr="005B367A" w:rsidRDefault="009F6CAA" w:rsidP="002910D5">
            <w:pPr>
              <w:ind w:left="0" w:right="173"/>
              <w:jc w:val="right"/>
              <w:rPr>
                <w:bCs w:val="0"/>
                <w:sz w:val="16"/>
                <w:szCs w:val="16"/>
              </w:rPr>
            </w:pPr>
            <w:r w:rsidRPr="005B367A">
              <w:rPr>
                <w:bCs w:val="0"/>
                <w:sz w:val="16"/>
                <w:szCs w:val="16"/>
              </w:rPr>
              <w:t>5</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Pr>
          <w:p w14:paraId="52842BCB" w14:textId="77777777" w:rsidR="009F6CAA" w:rsidRPr="005B367A" w:rsidRDefault="009F6CAA">
            <w:pPr>
              <w:ind w:left="360"/>
              <w:rPr>
                <w:bCs w:val="0"/>
                <w:sz w:val="16"/>
                <w:szCs w:val="16"/>
              </w:rPr>
            </w:pPr>
          </w:p>
        </w:tc>
      </w:tr>
      <w:tr w:rsidR="009F6CAA" w:rsidRPr="002910D5" w14:paraId="433047D9" w14:textId="77777777" w:rsidTr="00E3505E">
        <w:trPr>
          <w:trHeight w:val="324"/>
        </w:trPr>
        <w:tc>
          <w:tcPr>
            <w:tcW w:w="851" w:type="dxa"/>
            <w:tcBorders>
              <w:top w:val="single" w:sz="8" w:space="0" w:color="auto"/>
              <w:left w:val="single" w:sz="8" w:space="0" w:color="auto"/>
              <w:bottom w:val="single" w:sz="8" w:space="0" w:color="auto"/>
              <w:right w:val="single" w:sz="8" w:space="0" w:color="auto"/>
            </w:tcBorders>
            <w:shd w:val="clear" w:color="auto" w:fill="BFBFBF"/>
            <w:hideMark/>
          </w:tcPr>
          <w:p w14:paraId="572E30B7" w14:textId="77777777" w:rsidR="009F6CAA" w:rsidRPr="005B367A" w:rsidRDefault="009F6CAA">
            <w:pPr>
              <w:ind w:left="360"/>
              <w:rPr>
                <w:b/>
                <w:sz w:val="16"/>
                <w:szCs w:val="16"/>
              </w:rPr>
            </w:pPr>
            <w:r w:rsidRPr="005B367A">
              <w:rPr>
                <w:b/>
                <w:sz w:val="16"/>
                <w:szCs w:val="16"/>
              </w:rPr>
              <w:t>2.</w:t>
            </w:r>
          </w:p>
        </w:tc>
        <w:tc>
          <w:tcPr>
            <w:tcW w:w="5670" w:type="dxa"/>
            <w:tcBorders>
              <w:top w:val="single" w:sz="8" w:space="0" w:color="auto"/>
              <w:left w:val="single" w:sz="8" w:space="0" w:color="auto"/>
              <w:bottom w:val="single" w:sz="8" w:space="0" w:color="auto"/>
              <w:right w:val="single" w:sz="8" w:space="0" w:color="auto"/>
            </w:tcBorders>
            <w:shd w:val="clear" w:color="auto" w:fill="BFBFBF"/>
            <w:hideMark/>
          </w:tcPr>
          <w:p w14:paraId="220FD2A5" w14:textId="77777777" w:rsidR="009F6CAA" w:rsidRPr="005B367A" w:rsidRDefault="009F6CAA" w:rsidP="002910D5">
            <w:pPr>
              <w:ind w:left="32" w:firstLine="38"/>
              <w:jc w:val="both"/>
              <w:rPr>
                <w:b/>
                <w:sz w:val="16"/>
                <w:szCs w:val="16"/>
              </w:rPr>
            </w:pPr>
            <w:r w:rsidRPr="005B367A">
              <w:rPr>
                <w:b/>
                <w:sz w:val="16"/>
                <w:szCs w:val="16"/>
              </w:rPr>
              <w:t xml:space="preserve"> Lokacija zemljišča  </w:t>
            </w:r>
          </w:p>
        </w:tc>
        <w:tc>
          <w:tcPr>
            <w:tcW w:w="1985" w:type="dxa"/>
            <w:tcBorders>
              <w:top w:val="single" w:sz="8" w:space="0" w:color="auto"/>
              <w:left w:val="single" w:sz="8" w:space="0" w:color="auto"/>
              <w:bottom w:val="single" w:sz="8" w:space="0" w:color="auto"/>
              <w:right w:val="single" w:sz="8" w:space="0" w:color="auto"/>
            </w:tcBorders>
            <w:shd w:val="clear" w:color="auto" w:fill="BFBFBF"/>
            <w:hideMark/>
          </w:tcPr>
          <w:p w14:paraId="5410C893" w14:textId="77777777" w:rsidR="009F6CAA" w:rsidRPr="005B367A" w:rsidRDefault="009F6CAA" w:rsidP="002910D5">
            <w:pPr>
              <w:ind w:left="0" w:right="173"/>
              <w:jc w:val="right"/>
              <w:rPr>
                <w:b/>
                <w:sz w:val="16"/>
                <w:szCs w:val="16"/>
              </w:rPr>
            </w:pPr>
            <w:r w:rsidRPr="005B367A">
              <w:rPr>
                <w:b/>
                <w:sz w:val="16"/>
                <w:szCs w:val="16"/>
              </w:rPr>
              <w:t>20</w:t>
            </w:r>
          </w:p>
        </w:tc>
        <w:tc>
          <w:tcPr>
            <w:tcW w:w="1559" w:type="dxa"/>
            <w:tcBorders>
              <w:top w:val="single" w:sz="8" w:space="0" w:color="auto"/>
              <w:left w:val="single" w:sz="8" w:space="0" w:color="auto"/>
              <w:bottom w:val="single" w:sz="8" w:space="0" w:color="auto"/>
              <w:right w:val="single" w:sz="8" w:space="0" w:color="auto"/>
            </w:tcBorders>
            <w:shd w:val="clear" w:color="auto" w:fill="BFBFBF"/>
          </w:tcPr>
          <w:p w14:paraId="22EB97EE" w14:textId="77777777" w:rsidR="009F6CAA" w:rsidRPr="005B367A" w:rsidRDefault="009F6CAA">
            <w:pPr>
              <w:ind w:left="360"/>
              <w:rPr>
                <w:sz w:val="16"/>
                <w:szCs w:val="16"/>
              </w:rPr>
            </w:pPr>
          </w:p>
        </w:tc>
      </w:tr>
      <w:tr w:rsidR="009F6CAA" w:rsidRPr="002910D5" w14:paraId="656EED92" w14:textId="77777777" w:rsidTr="00E3505E">
        <w:tc>
          <w:tcPr>
            <w:tcW w:w="851" w:type="dxa"/>
            <w:tcBorders>
              <w:top w:val="single" w:sz="8" w:space="0" w:color="auto"/>
              <w:left w:val="single" w:sz="8" w:space="0" w:color="auto"/>
              <w:bottom w:val="single" w:sz="8" w:space="0" w:color="auto"/>
              <w:right w:val="single" w:sz="8" w:space="0" w:color="auto"/>
            </w:tcBorders>
            <w:hideMark/>
          </w:tcPr>
          <w:p w14:paraId="2E412720" w14:textId="77777777" w:rsidR="009F6CAA" w:rsidRPr="005B367A" w:rsidRDefault="009F6CAA">
            <w:pPr>
              <w:ind w:left="360"/>
              <w:rPr>
                <w:sz w:val="16"/>
                <w:szCs w:val="16"/>
              </w:rPr>
            </w:pPr>
            <w:r w:rsidRPr="005B367A">
              <w:rPr>
                <w:sz w:val="16"/>
                <w:szCs w:val="16"/>
              </w:rPr>
              <w:t>2.1</w:t>
            </w:r>
          </w:p>
        </w:tc>
        <w:tc>
          <w:tcPr>
            <w:tcW w:w="5670" w:type="dxa"/>
            <w:tcBorders>
              <w:top w:val="single" w:sz="8" w:space="0" w:color="auto"/>
              <w:left w:val="single" w:sz="8" w:space="0" w:color="auto"/>
              <w:bottom w:val="single" w:sz="8" w:space="0" w:color="auto"/>
              <w:right w:val="single" w:sz="8" w:space="0" w:color="auto"/>
            </w:tcBorders>
            <w:hideMark/>
          </w:tcPr>
          <w:p w14:paraId="1486C18E" w14:textId="77777777" w:rsidR="009F6CAA" w:rsidRPr="005B367A" w:rsidRDefault="009F6CAA">
            <w:pPr>
              <w:pStyle w:val="Telobesedila-zamik"/>
              <w:ind w:left="-104"/>
              <w:rPr>
                <w:sz w:val="16"/>
                <w:szCs w:val="16"/>
              </w:rPr>
            </w:pPr>
            <w:r w:rsidRPr="005B367A">
              <w:rPr>
                <w:sz w:val="16"/>
                <w:szCs w:val="16"/>
              </w:rPr>
              <w:t xml:space="preserve"> Zemljišča  na območju  PEC Kromberk</w:t>
            </w:r>
          </w:p>
        </w:tc>
        <w:tc>
          <w:tcPr>
            <w:tcW w:w="1985" w:type="dxa"/>
            <w:tcBorders>
              <w:top w:val="single" w:sz="8" w:space="0" w:color="auto"/>
              <w:left w:val="single" w:sz="8" w:space="0" w:color="auto"/>
              <w:bottom w:val="single" w:sz="8" w:space="0" w:color="auto"/>
              <w:right w:val="single" w:sz="8" w:space="0" w:color="auto"/>
            </w:tcBorders>
            <w:hideMark/>
          </w:tcPr>
          <w:p w14:paraId="10BC30A4" w14:textId="77777777" w:rsidR="009F6CAA" w:rsidRPr="005B367A" w:rsidRDefault="009F6CAA" w:rsidP="002910D5">
            <w:pPr>
              <w:ind w:left="0" w:right="173"/>
              <w:jc w:val="right"/>
              <w:rPr>
                <w:sz w:val="16"/>
                <w:szCs w:val="16"/>
              </w:rPr>
            </w:pPr>
            <w:r w:rsidRPr="005B367A">
              <w:rPr>
                <w:sz w:val="16"/>
                <w:szCs w:val="16"/>
              </w:rPr>
              <w:t>20</w:t>
            </w:r>
          </w:p>
        </w:tc>
        <w:tc>
          <w:tcPr>
            <w:tcW w:w="1559" w:type="dxa"/>
            <w:tcBorders>
              <w:top w:val="single" w:sz="8" w:space="0" w:color="auto"/>
              <w:left w:val="single" w:sz="8" w:space="0" w:color="auto"/>
              <w:bottom w:val="single" w:sz="8" w:space="0" w:color="auto"/>
              <w:right w:val="single" w:sz="8" w:space="0" w:color="auto"/>
            </w:tcBorders>
          </w:tcPr>
          <w:p w14:paraId="1EA2C511" w14:textId="77777777" w:rsidR="009F6CAA" w:rsidRPr="005B367A" w:rsidRDefault="009F6CAA">
            <w:pPr>
              <w:ind w:left="360"/>
              <w:rPr>
                <w:sz w:val="16"/>
                <w:szCs w:val="16"/>
              </w:rPr>
            </w:pPr>
          </w:p>
        </w:tc>
      </w:tr>
      <w:tr w:rsidR="009F6CAA" w:rsidRPr="002910D5" w14:paraId="7729EF41" w14:textId="77777777" w:rsidTr="00E3505E">
        <w:tc>
          <w:tcPr>
            <w:tcW w:w="851" w:type="dxa"/>
            <w:tcBorders>
              <w:top w:val="single" w:sz="8" w:space="0" w:color="auto"/>
              <w:left w:val="single" w:sz="8" w:space="0" w:color="auto"/>
              <w:bottom w:val="single" w:sz="8" w:space="0" w:color="auto"/>
              <w:right w:val="single" w:sz="8" w:space="0" w:color="auto"/>
            </w:tcBorders>
            <w:hideMark/>
          </w:tcPr>
          <w:p w14:paraId="6B9CF66B" w14:textId="77777777" w:rsidR="009F6CAA" w:rsidRPr="005B367A" w:rsidRDefault="009F6CAA">
            <w:pPr>
              <w:ind w:left="360"/>
              <w:rPr>
                <w:sz w:val="16"/>
                <w:szCs w:val="16"/>
              </w:rPr>
            </w:pPr>
            <w:r w:rsidRPr="005B367A">
              <w:rPr>
                <w:sz w:val="16"/>
                <w:szCs w:val="16"/>
              </w:rPr>
              <w:t>2.2</w:t>
            </w:r>
          </w:p>
        </w:tc>
        <w:tc>
          <w:tcPr>
            <w:tcW w:w="5670" w:type="dxa"/>
            <w:tcBorders>
              <w:top w:val="single" w:sz="8" w:space="0" w:color="auto"/>
              <w:left w:val="single" w:sz="8" w:space="0" w:color="auto"/>
              <w:bottom w:val="single" w:sz="8" w:space="0" w:color="auto"/>
              <w:right w:val="single" w:sz="8" w:space="0" w:color="auto"/>
            </w:tcBorders>
            <w:hideMark/>
          </w:tcPr>
          <w:p w14:paraId="7FA654CA" w14:textId="77777777" w:rsidR="009F6CAA" w:rsidRPr="005B367A" w:rsidRDefault="009F6CAA">
            <w:pPr>
              <w:pStyle w:val="Telobesedila-zamik"/>
              <w:ind w:left="-104"/>
              <w:rPr>
                <w:sz w:val="16"/>
                <w:szCs w:val="16"/>
              </w:rPr>
            </w:pPr>
            <w:r w:rsidRPr="005B367A">
              <w:rPr>
                <w:sz w:val="16"/>
                <w:szCs w:val="16"/>
              </w:rPr>
              <w:t xml:space="preserve"> Zemljišča na območjih urejenih  poslovnih con   </w:t>
            </w:r>
          </w:p>
        </w:tc>
        <w:tc>
          <w:tcPr>
            <w:tcW w:w="1985" w:type="dxa"/>
            <w:tcBorders>
              <w:top w:val="single" w:sz="8" w:space="0" w:color="auto"/>
              <w:left w:val="single" w:sz="8" w:space="0" w:color="auto"/>
              <w:bottom w:val="single" w:sz="8" w:space="0" w:color="auto"/>
              <w:right w:val="single" w:sz="8" w:space="0" w:color="auto"/>
            </w:tcBorders>
            <w:hideMark/>
          </w:tcPr>
          <w:p w14:paraId="2B0FB535" w14:textId="77777777" w:rsidR="009F6CAA" w:rsidRPr="005B367A" w:rsidRDefault="009F6CAA" w:rsidP="002910D5">
            <w:pPr>
              <w:ind w:left="0" w:right="173"/>
              <w:jc w:val="right"/>
              <w:rPr>
                <w:sz w:val="16"/>
                <w:szCs w:val="16"/>
              </w:rPr>
            </w:pPr>
            <w:r w:rsidRPr="005B367A">
              <w:rPr>
                <w:sz w:val="16"/>
                <w:szCs w:val="16"/>
              </w:rPr>
              <w:t>10</w:t>
            </w:r>
          </w:p>
        </w:tc>
        <w:tc>
          <w:tcPr>
            <w:tcW w:w="1559" w:type="dxa"/>
            <w:tcBorders>
              <w:top w:val="single" w:sz="8" w:space="0" w:color="auto"/>
              <w:left w:val="single" w:sz="8" w:space="0" w:color="auto"/>
              <w:bottom w:val="single" w:sz="8" w:space="0" w:color="auto"/>
              <w:right w:val="single" w:sz="8" w:space="0" w:color="auto"/>
            </w:tcBorders>
          </w:tcPr>
          <w:p w14:paraId="14A7746B" w14:textId="77777777" w:rsidR="009F6CAA" w:rsidRPr="005B367A" w:rsidRDefault="009F6CAA">
            <w:pPr>
              <w:ind w:left="360"/>
              <w:rPr>
                <w:sz w:val="16"/>
                <w:szCs w:val="16"/>
              </w:rPr>
            </w:pPr>
          </w:p>
        </w:tc>
      </w:tr>
      <w:tr w:rsidR="009F6CAA" w:rsidRPr="002910D5" w14:paraId="502A55FC" w14:textId="77777777" w:rsidTr="00E3505E">
        <w:trPr>
          <w:trHeight w:val="165"/>
        </w:trPr>
        <w:tc>
          <w:tcPr>
            <w:tcW w:w="851" w:type="dxa"/>
            <w:tcBorders>
              <w:top w:val="single" w:sz="8" w:space="0" w:color="auto"/>
              <w:left w:val="single" w:sz="8" w:space="0" w:color="auto"/>
              <w:bottom w:val="single" w:sz="8" w:space="0" w:color="auto"/>
              <w:right w:val="single" w:sz="8" w:space="0" w:color="auto"/>
            </w:tcBorders>
          </w:tcPr>
          <w:p w14:paraId="1ECC8E45" w14:textId="77777777" w:rsidR="009F6CAA" w:rsidRPr="005B367A" w:rsidRDefault="009F6CAA">
            <w:pPr>
              <w:ind w:left="360"/>
              <w:rPr>
                <w:sz w:val="16"/>
                <w:szCs w:val="16"/>
              </w:rPr>
            </w:pPr>
          </w:p>
        </w:tc>
        <w:tc>
          <w:tcPr>
            <w:tcW w:w="5670" w:type="dxa"/>
            <w:tcBorders>
              <w:top w:val="single" w:sz="8" w:space="0" w:color="auto"/>
              <w:left w:val="single" w:sz="8" w:space="0" w:color="auto"/>
              <w:bottom w:val="single" w:sz="8" w:space="0" w:color="auto"/>
              <w:right w:val="single" w:sz="8" w:space="0" w:color="auto"/>
            </w:tcBorders>
            <w:hideMark/>
          </w:tcPr>
          <w:p w14:paraId="287AB812" w14:textId="77777777" w:rsidR="009F6CAA" w:rsidRPr="005B367A" w:rsidRDefault="009F6CAA">
            <w:pPr>
              <w:pStyle w:val="Telobesedila-zamik"/>
              <w:ind w:left="-104"/>
              <w:rPr>
                <w:sz w:val="16"/>
                <w:szCs w:val="16"/>
              </w:rPr>
            </w:pPr>
            <w:r w:rsidRPr="005B367A">
              <w:rPr>
                <w:sz w:val="16"/>
                <w:szCs w:val="16"/>
              </w:rPr>
              <w:t xml:space="preserve">Druge lokacije </w:t>
            </w:r>
          </w:p>
        </w:tc>
        <w:tc>
          <w:tcPr>
            <w:tcW w:w="1985" w:type="dxa"/>
            <w:tcBorders>
              <w:top w:val="single" w:sz="8" w:space="0" w:color="auto"/>
              <w:left w:val="single" w:sz="8" w:space="0" w:color="auto"/>
              <w:bottom w:val="single" w:sz="8" w:space="0" w:color="auto"/>
              <w:right w:val="single" w:sz="8" w:space="0" w:color="auto"/>
            </w:tcBorders>
            <w:hideMark/>
          </w:tcPr>
          <w:p w14:paraId="06F45D90" w14:textId="77777777" w:rsidR="009F6CAA" w:rsidRPr="005B367A" w:rsidRDefault="009F6CAA" w:rsidP="002910D5">
            <w:pPr>
              <w:ind w:left="0" w:right="173"/>
              <w:jc w:val="right"/>
              <w:rPr>
                <w:sz w:val="16"/>
                <w:szCs w:val="16"/>
              </w:rPr>
            </w:pPr>
            <w:r w:rsidRPr="005B367A">
              <w:rPr>
                <w:sz w:val="16"/>
                <w:szCs w:val="16"/>
              </w:rPr>
              <w:t>5</w:t>
            </w:r>
          </w:p>
        </w:tc>
        <w:tc>
          <w:tcPr>
            <w:tcW w:w="1559" w:type="dxa"/>
            <w:tcBorders>
              <w:top w:val="single" w:sz="8" w:space="0" w:color="auto"/>
              <w:left w:val="single" w:sz="8" w:space="0" w:color="auto"/>
              <w:bottom w:val="single" w:sz="8" w:space="0" w:color="auto"/>
              <w:right w:val="single" w:sz="8" w:space="0" w:color="auto"/>
            </w:tcBorders>
          </w:tcPr>
          <w:p w14:paraId="67B61AAD" w14:textId="77777777" w:rsidR="009F6CAA" w:rsidRPr="005B367A" w:rsidRDefault="009F6CAA">
            <w:pPr>
              <w:ind w:left="360"/>
              <w:rPr>
                <w:sz w:val="16"/>
                <w:szCs w:val="16"/>
              </w:rPr>
            </w:pPr>
          </w:p>
        </w:tc>
      </w:tr>
      <w:tr w:rsidR="009F6CAA" w:rsidRPr="002910D5" w14:paraId="655658A8" w14:textId="77777777" w:rsidTr="00E3505E">
        <w:tc>
          <w:tcPr>
            <w:tcW w:w="851" w:type="dxa"/>
            <w:tcBorders>
              <w:top w:val="single" w:sz="8" w:space="0" w:color="auto"/>
              <w:left w:val="single" w:sz="8" w:space="0" w:color="auto"/>
              <w:bottom w:val="single" w:sz="8" w:space="0" w:color="auto"/>
              <w:right w:val="single" w:sz="8" w:space="0" w:color="auto"/>
            </w:tcBorders>
            <w:shd w:val="clear" w:color="auto" w:fill="BFBFBF"/>
            <w:hideMark/>
          </w:tcPr>
          <w:p w14:paraId="0331770C" w14:textId="77777777" w:rsidR="009F6CAA" w:rsidRPr="005B367A" w:rsidRDefault="009F6CAA">
            <w:pPr>
              <w:ind w:left="360"/>
              <w:rPr>
                <w:b/>
                <w:sz w:val="16"/>
                <w:szCs w:val="16"/>
              </w:rPr>
            </w:pPr>
            <w:r w:rsidRPr="005B367A">
              <w:rPr>
                <w:b/>
                <w:sz w:val="16"/>
                <w:szCs w:val="16"/>
              </w:rPr>
              <w:t>3.</w:t>
            </w:r>
          </w:p>
        </w:tc>
        <w:tc>
          <w:tcPr>
            <w:tcW w:w="5670" w:type="dxa"/>
            <w:tcBorders>
              <w:top w:val="single" w:sz="8" w:space="0" w:color="auto"/>
              <w:left w:val="single" w:sz="8" w:space="0" w:color="auto"/>
              <w:bottom w:val="single" w:sz="8" w:space="0" w:color="auto"/>
              <w:right w:val="single" w:sz="8" w:space="0" w:color="auto"/>
            </w:tcBorders>
            <w:shd w:val="clear" w:color="auto" w:fill="BFBFBF"/>
            <w:hideMark/>
          </w:tcPr>
          <w:p w14:paraId="1BB0BA50" w14:textId="77777777" w:rsidR="009F6CAA" w:rsidRPr="005B367A" w:rsidRDefault="009F6CAA" w:rsidP="002910D5">
            <w:pPr>
              <w:ind w:left="0" w:firstLine="38"/>
              <w:jc w:val="both"/>
              <w:rPr>
                <w:b/>
                <w:sz w:val="16"/>
                <w:szCs w:val="16"/>
              </w:rPr>
            </w:pPr>
            <w:r w:rsidRPr="005B367A">
              <w:rPr>
                <w:b/>
                <w:sz w:val="16"/>
                <w:szCs w:val="16"/>
              </w:rPr>
              <w:t>bruto tlorisna površina parcele (v</w:t>
            </w:r>
            <w:r w:rsidRPr="005B367A">
              <w:rPr>
                <w:sz w:val="16"/>
                <w:szCs w:val="16"/>
              </w:rPr>
              <w:t xml:space="preserve"> </w:t>
            </w:r>
            <w:r w:rsidRPr="005B367A">
              <w:rPr>
                <w:b/>
                <w:bCs w:val="0"/>
                <w:sz w:val="16"/>
                <w:szCs w:val="16"/>
              </w:rPr>
              <w:t>m</w:t>
            </w:r>
            <w:r w:rsidRPr="005B367A">
              <w:rPr>
                <w:b/>
                <w:bCs w:val="0"/>
                <w:sz w:val="16"/>
                <w:szCs w:val="16"/>
                <w:vertAlign w:val="superscript"/>
              </w:rPr>
              <w:t>2</w:t>
            </w:r>
            <w:r w:rsidRPr="005B367A">
              <w:rPr>
                <w:b/>
                <w:sz w:val="16"/>
                <w:szCs w:val="16"/>
              </w:rPr>
              <w:t xml:space="preserve"> )</w:t>
            </w:r>
          </w:p>
        </w:tc>
        <w:tc>
          <w:tcPr>
            <w:tcW w:w="1985" w:type="dxa"/>
            <w:tcBorders>
              <w:top w:val="single" w:sz="8" w:space="0" w:color="auto"/>
              <w:left w:val="single" w:sz="8" w:space="0" w:color="auto"/>
              <w:bottom w:val="single" w:sz="8" w:space="0" w:color="auto"/>
              <w:right w:val="single" w:sz="8" w:space="0" w:color="auto"/>
            </w:tcBorders>
            <w:shd w:val="clear" w:color="auto" w:fill="BFBFBF"/>
            <w:hideMark/>
          </w:tcPr>
          <w:p w14:paraId="65E85652" w14:textId="77777777" w:rsidR="009F6CAA" w:rsidRPr="005B367A" w:rsidRDefault="009F6CAA" w:rsidP="002910D5">
            <w:pPr>
              <w:ind w:left="360" w:right="173"/>
              <w:jc w:val="right"/>
              <w:rPr>
                <w:b/>
                <w:sz w:val="16"/>
                <w:szCs w:val="16"/>
              </w:rPr>
            </w:pPr>
            <w:r w:rsidRPr="005B367A">
              <w:rPr>
                <w:b/>
                <w:sz w:val="16"/>
                <w:szCs w:val="16"/>
              </w:rPr>
              <w:t>20</w:t>
            </w:r>
          </w:p>
        </w:tc>
        <w:tc>
          <w:tcPr>
            <w:tcW w:w="1559" w:type="dxa"/>
            <w:tcBorders>
              <w:top w:val="single" w:sz="8" w:space="0" w:color="auto"/>
              <w:left w:val="single" w:sz="8" w:space="0" w:color="auto"/>
              <w:bottom w:val="single" w:sz="8" w:space="0" w:color="auto"/>
              <w:right w:val="single" w:sz="8" w:space="0" w:color="auto"/>
            </w:tcBorders>
            <w:shd w:val="clear" w:color="auto" w:fill="BFBFBF"/>
          </w:tcPr>
          <w:p w14:paraId="1D446EAB" w14:textId="77777777" w:rsidR="009F6CAA" w:rsidRPr="005B367A" w:rsidRDefault="009F6CAA">
            <w:pPr>
              <w:ind w:left="360"/>
              <w:rPr>
                <w:sz w:val="16"/>
                <w:szCs w:val="16"/>
              </w:rPr>
            </w:pPr>
          </w:p>
        </w:tc>
      </w:tr>
      <w:tr w:rsidR="009F6CAA" w:rsidRPr="002910D5" w14:paraId="4392FBD8" w14:textId="77777777" w:rsidTr="00E3505E">
        <w:tc>
          <w:tcPr>
            <w:tcW w:w="851" w:type="dxa"/>
            <w:tcBorders>
              <w:top w:val="single" w:sz="8" w:space="0" w:color="auto"/>
              <w:left w:val="single" w:sz="8" w:space="0" w:color="auto"/>
              <w:bottom w:val="single" w:sz="8" w:space="0" w:color="auto"/>
              <w:right w:val="single" w:sz="8" w:space="0" w:color="auto"/>
            </w:tcBorders>
            <w:hideMark/>
          </w:tcPr>
          <w:p w14:paraId="3C940A43" w14:textId="77777777" w:rsidR="009F6CAA" w:rsidRPr="002910D5" w:rsidRDefault="009F6CAA">
            <w:pPr>
              <w:ind w:left="360"/>
              <w:rPr>
                <w:szCs w:val="20"/>
              </w:rPr>
            </w:pPr>
            <w:r w:rsidRPr="002910D5">
              <w:rPr>
                <w:szCs w:val="20"/>
              </w:rPr>
              <w:t>3.1</w:t>
            </w:r>
          </w:p>
        </w:tc>
        <w:tc>
          <w:tcPr>
            <w:tcW w:w="5670" w:type="dxa"/>
            <w:tcBorders>
              <w:top w:val="single" w:sz="8" w:space="0" w:color="auto"/>
              <w:left w:val="single" w:sz="8" w:space="0" w:color="auto"/>
              <w:bottom w:val="single" w:sz="8" w:space="0" w:color="auto"/>
              <w:right w:val="single" w:sz="8" w:space="0" w:color="auto"/>
            </w:tcBorders>
            <w:hideMark/>
          </w:tcPr>
          <w:p w14:paraId="165A6F07" w14:textId="77777777" w:rsidR="009F6CAA" w:rsidRPr="005B367A" w:rsidRDefault="009F6CAA">
            <w:pPr>
              <w:ind w:left="-103"/>
              <w:jc w:val="both"/>
              <w:rPr>
                <w:sz w:val="16"/>
                <w:szCs w:val="16"/>
              </w:rPr>
            </w:pPr>
            <w:r w:rsidRPr="005B367A">
              <w:rPr>
                <w:sz w:val="16"/>
                <w:szCs w:val="16"/>
              </w:rPr>
              <w:t xml:space="preserve">nad 4000 </w:t>
            </w:r>
          </w:p>
        </w:tc>
        <w:tc>
          <w:tcPr>
            <w:tcW w:w="1985" w:type="dxa"/>
            <w:tcBorders>
              <w:top w:val="single" w:sz="8" w:space="0" w:color="auto"/>
              <w:left w:val="single" w:sz="8" w:space="0" w:color="auto"/>
              <w:bottom w:val="single" w:sz="8" w:space="0" w:color="auto"/>
              <w:right w:val="single" w:sz="8" w:space="0" w:color="auto"/>
            </w:tcBorders>
            <w:hideMark/>
          </w:tcPr>
          <w:p w14:paraId="26622C59" w14:textId="77777777" w:rsidR="009F6CAA" w:rsidRPr="002910D5" w:rsidRDefault="009F6CAA" w:rsidP="00E3505E">
            <w:pPr>
              <w:ind w:left="360" w:right="173"/>
              <w:jc w:val="right"/>
              <w:rPr>
                <w:szCs w:val="20"/>
              </w:rPr>
            </w:pPr>
            <w:r w:rsidRPr="002910D5">
              <w:rPr>
                <w:szCs w:val="20"/>
              </w:rPr>
              <w:t>20</w:t>
            </w:r>
          </w:p>
        </w:tc>
        <w:tc>
          <w:tcPr>
            <w:tcW w:w="1559" w:type="dxa"/>
            <w:tcBorders>
              <w:top w:val="single" w:sz="8" w:space="0" w:color="auto"/>
              <w:left w:val="single" w:sz="8" w:space="0" w:color="auto"/>
              <w:bottom w:val="single" w:sz="8" w:space="0" w:color="auto"/>
              <w:right w:val="single" w:sz="8" w:space="0" w:color="auto"/>
            </w:tcBorders>
          </w:tcPr>
          <w:p w14:paraId="1F4C0CC7" w14:textId="77777777" w:rsidR="009F6CAA" w:rsidRPr="002910D5" w:rsidRDefault="009F6CAA">
            <w:pPr>
              <w:ind w:left="360"/>
              <w:rPr>
                <w:szCs w:val="20"/>
              </w:rPr>
            </w:pPr>
          </w:p>
        </w:tc>
      </w:tr>
      <w:tr w:rsidR="009F6CAA" w:rsidRPr="002910D5" w14:paraId="1C5301B8" w14:textId="77777777" w:rsidTr="00E3505E">
        <w:tc>
          <w:tcPr>
            <w:tcW w:w="851" w:type="dxa"/>
            <w:tcBorders>
              <w:top w:val="single" w:sz="8" w:space="0" w:color="auto"/>
              <w:left w:val="single" w:sz="8" w:space="0" w:color="auto"/>
              <w:bottom w:val="single" w:sz="8" w:space="0" w:color="auto"/>
              <w:right w:val="single" w:sz="8" w:space="0" w:color="auto"/>
            </w:tcBorders>
            <w:hideMark/>
          </w:tcPr>
          <w:p w14:paraId="78D4673B" w14:textId="77777777" w:rsidR="009F6CAA" w:rsidRPr="002910D5" w:rsidRDefault="009F6CAA">
            <w:pPr>
              <w:ind w:left="360"/>
              <w:rPr>
                <w:szCs w:val="20"/>
              </w:rPr>
            </w:pPr>
            <w:r w:rsidRPr="002910D5">
              <w:rPr>
                <w:szCs w:val="20"/>
              </w:rPr>
              <w:t>3.2</w:t>
            </w:r>
          </w:p>
        </w:tc>
        <w:tc>
          <w:tcPr>
            <w:tcW w:w="5670" w:type="dxa"/>
            <w:tcBorders>
              <w:top w:val="single" w:sz="8" w:space="0" w:color="auto"/>
              <w:left w:val="single" w:sz="8" w:space="0" w:color="auto"/>
              <w:bottom w:val="single" w:sz="8" w:space="0" w:color="auto"/>
              <w:right w:val="single" w:sz="8" w:space="0" w:color="auto"/>
            </w:tcBorders>
            <w:hideMark/>
          </w:tcPr>
          <w:p w14:paraId="07893381" w14:textId="77777777" w:rsidR="009F6CAA" w:rsidRPr="005B367A" w:rsidRDefault="009F6CAA">
            <w:pPr>
              <w:ind w:left="-103"/>
              <w:jc w:val="both"/>
              <w:rPr>
                <w:sz w:val="16"/>
                <w:szCs w:val="16"/>
              </w:rPr>
            </w:pPr>
            <w:r w:rsidRPr="005B367A">
              <w:rPr>
                <w:sz w:val="16"/>
                <w:szCs w:val="16"/>
              </w:rPr>
              <w:t xml:space="preserve">nad  2000  do 4000 </w:t>
            </w:r>
          </w:p>
        </w:tc>
        <w:tc>
          <w:tcPr>
            <w:tcW w:w="1985" w:type="dxa"/>
            <w:tcBorders>
              <w:top w:val="single" w:sz="8" w:space="0" w:color="auto"/>
              <w:left w:val="single" w:sz="8" w:space="0" w:color="auto"/>
              <w:bottom w:val="single" w:sz="8" w:space="0" w:color="auto"/>
              <w:right w:val="single" w:sz="8" w:space="0" w:color="auto"/>
            </w:tcBorders>
            <w:hideMark/>
          </w:tcPr>
          <w:p w14:paraId="35899316" w14:textId="77777777" w:rsidR="009F6CAA" w:rsidRPr="002910D5" w:rsidRDefault="009F6CAA" w:rsidP="00E3505E">
            <w:pPr>
              <w:ind w:left="360" w:right="173"/>
              <w:jc w:val="right"/>
              <w:rPr>
                <w:szCs w:val="20"/>
              </w:rPr>
            </w:pPr>
            <w:r w:rsidRPr="002910D5">
              <w:rPr>
                <w:szCs w:val="20"/>
              </w:rPr>
              <w:t>15</w:t>
            </w:r>
          </w:p>
        </w:tc>
        <w:tc>
          <w:tcPr>
            <w:tcW w:w="1559" w:type="dxa"/>
            <w:tcBorders>
              <w:top w:val="single" w:sz="8" w:space="0" w:color="auto"/>
              <w:left w:val="single" w:sz="8" w:space="0" w:color="auto"/>
              <w:bottom w:val="single" w:sz="8" w:space="0" w:color="auto"/>
              <w:right w:val="single" w:sz="8" w:space="0" w:color="auto"/>
            </w:tcBorders>
          </w:tcPr>
          <w:p w14:paraId="79DC87CF" w14:textId="77777777" w:rsidR="009F6CAA" w:rsidRPr="002910D5" w:rsidRDefault="009F6CAA">
            <w:pPr>
              <w:ind w:left="360"/>
              <w:rPr>
                <w:szCs w:val="20"/>
              </w:rPr>
            </w:pPr>
          </w:p>
        </w:tc>
      </w:tr>
      <w:tr w:rsidR="009F6CAA" w:rsidRPr="002910D5" w14:paraId="7BA56610" w14:textId="77777777" w:rsidTr="00E3505E">
        <w:tc>
          <w:tcPr>
            <w:tcW w:w="851" w:type="dxa"/>
            <w:tcBorders>
              <w:top w:val="single" w:sz="8" w:space="0" w:color="auto"/>
              <w:left w:val="single" w:sz="8" w:space="0" w:color="auto"/>
              <w:bottom w:val="single" w:sz="8" w:space="0" w:color="auto"/>
              <w:right w:val="single" w:sz="8" w:space="0" w:color="auto"/>
            </w:tcBorders>
            <w:hideMark/>
          </w:tcPr>
          <w:p w14:paraId="3775AA83" w14:textId="77777777" w:rsidR="009F6CAA" w:rsidRPr="002910D5" w:rsidRDefault="009F6CAA">
            <w:pPr>
              <w:ind w:left="360"/>
              <w:rPr>
                <w:szCs w:val="20"/>
              </w:rPr>
            </w:pPr>
            <w:r w:rsidRPr="002910D5">
              <w:rPr>
                <w:szCs w:val="20"/>
              </w:rPr>
              <w:t>3.3</w:t>
            </w:r>
          </w:p>
        </w:tc>
        <w:tc>
          <w:tcPr>
            <w:tcW w:w="5670" w:type="dxa"/>
            <w:tcBorders>
              <w:top w:val="single" w:sz="8" w:space="0" w:color="auto"/>
              <w:left w:val="single" w:sz="8" w:space="0" w:color="auto"/>
              <w:bottom w:val="single" w:sz="8" w:space="0" w:color="auto"/>
              <w:right w:val="single" w:sz="8" w:space="0" w:color="auto"/>
            </w:tcBorders>
            <w:hideMark/>
          </w:tcPr>
          <w:p w14:paraId="381B460C" w14:textId="77777777" w:rsidR="009F6CAA" w:rsidRPr="005B367A" w:rsidRDefault="009F6CAA">
            <w:pPr>
              <w:ind w:left="-103"/>
              <w:jc w:val="both"/>
              <w:rPr>
                <w:sz w:val="16"/>
                <w:szCs w:val="16"/>
              </w:rPr>
            </w:pPr>
            <w:r w:rsidRPr="005B367A">
              <w:rPr>
                <w:sz w:val="16"/>
                <w:szCs w:val="16"/>
              </w:rPr>
              <w:t>nad  1000 do 2000</w:t>
            </w:r>
          </w:p>
        </w:tc>
        <w:tc>
          <w:tcPr>
            <w:tcW w:w="1985" w:type="dxa"/>
            <w:tcBorders>
              <w:top w:val="single" w:sz="8" w:space="0" w:color="auto"/>
              <w:left w:val="single" w:sz="8" w:space="0" w:color="auto"/>
              <w:bottom w:val="single" w:sz="8" w:space="0" w:color="auto"/>
              <w:right w:val="single" w:sz="8" w:space="0" w:color="auto"/>
            </w:tcBorders>
            <w:hideMark/>
          </w:tcPr>
          <w:p w14:paraId="095B07C4" w14:textId="77777777" w:rsidR="009F6CAA" w:rsidRPr="002910D5" w:rsidRDefault="009F6CAA" w:rsidP="00E3505E">
            <w:pPr>
              <w:ind w:left="360" w:right="173"/>
              <w:jc w:val="right"/>
              <w:rPr>
                <w:szCs w:val="20"/>
              </w:rPr>
            </w:pPr>
            <w:r w:rsidRPr="002910D5">
              <w:rPr>
                <w:szCs w:val="20"/>
              </w:rPr>
              <w:t>10</w:t>
            </w:r>
          </w:p>
        </w:tc>
        <w:tc>
          <w:tcPr>
            <w:tcW w:w="1559" w:type="dxa"/>
            <w:tcBorders>
              <w:top w:val="single" w:sz="8" w:space="0" w:color="auto"/>
              <w:left w:val="single" w:sz="8" w:space="0" w:color="auto"/>
              <w:bottom w:val="single" w:sz="8" w:space="0" w:color="auto"/>
              <w:right w:val="single" w:sz="8" w:space="0" w:color="auto"/>
            </w:tcBorders>
          </w:tcPr>
          <w:p w14:paraId="04458FAC" w14:textId="77777777" w:rsidR="009F6CAA" w:rsidRPr="002910D5" w:rsidRDefault="009F6CAA">
            <w:pPr>
              <w:ind w:left="360"/>
              <w:rPr>
                <w:szCs w:val="20"/>
              </w:rPr>
            </w:pPr>
          </w:p>
        </w:tc>
      </w:tr>
      <w:tr w:rsidR="009F6CAA" w:rsidRPr="002910D5" w14:paraId="589311C2" w14:textId="77777777" w:rsidTr="00E3505E">
        <w:tc>
          <w:tcPr>
            <w:tcW w:w="851" w:type="dxa"/>
            <w:tcBorders>
              <w:top w:val="single" w:sz="8" w:space="0" w:color="auto"/>
              <w:left w:val="single" w:sz="8" w:space="0" w:color="auto"/>
              <w:bottom w:val="single" w:sz="8" w:space="0" w:color="auto"/>
              <w:right w:val="single" w:sz="8" w:space="0" w:color="auto"/>
            </w:tcBorders>
            <w:hideMark/>
          </w:tcPr>
          <w:p w14:paraId="134976F1" w14:textId="77777777" w:rsidR="009F6CAA" w:rsidRPr="002910D5" w:rsidRDefault="009F6CAA">
            <w:pPr>
              <w:ind w:left="360"/>
              <w:rPr>
                <w:szCs w:val="20"/>
              </w:rPr>
            </w:pPr>
            <w:r w:rsidRPr="002910D5">
              <w:rPr>
                <w:szCs w:val="20"/>
              </w:rPr>
              <w:t>3.4</w:t>
            </w:r>
          </w:p>
        </w:tc>
        <w:tc>
          <w:tcPr>
            <w:tcW w:w="5670" w:type="dxa"/>
            <w:tcBorders>
              <w:top w:val="single" w:sz="8" w:space="0" w:color="auto"/>
              <w:left w:val="single" w:sz="8" w:space="0" w:color="auto"/>
              <w:bottom w:val="single" w:sz="8" w:space="0" w:color="auto"/>
              <w:right w:val="single" w:sz="8" w:space="0" w:color="auto"/>
            </w:tcBorders>
            <w:hideMark/>
          </w:tcPr>
          <w:p w14:paraId="0464AA3C" w14:textId="77777777" w:rsidR="009F6CAA" w:rsidRPr="005B367A" w:rsidRDefault="009F6CAA">
            <w:pPr>
              <w:ind w:left="-103"/>
              <w:jc w:val="both"/>
              <w:rPr>
                <w:sz w:val="16"/>
                <w:szCs w:val="16"/>
              </w:rPr>
            </w:pPr>
            <w:r w:rsidRPr="005B367A">
              <w:rPr>
                <w:sz w:val="16"/>
                <w:szCs w:val="16"/>
              </w:rPr>
              <w:t>pod 1000</w:t>
            </w:r>
          </w:p>
        </w:tc>
        <w:tc>
          <w:tcPr>
            <w:tcW w:w="1985" w:type="dxa"/>
            <w:tcBorders>
              <w:top w:val="single" w:sz="8" w:space="0" w:color="auto"/>
              <w:left w:val="single" w:sz="8" w:space="0" w:color="auto"/>
              <w:bottom w:val="single" w:sz="8" w:space="0" w:color="auto"/>
              <w:right w:val="single" w:sz="8" w:space="0" w:color="auto"/>
            </w:tcBorders>
            <w:hideMark/>
          </w:tcPr>
          <w:p w14:paraId="24E3797E" w14:textId="77777777" w:rsidR="009F6CAA" w:rsidRPr="002910D5" w:rsidRDefault="009F6CAA" w:rsidP="00E3505E">
            <w:pPr>
              <w:ind w:left="360" w:right="173"/>
              <w:jc w:val="right"/>
              <w:rPr>
                <w:szCs w:val="20"/>
              </w:rPr>
            </w:pPr>
            <w:r w:rsidRPr="002910D5">
              <w:rPr>
                <w:szCs w:val="20"/>
              </w:rPr>
              <w:t>5</w:t>
            </w:r>
          </w:p>
        </w:tc>
        <w:tc>
          <w:tcPr>
            <w:tcW w:w="1559" w:type="dxa"/>
            <w:tcBorders>
              <w:top w:val="single" w:sz="8" w:space="0" w:color="auto"/>
              <w:left w:val="single" w:sz="8" w:space="0" w:color="auto"/>
              <w:bottom w:val="single" w:sz="8" w:space="0" w:color="auto"/>
              <w:right w:val="single" w:sz="8" w:space="0" w:color="auto"/>
            </w:tcBorders>
          </w:tcPr>
          <w:p w14:paraId="45B8AB5E" w14:textId="77777777" w:rsidR="009F6CAA" w:rsidRPr="002910D5" w:rsidRDefault="009F6CAA">
            <w:pPr>
              <w:ind w:left="360"/>
              <w:rPr>
                <w:szCs w:val="20"/>
              </w:rPr>
            </w:pPr>
          </w:p>
        </w:tc>
      </w:tr>
      <w:tr w:rsidR="009F6CAA" w:rsidRPr="002910D5" w14:paraId="404063C5" w14:textId="77777777" w:rsidTr="00E3505E">
        <w:tc>
          <w:tcPr>
            <w:tcW w:w="851" w:type="dxa"/>
            <w:tcBorders>
              <w:top w:val="single" w:sz="8" w:space="0" w:color="auto"/>
              <w:left w:val="single" w:sz="8" w:space="0" w:color="auto"/>
              <w:bottom w:val="single" w:sz="8" w:space="0" w:color="auto"/>
              <w:right w:val="single" w:sz="8" w:space="0" w:color="auto"/>
            </w:tcBorders>
            <w:shd w:val="clear" w:color="auto" w:fill="A6A6A6"/>
            <w:hideMark/>
          </w:tcPr>
          <w:p w14:paraId="1D1D2CCD" w14:textId="77777777" w:rsidR="009F6CAA" w:rsidRPr="002910D5" w:rsidRDefault="009F6CAA">
            <w:pPr>
              <w:ind w:left="360"/>
              <w:rPr>
                <w:b/>
                <w:szCs w:val="20"/>
              </w:rPr>
            </w:pPr>
            <w:r w:rsidRPr="002910D5">
              <w:rPr>
                <w:b/>
                <w:szCs w:val="20"/>
              </w:rPr>
              <w:t>4.</w:t>
            </w:r>
          </w:p>
        </w:tc>
        <w:tc>
          <w:tcPr>
            <w:tcW w:w="5670" w:type="dxa"/>
            <w:tcBorders>
              <w:top w:val="single" w:sz="8" w:space="0" w:color="auto"/>
              <w:left w:val="single" w:sz="8" w:space="0" w:color="auto"/>
              <w:bottom w:val="single" w:sz="8" w:space="0" w:color="auto"/>
              <w:right w:val="single" w:sz="8" w:space="0" w:color="auto"/>
            </w:tcBorders>
            <w:shd w:val="clear" w:color="auto" w:fill="A6A6A6"/>
            <w:hideMark/>
          </w:tcPr>
          <w:p w14:paraId="034C687A" w14:textId="77777777" w:rsidR="009F6CAA" w:rsidRPr="005B367A" w:rsidRDefault="009F6CAA">
            <w:pPr>
              <w:ind w:left="38"/>
              <w:jc w:val="both"/>
              <w:rPr>
                <w:b/>
                <w:sz w:val="16"/>
                <w:szCs w:val="16"/>
              </w:rPr>
            </w:pPr>
            <w:r w:rsidRPr="005B367A">
              <w:rPr>
                <w:b/>
                <w:sz w:val="16"/>
                <w:szCs w:val="16"/>
              </w:rPr>
              <w:t xml:space="preserve">Število zaposlenih </w:t>
            </w:r>
          </w:p>
        </w:tc>
        <w:tc>
          <w:tcPr>
            <w:tcW w:w="1985" w:type="dxa"/>
            <w:tcBorders>
              <w:top w:val="single" w:sz="8" w:space="0" w:color="auto"/>
              <w:left w:val="single" w:sz="8" w:space="0" w:color="auto"/>
              <w:bottom w:val="single" w:sz="8" w:space="0" w:color="auto"/>
              <w:right w:val="single" w:sz="8" w:space="0" w:color="auto"/>
            </w:tcBorders>
            <w:shd w:val="clear" w:color="auto" w:fill="A6A6A6"/>
            <w:hideMark/>
          </w:tcPr>
          <w:p w14:paraId="2550C60C" w14:textId="77777777" w:rsidR="009F6CAA" w:rsidRPr="002910D5" w:rsidRDefault="009F6CAA" w:rsidP="00E3505E">
            <w:pPr>
              <w:ind w:left="360" w:right="173"/>
              <w:jc w:val="right"/>
              <w:rPr>
                <w:b/>
                <w:szCs w:val="20"/>
              </w:rPr>
            </w:pPr>
            <w:r w:rsidRPr="002910D5">
              <w:rPr>
                <w:b/>
                <w:szCs w:val="20"/>
              </w:rPr>
              <w:t>15</w:t>
            </w:r>
          </w:p>
        </w:tc>
        <w:tc>
          <w:tcPr>
            <w:tcW w:w="1559" w:type="dxa"/>
            <w:tcBorders>
              <w:top w:val="single" w:sz="8" w:space="0" w:color="auto"/>
              <w:left w:val="single" w:sz="8" w:space="0" w:color="auto"/>
              <w:bottom w:val="single" w:sz="8" w:space="0" w:color="auto"/>
              <w:right w:val="single" w:sz="8" w:space="0" w:color="auto"/>
            </w:tcBorders>
            <w:shd w:val="clear" w:color="auto" w:fill="A6A6A6"/>
          </w:tcPr>
          <w:p w14:paraId="26CA76E8" w14:textId="77777777" w:rsidR="009F6CAA" w:rsidRPr="002910D5" w:rsidRDefault="009F6CAA">
            <w:pPr>
              <w:ind w:left="360"/>
              <w:rPr>
                <w:b/>
                <w:szCs w:val="20"/>
              </w:rPr>
            </w:pPr>
          </w:p>
        </w:tc>
      </w:tr>
      <w:tr w:rsidR="009F6CAA" w:rsidRPr="002910D5" w14:paraId="082DED43" w14:textId="77777777" w:rsidTr="00E3505E">
        <w:trPr>
          <w:trHeight w:val="152"/>
        </w:trPr>
        <w:tc>
          <w:tcPr>
            <w:tcW w:w="851" w:type="dxa"/>
            <w:tcBorders>
              <w:top w:val="single" w:sz="8" w:space="0" w:color="auto"/>
              <w:left w:val="single" w:sz="8" w:space="0" w:color="auto"/>
              <w:bottom w:val="single" w:sz="8" w:space="0" w:color="auto"/>
              <w:right w:val="single" w:sz="8" w:space="0" w:color="auto"/>
            </w:tcBorders>
            <w:hideMark/>
          </w:tcPr>
          <w:p w14:paraId="01404CF8" w14:textId="77777777" w:rsidR="009F6CAA" w:rsidRPr="002910D5" w:rsidRDefault="009F6CAA">
            <w:pPr>
              <w:ind w:left="360"/>
              <w:rPr>
                <w:szCs w:val="20"/>
              </w:rPr>
            </w:pPr>
            <w:r w:rsidRPr="002910D5">
              <w:rPr>
                <w:szCs w:val="20"/>
              </w:rPr>
              <w:lastRenderedPageBreak/>
              <w:t>4.1</w:t>
            </w:r>
          </w:p>
        </w:tc>
        <w:tc>
          <w:tcPr>
            <w:tcW w:w="5670" w:type="dxa"/>
            <w:tcBorders>
              <w:top w:val="single" w:sz="8" w:space="0" w:color="auto"/>
              <w:left w:val="single" w:sz="8" w:space="0" w:color="auto"/>
              <w:bottom w:val="single" w:sz="8" w:space="0" w:color="auto"/>
              <w:right w:val="single" w:sz="8" w:space="0" w:color="auto"/>
            </w:tcBorders>
            <w:hideMark/>
          </w:tcPr>
          <w:p w14:paraId="1AD575C0" w14:textId="77777777" w:rsidR="009F6CAA" w:rsidRPr="005B367A" w:rsidRDefault="009F6CAA">
            <w:pPr>
              <w:ind w:left="-104" w:firstLine="1"/>
              <w:jc w:val="both"/>
              <w:rPr>
                <w:sz w:val="16"/>
                <w:szCs w:val="16"/>
              </w:rPr>
            </w:pPr>
            <w:r w:rsidRPr="005B367A">
              <w:rPr>
                <w:sz w:val="16"/>
                <w:szCs w:val="16"/>
              </w:rPr>
              <w:t xml:space="preserve">manj kot 10 zaposlenih </w:t>
            </w:r>
          </w:p>
        </w:tc>
        <w:tc>
          <w:tcPr>
            <w:tcW w:w="1985" w:type="dxa"/>
            <w:tcBorders>
              <w:top w:val="single" w:sz="8" w:space="0" w:color="auto"/>
              <w:left w:val="single" w:sz="8" w:space="0" w:color="auto"/>
              <w:bottom w:val="single" w:sz="8" w:space="0" w:color="auto"/>
              <w:right w:val="single" w:sz="8" w:space="0" w:color="auto"/>
            </w:tcBorders>
            <w:hideMark/>
          </w:tcPr>
          <w:p w14:paraId="0A130E50" w14:textId="77777777" w:rsidR="009F6CAA" w:rsidRPr="002910D5" w:rsidRDefault="009F6CAA" w:rsidP="00E3505E">
            <w:pPr>
              <w:ind w:left="360" w:right="173"/>
              <w:jc w:val="right"/>
              <w:rPr>
                <w:szCs w:val="20"/>
              </w:rPr>
            </w:pPr>
            <w:r w:rsidRPr="002910D5">
              <w:rPr>
                <w:szCs w:val="20"/>
              </w:rPr>
              <w:t>15</w:t>
            </w:r>
          </w:p>
        </w:tc>
        <w:tc>
          <w:tcPr>
            <w:tcW w:w="1559" w:type="dxa"/>
            <w:tcBorders>
              <w:top w:val="single" w:sz="8" w:space="0" w:color="auto"/>
              <w:left w:val="single" w:sz="8" w:space="0" w:color="auto"/>
              <w:bottom w:val="single" w:sz="8" w:space="0" w:color="auto"/>
              <w:right w:val="single" w:sz="8" w:space="0" w:color="auto"/>
            </w:tcBorders>
          </w:tcPr>
          <w:p w14:paraId="1818BD96" w14:textId="77777777" w:rsidR="009F6CAA" w:rsidRPr="002910D5" w:rsidRDefault="009F6CAA">
            <w:pPr>
              <w:ind w:left="360"/>
              <w:rPr>
                <w:szCs w:val="20"/>
              </w:rPr>
            </w:pPr>
          </w:p>
        </w:tc>
      </w:tr>
      <w:tr w:rsidR="009F6CAA" w:rsidRPr="002910D5" w14:paraId="08340E37" w14:textId="77777777" w:rsidTr="00E3505E">
        <w:trPr>
          <w:trHeight w:val="212"/>
        </w:trPr>
        <w:tc>
          <w:tcPr>
            <w:tcW w:w="851" w:type="dxa"/>
            <w:tcBorders>
              <w:top w:val="single" w:sz="8" w:space="0" w:color="auto"/>
              <w:left w:val="single" w:sz="8" w:space="0" w:color="auto"/>
              <w:bottom w:val="single" w:sz="8" w:space="0" w:color="auto"/>
              <w:right w:val="single" w:sz="8" w:space="0" w:color="auto"/>
            </w:tcBorders>
            <w:hideMark/>
          </w:tcPr>
          <w:p w14:paraId="64F3E34A" w14:textId="77777777" w:rsidR="009F6CAA" w:rsidRPr="002910D5" w:rsidRDefault="009F6CAA">
            <w:pPr>
              <w:ind w:left="360"/>
              <w:rPr>
                <w:szCs w:val="20"/>
              </w:rPr>
            </w:pPr>
            <w:r w:rsidRPr="002910D5">
              <w:rPr>
                <w:szCs w:val="20"/>
              </w:rPr>
              <w:t>4.2</w:t>
            </w:r>
          </w:p>
        </w:tc>
        <w:tc>
          <w:tcPr>
            <w:tcW w:w="5670" w:type="dxa"/>
            <w:tcBorders>
              <w:top w:val="single" w:sz="8" w:space="0" w:color="auto"/>
              <w:left w:val="single" w:sz="8" w:space="0" w:color="auto"/>
              <w:bottom w:val="single" w:sz="8" w:space="0" w:color="auto"/>
              <w:right w:val="single" w:sz="8" w:space="0" w:color="auto"/>
            </w:tcBorders>
            <w:hideMark/>
          </w:tcPr>
          <w:p w14:paraId="7B637C10" w14:textId="77777777" w:rsidR="009F6CAA" w:rsidRPr="005B367A" w:rsidRDefault="009F6CAA">
            <w:pPr>
              <w:pStyle w:val="Telobesedila-zamik"/>
              <w:ind w:left="-104" w:firstLine="1"/>
              <w:rPr>
                <w:sz w:val="16"/>
                <w:szCs w:val="16"/>
              </w:rPr>
            </w:pPr>
            <w:r w:rsidRPr="005B367A">
              <w:rPr>
                <w:sz w:val="16"/>
                <w:szCs w:val="16"/>
              </w:rPr>
              <w:t xml:space="preserve">od 10 - 49 zaposlenih </w:t>
            </w:r>
          </w:p>
        </w:tc>
        <w:tc>
          <w:tcPr>
            <w:tcW w:w="1985" w:type="dxa"/>
            <w:tcBorders>
              <w:top w:val="single" w:sz="8" w:space="0" w:color="auto"/>
              <w:left w:val="single" w:sz="8" w:space="0" w:color="auto"/>
              <w:bottom w:val="single" w:sz="8" w:space="0" w:color="auto"/>
              <w:right w:val="single" w:sz="8" w:space="0" w:color="auto"/>
            </w:tcBorders>
            <w:hideMark/>
          </w:tcPr>
          <w:p w14:paraId="329B62CE" w14:textId="77777777" w:rsidR="009F6CAA" w:rsidRPr="002910D5" w:rsidRDefault="009F6CAA" w:rsidP="00E3505E">
            <w:pPr>
              <w:ind w:left="360" w:right="173"/>
              <w:jc w:val="right"/>
              <w:rPr>
                <w:szCs w:val="20"/>
              </w:rPr>
            </w:pPr>
            <w:r w:rsidRPr="002910D5">
              <w:rPr>
                <w:szCs w:val="20"/>
              </w:rPr>
              <w:t>10</w:t>
            </w:r>
          </w:p>
        </w:tc>
        <w:tc>
          <w:tcPr>
            <w:tcW w:w="1559" w:type="dxa"/>
            <w:tcBorders>
              <w:top w:val="single" w:sz="8" w:space="0" w:color="auto"/>
              <w:left w:val="single" w:sz="8" w:space="0" w:color="auto"/>
              <w:bottom w:val="single" w:sz="8" w:space="0" w:color="auto"/>
              <w:right w:val="single" w:sz="8" w:space="0" w:color="auto"/>
            </w:tcBorders>
          </w:tcPr>
          <w:p w14:paraId="0E2A4F62" w14:textId="77777777" w:rsidR="009F6CAA" w:rsidRPr="002910D5" w:rsidRDefault="009F6CAA">
            <w:pPr>
              <w:ind w:left="360"/>
              <w:rPr>
                <w:szCs w:val="20"/>
              </w:rPr>
            </w:pPr>
          </w:p>
        </w:tc>
      </w:tr>
      <w:tr w:rsidR="009F6CAA" w:rsidRPr="002910D5" w14:paraId="1971A47F" w14:textId="77777777" w:rsidTr="00E3505E">
        <w:tc>
          <w:tcPr>
            <w:tcW w:w="851" w:type="dxa"/>
            <w:tcBorders>
              <w:top w:val="single" w:sz="8" w:space="0" w:color="auto"/>
              <w:left w:val="single" w:sz="8" w:space="0" w:color="auto"/>
              <w:bottom w:val="single" w:sz="8" w:space="0" w:color="auto"/>
              <w:right w:val="single" w:sz="8" w:space="0" w:color="auto"/>
            </w:tcBorders>
            <w:hideMark/>
          </w:tcPr>
          <w:p w14:paraId="5011FC84" w14:textId="77777777" w:rsidR="009F6CAA" w:rsidRPr="002910D5" w:rsidRDefault="009F6CAA">
            <w:pPr>
              <w:ind w:left="360"/>
              <w:rPr>
                <w:szCs w:val="20"/>
              </w:rPr>
            </w:pPr>
            <w:r w:rsidRPr="002910D5">
              <w:rPr>
                <w:szCs w:val="20"/>
              </w:rPr>
              <w:t>4.3</w:t>
            </w:r>
          </w:p>
        </w:tc>
        <w:tc>
          <w:tcPr>
            <w:tcW w:w="5670" w:type="dxa"/>
            <w:tcBorders>
              <w:top w:val="single" w:sz="8" w:space="0" w:color="auto"/>
              <w:left w:val="single" w:sz="8" w:space="0" w:color="auto"/>
              <w:bottom w:val="single" w:sz="8" w:space="0" w:color="auto"/>
              <w:right w:val="single" w:sz="8" w:space="0" w:color="auto"/>
            </w:tcBorders>
            <w:hideMark/>
          </w:tcPr>
          <w:p w14:paraId="5D11380E" w14:textId="77777777" w:rsidR="009F6CAA" w:rsidRPr="005B367A" w:rsidRDefault="009F6CAA">
            <w:pPr>
              <w:ind w:left="-104" w:firstLine="1"/>
              <w:jc w:val="both"/>
              <w:rPr>
                <w:sz w:val="16"/>
                <w:szCs w:val="16"/>
              </w:rPr>
            </w:pPr>
            <w:r w:rsidRPr="005B367A">
              <w:rPr>
                <w:sz w:val="16"/>
                <w:szCs w:val="16"/>
              </w:rPr>
              <w:t xml:space="preserve"> 50 in več zaposlenih </w:t>
            </w:r>
          </w:p>
        </w:tc>
        <w:tc>
          <w:tcPr>
            <w:tcW w:w="1985" w:type="dxa"/>
            <w:tcBorders>
              <w:top w:val="single" w:sz="8" w:space="0" w:color="auto"/>
              <w:left w:val="single" w:sz="8" w:space="0" w:color="auto"/>
              <w:bottom w:val="single" w:sz="8" w:space="0" w:color="auto"/>
              <w:right w:val="single" w:sz="8" w:space="0" w:color="auto"/>
            </w:tcBorders>
            <w:hideMark/>
          </w:tcPr>
          <w:p w14:paraId="78A064B2" w14:textId="77777777" w:rsidR="009F6CAA" w:rsidRPr="002910D5" w:rsidRDefault="009F6CAA" w:rsidP="00E3505E">
            <w:pPr>
              <w:ind w:left="360" w:right="173"/>
              <w:jc w:val="right"/>
              <w:rPr>
                <w:szCs w:val="20"/>
              </w:rPr>
            </w:pPr>
            <w:r w:rsidRPr="002910D5">
              <w:rPr>
                <w:szCs w:val="20"/>
              </w:rPr>
              <w:t>5</w:t>
            </w:r>
          </w:p>
        </w:tc>
        <w:tc>
          <w:tcPr>
            <w:tcW w:w="1559" w:type="dxa"/>
            <w:tcBorders>
              <w:top w:val="single" w:sz="8" w:space="0" w:color="auto"/>
              <w:left w:val="single" w:sz="8" w:space="0" w:color="auto"/>
              <w:bottom w:val="single" w:sz="8" w:space="0" w:color="auto"/>
              <w:right w:val="single" w:sz="8" w:space="0" w:color="auto"/>
            </w:tcBorders>
          </w:tcPr>
          <w:p w14:paraId="3C440B48" w14:textId="77777777" w:rsidR="009F6CAA" w:rsidRPr="002910D5" w:rsidRDefault="009F6CAA">
            <w:pPr>
              <w:ind w:left="360"/>
              <w:rPr>
                <w:szCs w:val="20"/>
              </w:rPr>
            </w:pPr>
          </w:p>
        </w:tc>
      </w:tr>
      <w:tr w:rsidR="009F6CAA" w:rsidRPr="002910D5" w14:paraId="0F925936" w14:textId="77777777" w:rsidTr="00E3505E">
        <w:tc>
          <w:tcPr>
            <w:tcW w:w="851" w:type="dxa"/>
            <w:tcBorders>
              <w:top w:val="single" w:sz="8" w:space="0" w:color="auto"/>
              <w:left w:val="single" w:sz="8" w:space="0" w:color="auto"/>
              <w:bottom w:val="single" w:sz="8" w:space="0" w:color="auto"/>
              <w:right w:val="single" w:sz="8" w:space="0" w:color="auto"/>
            </w:tcBorders>
            <w:shd w:val="clear" w:color="auto" w:fill="BFBFBF"/>
            <w:hideMark/>
          </w:tcPr>
          <w:p w14:paraId="37C05FB9" w14:textId="77777777" w:rsidR="009F6CAA" w:rsidRPr="002910D5" w:rsidRDefault="009F6CAA">
            <w:pPr>
              <w:ind w:left="360"/>
              <w:rPr>
                <w:b/>
                <w:szCs w:val="20"/>
              </w:rPr>
            </w:pPr>
            <w:r w:rsidRPr="002910D5">
              <w:rPr>
                <w:b/>
                <w:szCs w:val="20"/>
              </w:rPr>
              <w:t>5.</w:t>
            </w:r>
          </w:p>
        </w:tc>
        <w:tc>
          <w:tcPr>
            <w:tcW w:w="5670" w:type="dxa"/>
            <w:tcBorders>
              <w:top w:val="single" w:sz="8" w:space="0" w:color="auto"/>
              <w:left w:val="single" w:sz="8" w:space="0" w:color="auto"/>
              <w:bottom w:val="single" w:sz="8" w:space="0" w:color="auto"/>
              <w:right w:val="single" w:sz="8" w:space="0" w:color="auto"/>
            </w:tcBorders>
            <w:shd w:val="clear" w:color="auto" w:fill="BFBFBF"/>
            <w:hideMark/>
          </w:tcPr>
          <w:p w14:paraId="6A250FE6" w14:textId="77777777" w:rsidR="009F6CAA" w:rsidRPr="005B367A" w:rsidRDefault="009F6CAA">
            <w:pPr>
              <w:jc w:val="both"/>
              <w:rPr>
                <w:b/>
                <w:sz w:val="16"/>
                <w:szCs w:val="16"/>
              </w:rPr>
            </w:pPr>
            <w:r w:rsidRPr="005B367A">
              <w:rPr>
                <w:b/>
                <w:sz w:val="16"/>
                <w:szCs w:val="16"/>
              </w:rPr>
              <w:t>bonitetna ocena vlagatelja po modelu S.BON</w:t>
            </w:r>
          </w:p>
        </w:tc>
        <w:tc>
          <w:tcPr>
            <w:tcW w:w="1985" w:type="dxa"/>
            <w:tcBorders>
              <w:top w:val="single" w:sz="8" w:space="0" w:color="auto"/>
              <w:left w:val="single" w:sz="8" w:space="0" w:color="auto"/>
              <w:bottom w:val="single" w:sz="8" w:space="0" w:color="auto"/>
              <w:right w:val="single" w:sz="8" w:space="0" w:color="auto"/>
            </w:tcBorders>
            <w:shd w:val="clear" w:color="auto" w:fill="BFBFBF"/>
            <w:hideMark/>
          </w:tcPr>
          <w:p w14:paraId="2ADFE6A3" w14:textId="77777777" w:rsidR="009F6CAA" w:rsidRPr="002910D5" w:rsidRDefault="009F6CAA" w:rsidP="00E3505E">
            <w:pPr>
              <w:ind w:left="360" w:right="173"/>
              <w:jc w:val="right"/>
              <w:rPr>
                <w:b/>
                <w:szCs w:val="20"/>
              </w:rPr>
            </w:pPr>
            <w:r w:rsidRPr="002910D5">
              <w:rPr>
                <w:b/>
                <w:szCs w:val="20"/>
              </w:rPr>
              <w:t>15</w:t>
            </w:r>
          </w:p>
        </w:tc>
        <w:tc>
          <w:tcPr>
            <w:tcW w:w="1559" w:type="dxa"/>
            <w:tcBorders>
              <w:top w:val="single" w:sz="8" w:space="0" w:color="auto"/>
              <w:left w:val="single" w:sz="8" w:space="0" w:color="auto"/>
              <w:bottom w:val="single" w:sz="8" w:space="0" w:color="auto"/>
              <w:right w:val="single" w:sz="8" w:space="0" w:color="auto"/>
            </w:tcBorders>
            <w:shd w:val="clear" w:color="auto" w:fill="BFBFBF"/>
          </w:tcPr>
          <w:p w14:paraId="6A9FCD42" w14:textId="77777777" w:rsidR="009F6CAA" w:rsidRPr="002910D5" w:rsidRDefault="009F6CAA">
            <w:pPr>
              <w:ind w:left="360"/>
              <w:rPr>
                <w:b/>
                <w:szCs w:val="20"/>
              </w:rPr>
            </w:pPr>
          </w:p>
        </w:tc>
      </w:tr>
      <w:tr w:rsidR="009F6CAA" w:rsidRPr="002910D5" w14:paraId="4A62268D" w14:textId="77777777" w:rsidTr="00E3505E">
        <w:tc>
          <w:tcPr>
            <w:tcW w:w="851" w:type="dxa"/>
            <w:tcBorders>
              <w:top w:val="single" w:sz="8" w:space="0" w:color="auto"/>
              <w:left w:val="single" w:sz="8" w:space="0" w:color="auto"/>
              <w:bottom w:val="single" w:sz="8" w:space="0" w:color="auto"/>
              <w:right w:val="single" w:sz="8" w:space="0" w:color="auto"/>
            </w:tcBorders>
            <w:hideMark/>
          </w:tcPr>
          <w:p w14:paraId="7C75263C" w14:textId="77777777" w:rsidR="009F6CAA" w:rsidRPr="002910D5" w:rsidRDefault="009F6CAA">
            <w:pPr>
              <w:ind w:left="360"/>
              <w:rPr>
                <w:szCs w:val="20"/>
              </w:rPr>
            </w:pPr>
            <w:r w:rsidRPr="002910D5">
              <w:rPr>
                <w:szCs w:val="20"/>
              </w:rPr>
              <w:t>5.1</w:t>
            </w:r>
          </w:p>
        </w:tc>
        <w:tc>
          <w:tcPr>
            <w:tcW w:w="5670" w:type="dxa"/>
            <w:tcBorders>
              <w:top w:val="single" w:sz="8" w:space="0" w:color="auto"/>
              <w:left w:val="single" w:sz="8" w:space="0" w:color="auto"/>
              <w:bottom w:val="single" w:sz="8" w:space="0" w:color="auto"/>
              <w:right w:val="single" w:sz="8" w:space="0" w:color="auto"/>
            </w:tcBorders>
            <w:hideMark/>
          </w:tcPr>
          <w:p w14:paraId="3548BFC9" w14:textId="77777777" w:rsidR="009F6CAA" w:rsidRPr="005B367A" w:rsidRDefault="009F6CAA">
            <w:pPr>
              <w:ind w:left="-103"/>
              <w:jc w:val="both"/>
              <w:rPr>
                <w:sz w:val="16"/>
                <w:szCs w:val="16"/>
              </w:rPr>
            </w:pPr>
            <w:r w:rsidRPr="005B367A">
              <w:rPr>
                <w:sz w:val="16"/>
                <w:szCs w:val="16"/>
              </w:rPr>
              <w:t>SB1, SB2, SB3, SB4</w:t>
            </w:r>
          </w:p>
        </w:tc>
        <w:tc>
          <w:tcPr>
            <w:tcW w:w="1985" w:type="dxa"/>
            <w:tcBorders>
              <w:top w:val="single" w:sz="8" w:space="0" w:color="auto"/>
              <w:left w:val="single" w:sz="8" w:space="0" w:color="auto"/>
              <w:bottom w:val="single" w:sz="8" w:space="0" w:color="auto"/>
              <w:right w:val="single" w:sz="8" w:space="0" w:color="auto"/>
            </w:tcBorders>
            <w:hideMark/>
          </w:tcPr>
          <w:p w14:paraId="42F262C1" w14:textId="77777777" w:rsidR="009F6CAA" w:rsidRPr="002910D5" w:rsidRDefault="009F6CAA" w:rsidP="00E3505E">
            <w:pPr>
              <w:ind w:left="360" w:right="173"/>
              <w:jc w:val="right"/>
              <w:rPr>
                <w:szCs w:val="20"/>
              </w:rPr>
            </w:pPr>
            <w:r w:rsidRPr="002910D5">
              <w:rPr>
                <w:szCs w:val="20"/>
              </w:rPr>
              <w:t>10</w:t>
            </w:r>
          </w:p>
        </w:tc>
        <w:tc>
          <w:tcPr>
            <w:tcW w:w="1559" w:type="dxa"/>
            <w:tcBorders>
              <w:top w:val="single" w:sz="8" w:space="0" w:color="auto"/>
              <w:left w:val="single" w:sz="8" w:space="0" w:color="auto"/>
              <w:bottom w:val="single" w:sz="8" w:space="0" w:color="auto"/>
              <w:right w:val="single" w:sz="8" w:space="0" w:color="auto"/>
            </w:tcBorders>
          </w:tcPr>
          <w:p w14:paraId="67C34CB2" w14:textId="77777777" w:rsidR="009F6CAA" w:rsidRPr="002910D5" w:rsidRDefault="009F6CAA">
            <w:pPr>
              <w:ind w:left="360"/>
              <w:rPr>
                <w:szCs w:val="20"/>
              </w:rPr>
            </w:pPr>
          </w:p>
        </w:tc>
      </w:tr>
      <w:tr w:rsidR="009F6CAA" w:rsidRPr="002910D5" w14:paraId="45CCBF61" w14:textId="77777777" w:rsidTr="00E3505E">
        <w:tc>
          <w:tcPr>
            <w:tcW w:w="851" w:type="dxa"/>
            <w:tcBorders>
              <w:top w:val="single" w:sz="8" w:space="0" w:color="auto"/>
              <w:left w:val="single" w:sz="8" w:space="0" w:color="auto"/>
              <w:bottom w:val="single" w:sz="8" w:space="0" w:color="auto"/>
              <w:right w:val="single" w:sz="8" w:space="0" w:color="auto"/>
            </w:tcBorders>
            <w:hideMark/>
          </w:tcPr>
          <w:p w14:paraId="326DB98D" w14:textId="77777777" w:rsidR="009F6CAA" w:rsidRPr="002910D5" w:rsidRDefault="009F6CAA">
            <w:pPr>
              <w:ind w:left="360"/>
              <w:rPr>
                <w:szCs w:val="20"/>
              </w:rPr>
            </w:pPr>
            <w:r w:rsidRPr="002910D5">
              <w:rPr>
                <w:szCs w:val="20"/>
              </w:rPr>
              <w:t>5.2</w:t>
            </w:r>
          </w:p>
        </w:tc>
        <w:tc>
          <w:tcPr>
            <w:tcW w:w="5670" w:type="dxa"/>
            <w:tcBorders>
              <w:top w:val="single" w:sz="8" w:space="0" w:color="auto"/>
              <w:left w:val="single" w:sz="8" w:space="0" w:color="auto"/>
              <w:bottom w:val="single" w:sz="8" w:space="0" w:color="auto"/>
              <w:right w:val="single" w:sz="8" w:space="0" w:color="auto"/>
            </w:tcBorders>
            <w:hideMark/>
          </w:tcPr>
          <w:p w14:paraId="36743741" w14:textId="77777777" w:rsidR="009F6CAA" w:rsidRPr="005B367A" w:rsidRDefault="009F6CAA">
            <w:pPr>
              <w:ind w:left="-103"/>
              <w:jc w:val="both"/>
              <w:rPr>
                <w:sz w:val="16"/>
                <w:szCs w:val="16"/>
              </w:rPr>
            </w:pPr>
            <w:r w:rsidRPr="005B367A">
              <w:rPr>
                <w:sz w:val="16"/>
                <w:szCs w:val="16"/>
              </w:rPr>
              <w:t>SB5, SB6</w:t>
            </w:r>
          </w:p>
        </w:tc>
        <w:tc>
          <w:tcPr>
            <w:tcW w:w="1985" w:type="dxa"/>
            <w:tcBorders>
              <w:top w:val="single" w:sz="8" w:space="0" w:color="auto"/>
              <w:left w:val="single" w:sz="8" w:space="0" w:color="auto"/>
              <w:bottom w:val="single" w:sz="8" w:space="0" w:color="auto"/>
              <w:right w:val="single" w:sz="8" w:space="0" w:color="auto"/>
            </w:tcBorders>
            <w:hideMark/>
          </w:tcPr>
          <w:p w14:paraId="23789B12" w14:textId="77777777" w:rsidR="009F6CAA" w:rsidRPr="002910D5" w:rsidRDefault="009F6CAA" w:rsidP="00E3505E">
            <w:pPr>
              <w:ind w:left="360" w:right="173"/>
              <w:jc w:val="right"/>
              <w:rPr>
                <w:szCs w:val="20"/>
              </w:rPr>
            </w:pPr>
            <w:r w:rsidRPr="002910D5">
              <w:rPr>
                <w:szCs w:val="20"/>
              </w:rPr>
              <w:t>8</w:t>
            </w:r>
          </w:p>
        </w:tc>
        <w:tc>
          <w:tcPr>
            <w:tcW w:w="1559" w:type="dxa"/>
            <w:tcBorders>
              <w:top w:val="single" w:sz="8" w:space="0" w:color="auto"/>
              <w:left w:val="single" w:sz="8" w:space="0" w:color="auto"/>
              <w:bottom w:val="single" w:sz="8" w:space="0" w:color="auto"/>
              <w:right w:val="single" w:sz="8" w:space="0" w:color="auto"/>
            </w:tcBorders>
          </w:tcPr>
          <w:p w14:paraId="64E1CEF0" w14:textId="77777777" w:rsidR="009F6CAA" w:rsidRPr="002910D5" w:rsidRDefault="009F6CAA">
            <w:pPr>
              <w:ind w:left="360"/>
              <w:rPr>
                <w:szCs w:val="20"/>
              </w:rPr>
            </w:pPr>
          </w:p>
        </w:tc>
      </w:tr>
      <w:tr w:rsidR="009F6CAA" w:rsidRPr="002910D5" w14:paraId="7E138AF2" w14:textId="77777777" w:rsidTr="00E3505E">
        <w:trPr>
          <w:trHeight w:val="286"/>
        </w:trPr>
        <w:tc>
          <w:tcPr>
            <w:tcW w:w="851" w:type="dxa"/>
            <w:tcBorders>
              <w:top w:val="single" w:sz="8" w:space="0" w:color="auto"/>
              <w:left w:val="single" w:sz="8" w:space="0" w:color="auto"/>
              <w:bottom w:val="single" w:sz="8" w:space="0" w:color="auto"/>
              <w:right w:val="single" w:sz="8" w:space="0" w:color="auto"/>
            </w:tcBorders>
            <w:hideMark/>
          </w:tcPr>
          <w:p w14:paraId="5AD6BF2F" w14:textId="77777777" w:rsidR="009F6CAA" w:rsidRPr="002910D5" w:rsidRDefault="009F6CAA">
            <w:pPr>
              <w:ind w:left="360"/>
              <w:rPr>
                <w:szCs w:val="20"/>
              </w:rPr>
            </w:pPr>
            <w:r w:rsidRPr="002910D5">
              <w:rPr>
                <w:szCs w:val="20"/>
              </w:rPr>
              <w:t>5.3</w:t>
            </w:r>
          </w:p>
        </w:tc>
        <w:tc>
          <w:tcPr>
            <w:tcW w:w="5670" w:type="dxa"/>
            <w:tcBorders>
              <w:top w:val="single" w:sz="8" w:space="0" w:color="auto"/>
              <w:left w:val="single" w:sz="8" w:space="0" w:color="auto"/>
              <w:bottom w:val="single" w:sz="8" w:space="0" w:color="auto"/>
              <w:right w:val="single" w:sz="8" w:space="0" w:color="auto"/>
            </w:tcBorders>
            <w:hideMark/>
          </w:tcPr>
          <w:p w14:paraId="7B714AD5" w14:textId="77777777" w:rsidR="009F6CAA" w:rsidRPr="005B367A" w:rsidRDefault="009F6CAA">
            <w:pPr>
              <w:ind w:left="-103"/>
              <w:jc w:val="both"/>
              <w:rPr>
                <w:sz w:val="16"/>
                <w:szCs w:val="16"/>
              </w:rPr>
            </w:pPr>
            <w:r w:rsidRPr="005B367A">
              <w:rPr>
                <w:sz w:val="16"/>
                <w:szCs w:val="16"/>
              </w:rPr>
              <w:t xml:space="preserve">SB7  in več </w:t>
            </w:r>
          </w:p>
        </w:tc>
        <w:tc>
          <w:tcPr>
            <w:tcW w:w="1985" w:type="dxa"/>
            <w:tcBorders>
              <w:top w:val="single" w:sz="8" w:space="0" w:color="auto"/>
              <w:left w:val="single" w:sz="8" w:space="0" w:color="auto"/>
              <w:bottom w:val="single" w:sz="8" w:space="0" w:color="auto"/>
              <w:right w:val="single" w:sz="8" w:space="0" w:color="auto"/>
            </w:tcBorders>
            <w:hideMark/>
          </w:tcPr>
          <w:p w14:paraId="4450C8A3" w14:textId="77777777" w:rsidR="009F6CAA" w:rsidRPr="002910D5" w:rsidRDefault="009F6CAA" w:rsidP="00E3505E">
            <w:pPr>
              <w:ind w:left="360" w:right="173"/>
              <w:jc w:val="right"/>
              <w:rPr>
                <w:szCs w:val="20"/>
              </w:rPr>
            </w:pPr>
            <w:r w:rsidRPr="002910D5">
              <w:rPr>
                <w:szCs w:val="20"/>
              </w:rPr>
              <w:t>5</w:t>
            </w:r>
          </w:p>
        </w:tc>
        <w:tc>
          <w:tcPr>
            <w:tcW w:w="1559" w:type="dxa"/>
            <w:tcBorders>
              <w:top w:val="single" w:sz="8" w:space="0" w:color="auto"/>
              <w:left w:val="single" w:sz="8" w:space="0" w:color="auto"/>
              <w:bottom w:val="single" w:sz="8" w:space="0" w:color="auto"/>
              <w:right w:val="single" w:sz="8" w:space="0" w:color="auto"/>
            </w:tcBorders>
          </w:tcPr>
          <w:p w14:paraId="6A2DE769" w14:textId="77777777" w:rsidR="009F6CAA" w:rsidRPr="002910D5" w:rsidRDefault="009F6CAA">
            <w:pPr>
              <w:ind w:left="360"/>
              <w:rPr>
                <w:szCs w:val="20"/>
              </w:rPr>
            </w:pPr>
          </w:p>
        </w:tc>
      </w:tr>
      <w:tr w:rsidR="009F6CAA" w:rsidRPr="002910D5" w14:paraId="2FD88110" w14:textId="77777777" w:rsidTr="00E3505E">
        <w:trPr>
          <w:trHeight w:val="178"/>
        </w:trPr>
        <w:tc>
          <w:tcPr>
            <w:tcW w:w="851" w:type="dxa"/>
            <w:tcBorders>
              <w:top w:val="single" w:sz="8" w:space="0" w:color="auto"/>
              <w:left w:val="single" w:sz="8" w:space="0" w:color="auto"/>
              <w:bottom w:val="single" w:sz="8" w:space="0" w:color="auto"/>
              <w:right w:val="single" w:sz="8" w:space="0" w:color="auto"/>
            </w:tcBorders>
            <w:shd w:val="clear" w:color="auto" w:fill="808080"/>
          </w:tcPr>
          <w:p w14:paraId="4EC66405" w14:textId="77777777" w:rsidR="009F6CAA" w:rsidRPr="002910D5" w:rsidRDefault="009F6CAA">
            <w:pPr>
              <w:ind w:left="360"/>
              <w:rPr>
                <w:szCs w:val="20"/>
              </w:rPr>
            </w:pPr>
          </w:p>
        </w:tc>
        <w:tc>
          <w:tcPr>
            <w:tcW w:w="5670" w:type="dxa"/>
            <w:tcBorders>
              <w:top w:val="single" w:sz="8" w:space="0" w:color="auto"/>
              <w:left w:val="single" w:sz="8" w:space="0" w:color="auto"/>
              <w:bottom w:val="single" w:sz="8" w:space="0" w:color="auto"/>
              <w:right w:val="single" w:sz="8" w:space="0" w:color="auto"/>
            </w:tcBorders>
            <w:shd w:val="clear" w:color="auto" w:fill="808080"/>
            <w:hideMark/>
          </w:tcPr>
          <w:p w14:paraId="2BF7E245" w14:textId="0296B790" w:rsidR="009F6CAA" w:rsidRPr="002910D5" w:rsidRDefault="009F6CAA" w:rsidP="005B367A">
            <w:pPr>
              <w:ind w:left="360"/>
              <w:jc w:val="center"/>
              <w:rPr>
                <w:szCs w:val="20"/>
              </w:rPr>
            </w:pPr>
            <w:r w:rsidRPr="002910D5">
              <w:rPr>
                <w:szCs w:val="20"/>
              </w:rPr>
              <w:t>SKUPAJ</w:t>
            </w:r>
          </w:p>
        </w:tc>
        <w:tc>
          <w:tcPr>
            <w:tcW w:w="1985" w:type="dxa"/>
            <w:tcBorders>
              <w:top w:val="single" w:sz="8" w:space="0" w:color="auto"/>
              <w:left w:val="single" w:sz="8" w:space="0" w:color="auto"/>
              <w:bottom w:val="single" w:sz="8" w:space="0" w:color="auto"/>
              <w:right w:val="single" w:sz="8" w:space="0" w:color="auto"/>
            </w:tcBorders>
            <w:shd w:val="clear" w:color="auto" w:fill="808080"/>
            <w:hideMark/>
          </w:tcPr>
          <w:p w14:paraId="5FB02B5C" w14:textId="63C1CF3F" w:rsidR="009F6CAA" w:rsidRPr="002910D5" w:rsidRDefault="005B367A" w:rsidP="005B367A">
            <w:pPr>
              <w:ind w:left="360" w:right="173"/>
              <w:jc w:val="right"/>
              <w:rPr>
                <w:b/>
                <w:szCs w:val="20"/>
              </w:rPr>
            </w:pPr>
            <w:r>
              <w:rPr>
                <w:b/>
                <w:szCs w:val="20"/>
              </w:rPr>
              <w:t>80</w:t>
            </w:r>
          </w:p>
        </w:tc>
        <w:tc>
          <w:tcPr>
            <w:tcW w:w="1559" w:type="dxa"/>
            <w:tcBorders>
              <w:top w:val="single" w:sz="8" w:space="0" w:color="auto"/>
              <w:left w:val="single" w:sz="8" w:space="0" w:color="auto"/>
              <w:bottom w:val="single" w:sz="8" w:space="0" w:color="auto"/>
              <w:right w:val="single" w:sz="8" w:space="0" w:color="auto"/>
            </w:tcBorders>
            <w:shd w:val="clear" w:color="auto" w:fill="808080"/>
          </w:tcPr>
          <w:p w14:paraId="047C4E67" w14:textId="77777777" w:rsidR="009F6CAA" w:rsidRPr="002910D5" w:rsidRDefault="009F6CAA">
            <w:pPr>
              <w:ind w:left="360"/>
              <w:rPr>
                <w:b/>
                <w:bCs w:val="0"/>
                <w:szCs w:val="20"/>
              </w:rPr>
            </w:pPr>
          </w:p>
        </w:tc>
      </w:tr>
    </w:tbl>
    <w:p w14:paraId="1FDC0CC5" w14:textId="77777777" w:rsidR="009F6CAA" w:rsidRPr="002910D5" w:rsidRDefault="009F6CAA" w:rsidP="009F6CAA">
      <w:pPr>
        <w:pStyle w:val="Telobesedila-zamik"/>
        <w:spacing w:after="0" w:line="276" w:lineRule="auto"/>
        <w:ind w:left="360"/>
        <w:rPr>
          <w:bCs w:val="0"/>
          <w:szCs w:val="20"/>
        </w:rPr>
      </w:pPr>
    </w:p>
    <w:p w14:paraId="57E29FC1" w14:textId="77777777" w:rsidR="009F6CAA" w:rsidRPr="002910D5" w:rsidRDefault="009F6CAA" w:rsidP="009F6CAA">
      <w:pPr>
        <w:pStyle w:val="Telobesedila-zamik"/>
        <w:spacing w:after="0" w:line="276" w:lineRule="auto"/>
        <w:ind w:left="0"/>
        <w:rPr>
          <w:szCs w:val="20"/>
        </w:rPr>
      </w:pPr>
    </w:p>
    <w:p w14:paraId="2C17A62D" w14:textId="77777777" w:rsidR="009F6CAA" w:rsidRPr="002910D5" w:rsidRDefault="009F6CAA" w:rsidP="00EA4357">
      <w:pPr>
        <w:spacing w:line="240" w:lineRule="auto"/>
        <w:ind w:left="0"/>
        <w:jc w:val="both"/>
        <w:rPr>
          <w:b/>
          <w:color w:val="000000"/>
          <w:szCs w:val="20"/>
          <w:u w:val="single"/>
        </w:rPr>
      </w:pPr>
      <w:r w:rsidRPr="002910D5">
        <w:rPr>
          <w:b/>
          <w:color w:val="000000"/>
          <w:szCs w:val="20"/>
          <w:u w:val="single"/>
        </w:rPr>
        <w:t>Obrazložitev meril:</w:t>
      </w:r>
    </w:p>
    <w:p w14:paraId="45BC89D0" w14:textId="77777777" w:rsidR="009F6CAA" w:rsidRPr="002910D5" w:rsidRDefault="009F6CAA" w:rsidP="00EA4357">
      <w:pPr>
        <w:spacing w:line="240" w:lineRule="auto"/>
        <w:ind w:left="0"/>
        <w:jc w:val="both"/>
        <w:rPr>
          <w:b/>
          <w:szCs w:val="20"/>
        </w:rPr>
      </w:pPr>
      <w:r w:rsidRPr="002910D5">
        <w:rPr>
          <w:b/>
          <w:szCs w:val="20"/>
        </w:rPr>
        <w:t>Merilo vrsta investicije:</w:t>
      </w:r>
    </w:p>
    <w:p w14:paraId="6CFFB771" w14:textId="77777777" w:rsidR="009F6CAA" w:rsidRPr="002910D5" w:rsidRDefault="009F6CAA" w:rsidP="007D5B48">
      <w:pPr>
        <w:spacing w:line="240" w:lineRule="auto"/>
        <w:ind w:left="0"/>
        <w:rPr>
          <w:szCs w:val="20"/>
        </w:rPr>
      </w:pPr>
      <w:r w:rsidRPr="002910D5">
        <w:rPr>
          <w:bCs w:val="0"/>
          <w:szCs w:val="20"/>
        </w:rPr>
        <w:t xml:space="preserve">V kolikor  vlagatelj   gradi novi objekt prejme  petnajst (15) točk. V kolikor pa gre za dozidavo že obstoječega objekta prejme vlagatelj deset  (10)  točk.   </w:t>
      </w:r>
    </w:p>
    <w:p w14:paraId="31C9442F" w14:textId="77777777" w:rsidR="009F6CAA" w:rsidRPr="009F6CAA" w:rsidRDefault="009F6CAA" w:rsidP="007D5B48">
      <w:pPr>
        <w:spacing w:line="240" w:lineRule="auto"/>
        <w:ind w:left="0"/>
        <w:rPr>
          <w:b/>
          <w:szCs w:val="20"/>
        </w:rPr>
      </w:pPr>
      <w:r w:rsidRPr="009F6CAA">
        <w:rPr>
          <w:b/>
          <w:bCs w:val="0"/>
          <w:szCs w:val="20"/>
        </w:rPr>
        <w:t>Merilo lokacija zemljišča:</w:t>
      </w:r>
    </w:p>
    <w:p w14:paraId="11498F53" w14:textId="77777777" w:rsidR="009F6CAA" w:rsidRPr="009F6CAA" w:rsidRDefault="009F6CAA" w:rsidP="007D5B48">
      <w:pPr>
        <w:spacing w:line="240" w:lineRule="auto"/>
        <w:ind w:left="0"/>
        <w:rPr>
          <w:bCs w:val="0"/>
          <w:szCs w:val="20"/>
        </w:rPr>
      </w:pPr>
      <w:r w:rsidRPr="009F6CAA">
        <w:rPr>
          <w:szCs w:val="20"/>
        </w:rPr>
        <w:t>V kolikor vlagatelj gradi objekt na zemljišču v poslovno ekonomski coni Kromberk   prejme dvajset (20) točk, za gradnjo ali dozidavo na zemljiščih  na območju urejenih  poslovnih con (skladno z OPN občine) prejme  deset (10) točk , za gradnjo ali dozidavo na drugih lokacijah v občini pa prejme vlagatelj pet (5) točk.</w:t>
      </w:r>
    </w:p>
    <w:p w14:paraId="43E36C98" w14:textId="77777777" w:rsidR="009F6CAA" w:rsidRPr="009F6CAA" w:rsidRDefault="009F6CAA" w:rsidP="007D5B48">
      <w:pPr>
        <w:spacing w:line="240" w:lineRule="auto"/>
        <w:ind w:left="0"/>
        <w:rPr>
          <w:b/>
          <w:szCs w:val="20"/>
        </w:rPr>
      </w:pPr>
      <w:r w:rsidRPr="009F6CAA">
        <w:rPr>
          <w:b/>
          <w:szCs w:val="20"/>
        </w:rPr>
        <w:t>Bruto  tlorisna površina parcele (v</w:t>
      </w:r>
      <w:r w:rsidRPr="009F6CAA">
        <w:rPr>
          <w:szCs w:val="20"/>
        </w:rPr>
        <w:t xml:space="preserve"> </w:t>
      </w:r>
      <w:r w:rsidRPr="009F6CAA">
        <w:rPr>
          <w:b/>
          <w:bCs w:val="0"/>
          <w:szCs w:val="20"/>
        </w:rPr>
        <w:t>m</w:t>
      </w:r>
      <w:r w:rsidRPr="009F6CAA">
        <w:rPr>
          <w:b/>
          <w:bCs w:val="0"/>
          <w:szCs w:val="20"/>
          <w:vertAlign w:val="superscript"/>
        </w:rPr>
        <w:t>2</w:t>
      </w:r>
      <w:r w:rsidRPr="009F6CAA">
        <w:rPr>
          <w:b/>
          <w:szCs w:val="20"/>
        </w:rPr>
        <w:t xml:space="preserve"> ):</w:t>
      </w:r>
    </w:p>
    <w:p w14:paraId="06C9EE38" w14:textId="77777777" w:rsidR="009F6CAA" w:rsidRPr="009F6CAA" w:rsidRDefault="009F6CAA" w:rsidP="009962CD">
      <w:pPr>
        <w:spacing w:line="240" w:lineRule="auto"/>
        <w:ind w:left="0"/>
        <w:rPr>
          <w:szCs w:val="20"/>
        </w:rPr>
      </w:pPr>
      <w:r w:rsidRPr="009F6CAA">
        <w:rPr>
          <w:szCs w:val="20"/>
        </w:rPr>
        <w:t xml:space="preserve">Pri tem merilu je število točk odvisno od  bruto tlorisne površine   parcele, kjer vlagatelj gradi ali dozidava objekt.  </w:t>
      </w:r>
    </w:p>
    <w:p w14:paraId="10B4E99E" w14:textId="77777777" w:rsidR="009F6CAA" w:rsidRPr="009F6CAA" w:rsidRDefault="009F6CAA" w:rsidP="007D5B48">
      <w:pPr>
        <w:spacing w:line="240" w:lineRule="auto"/>
        <w:ind w:left="0"/>
        <w:rPr>
          <w:b/>
          <w:szCs w:val="20"/>
        </w:rPr>
      </w:pPr>
      <w:r w:rsidRPr="009F6CAA">
        <w:rPr>
          <w:b/>
          <w:bCs w:val="0"/>
          <w:szCs w:val="20"/>
        </w:rPr>
        <w:t>Število zaposlenih</w:t>
      </w:r>
    </w:p>
    <w:p w14:paraId="07730355" w14:textId="77777777" w:rsidR="009F6CAA" w:rsidRPr="009F6CAA" w:rsidRDefault="009F6CAA" w:rsidP="007D5B48">
      <w:pPr>
        <w:spacing w:line="240" w:lineRule="auto"/>
        <w:ind w:left="0"/>
        <w:rPr>
          <w:bCs w:val="0"/>
          <w:szCs w:val="20"/>
        </w:rPr>
      </w:pPr>
      <w:r w:rsidRPr="005B367A">
        <w:rPr>
          <w:szCs w:val="20"/>
        </w:rPr>
        <w:t>Pri tem merilu je število točk odvisno od števila zaposlenih pri vlagatelju</w:t>
      </w:r>
      <w:r w:rsidRPr="009F6CAA">
        <w:rPr>
          <w:b/>
          <w:bCs w:val="0"/>
          <w:szCs w:val="20"/>
        </w:rPr>
        <w:t xml:space="preserve"> </w:t>
      </w:r>
      <w:r w:rsidRPr="009F6CAA">
        <w:rPr>
          <w:szCs w:val="20"/>
        </w:rPr>
        <w:t>na zadnji dan v mesecu pred mesecem objave javnega razpisa.</w:t>
      </w:r>
    </w:p>
    <w:p w14:paraId="62537871" w14:textId="07643A08" w:rsidR="009F6CAA" w:rsidRPr="009F6CAA" w:rsidRDefault="009F6CAA" w:rsidP="007D5B48">
      <w:pPr>
        <w:spacing w:line="240" w:lineRule="auto"/>
        <w:rPr>
          <w:szCs w:val="20"/>
        </w:rPr>
      </w:pPr>
      <w:r w:rsidRPr="009F6CAA">
        <w:rPr>
          <w:szCs w:val="20"/>
        </w:rPr>
        <w:t xml:space="preserve"> </w:t>
      </w:r>
    </w:p>
    <w:p w14:paraId="37407978" w14:textId="77777777" w:rsidR="009F6CAA" w:rsidRPr="009F6CAA" w:rsidRDefault="009F6CAA" w:rsidP="007D5B48">
      <w:pPr>
        <w:tabs>
          <w:tab w:val="left" w:pos="0"/>
          <w:tab w:val="left" w:pos="284"/>
        </w:tabs>
        <w:spacing w:line="240" w:lineRule="auto"/>
        <w:ind w:hanging="709"/>
        <w:rPr>
          <w:b/>
          <w:szCs w:val="20"/>
        </w:rPr>
      </w:pPr>
      <w:r w:rsidRPr="009F6CAA">
        <w:rPr>
          <w:b/>
          <w:bCs w:val="0"/>
          <w:szCs w:val="20"/>
        </w:rPr>
        <w:t>Bonitetna ocena prijavitelja  po modelu S.BON</w:t>
      </w:r>
    </w:p>
    <w:p w14:paraId="3F80B215" w14:textId="77777777" w:rsidR="009F6CAA" w:rsidRPr="009F6CAA" w:rsidRDefault="009F6CAA" w:rsidP="007D5B48">
      <w:pPr>
        <w:tabs>
          <w:tab w:val="left" w:pos="0"/>
          <w:tab w:val="left" w:pos="284"/>
        </w:tabs>
        <w:ind w:hanging="709"/>
        <w:rPr>
          <w:bCs w:val="0"/>
          <w:szCs w:val="20"/>
        </w:rPr>
      </w:pPr>
      <w:r w:rsidRPr="009F6CAA">
        <w:rPr>
          <w:szCs w:val="20"/>
        </w:rPr>
        <w:t xml:space="preserve">Ocenjuje se bonitetna ocena  prijavitelja  po model S. BON  iz javno dostopnih evidenc. </w:t>
      </w:r>
    </w:p>
    <w:p w14:paraId="7BD4028F" w14:textId="77777777" w:rsidR="009F6CAA" w:rsidRPr="009F6CAA" w:rsidRDefault="009F6CAA" w:rsidP="007D5B48">
      <w:pPr>
        <w:pStyle w:val="Telobesedila"/>
        <w:jc w:val="left"/>
        <w:rPr>
          <w:rFonts w:ascii="Verdana" w:hAnsi="Verdana" w:cs="Arial"/>
          <w:b/>
          <w:bCs/>
          <w:sz w:val="20"/>
          <w:u w:val="single"/>
        </w:rPr>
      </w:pPr>
    </w:p>
    <w:p w14:paraId="0F7315DF" w14:textId="77777777" w:rsidR="009F6CAA" w:rsidRPr="009F6CAA" w:rsidRDefault="009F6CAA" w:rsidP="007D5B48">
      <w:pPr>
        <w:pStyle w:val="Telobesedila"/>
        <w:jc w:val="left"/>
        <w:rPr>
          <w:rFonts w:ascii="Verdana" w:hAnsi="Verdana" w:cs="Arial"/>
          <w:b/>
          <w:bCs/>
          <w:sz w:val="20"/>
          <w:u w:val="single"/>
        </w:rPr>
      </w:pPr>
      <w:r w:rsidRPr="009F6CAA">
        <w:rPr>
          <w:rFonts w:ascii="Verdana" w:hAnsi="Verdana" w:cs="Arial"/>
          <w:b/>
          <w:bCs/>
          <w:sz w:val="20"/>
          <w:u w:val="single"/>
        </w:rPr>
        <w:t xml:space="preserve">Končno število točk; </w:t>
      </w:r>
    </w:p>
    <w:p w14:paraId="4D1AD178" w14:textId="77777777" w:rsidR="009F6CAA" w:rsidRPr="009F6CAA" w:rsidRDefault="009F6CAA" w:rsidP="007D5B48">
      <w:pPr>
        <w:pStyle w:val="Telobesedila"/>
        <w:jc w:val="left"/>
        <w:rPr>
          <w:rFonts w:ascii="Verdana" w:hAnsi="Verdana" w:cs="Arial"/>
          <w:bCs/>
          <w:sz w:val="20"/>
        </w:rPr>
      </w:pPr>
      <w:r w:rsidRPr="009F6CAA">
        <w:rPr>
          <w:rFonts w:ascii="Verdana" w:hAnsi="Verdana" w:cs="Arial"/>
          <w:bCs/>
          <w:sz w:val="20"/>
        </w:rPr>
        <w:t>Končno število točk na podlagi meril je 80. Prag števila točk, nad katerim bo odobreno sofinanciranje, je 30</w:t>
      </w:r>
      <w:r w:rsidRPr="009F6CAA">
        <w:rPr>
          <w:rFonts w:ascii="Verdana" w:hAnsi="Verdana" w:cs="Arial"/>
          <w:b/>
          <w:bCs/>
          <w:sz w:val="20"/>
        </w:rPr>
        <w:t xml:space="preserve"> </w:t>
      </w:r>
      <w:r w:rsidRPr="009F6CAA">
        <w:rPr>
          <w:rFonts w:ascii="Verdana" w:hAnsi="Verdana" w:cs="Arial"/>
          <w:bCs/>
          <w:sz w:val="20"/>
        </w:rPr>
        <w:t>ali več točk. V nobenem primeru vloga prijavitelja, ki je pridobila manj kot 30 točk ne more pridobiti sofinanciranja.</w:t>
      </w:r>
    </w:p>
    <w:p w14:paraId="18E2D10C" w14:textId="77777777" w:rsidR="009F6CAA" w:rsidRPr="009F6CAA" w:rsidRDefault="009F6CAA" w:rsidP="007D5B48">
      <w:pPr>
        <w:rPr>
          <w:bCs w:val="0"/>
          <w:szCs w:val="20"/>
        </w:rPr>
      </w:pPr>
    </w:p>
    <w:p w14:paraId="507A74C7" w14:textId="77777777" w:rsidR="009F6CAA" w:rsidRPr="009F6CAA" w:rsidRDefault="009F6CAA" w:rsidP="007D5B48">
      <w:pPr>
        <w:ind w:left="0"/>
        <w:rPr>
          <w:b/>
          <w:bCs w:val="0"/>
          <w:szCs w:val="20"/>
          <w:u w:val="single"/>
        </w:rPr>
      </w:pPr>
      <w:r w:rsidRPr="009F6CAA">
        <w:rPr>
          <w:b/>
          <w:bCs w:val="0"/>
          <w:szCs w:val="20"/>
          <w:u w:val="single"/>
        </w:rPr>
        <w:t>Ocenjevanje vlog</w:t>
      </w:r>
    </w:p>
    <w:p w14:paraId="04DED1B6" w14:textId="77777777" w:rsidR="009F6CAA" w:rsidRPr="009F6CAA" w:rsidRDefault="009F6CAA" w:rsidP="007D5B48">
      <w:pPr>
        <w:spacing w:line="240" w:lineRule="auto"/>
        <w:ind w:left="0"/>
        <w:rPr>
          <w:b/>
          <w:bCs w:val="0"/>
          <w:szCs w:val="20"/>
        </w:rPr>
      </w:pPr>
      <w:r w:rsidRPr="009F6CAA">
        <w:rPr>
          <w:szCs w:val="20"/>
        </w:rPr>
        <w:t xml:space="preserve">Komisija za dodelitev sredstev pripravi predlog prejemnikov sredstev (upravičencev) za popolne in ustrezne vloge in ga poda pristojnemu organu Mestne občine Nova Gorica za sprejetje odločitve oziroma sklepa o odobritvi sofinanciranja odobrene vloge. Na podlagi sklepa o odobritvi sofinanciranja upravičenih stroškov odobrene vloge prejme podjetje državno pomoč, skladno z zaprošenimi sredstvi in s točko V. in VI. (Pogoji za dodelitev nepovratnih sredstev in posebni pogoji za dodelitev sredstev </w:t>
      </w:r>
      <w:r w:rsidRPr="009F6CAA">
        <w:rPr>
          <w:bCs w:val="0"/>
          <w:szCs w:val="20"/>
        </w:rPr>
        <w:t>tega razpisa)</w:t>
      </w:r>
      <w:r w:rsidRPr="009F6CAA">
        <w:rPr>
          <w:szCs w:val="20"/>
        </w:rPr>
        <w:t xml:space="preserve">.  V primeru enakega števila točk imajo prednost vloge, ki so dobile več točk pri merilu vrsta investicije, nato pri  merilu lokacija zemljišča , nato pri merilu bruto tlorisna površina, nato pri merilu boniteta podjetja, nato pri merilu število zaposlenih </w:t>
      </w:r>
    </w:p>
    <w:p w14:paraId="731FD74E" w14:textId="77777777" w:rsidR="009F6CAA" w:rsidRPr="009F6CAA" w:rsidRDefault="009F6CAA" w:rsidP="007D5B48">
      <w:pPr>
        <w:spacing w:line="240" w:lineRule="auto"/>
        <w:ind w:left="0"/>
        <w:rPr>
          <w:b/>
          <w:szCs w:val="20"/>
        </w:rPr>
      </w:pPr>
      <w:r w:rsidRPr="009F6CAA">
        <w:rPr>
          <w:szCs w:val="20"/>
        </w:rPr>
        <w:t xml:space="preserve">Sredstva se dodeljujejo do porabe  razpisanih proračunskih sredstev za  izvedbo tega  javnega razpisa  in sicer </w:t>
      </w:r>
      <w:r w:rsidRPr="009F6CAA">
        <w:rPr>
          <w:rFonts w:eastAsia="Calibri"/>
          <w:bCs w:val="0"/>
          <w:szCs w:val="20"/>
          <w:lang w:eastAsia="en-US"/>
        </w:rPr>
        <w:t xml:space="preserve">  po vrstnem redu upravičencev  glede na  dosežene točke  pri ocenjevanju po merilih javnega razpisa.  </w:t>
      </w:r>
    </w:p>
    <w:p w14:paraId="6687ED4C" w14:textId="77777777" w:rsidR="009F6CAA" w:rsidRPr="005B367A" w:rsidRDefault="009F6CAA" w:rsidP="007D5B48">
      <w:pPr>
        <w:pStyle w:val="Naslov3"/>
        <w:spacing w:line="240" w:lineRule="auto"/>
        <w:ind w:left="0"/>
        <w:rPr>
          <w:rFonts w:cs="Arial"/>
          <w:b/>
          <w:bCs w:val="0"/>
          <w:color w:val="auto"/>
          <w:sz w:val="20"/>
          <w:szCs w:val="20"/>
        </w:rPr>
      </w:pPr>
      <w:r w:rsidRPr="005B367A">
        <w:rPr>
          <w:rFonts w:cs="Arial"/>
          <w:b/>
          <w:bCs w:val="0"/>
          <w:color w:val="auto"/>
          <w:sz w:val="20"/>
          <w:szCs w:val="20"/>
        </w:rPr>
        <w:t>IX. OBDOBJE ZA PORABO SREDSTEV</w:t>
      </w:r>
    </w:p>
    <w:p w14:paraId="07A75F38" w14:textId="43A2BD0D" w:rsidR="009F6CAA" w:rsidRPr="009F6CAA" w:rsidRDefault="009F6CAA" w:rsidP="007D5B48">
      <w:pPr>
        <w:pStyle w:val="Telobesedila"/>
        <w:jc w:val="left"/>
        <w:rPr>
          <w:rFonts w:ascii="Verdana" w:hAnsi="Verdana" w:cs="Arial"/>
          <w:bCs/>
          <w:sz w:val="20"/>
        </w:rPr>
      </w:pPr>
      <w:r w:rsidRPr="009F6CAA">
        <w:rPr>
          <w:rFonts w:ascii="Verdana" w:hAnsi="Verdana" w:cs="Arial"/>
          <w:bCs/>
          <w:sz w:val="20"/>
        </w:rPr>
        <w:t xml:space="preserve">Sredstva bodo dodeljena tistim izbranim  investicijskim projektom, ki so bili ali  bodo realizirani v času od  18.11. 2025  do najkasneje  </w:t>
      </w:r>
      <w:r w:rsidR="007F2288">
        <w:rPr>
          <w:rFonts w:ascii="Verdana" w:hAnsi="Verdana" w:cs="Arial"/>
          <w:bCs/>
          <w:sz w:val="20"/>
        </w:rPr>
        <w:t xml:space="preserve">30.11. </w:t>
      </w:r>
      <w:r w:rsidRPr="009F6CAA">
        <w:rPr>
          <w:rFonts w:ascii="Verdana" w:hAnsi="Verdana" w:cs="Arial"/>
          <w:bCs/>
          <w:sz w:val="20"/>
        </w:rPr>
        <w:t>2026.</w:t>
      </w:r>
    </w:p>
    <w:p w14:paraId="52FE5A04" w14:textId="77777777" w:rsidR="007F2288" w:rsidRDefault="007F2288" w:rsidP="007D5B48">
      <w:pPr>
        <w:spacing w:line="240" w:lineRule="auto"/>
        <w:rPr>
          <w:rFonts w:eastAsia="Calibri"/>
          <w:b/>
          <w:szCs w:val="20"/>
          <w:lang w:eastAsia="en-US"/>
        </w:rPr>
      </w:pPr>
    </w:p>
    <w:p w14:paraId="0805B961" w14:textId="7DE84725" w:rsidR="009F6CAA" w:rsidRPr="009F6CAA" w:rsidRDefault="009F6CAA" w:rsidP="007D5B48">
      <w:pPr>
        <w:spacing w:line="240" w:lineRule="auto"/>
        <w:ind w:left="0"/>
        <w:rPr>
          <w:rFonts w:eastAsia="Calibri"/>
          <w:b/>
          <w:szCs w:val="20"/>
          <w:lang w:eastAsia="en-US"/>
        </w:rPr>
      </w:pPr>
      <w:r w:rsidRPr="009F6CAA">
        <w:rPr>
          <w:rFonts w:eastAsia="Calibri"/>
          <w:b/>
          <w:szCs w:val="20"/>
          <w:lang w:eastAsia="en-US"/>
        </w:rPr>
        <w:t>I. VLOGE, RAZPISNA DOKUMENTACIJA, NAČIN PRIJAVE IN RAZPISNI ROKI</w:t>
      </w:r>
    </w:p>
    <w:p w14:paraId="0B1C95C3" w14:textId="3DE9B7B9" w:rsidR="009F6CAA" w:rsidRPr="009F6CAA" w:rsidRDefault="009F6CAA" w:rsidP="007D5B48">
      <w:pPr>
        <w:spacing w:line="240" w:lineRule="auto"/>
        <w:ind w:left="0"/>
        <w:rPr>
          <w:rFonts w:eastAsia="Calibri"/>
          <w:color w:val="FF0000"/>
          <w:szCs w:val="20"/>
          <w:lang w:eastAsia="en-US"/>
        </w:rPr>
      </w:pPr>
      <w:bookmarkStart w:id="0" w:name="_Hlk132807434"/>
      <w:r w:rsidRPr="009F6CAA">
        <w:rPr>
          <w:rFonts w:eastAsia="Calibri"/>
          <w:szCs w:val="20"/>
          <w:lang w:eastAsia="en-US"/>
        </w:rPr>
        <w:t>Javni razpis je odprt do vključno 16.11. 2026</w:t>
      </w:r>
      <w:r w:rsidR="001A7087">
        <w:rPr>
          <w:rFonts w:eastAsia="Calibri"/>
          <w:szCs w:val="20"/>
          <w:lang w:eastAsia="en-US"/>
        </w:rPr>
        <w:t>.</w:t>
      </w:r>
      <w:r w:rsidRPr="009F6CAA">
        <w:rPr>
          <w:rFonts w:eastAsia="Calibri"/>
          <w:szCs w:val="20"/>
          <w:lang w:eastAsia="en-US"/>
        </w:rPr>
        <w:t xml:space="preserve"> Kot pravočasna se šteje vloga, ki bo najkasneje do 16.11.2026  do 12.00 ure   osebno oddana na naslov: MESTNA OBČINA NOVA GORICA, Trg Edvarda Kardelja 1, 5000 Nova Gorica ( sprejemna pisarna Mestne občine Nova Gorica, pritličje desno).</w:t>
      </w:r>
      <w:r w:rsidRPr="009F6CAA">
        <w:rPr>
          <w:szCs w:val="20"/>
        </w:rPr>
        <w:t xml:space="preserve">Če se vloga pošlje </w:t>
      </w:r>
      <w:r w:rsidRPr="009F6CAA">
        <w:rPr>
          <w:b/>
          <w:szCs w:val="20"/>
        </w:rPr>
        <w:t>priporočeno po pošti</w:t>
      </w:r>
      <w:r w:rsidRPr="009F6CAA">
        <w:rPr>
          <w:szCs w:val="20"/>
        </w:rPr>
        <w:t xml:space="preserve">, se za dan, ko je Mestna občina Nova Gorica  prejela vlogo, šteje dan oddaje na pošto (poštni žig). Če se vloga pošlje z </w:t>
      </w:r>
      <w:r w:rsidRPr="009F6CAA">
        <w:rPr>
          <w:b/>
          <w:szCs w:val="20"/>
        </w:rPr>
        <w:t>navadno pošiljko</w:t>
      </w:r>
      <w:r w:rsidRPr="009F6CAA">
        <w:rPr>
          <w:szCs w:val="20"/>
        </w:rPr>
        <w:t xml:space="preserve"> se za dan, ko je Mestna občina Nova Gorica  prejela vlogo, šteje dejanski dan prejema in ura prejema vloge. </w:t>
      </w:r>
    </w:p>
    <w:p w14:paraId="2FA2BB8D" w14:textId="77777777" w:rsidR="009F6CAA" w:rsidRPr="009F6CAA" w:rsidRDefault="009F6CAA" w:rsidP="007D5B48">
      <w:pPr>
        <w:spacing w:line="240" w:lineRule="auto"/>
        <w:ind w:left="0"/>
        <w:rPr>
          <w:rFonts w:eastAsia="Calibri"/>
          <w:szCs w:val="20"/>
          <w:lang w:eastAsia="en-US"/>
        </w:rPr>
      </w:pPr>
      <w:r w:rsidRPr="009F6CAA">
        <w:rPr>
          <w:rFonts w:eastAsia="Calibri"/>
          <w:szCs w:val="20"/>
          <w:lang w:eastAsia="en-US"/>
        </w:rPr>
        <w:t xml:space="preserve">Prepozne vloge, vloge, ki niso oddane na obrazcih razpisne dokumentacije in vsebinsko nepopolne vloge, s sklepom zavrže pristojni organ. </w:t>
      </w:r>
    </w:p>
    <w:bookmarkEnd w:id="0"/>
    <w:p w14:paraId="1101C9D9" w14:textId="77777777" w:rsidR="009F6CAA" w:rsidRPr="009F6CAA" w:rsidRDefault="009F6CAA" w:rsidP="007D5B48">
      <w:pPr>
        <w:spacing w:line="240" w:lineRule="auto"/>
        <w:rPr>
          <w:rFonts w:eastAsia="Calibri"/>
          <w:szCs w:val="20"/>
          <w:lang w:eastAsia="en-US"/>
        </w:rPr>
      </w:pPr>
    </w:p>
    <w:p w14:paraId="0CA93119" w14:textId="77777777" w:rsidR="009F6CAA" w:rsidRPr="009F6CAA" w:rsidRDefault="009F6CAA" w:rsidP="007D5B48">
      <w:pPr>
        <w:spacing w:line="240" w:lineRule="auto"/>
        <w:ind w:left="0"/>
        <w:rPr>
          <w:rFonts w:eastAsia="Calibri"/>
          <w:szCs w:val="20"/>
          <w:lang w:eastAsia="en-US"/>
        </w:rPr>
      </w:pPr>
      <w:r w:rsidRPr="009F6CAA">
        <w:rPr>
          <w:rFonts w:eastAsia="Calibri"/>
          <w:szCs w:val="20"/>
          <w:lang w:eastAsia="en-US"/>
        </w:rPr>
        <w:t xml:space="preserve">Vloga na razpis mora biti oddana v zaprti ovojnici z ustrezno navedbo na sprednji strani, dobesedno in brez okrajšav: </w:t>
      </w:r>
      <w:r w:rsidRPr="009F6CAA">
        <w:rPr>
          <w:rFonts w:eastAsia="Calibri"/>
          <w:b/>
          <w:bCs w:val="0"/>
          <w:szCs w:val="20"/>
          <w:lang w:eastAsia="en-US"/>
        </w:rPr>
        <w:t xml:space="preserve">»NE ODPIRAJ – VLOGA NA JAVNI RAZPIS  ZA SOFINANCIRANJE  STROŠKOV KOMUNALNEGA PRISPEVKA V MESTNI OBČINI NOVA GORICA V LETU 2026 </w:t>
      </w:r>
      <w:r w:rsidRPr="009F6CAA">
        <w:rPr>
          <w:rFonts w:eastAsia="Calibri"/>
          <w:szCs w:val="20"/>
          <w:lang w:eastAsia="en-US"/>
        </w:rPr>
        <w:t xml:space="preserve"> in s polnim nazivom in naslovom pošiljatelja. Obrazec pravilne opreme ovojnice za prijavo na javni razpis je priložen razpisni dokumentaciji in ga prilepite na prvo stran ovojnice.</w:t>
      </w:r>
    </w:p>
    <w:p w14:paraId="4B1496B9" w14:textId="77777777" w:rsidR="009F6CAA" w:rsidRPr="009F6CAA" w:rsidRDefault="009F6CAA" w:rsidP="007D5B48">
      <w:pPr>
        <w:spacing w:line="240" w:lineRule="auto"/>
        <w:ind w:left="0"/>
        <w:rPr>
          <w:rFonts w:eastAsia="Calibri"/>
          <w:szCs w:val="20"/>
          <w:lang w:eastAsia="en-US"/>
        </w:rPr>
      </w:pPr>
      <w:r w:rsidRPr="009F6CAA">
        <w:rPr>
          <w:rFonts w:eastAsia="Calibri"/>
          <w:szCs w:val="20"/>
          <w:lang w:eastAsia="en-US"/>
        </w:rPr>
        <w:t xml:space="preserve">Vloga se izpolni na obrazcih razpisne dokumentacije. Dokazila se prilagajo v fotokopijah. Sofinancer  lahko od prijavitelja zahteva na vpogled originale dokazil. Sofinancer  lahko od prijavitelja zahteva tudi, da predloži listine, s katerimi dokazuje posamezna dejstva oziroma izjave iz vloge. </w:t>
      </w:r>
    </w:p>
    <w:p w14:paraId="6FE71517" w14:textId="77777777" w:rsidR="009F6CAA" w:rsidRPr="009F6CAA" w:rsidRDefault="009F6CAA" w:rsidP="007D5B48">
      <w:pPr>
        <w:spacing w:line="240" w:lineRule="auto"/>
        <w:ind w:left="0"/>
        <w:rPr>
          <w:rFonts w:eastAsia="Calibri"/>
          <w:szCs w:val="20"/>
          <w:lang w:eastAsia="en-US"/>
        </w:rPr>
      </w:pPr>
      <w:r w:rsidRPr="009F6CAA">
        <w:rPr>
          <w:rFonts w:eastAsia="Calibri"/>
          <w:szCs w:val="20"/>
          <w:lang w:eastAsia="en-US"/>
        </w:rPr>
        <w:t xml:space="preserve">Odpiranje vlog ni javno. Pristojni organ bo v roku 8 (osmih) delovnih dni od odpiranja pisno pozval tiste prijavitelje, katerih vloge niso bile popolne, da jih dopolnijo. Formalno nepopolne vloge, ki jih prijavitelj v postavljenem roku ne dopolni, zavrže pristojni organ s sklepom. Po preteku roka iz tega odstavka dodatne dopolnitve vlog niso možne. </w:t>
      </w:r>
    </w:p>
    <w:p w14:paraId="00A52165" w14:textId="77777777" w:rsidR="009F6CAA" w:rsidRPr="009F6CAA" w:rsidRDefault="009F6CAA" w:rsidP="007D5B48">
      <w:pPr>
        <w:spacing w:line="240" w:lineRule="auto"/>
        <w:ind w:left="0"/>
        <w:rPr>
          <w:rFonts w:eastAsia="Calibri"/>
          <w:szCs w:val="20"/>
          <w:lang w:eastAsia="en-US"/>
        </w:rPr>
      </w:pPr>
      <w:r w:rsidRPr="009F6CAA">
        <w:rPr>
          <w:rFonts w:eastAsia="Calibri"/>
          <w:szCs w:val="20"/>
          <w:lang w:eastAsia="en-US"/>
        </w:rPr>
        <w:lastRenderedPageBreak/>
        <w:t xml:space="preserve">Vloga je formalno popolna, če vsebuje vse obrazce in zahtevane priloge, ki jih določa razpisna dokumentacija. Vloga je vsebinsko popolna, če je  vsebina prijave  skladna s predmetom razpisa  oziroma v javnem razpisu opredeljenimi  upravičenimi stroški.  </w:t>
      </w:r>
    </w:p>
    <w:p w14:paraId="21427B6C" w14:textId="77777777" w:rsidR="009F6CAA" w:rsidRPr="009F6CAA" w:rsidRDefault="009F6CAA" w:rsidP="007D5B48">
      <w:pPr>
        <w:spacing w:line="240" w:lineRule="auto"/>
        <w:ind w:left="0"/>
        <w:rPr>
          <w:rFonts w:eastAsia="Calibri"/>
          <w:szCs w:val="20"/>
          <w:lang w:eastAsia="en-US"/>
        </w:rPr>
      </w:pPr>
      <w:r w:rsidRPr="009F6CAA">
        <w:rPr>
          <w:rFonts w:eastAsia="Calibri"/>
          <w:szCs w:val="20"/>
          <w:lang w:eastAsia="en-US"/>
        </w:rPr>
        <w:t xml:space="preserve">Odločbe, s katerimi bo odločeno o dodelitvi sredstev, bodo izdane najkasneje v 60 dneh od zaključka razpisa.    </w:t>
      </w:r>
    </w:p>
    <w:p w14:paraId="0E85B587" w14:textId="77777777" w:rsidR="009F6CAA" w:rsidRPr="009F6CAA" w:rsidRDefault="009F6CAA" w:rsidP="007D5B48">
      <w:pPr>
        <w:spacing w:line="240" w:lineRule="auto"/>
        <w:rPr>
          <w:rFonts w:eastAsia="Calibri"/>
          <w:b/>
          <w:szCs w:val="20"/>
          <w:lang w:eastAsia="en-US"/>
        </w:rPr>
      </w:pPr>
    </w:p>
    <w:p w14:paraId="3A91C6F9" w14:textId="77777777" w:rsidR="009F6CAA" w:rsidRPr="009F6CAA" w:rsidRDefault="009F6CAA" w:rsidP="007D5B48">
      <w:pPr>
        <w:spacing w:line="240" w:lineRule="auto"/>
        <w:ind w:left="0"/>
        <w:rPr>
          <w:rFonts w:eastAsia="Calibri"/>
          <w:b/>
          <w:bCs w:val="0"/>
          <w:szCs w:val="20"/>
          <w:lang w:eastAsia="en-US"/>
        </w:rPr>
      </w:pPr>
      <w:bookmarkStart w:id="1" w:name="_Hlk132807541"/>
      <w:r w:rsidRPr="009F6CAA">
        <w:rPr>
          <w:rFonts w:eastAsia="Calibri"/>
          <w:b/>
          <w:bCs w:val="0"/>
          <w:szCs w:val="20"/>
          <w:lang w:eastAsia="en-US"/>
        </w:rPr>
        <w:t>XII. RAZPISNA DOKUMENTACIJA</w:t>
      </w:r>
    </w:p>
    <w:p w14:paraId="421F0514" w14:textId="77777777" w:rsidR="009F6CAA" w:rsidRPr="009F6CAA" w:rsidRDefault="009F6CAA" w:rsidP="007D5B48">
      <w:pPr>
        <w:spacing w:line="240" w:lineRule="auto"/>
        <w:ind w:left="0"/>
        <w:rPr>
          <w:rFonts w:eastAsia="Calibri"/>
          <w:bCs w:val="0"/>
          <w:szCs w:val="20"/>
          <w:lang w:eastAsia="en-US"/>
        </w:rPr>
      </w:pPr>
      <w:r w:rsidRPr="009F6CAA">
        <w:rPr>
          <w:rFonts w:eastAsia="Calibri"/>
          <w:szCs w:val="20"/>
          <w:lang w:eastAsia="en-US"/>
        </w:rPr>
        <w:t xml:space="preserve">Razpisna dokumentacija z navodili prijaviteljem za pripravo  vloge je na voljo na spletni strani: </w:t>
      </w:r>
      <w:r w:rsidRPr="009F6CAA">
        <w:rPr>
          <w:rFonts w:eastAsia="Calibri"/>
          <w:szCs w:val="20"/>
          <w:u w:val="single"/>
          <w:lang w:eastAsia="en-US"/>
        </w:rPr>
        <w:t>http://www.nova-gorica.si.</w:t>
      </w:r>
    </w:p>
    <w:p w14:paraId="3B12A0AA" w14:textId="77777777" w:rsidR="009F6CAA" w:rsidRPr="009F6CAA" w:rsidRDefault="009F6CAA" w:rsidP="007D5B48">
      <w:pPr>
        <w:spacing w:after="160" w:line="240" w:lineRule="auto"/>
        <w:ind w:left="0"/>
        <w:rPr>
          <w:rFonts w:eastAsia="Calibri"/>
          <w:szCs w:val="20"/>
          <w:lang w:eastAsia="en-US"/>
        </w:rPr>
      </w:pPr>
      <w:r w:rsidRPr="009F6CAA">
        <w:rPr>
          <w:rFonts w:eastAsia="Calibri"/>
          <w:szCs w:val="20"/>
          <w:lang w:eastAsia="en-US"/>
        </w:rPr>
        <w:t xml:space="preserve">Dodatne informacije so na voljo vsak delovni dan med </w:t>
      </w:r>
      <w:smartTag w:uri="urn:schemas-microsoft-com:office:smarttags" w:element="metricconverter">
        <w:smartTagPr>
          <w:attr w:name="ProductID" w:val="9.00 in"/>
        </w:smartTagPr>
        <w:r w:rsidRPr="009F6CAA">
          <w:rPr>
            <w:rFonts w:eastAsia="Calibri"/>
            <w:szCs w:val="20"/>
            <w:lang w:eastAsia="en-US"/>
          </w:rPr>
          <w:t>9.00 in</w:t>
        </w:r>
      </w:smartTag>
      <w:r w:rsidRPr="009F6CAA">
        <w:rPr>
          <w:rFonts w:eastAsia="Calibri"/>
          <w:szCs w:val="20"/>
          <w:lang w:eastAsia="en-US"/>
        </w:rPr>
        <w:t xml:space="preserve"> 12.00 uro na Oddelku za gospodarstvo in gospodarske javne službe pri Mestni občini Nova Gorica na  tel. št. 05 33 50 105 (Tatjana  Gregorčič). Morebitna vprašanja je mogoče posredovati tudi po elektronski pošti: </w:t>
      </w:r>
      <w:hyperlink r:id="rId10" w:history="1">
        <w:r w:rsidRPr="009F6CAA">
          <w:rPr>
            <w:rStyle w:val="Hiperpovezava"/>
            <w:rFonts w:eastAsia="Calibri"/>
            <w:color w:val="0563C1"/>
            <w:szCs w:val="20"/>
            <w:lang w:eastAsia="en-US"/>
          </w:rPr>
          <w:t>tanja.gregorcic@nova-gorica.si</w:t>
        </w:r>
      </w:hyperlink>
      <w:r w:rsidRPr="009F6CAA">
        <w:rPr>
          <w:rFonts w:eastAsia="Calibri"/>
          <w:szCs w:val="20"/>
          <w:lang w:eastAsia="en-US"/>
        </w:rPr>
        <w:t xml:space="preserve">  </w:t>
      </w:r>
    </w:p>
    <w:p w14:paraId="54AA6FC6" w14:textId="77777777" w:rsidR="009F6CAA" w:rsidRPr="009F6CAA" w:rsidRDefault="009F6CAA" w:rsidP="007D5B48">
      <w:pPr>
        <w:spacing w:line="240" w:lineRule="auto"/>
        <w:ind w:left="0"/>
        <w:rPr>
          <w:b/>
          <w:color w:val="000000"/>
          <w:szCs w:val="20"/>
        </w:rPr>
      </w:pPr>
      <w:r w:rsidRPr="009F6CAA">
        <w:rPr>
          <w:b/>
          <w:bCs w:val="0"/>
          <w:color w:val="000000"/>
          <w:szCs w:val="20"/>
        </w:rPr>
        <w:t>XIII.  MOŽNOST PRITOŽBE</w:t>
      </w:r>
    </w:p>
    <w:p w14:paraId="298EECDA" w14:textId="77777777" w:rsidR="009F6CAA" w:rsidRPr="009F6CAA" w:rsidRDefault="009F6CAA" w:rsidP="007D5B48">
      <w:pPr>
        <w:spacing w:after="120" w:line="240" w:lineRule="auto"/>
        <w:ind w:left="0"/>
        <w:rPr>
          <w:bCs w:val="0"/>
          <w:color w:val="000000"/>
          <w:szCs w:val="20"/>
        </w:rPr>
      </w:pPr>
      <w:r w:rsidRPr="009F6CAA">
        <w:rPr>
          <w:color w:val="000000"/>
          <w:szCs w:val="20"/>
        </w:rPr>
        <w:t>Zoper  odločbo</w:t>
      </w:r>
      <w:r w:rsidRPr="009F6CAA">
        <w:rPr>
          <w:color w:val="FF0000"/>
          <w:szCs w:val="20"/>
        </w:rPr>
        <w:t xml:space="preserve">  </w:t>
      </w:r>
      <w:r w:rsidRPr="009F6CAA">
        <w:rPr>
          <w:color w:val="000000"/>
          <w:szCs w:val="20"/>
        </w:rPr>
        <w:t xml:space="preserve">je možna pritožba v roku 21 dni od prejema odločbe na naslov Mestna občina Nova Gorica, trg Edvarda Kardelja 1, 5000 Nova Gorica Vložena pritožba ne zadrži podpisa pogodbe z izbranimi prijavitelji. Pritožnik mora v pritožbi natančno opredeliti pritožbene razloge. Predmet pritožbe ne morejo biti postavljena merila za ocenjevanje vlog. O pritožbi odloči župan v roku 21 dni od pravnomočnosti pritožbe. </w:t>
      </w:r>
    </w:p>
    <w:p w14:paraId="6B212C94" w14:textId="77777777" w:rsidR="009F6CAA" w:rsidRPr="009F6CAA" w:rsidRDefault="009F6CAA" w:rsidP="007D5B48">
      <w:pPr>
        <w:keepNext/>
        <w:spacing w:before="60" w:after="60" w:line="240" w:lineRule="auto"/>
        <w:outlineLvl w:val="0"/>
        <w:rPr>
          <w:b/>
          <w:szCs w:val="20"/>
        </w:rPr>
      </w:pPr>
    </w:p>
    <w:p w14:paraId="72B80B3F" w14:textId="77777777" w:rsidR="009F6CAA" w:rsidRPr="009F6CAA" w:rsidRDefault="009F6CAA" w:rsidP="007D5B48">
      <w:pPr>
        <w:keepNext/>
        <w:spacing w:before="60" w:after="60" w:line="240" w:lineRule="auto"/>
        <w:ind w:left="0"/>
        <w:outlineLvl w:val="0"/>
        <w:rPr>
          <w:b/>
          <w:bCs w:val="0"/>
          <w:szCs w:val="20"/>
        </w:rPr>
      </w:pPr>
      <w:r w:rsidRPr="009F6CAA">
        <w:rPr>
          <w:b/>
          <w:bCs w:val="0"/>
          <w:szCs w:val="20"/>
        </w:rPr>
        <w:t>XIV. INFORMACIJE JAVNEGA ZNAČAJA</w:t>
      </w:r>
    </w:p>
    <w:p w14:paraId="199455DE" w14:textId="77777777" w:rsidR="009F6CAA" w:rsidRPr="009F6CAA" w:rsidRDefault="009F6CAA" w:rsidP="007D5B48">
      <w:pPr>
        <w:keepNext/>
        <w:spacing w:before="60" w:after="60" w:line="240" w:lineRule="auto"/>
        <w:ind w:left="0"/>
        <w:outlineLvl w:val="0"/>
        <w:rPr>
          <w:bCs w:val="0"/>
          <w:szCs w:val="20"/>
        </w:rPr>
      </w:pPr>
      <w:r w:rsidRPr="009F6CAA">
        <w:rPr>
          <w:szCs w:val="20"/>
        </w:rPr>
        <w:t>Z oddajo vloge se prijavitelj strinja s pogoji in z merili razpisa ter pripadajoče razpisne dokumentacije. Prijavitelj se s predložitvijo vloge na javni razpis strinja z javno objavo podatkov o odobrenih in izplačanih denarnih sredstvih. Objavljeni bodo osnovni podatki o  odobreni  vlogi   in prejemniku finančnih sredstev skladno z zakonom, ki ureja dostop do informacij javnega značaja, in zakonom, ki ureja varstvo osebnih podatkov.</w:t>
      </w:r>
    </w:p>
    <w:p w14:paraId="6AAEE15D" w14:textId="77777777" w:rsidR="009F6CAA" w:rsidRPr="009F6CAA" w:rsidRDefault="009F6CAA" w:rsidP="007D5B48">
      <w:pPr>
        <w:spacing w:before="100" w:beforeAutospacing="1" w:after="100" w:afterAutospacing="1" w:line="240" w:lineRule="auto"/>
        <w:ind w:left="0"/>
        <w:textAlignment w:val="baseline"/>
        <w:rPr>
          <w:szCs w:val="20"/>
        </w:rPr>
      </w:pPr>
      <w:r w:rsidRPr="009F6CAA">
        <w:rPr>
          <w:szCs w:val="20"/>
        </w:rPr>
        <w:t>Varovanje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w:t>
      </w:r>
      <w:r w:rsidRPr="009F6CAA">
        <w:rPr>
          <w:szCs w:val="20"/>
          <w:shd w:val="clear" w:color="auto" w:fill="FFFFFF"/>
        </w:rPr>
        <w:t>Uradni list RS, št. </w:t>
      </w:r>
      <w:hyperlink r:id="rId11" w:tgtFrame="_blank" w:tooltip="Zakon o dostopu do informacij javnega značaja (uradno prečiščeno besedilo) (ZDIJZ-UPB2)" w:history="1">
        <w:r w:rsidRPr="009F6CAA">
          <w:rPr>
            <w:rStyle w:val="Hiperpovezava"/>
            <w:rFonts w:eastAsiaTheme="majorEastAsia"/>
            <w:color w:val="auto"/>
            <w:szCs w:val="20"/>
            <w:shd w:val="clear" w:color="auto" w:fill="FFFFFF"/>
          </w:rPr>
          <w:t>51/06</w:t>
        </w:r>
      </w:hyperlink>
      <w:r w:rsidRPr="009F6CAA">
        <w:rPr>
          <w:szCs w:val="20"/>
          <w:shd w:val="clear" w:color="auto" w:fill="FFFFFF"/>
        </w:rPr>
        <w:t> – UPB,  </w:t>
      </w:r>
      <w:hyperlink r:id="rId12" w:tgtFrame="_blank" w:tooltip="Zakon o davčnem postopku (ZDavP-2)" w:history="1">
        <w:r w:rsidRPr="009F6CAA">
          <w:rPr>
            <w:rStyle w:val="Hiperpovezava"/>
            <w:rFonts w:eastAsiaTheme="majorEastAsia"/>
            <w:color w:val="auto"/>
            <w:szCs w:val="20"/>
            <w:shd w:val="clear" w:color="auto" w:fill="FFFFFF"/>
          </w:rPr>
          <w:t>117/06</w:t>
        </w:r>
      </w:hyperlink>
      <w:r w:rsidRPr="009F6CAA">
        <w:rPr>
          <w:szCs w:val="20"/>
          <w:shd w:val="clear" w:color="auto" w:fill="FFFFFF"/>
        </w:rPr>
        <w:t> – ZDavP-2, </w:t>
      </w:r>
      <w:hyperlink r:id="rId13" w:tgtFrame="_blank" w:tooltip="Zakon o spremembah in dopolnitvah Zakona o dostopu do informacij javnega značaja (ZDIJZ-C)" w:history="1">
        <w:r w:rsidRPr="009F6CAA">
          <w:rPr>
            <w:rStyle w:val="Hiperpovezava"/>
            <w:rFonts w:eastAsiaTheme="majorEastAsia"/>
            <w:color w:val="auto"/>
            <w:szCs w:val="20"/>
            <w:shd w:val="clear" w:color="auto" w:fill="FFFFFF"/>
          </w:rPr>
          <w:t>23/14</w:t>
        </w:r>
      </w:hyperlink>
      <w:r w:rsidRPr="009F6CAA">
        <w:rPr>
          <w:szCs w:val="20"/>
          <w:shd w:val="clear" w:color="auto" w:fill="FFFFFF"/>
        </w:rPr>
        <w:t>, </w:t>
      </w:r>
      <w:hyperlink r:id="rId14" w:tgtFrame="_blank" w:tooltip="Zakon o spremembah in dopolnitvah Zakona o dostopu do informacij javnega značaja (ZDIJZ-D)" w:history="1">
        <w:r w:rsidRPr="009F6CAA">
          <w:rPr>
            <w:rStyle w:val="Hiperpovezava"/>
            <w:rFonts w:eastAsiaTheme="majorEastAsia"/>
            <w:color w:val="auto"/>
            <w:szCs w:val="20"/>
            <w:shd w:val="clear" w:color="auto" w:fill="FFFFFF"/>
          </w:rPr>
          <w:t>50/14</w:t>
        </w:r>
      </w:hyperlink>
      <w:r w:rsidRPr="009F6CAA">
        <w:rPr>
          <w:szCs w:val="20"/>
          <w:shd w:val="clear" w:color="auto" w:fill="FFFFFF"/>
        </w:rPr>
        <w:t>, </w:t>
      </w:r>
      <w:hyperlink r:id="rId1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w:history="1">
        <w:r w:rsidRPr="009F6CAA">
          <w:rPr>
            <w:rStyle w:val="Hiperpovezava"/>
            <w:rFonts w:eastAsiaTheme="majorEastAsia"/>
            <w:color w:val="auto"/>
            <w:szCs w:val="20"/>
            <w:shd w:val="clear" w:color="auto" w:fill="FFFFFF"/>
          </w:rPr>
          <w:t>19/15</w:t>
        </w:r>
      </w:hyperlink>
      <w:r w:rsidRPr="009F6CAA">
        <w:rPr>
          <w:szCs w:val="20"/>
          <w:shd w:val="clear" w:color="auto" w:fill="FFFFFF"/>
        </w:rPr>
        <w:t> – odl. US, </w:t>
      </w:r>
      <w:hyperlink r:id="rId16" w:tgtFrame="_blank" w:tooltip="Zakon o spremembah in dopolnitvah Zakona o dostopu do informacij javnega značaja (ZDIJZ-E)" w:history="1">
        <w:r w:rsidRPr="009F6CAA">
          <w:rPr>
            <w:rStyle w:val="Hiperpovezava"/>
            <w:rFonts w:eastAsiaTheme="majorEastAsia"/>
            <w:color w:val="auto"/>
            <w:szCs w:val="20"/>
            <w:shd w:val="clear" w:color="auto" w:fill="FFFFFF"/>
          </w:rPr>
          <w:t>102/15</w:t>
        </w:r>
      </w:hyperlink>
      <w:r w:rsidRPr="009F6CAA">
        <w:rPr>
          <w:szCs w:val="20"/>
          <w:shd w:val="clear" w:color="auto" w:fill="FFFFFF"/>
        </w:rPr>
        <w:t>, </w:t>
      </w:r>
      <w:hyperlink r:id="rId17" w:tgtFrame="_blank" w:tooltip="Zakon o dopolnitvi Zakona o dostopu do informacij javnega značaja (ZDIJZ-F)" w:history="1">
        <w:r w:rsidRPr="009F6CAA">
          <w:rPr>
            <w:rStyle w:val="Hiperpovezava"/>
            <w:rFonts w:eastAsiaTheme="majorEastAsia"/>
            <w:color w:val="auto"/>
            <w:szCs w:val="20"/>
            <w:shd w:val="clear" w:color="auto" w:fill="FFFFFF"/>
          </w:rPr>
          <w:t>7/18</w:t>
        </w:r>
      </w:hyperlink>
      <w:r w:rsidRPr="009F6CAA">
        <w:rPr>
          <w:szCs w:val="20"/>
          <w:shd w:val="clear" w:color="auto" w:fill="FFFFFF"/>
        </w:rPr>
        <w:t> in </w:t>
      </w:r>
      <w:hyperlink r:id="rId18" w:tgtFrame="_blank" w:tooltip="Zakon o spremembah in dopolnitvah Zakona o dostopu do informacij javnega značaja (ZDIJZ-G)" w:history="1">
        <w:r w:rsidRPr="009F6CAA">
          <w:rPr>
            <w:rStyle w:val="Hiperpovezava"/>
            <w:rFonts w:eastAsiaTheme="majorEastAsia"/>
            <w:color w:val="auto"/>
            <w:szCs w:val="20"/>
            <w:shd w:val="clear" w:color="auto" w:fill="FFFFFF"/>
          </w:rPr>
          <w:t>141/22</w:t>
        </w:r>
      </w:hyperlink>
      <w:r w:rsidRPr="009F6CAA">
        <w:rPr>
          <w:szCs w:val="20"/>
        </w:rPr>
        <w:t>, v nadaljnjem besedilu: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sofinancer lahko domneval, da vloga po stališču prijavitelja ne vsebuje poslovnih skrivnosti, osebnih podatkov in drugih izjem iz 6. člena ZDIJZ.</w:t>
      </w:r>
    </w:p>
    <w:p w14:paraId="5208A412" w14:textId="77777777" w:rsidR="009F6CAA" w:rsidRPr="009F6CAA" w:rsidRDefault="009F6CAA" w:rsidP="007D5B48">
      <w:pPr>
        <w:spacing w:before="100" w:beforeAutospacing="1" w:after="100" w:afterAutospacing="1" w:line="240" w:lineRule="auto"/>
        <w:ind w:left="0"/>
        <w:textAlignment w:val="baseline"/>
        <w:rPr>
          <w:szCs w:val="20"/>
        </w:rPr>
      </w:pPr>
      <w:r w:rsidRPr="009F6CAA">
        <w:rPr>
          <w:szCs w:val="20"/>
        </w:rPr>
        <w:t>Na podlagi Zakona o integriteti in preprečevanju korupcije (</w:t>
      </w:r>
      <w:r w:rsidRPr="009F6CAA">
        <w:rPr>
          <w:szCs w:val="20"/>
          <w:shd w:val="clear" w:color="auto" w:fill="FFFFFF"/>
        </w:rPr>
        <w:t>Uradni list RS, št. </w:t>
      </w:r>
      <w:hyperlink r:id="rId19" w:tgtFrame="_blank" w:tooltip="Zakon o integriteti in preprečevanju korupcije (uradno prečiščeno besedilo) (ZIntPK-UPB2)" w:history="1">
        <w:r w:rsidRPr="009F6CAA">
          <w:rPr>
            <w:rStyle w:val="Hiperpovezava"/>
            <w:rFonts w:eastAsiaTheme="majorEastAsia"/>
            <w:color w:val="auto"/>
            <w:szCs w:val="20"/>
            <w:shd w:val="clear" w:color="auto" w:fill="FFFFFF"/>
          </w:rPr>
          <w:t>69/11</w:t>
        </w:r>
      </w:hyperlink>
      <w:r w:rsidRPr="009F6CAA">
        <w:rPr>
          <w:szCs w:val="20"/>
          <w:shd w:val="clear" w:color="auto" w:fill="FFFFFF"/>
        </w:rPr>
        <w:t> –UPB besedilo, </w:t>
      </w:r>
      <w:hyperlink r:id="rId20" w:tgtFrame="_blank" w:tooltip="Zakon o spremembah in dopolnitvah Zakona o integriteti in preprečevanju korupcije (ZIntPK-C)" w:history="1">
        <w:r w:rsidRPr="009F6CAA">
          <w:rPr>
            <w:rStyle w:val="Hiperpovezava"/>
            <w:rFonts w:eastAsiaTheme="majorEastAsia"/>
            <w:color w:val="auto"/>
            <w:szCs w:val="20"/>
            <w:shd w:val="clear" w:color="auto" w:fill="FFFFFF"/>
          </w:rPr>
          <w:t>158/20</w:t>
        </w:r>
      </w:hyperlink>
      <w:r w:rsidRPr="009F6CAA">
        <w:rPr>
          <w:szCs w:val="20"/>
          <w:shd w:val="clear" w:color="auto" w:fill="FFFFFF"/>
        </w:rPr>
        <w:t>, </w:t>
      </w:r>
      <w:hyperlink r:id="rId21" w:tgtFrame="_blank" w:tooltip="Zakon o debirokratizaciji (ZDeb)" w:history="1">
        <w:r w:rsidRPr="009F6CAA">
          <w:rPr>
            <w:rStyle w:val="Hiperpovezava"/>
            <w:rFonts w:eastAsiaTheme="majorEastAsia"/>
            <w:color w:val="auto"/>
            <w:szCs w:val="20"/>
            <w:shd w:val="clear" w:color="auto" w:fill="FFFFFF"/>
          </w:rPr>
          <w:t>3/22</w:t>
        </w:r>
      </w:hyperlink>
      <w:r w:rsidRPr="009F6CAA">
        <w:rPr>
          <w:szCs w:val="20"/>
          <w:shd w:val="clear" w:color="auto" w:fill="FFFFFF"/>
        </w:rPr>
        <w:t> – ZDeb in </w:t>
      </w:r>
      <w:hyperlink r:id="rId22" w:tgtFrame="_blank" w:tooltip="Zakon o zaščiti prijaviteljev (ZZPri)" w:history="1">
        <w:r w:rsidRPr="009F6CAA">
          <w:rPr>
            <w:rStyle w:val="Hiperpovezava"/>
            <w:rFonts w:eastAsiaTheme="majorEastAsia"/>
            <w:color w:val="auto"/>
            <w:szCs w:val="20"/>
            <w:shd w:val="clear" w:color="auto" w:fill="FFFFFF"/>
          </w:rPr>
          <w:t>16/23</w:t>
        </w:r>
      </w:hyperlink>
      <w:r w:rsidRPr="009F6CAA">
        <w:rPr>
          <w:szCs w:val="20"/>
          <w:shd w:val="clear" w:color="auto" w:fill="FFFFFF"/>
        </w:rPr>
        <w:t> – ZZPri</w:t>
      </w:r>
      <w:r w:rsidRPr="009F6CAA">
        <w:rPr>
          <w:szCs w:val="20"/>
        </w:rPr>
        <w:t xml:space="preserve">) Mestna občina Nova Gorica  ne sme poslovati s subjekti, v katerih je funkcionar, ki pri Mestni občini Nova Gorica  opravlja funkcijo ali njegov družinski član poslovodstva, ali neposredno ali preko drugih pravnih oseb v več kot 5% udeležen pri ustanoviteljskih pravicah, upravljanju oziroma kapitalu. Ta prepoved smiselno velja tudi za državne pomoči in druge oblike pridobivanja sredstev od naročnika Mestne občine Nova Gorica  ter za koncesije in druge oblike javno-zasebnega partnerstva, razen za državne pomoči v primeru naravnih nesreč. </w:t>
      </w:r>
    </w:p>
    <w:bookmarkEnd w:id="1"/>
    <w:p w14:paraId="71853589" w14:textId="77777777" w:rsidR="007F2288" w:rsidRDefault="007F2288" w:rsidP="007D5B48">
      <w:pPr>
        <w:tabs>
          <w:tab w:val="left" w:pos="1560"/>
        </w:tabs>
        <w:ind w:left="0"/>
        <w:rPr>
          <w:szCs w:val="20"/>
        </w:rPr>
      </w:pPr>
    </w:p>
    <w:p w14:paraId="1F8BFC6A" w14:textId="48229399" w:rsidR="009F6CAA" w:rsidRPr="009F6CAA" w:rsidRDefault="009F6CAA" w:rsidP="00EA4357">
      <w:pPr>
        <w:tabs>
          <w:tab w:val="left" w:pos="1560"/>
        </w:tabs>
        <w:spacing w:line="240" w:lineRule="auto"/>
        <w:ind w:left="0"/>
        <w:rPr>
          <w:bCs w:val="0"/>
          <w:color w:val="ED7D31" w:themeColor="accent2"/>
          <w:szCs w:val="20"/>
        </w:rPr>
      </w:pPr>
      <w:r w:rsidRPr="009F6CAA">
        <w:rPr>
          <w:szCs w:val="20"/>
        </w:rPr>
        <w:t>Številka : 302-0004/2026-1</w:t>
      </w:r>
    </w:p>
    <w:p w14:paraId="585F3756" w14:textId="2963594D" w:rsidR="009F6CAA" w:rsidRPr="009F6CAA" w:rsidRDefault="00F15193" w:rsidP="00EA4357">
      <w:pPr>
        <w:spacing w:line="240" w:lineRule="auto"/>
        <w:ind w:left="0"/>
        <w:rPr>
          <w:szCs w:val="20"/>
        </w:rPr>
      </w:pPr>
      <w:r>
        <w:rPr>
          <w:szCs w:val="20"/>
        </w:rPr>
        <w:t xml:space="preserve"> </w:t>
      </w:r>
      <w:r w:rsidR="006A27E3">
        <w:rPr>
          <w:szCs w:val="20"/>
        </w:rPr>
        <w:t>Datum: 6.2. 2026</w:t>
      </w:r>
      <w:r>
        <w:rPr>
          <w:szCs w:val="20"/>
        </w:rPr>
        <w:t xml:space="preserve"> </w:t>
      </w:r>
    </w:p>
    <w:tbl>
      <w:tblPr>
        <w:tblW w:w="9285" w:type="dxa"/>
        <w:jc w:val="center"/>
        <w:tblLayout w:type="fixed"/>
        <w:tblLook w:val="04A0" w:firstRow="1" w:lastRow="0" w:firstColumn="1" w:lastColumn="0" w:noHBand="0" w:noVBand="1"/>
      </w:tblPr>
      <w:tblGrid>
        <w:gridCol w:w="4926"/>
        <w:gridCol w:w="4359"/>
      </w:tblGrid>
      <w:tr w:rsidR="009F6CAA" w:rsidRPr="009F6CAA" w14:paraId="18D3CDF4" w14:textId="77777777">
        <w:trPr>
          <w:jc w:val="center"/>
        </w:trPr>
        <w:tc>
          <w:tcPr>
            <w:tcW w:w="4928" w:type="dxa"/>
          </w:tcPr>
          <w:p w14:paraId="57DACD5C" w14:textId="77777777" w:rsidR="009F6CAA" w:rsidRPr="009F6CAA" w:rsidRDefault="009F6CAA">
            <w:pPr>
              <w:widowControl w:val="0"/>
              <w:rPr>
                <w:b/>
                <w:szCs w:val="20"/>
              </w:rPr>
            </w:pPr>
          </w:p>
        </w:tc>
        <w:tc>
          <w:tcPr>
            <w:tcW w:w="4360" w:type="dxa"/>
          </w:tcPr>
          <w:p w14:paraId="00052A94" w14:textId="77777777" w:rsidR="009F6CAA" w:rsidRPr="009F6CAA" w:rsidRDefault="009F6CAA">
            <w:pPr>
              <w:pStyle w:val="TEKST"/>
              <w:jc w:val="center"/>
              <w:rPr>
                <w:rFonts w:ascii="Verdana" w:hAnsi="Verdana" w:cs="Arial"/>
                <w:b/>
                <w:sz w:val="20"/>
                <w:szCs w:val="20"/>
              </w:rPr>
            </w:pPr>
          </w:p>
          <w:p w14:paraId="4B3B3599" w14:textId="77777777" w:rsidR="009F6CAA" w:rsidRPr="009F6CAA" w:rsidRDefault="009F6CAA">
            <w:pPr>
              <w:pStyle w:val="TEKST"/>
              <w:jc w:val="center"/>
              <w:rPr>
                <w:rFonts w:ascii="Verdana" w:hAnsi="Verdana" w:cs="Arial"/>
                <w:b/>
                <w:sz w:val="20"/>
                <w:szCs w:val="20"/>
              </w:rPr>
            </w:pPr>
            <w:r w:rsidRPr="009F6CAA">
              <w:rPr>
                <w:rFonts w:ascii="Verdana" w:hAnsi="Verdana" w:cs="Arial"/>
                <w:b/>
                <w:sz w:val="20"/>
                <w:szCs w:val="20"/>
              </w:rPr>
              <w:t>Župan</w:t>
            </w:r>
          </w:p>
          <w:p w14:paraId="39840580" w14:textId="77777777" w:rsidR="009F6CAA" w:rsidRPr="009F6CAA" w:rsidRDefault="009F6CAA">
            <w:pPr>
              <w:pStyle w:val="TEKST"/>
              <w:jc w:val="center"/>
              <w:rPr>
                <w:rFonts w:ascii="Verdana" w:hAnsi="Verdana" w:cs="Arial"/>
                <w:b/>
                <w:sz w:val="20"/>
                <w:szCs w:val="20"/>
              </w:rPr>
            </w:pPr>
            <w:r w:rsidRPr="009F6CAA">
              <w:rPr>
                <w:rFonts w:ascii="Verdana" w:hAnsi="Verdana" w:cs="Arial"/>
                <w:b/>
                <w:sz w:val="20"/>
                <w:szCs w:val="20"/>
              </w:rPr>
              <w:t xml:space="preserve"> Samo </w:t>
            </w:r>
            <w:proofErr w:type="spellStart"/>
            <w:r w:rsidRPr="009F6CAA">
              <w:rPr>
                <w:rFonts w:ascii="Verdana" w:hAnsi="Verdana" w:cs="Arial"/>
                <w:b/>
                <w:sz w:val="20"/>
                <w:szCs w:val="20"/>
              </w:rPr>
              <w:t>Turel</w:t>
            </w:r>
            <w:proofErr w:type="spellEnd"/>
            <w:r w:rsidRPr="009F6CAA">
              <w:rPr>
                <w:rFonts w:ascii="Verdana" w:hAnsi="Verdana" w:cs="Arial"/>
                <w:b/>
                <w:sz w:val="20"/>
                <w:szCs w:val="20"/>
              </w:rPr>
              <w:t xml:space="preserve">  </w:t>
            </w:r>
          </w:p>
        </w:tc>
      </w:tr>
    </w:tbl>
    <w:p w14:paraId="1090C3F0" w14:textId="77777777" w:rsidR="009F6CAA" w:rsidRPr="009F6CAA" w:rsidRDefault="009F6CAA" w:rsidP="009F6CAA">
      <w:pPr>
        <w:jc w:val="both"/>
        <w:rPr>
          <w:szCs w:val="20"/>
        </w:rPr>
      </w:pPr>
    </w:p>
    <w:p w14:paraId="1CB98DCE" w14:textId="77777777" w:rsidR="009F6CAA" w:rsidRPr="009F6CAA" w:rsidRDefault="009F6CAA" w:rsidP="009F6CAA">
      <w:pPr>
        <w:jc w:val="both"/>
        <w:rPr>
          <w:szCs w:val="20"/>
        </w:rPr>
      </w:pPr>
    </w:p>
    <w:p w14:paraId="13C1C178" w14:textId="77777777" w:rsidR="009F6CAA" w:rsidRPr="009F6CAA" w:rsidRDefault="009F6CAA" w:rsidP="009F6CAA">
      <w:pPr>
        <w:pStyle w:val="Nazivenote"/>
        <w:ind w:left="0"/>
        <w:rPr>
          <w:b w:val="0"/>
          <w:bCs/>
          <w:sz w:val="20"/>
          <w:szCs w:val="20"/>
        </w:rPr>
      </w:pPr>
    </w:p>
    <w:sectPr w:rsidR="009F6CAA" w:rsidRPr="009F6CAA" w:rsidSect="00774D35">
      <w:headerReference w:type="default" r:id="rId23"/>
      <w:footerReference w:type="default" r:id="rId24"/>
      <w:headerReference w:type="first" r:id="rId25"/>
      <w:footerReference w:type="first" r:id="rId26"/>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4DC6" w14:textId="77777777" w:rsidR="00C8790D" w:rsidRDefault="00C8790D" w:rsidP="003F3284">
      <w:r>
        <w:separator/>
      </w:r>
    </w:p>
  </w:endnote>
  <w:endnote w:type="continuationSeparator" w:id="0">
    <w:p w14:paraId="4973AB35" w14:textId="77777777" w:rsidR="00C8790D" w:rsidRDefault="00C8790D"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D559" w14:textId="77777777" w:rsidR="00C8790D" w:rsidRDefault="00C8790D" w:rsidP="003F3284">
      <w:r>
        <w:separator/>
      </w:r>
    </w:p>
  </w:footnote>
  <w:footnote w:type="continuationSeparator" w:id="0">
    <w:p w14:paraId="4A3F2D6B" w14:textId="77777777" w:rsidR="00C8790D" w:rsidRDefault="00C8790D"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6948"/>
    <w:multiLevelType w:val="hybridMultilevel"/>
    <w:tmpl w:val="EC02CCC2"/>
    <w:lvl w:ilvl="0" w:tplc="0424000F">
      <w:start w:val="1"/>
      <w:numFmt w:val="decimal"/>
      <w:lvlText w:val="%1."/>
      <w:lvlJc w:val="left"/>
      <w:pPr>
        <w:ind w:left="360" w:hanging="360"/>
      </w:pPr>
    </w:lvl>
    <w:lvl w:ilvl="1" w:tplc="D5C2EF66">
      <w:numFmt w:val="bullet"/>
      <w:lvlText w:val="•"/>
      <w:lvlJc w:val="left"/>
      <w:pPr>
        <w:ind w:left="1425" w:hanging="705"/>
      </w:pPr>
      <w:rPr>
        <w:rFonts w:ascii="Calibri" w:eastAsia="Calibri" w:hAnsi="Calibri" w:cs="Calibr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304337B8"/>
    <w:multiLevelType w:val="hybridMultilevel"/>
    <w:tmpl w:val="7EF043DE"/>
    <w:lvl w:ilvl="0" w:tplc="2D4292D0">
      <w:start w:val="4"/>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489833A4"/>
    <w:multiLevelType w:val="hybridMultilevel"/>
    <w:tmpl w:val="F0825FF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E7C2B45"/>
    <w:multiLevelType w:val="hybridMultilevel"/>
    <w:tmpl w:val="5D8AD92A"/>
    <w:lvl w:ilvl="0" w:tplc="04240001">
      <w:start w:val="1"/>
      <w:numFmt w:val="bullet"/>
      <w:lvlText w:val=""/>
      <w:lvlJc w:val="left"/>
      <w:pPr>
        <w:ind w:left="1080" w:hanging="360"/>
      </w:pPr>
      <w:rPr>
        <w:rFonts w:ascii="Symbol" w:hAnsi="Symbol" w:hint="default"/>
        <w:b/>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4F6D15"/>
    <w:multiLevelType w:val="hybridMultilevel"/>
    <w:tmpl w:val="3E5E0A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8AA48E4"/>
    <w:multiLevelType w:val="hybridMultilevel"/>
    <w:tmpl w:val="805000B2"/>
    <w:lvl w:ilvl="0" w:tplc="0424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7" w15:restartNumberingAfterBreak="0">
    <w:nsid w:val="68EE4BEC"/>
    <w:multiLevelType w:val="hybridMultilevel"/>
    <w:tmpl w:val="41CA76E4"/>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8" w15:restartNumberingAfterBreak="0">
    <w:nsid w:val="69B80F82"/>
    <w:multiLevelType w:val="hybridMultilevel"/>
    <w:tmpl w:val="39F611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C460391"/>
    <w:multiLevelType w:val="hybridMultilevel"/>
    <w:tmpl w:val="2356E7A0"/>
    <w:lvl w:ilvl="0" w:tplc="04240001">
      <w:start w:val="1"/>
      <w:numFmt w:val="bullet"/>
      <w:lvlText w:val=""/>
      <w:lvlJc w:val="left"/>
      <w:pPr>
        <w:ind w:left="1788" w:hanging="360"/>
      </w:pPr>
      <w:rPr>
        <w:rFonts w:ascii="Symbol" w:hAnsi="Symbol" w:hint="default"/>
      </w:rPr>
    </w:lvl>
    <w:lvl w:ilvl="1" w:tplc="04240003">
      <w:start w:val="1"/>
      <w:numFmt w:val="bullet"/>
      <w:lvlText w:val="o"/>
      <w:lvlJc w:val="left"/>
      <w:pPr>
        <w:ind w:left="2508" w:hanging="360"/>
      </w:pPr>
      <w:rPr>
        <w:rFonts w:ascii="Courier New" w:hAnsi="Courier New" w:cs="Courier New" w:hint="default"/>
      </w:rPr>
    </w:lvl>
    <w:lvl w:ilvl="2" w:tplc="04240005">
      <w:start w:val="1"/>
      <w:numFmt w:val="bullet"/>
      <w:lvlText w:val=""/>
      <w:lvlJc w:val="left"/>
      <w:pPr>
        <w:ind w:left="3228" w:hanging="360"/>
      </w:pPr>
      <w:rPr>
        <w:rFonts w:ascii="Wingdings" w:hAnsi="Wingdings" w:hint="default"/>
      </w:rPr>
    </w:lvl>
    <w:lvl w:ilvl="3" w:tplc="04240001">
      <w:start w:val="1"/>
      <w:numFmt w:val="bullet"/>
      <w:lvlText w:val=""/>
      <w:lvlJc w:val="left"/>
      <w:pPr>
        <w:ind w:left="3948" w:hanging="360"/>
      </w:pPr>
      <w:rPr>
        <w:rFonts w:ascii="Symbol" w:hAnsi="Symbol" w:hint="default"/>
      </w:rPr>
    </w:lvl>
    <w:lvl w:ilvl="4" w:tplc="04240003">
      <w:start w:val="1"/>
      <w:numFmt w:val="bullet"/>
      <w:lvlText w:val="o"/>
      <w:lvlJc w:val="left"/>
      <w:pPr>
        <w:ind w:left="4668" w:hanging="360"/>
      </w:pPr>
      <w:rPr>
        <w:rFonts w:ascii="Courier New" w:hAnsi="Courier New" w:cs="Courier New" w:hint="default"/>
      </w:rPr>
    </w:lvl>
    <w:lvl w:ilvl="5" w:tplc="04240005">
      <w:start w:val="1"/>
      <w:numFmt w:val="bullet"/>
      <w:lvlText w:val=""/>
      <w:lvlJc w:val="left"/>
      <w:pPr>
        <w:ind w:left="5388" w:hanging="360"/>
      </w:pPr>
      <w:rPr>
        <w:rFonts w:ascii="Wingdings" w:hAnsi="Wingdings" w:hint="default"/>
      </w:rPr>
    </w:lvl>
    <w:lvl w:ilvl="6" w:tplc="04240001">
      <w:start w:val="1"/>
      <w:numFmt w:val="bullet"/>
      <w:lvlText w:val=""/>
      <w:lvlJc w:val="left"/>
      <w:pPr>
        <w:ind w:left="6108" w:hanging="360"/>
      </w:pPr>
      <w:rPr>
        <w:rFonts w:ascii="Symbol" w:hAnsi="Symbol" w:hint="default"/>
      </w:rPr>
    </w:lvl>
    <w:lvl w:ilvl="7" w:tplc="04240003">
      <w:start w:val="1"/>
      <w:numFmt w:val="bullet"/>
      <w:lvlText w:val="o"/>
      <w:lvlJc w:val="left"/>
      <w:pPr>
        <w:ind w:left="6828" w:hanging="360"/>
      </w:pPr>
      <w:rPr>
        <w:rFonts w:ascii="Courier New" w:hAnsi="Courier New" w:cs="Courier New" w:hint="default"/>
      </w:rPr>
    </w:lvl>
    <w:lvl w:ilvl="8" w:tplc="04240005">
      <w:start w:val="1"/>
      <w:numFmt w:val="bullet"/>
      <w:lvlText w:val=""/>
      <w:lvlJc w:val="left"/>
      <w:pPr>
        <w:ind w:left="7548" w:hanging="360"/>
      </w:pPr>
      <w:rPr>
        <w:rFonts w:ascii="Wingdings" w:hAnsi="Wingdings" w:hint="default"/>
      </w:rPr>
    </w:lvl>
  </w:abstractNum>
  <w:num w:numId="1" w16cid:durableId="1275595661">
    <w:abstractNumId w:val="4"/>
  </w:num>
  <w:num w:numId="2" w16cid:durableId="1762798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2251875">
    <w:abstractNumId w:val="8"/>
  </w:num>
  <w:num w:numId="4" w16cid:durableId="423958721">
    <w:abstractNumId w:val="7"/>
  </w:num>
  <w:num w:numId="5" w16cid:durableId="182864096">
    <w:abstractNumId w:val="6"/>
  </w:num>
  <w:num w:numId="6" w16cid:durableId="1668442222">
    <w:abstractNumId w:val="9"/>
  </w:num>
  <w:num w:numId="7" w16cid:durableId="1217012609">
    <w:abstractNumId w:val="3"/>
  </w:num>
  <w:num w:numId="8" w16cid:durableId="21900030">
    <w:abstractNumId w:val="2"/>
  </w:num>
  <w:num w:numId="9" w16cid:durableId="12461036">
    <w:abstractNumId w:val="5"/>
  </w:num>
  <w:num w:numId="10" w16cid:durableId="71542349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5114"/>
    <w:rsid w:val="000276AB"/>
    <w:rsid w:val="00035268"/>
    <w:rsid w:val="00035BE8"/>
    <w:rsid w:val="0005678C"/>
    <w:rsid w:val="00073203"/>
    <w:rsid w:val="000759D8"/>
    <w:rsid w:val="00083CA2"/>
    <w:rsid w:val="000D6C77"/>
    <w:rsid w:val="000E6278"/>
    <w:rsid w:val="000F716B"/>
    <w:rsid w:val="00101B99"/>
    <w:rsid w:val="00110838"/>
    <w:rsid w:val="001137D1"/>
    <w:rsid w:val="00145A3D"/>
    <w:rsid w:val="00171A1B"/>
    <w:rsid w:val="001776A5"/>
    <w:rsid w:val="001818B4"/>
    <w:rsid w:val="00181EA5"/>
    <w:rsid w:val="00184E64"/>
    <w:rsid w:val="00192B9A"/>
    <w:rsid w:val="001A4CB9"/>
    <w:rsid w:val="001A7087"/>
    <w:rsid w:val="001B21C9"/>
    <w:rsid w:val="001B2389"/>
    <w:rsid w:val="001B4CD9"/>
    <w:rsid w:val="001C6438"/>
    <w:rsid w:val="001D7013"/>
    <w:rsid w:val="001F4732"/>
    <w:rsid w:val="00207C1C"/>
    <w:rsid w:val="0022273D"/>
    <w:rsid w:val="0022510F"/>
    <w:rsid w:val="00226E0E"/>
    <w:rsid w:val="0027482D"/>
    <w:rsid w:val="0028430E"/>
    <w:rsid w:val="00287D4F"/>
    <w:rsid w:val="002910D5"/>
    <w:rsid w:val="00294F02"/>
    <w:rsid w:val="002B08B0"/>
    <w:rsid w:val="002E073E"/>
    <w:rsid w:val="002F26F0"/>
    <w:rsid w:val="00305974"/>
    <w:rsid w:val="00345529"/>
    <w:rsid w:val="00346CBB"/>
    <w:rsid w:val="00356EAC"/>
    <w:rsid w:val="00366240"/>
    <w:rsid w:val="0039457F"/>
    <w:rsid w:val="003952C5"/>
    <w:rsid w:val="003A0AE4"/>
    <w:rsid w:val="003A1133"/>
    <w:rsid w:val="003A152C"/>
    <w:rsid w:val="003A2C22"/>
    <w:rsid w:val="003A4BD2"/>
    <w:rsid w:val="003B11F7"/>
    <w:rsid w:val="003B412E"/>
    <w:rsid w:val="003B5F7C"/>
    <w:rsid w:val="003F3284"/>
    <w:rsid w:val="00404823"/>
    <w:rsid w:val="004129EE"/>
    <w:rsid w:val="004250D3"/>
    <w:rsid w:val="00454265"/>
    <w:rsid w:val="00463FA4"/>
    <w:rsid w:val="00486063"/>
    <w:rsid w:val="004953C5"/>
    <w:rsid w:val="004A325F"/>
    <w:rsid w:val="004A535E"/>
    <w:rsid w:val="004C5C4C"/>
    <w:rsid w:val="004D7192"/>
    <w:rsid w:val="004D7F08"/>
    <w:rsid w:val="004E242E"/>
    <w:rsid w:val="004F417F"/>
    <w:rsid w:val="00501EB2"/>
    <w:rsid w:val="005210F0"/>
    <w:rsid w:val="00534D33"/>
    <w:rsid w:val="005361AF"/>
    <w:rsid w:val="005744BB"/>
    <w:rsid w:val="00581BE7"/>
    <w:rsid w:val="00592FB1"/>
    <w:rsid w:val="005B15EA"/>
    <w:rsid w:val="005B367A"/>
    <w:rsid w:val="005C4702"/>
    <w:rsid w:val="005E4582"/>
    <w:rsid w:val="005E63AF"/>
    <w:rsid w:val="00605EDD"/>
    <w:rsid w:val="00611F95"/>
    <w:rsid w:val="00613FFC"/>
    <w:rsid w:val="006620F0"/>
    <w:rsid w:val="0066334B"/>
    <w:rsid w:val="006752A2"/>
    <w:rsid w:val="006A27E3"/>
    <w:rsid w:val="006B42F9"/>
    <w:rsid w:val="006D27E8"/>
    <w:rsid w:val="007063A4"/>
    <w:rsid w:val="00722FAC"/>
    <w:rsid w:val="00734A18"/>
    <w:rsid w:val="00735205"/>
    <w:rsid w:val="00751FB3"/>
    <w:rsid w:val="00752764"/>
    <w:rsid w:val="00774D35"/>
    <w:rsid w:val="0079172C"/>
    <w:rsid w:val="00791DB2"/>
    <w:rsid w:val="00793022"/>
    <w:rsid w:val="007C0DEA"/>
    <w:rsid w:val="007D3693"/>
    <w:rsid w:val="007D5B48"/>
    <w:rsid w:val="007E04A2"/>
    <w:rsid w:val="007F2288"/>
    <w:rsid w:val="00810854"/>
    <w:rsid w:val="008515CD"/>
    <w:rsid w:val="008562CE"/>
    <w:rsid w:val="00873CAB"/>
    <w:rsid w:val="008759F5"/>
    <w:rsid w:val="008802E3"/>
    <w:rsid w:val="0088105E"/>
    <w:rsid w:val="008821D4"/>
    <w:rsid w:val="008A5F4D"/>
    <w:rsid w:val="008C683C"/>
    <w:rsid w:val="008C68B0"/>
    <w:rsid w:val="008E0142"/>
    <w:rsid w:val="008E7221"/>
    <w:rsid w:val="00905F98"/>
    <w:rsid w:val="0091242E"/>
    <w:rsid w:val="00923A6E"/>
    <w:rsid w:val="009416BB"/>
    <w:rsid w:val="00942356"/>
    <w:rsid w:val="00952CC9"/>
    <w:rsid w:val="00967152"/>
    <w:rsid w:val="009805C0"/>
    <w:rsid w:val="0098156F"/>
    <w:rsid w:val="00990056"/>
    <w:rsid w:val="009962CD"/>
    <w:rsid w:val="009D3904"/>
    <w:rsid w:val="009F6CAA"/>
    <w:rsid w:val="00A15E55"/>
    <w:rsid w:val="00A2721F"/>
    <w:rsid w:val="00A5368B"/>
    <w:rsid w:val="00A55785"/>
    <w:rsid w:val="00A836DF"/>
    <w:rsid w:val="00A9127C"/>
    <w:rsid w:val="00A95A58"/>
    <w:rsid w:val="00AA4BFD"/>
    <w:rsid w:val="00B35778"/>
    <w:rsid w:val="00B754E3"/>
    <w:rsid w:val="00B84570"/>
    <w:rsid w:val="00BA46CD"/>
    <w:rsid w:val="00BA76C2"/>
    <w:rsid w:val="00BD1007"/>
    <w:rsid w:val="00BF25FD"/>
    <w:rsid w:val="00BF7B56"/>
    <w:rsid w:val="00C072E2"/>
    <w:rsid w:val="00C10614"/>
    <w:rsid w:val="00C12D30"/>
    <w:rsid w:val="00C307B4"/>
    <w:rsid w:val="00C30B8C"/>
    <w:rsid w:val="00C7627D"/>
    <w:rsid w:val="00C762F1"/>
    <w:rsid w:val="00C8790D"/>
    <w:rsid w:val="00C95B3A"/>
    <w:rsid w:val="00C973E8"/>
    <w:rsid w:val="00CD0869"/>
    <w:rsid w:val="00CD1C81"/>
    <w:rsid w:val="00CE01CB"/>
    <w:rsid w:val="00D24535"/>
    <w:rsid w:val="00D302FF"/>
    <w:rsid w:val="00D30A99"/>
    <w:rsid w:val="00D32794"/>
    <w:rsid w:val="00D63E3B"/>
    <w:rsid w:val="00D731FF"/>
    <w:rsid w:val="00D81991"/>
    <w:rsid w:val="00DA69BC"/>
    <w:rsid w:val="00DB324B"/>
    <w:rsid w:val="00DD1372"/>
    <w:rsid w:val="00DD5294"/>
    <w:rsid w:val="00DE7B81"/>
    <w:rsid w:val="00E11677"/>
    <w:rsid w:val="00E33E85"/>
    <w:rsid w:val="00E3505E"/>
    <w:rsid w:val="00E477B4"/>
    <w:rsid w:val="00E57102"/>
    <w:rsid w:val="00E80D1C"/>
    <w:rsid w:val="00E876FD"/>
    <w:rsid w:val="00EA4357"/>
    <w:rsid w:val="00EE5B63"/>
    <w:rsid w:val="00EE5DDF"/>
    <w:rsid w:val="00EF0214"/>
    <w:rsid w:val="00EF3543"/>
    <w:rsid w:val="00F077EC"/>
    <w:rsid w:val="00F12361"/>
    <w:rsid w:val="00F15193"/>
    <w:rsid w:val="00F17158"/>
    <w:rsid w:val="00F216E4"/>
    <w:rsid w:val="00F24C66"/>
    <w:rsid w:val="00F27F42"/>
    <w:rsid w:val="00F3152C"/>
    <w:rsid w:val="00F3265F"/>
    <w:rsid w:val="00F40810"/>
    <w:rsid w:val="00F4231E"/>
    <w:rsid w:val="00F66755"/>
    <w:rsid w:val="00F67557"/>
    <w:rsid w:val="00F740CF"/>
    <w:rsid w:val="00F811AF"/>
    <w:rsid w:val="00F85D2D"/>
    <w:rsid w:val="00F9155C"/>
    <w:rsid w:val="00FC3ED6"/>
    <w:rsid w:val="00FE1D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DD5294"/>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DD5294"/>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3B5F7C"/>
    <w:pPr>
      <w:spacing w:after="0" w:line="240" w:lineRule="auto"/>
      <w:ind w:left="709" w:right="-142"/>
    </w:pPr>
    <w:rPr>
      <w:rFonts w:ascii="Verdana" w:eastAsia="Times New Roman" w:hAnsi="Verdana" w:cs="Arial"/>
      <w:bCs/>
      <w:noProof/>
      <w:sz w:val="20"/>
      <w:lang w:eastAsia="sl-SI"/>
    </w:rPr>
  </w:style>
  <w:style w:type="character" w:customStyle="1" w:styleId="OdstavekseznamaZnak">
    <w:name w:val="Odstavek seznama Znak"/>
    <w:link w:val="Odstavekseznama"/>
    <w:uiPriority w:val="34"/>
    <w:locked/>
    <w:rsid w:val="001B4CD9"/>
    <w:rPr>
      <w:rFonts w:ascii="Verdana" w:eastAsia="Times New Roman" w:hAnsi="Verdana" w:cs="Arial"/>
      <w:bCs/>
      <w:noProof/>
      <w:sz w:val="20"/>
      <w:lang w:eastAsia="sl-SI"/>
    </w:rPr>
  </w:style>
  <w:style w:type="paragraph" w:styleId="Telobesedila">
    <w:name w:val="Body Text"/>
    <w:basedOn w:val="Navaden"/>
    <w:link w:val="TelobesedilaZnak"/>
    <w:rsid w:val="00346CBB"/>
    <w:pPr>
      <w:spacing w:after="0" w:line="240" w:lineRule="auto"/>
      <w:ind w:left="0" w:right="0"/>
      <w:jc w:val="both"/>
    </w:pPr>
    <w:rPr>
      <w:rFonts w:ascii="Times New Roman" w:hAnsi="Times New Roman" w:cs="Times New Roman"/>
      <w:bCs w:val="0"/>
      <w:noProof w:val="0"/>
      <w:sz w:val="24"/>
      <w:szCs w:val="20"/>
    </w:rPr>
  </w:style>
  <w:style w:type="character" w:customStyle="1" w:styleId="TelobesedilaZnak">
    <w:name w:val="Telo besedila Znak"/>
    <w:basedOn w:val="Privzetapisavaodstavka"/>
    <w:link w:val="Telobesedila"/>
    <w:rsid w:val="00346CBB"/>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rsid w:val="00346CBB"/>
    <w:pPr>
      <w:spacing w:after="0" w:line="240" w:lineRule="auto"/>
      <w:ind w:left="1080" w:right="0"/>
      <w:jc w:val="both"/>
    </w:pPr>
    <w:rPr>
      <w:rFonts w:ascii="Times New Roman" w:hAnsi="Times New Roman" w:cs="Times New Roman"/>
      <w:bCs w:val="0"/>
      <w:noProof w:val="0"/>
      <w:sz w:val="24"/>
      <w:szCs w:val="20"/>
    </w:rPr>
  </w:style>
  <w:style w:type="character" w:customStyle="1" w:styleId="Telobesedila-zamik2Znak">
    <w:name w:val="Telo besedila - zamik 2 Znak"/>
    <w:basedOn w:val="Privzetapisavaodstavka"/>
    <w:link w:val="Telobesedila-zamik2"/>
    <w:rsid w:val="00346CBB"/>
    <w:rPr>
      <w:rFonts w:ascii="Times New Roman" w:eastAsia="Times New Roman" w:hAnsi="Times New Roman" w:cs="Times New Roman"/>
      <w:sz w:val="24"/>
      <w:szCs w:val="20"/>
      <w:lang w:eastAsia="sl-SI"/>
    </w:rPr>
  </w:style>
  <w:style w:type="paragraph" w:customStyle="1" w:styleId="TEKST">
    <w:name w:val="TEKST"/>
    <w:basedOn w:val="Navaden"/>
    <w:link w:val="TEKSTZnak"/>
    <w:rsid w:val="00346CBB"/>
    <w:pPr>
      <w:spacing w:after="0" w:line="264" w:lineRule="auto"/>
      <w:ind w:left="0" w:right="0"/>
      <w:jc w:val="both"/>
    </w:pPr>
    <w:rPr>
      <w:rFonts w:ascii="Trebuchet MS" w:hAnsi="Trebuchet MS" w:cs="Times New Roman"/>
      <w:bCs w:val="0"/>
      <w:noProof w:val="0"/>
      <w:sz w:val="22"/>
      <w:szCs w:val="24"/>
    </w:rPr>
  </w:style>
  <w:style w:type="character" w:customStyle="1" w:styleId="TEKSTZnak">
    <w:name w:val="TEKST Znak"/>
    <w:link w:val="TEKST"/>
    <w:locked/>
    <w:rsid w:val="00346CBB"/>
    <w:rPr>
      <w:rFonts w:ascii="Trebuchet MS" w:eastAsia="Times New Roman" w:hAnsi="Trebuchet MS" w:cs="Times New Roman"/>
      <w:szCs w:val="24"/>
      <w:lang w:eastAsia="sl-SI"/>
    </w:rPr>
  </w:style>
  <w:style w:type="paragraph" w:styleId="HTML-oblikovano">
    <w:name w:val="HTML Preformatted"/>
    <w:basedOn w:val="Navaden"/>
    <w:link w:val="HTML-oblikovanoZnak"/>
    <w:semiHidden/>
    <w:unhideWhenUsed/>
    <w:rsid w:val="00075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pPr>
    <w:rPr>
      <w:rFonts w:ascii="Courier New" w:hAnsi="Courier New" w:cs="Courier New"/>
      <w:bCs w:val="0"/>
      <w:noProof w:val="0"/>
      <w:color w:val="000000"/>
      <w:sz w:val="18"/>
      <w:szCs w:val="18"/>
    </w:rPr>
  </w:style>
  <w:style w:type="character" w:customStyle="1" w:styleId="HTML-oblikovanoZnak">
    <w:name w:val="HTML-oblikovano Znak"/>
    <w:basedOn w:val="Privzetapisavaodstavka"/>
    <w:link w:val="HTML-oblikovano"/>
    <w:semiHidden/>
    <w:rsid w:val="000759D8"/>
    <w:rPr>
      <w:rFonts w:ascii="Courier New" w:eastAsia="Times New Roman" w:hAnsi="Courier New" w:cs="Courier New"/>
      <w:color w:val="000000"/>
      <w:sz w:val="18"/>
      <w:szCs w:val="18"/>
      <w:lang w:eastAsia="sl-SI"/>
    </w:rPr>
  </w:style>
  <w:style w:type="paragraph" w:styleId="Telobesedila-zamik">
    <w:name w:val="Body Text Indent"/>
    <w:basedOn w:val="Navaden"/>
    <w:link w:val="Telobesedila-zamikZnak"/>
    <w:uiPriority w:val="99"/>
    <w:semiHidden/>
    <w:unhideWhenUsed/>
    <w:rsid w:val="009F6CAA"/>
    <w:pPr>
      <w:spacing w:after="120"/>
      <w:ind w:left="283"/>
    </w:pPr>
  </w:style>
  <w:style w:type="character" w:customStyle="1" w:styleId="Telobesedila-zamikZnak">
    <w:name w:val="Telo besedila - zamik Znak"/>
    <w:basedOn w:val="Privzetapisavaodstavka"/>
    <w:link w:val="Telobesedila-zamik"/>
    <w:uiPriority w:val="99"/>
    <w:semiHidden/>
    <w:rsid w:val="009F6CAA"/>
    <w:rPr>
      <w:rFonts w:ascii="Verdana" w:eastAsia="Times New Roman" w:hAnsi="Verdana" w:cs="Arial"/>
      <w:bCs/>
      <w:noProof/>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glasilo-uradni-list-rs/vsebina/2014-01-0876" TargetMode="External"/><Relationship Id="rId18" Type="http://schemas.openxmlformats.org/officeDocument/2006/relationships/hyperlink" Target="https://www.uradni-list.si/glasilo-uradni-list-rs/vsebina/2022-01-346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radni-list.si/glasilo-uradni-list-rs/vsebina/2022-01-0014" TargetMode="External"/><Relationship Id="rId7" Type="http://schemas.openxmlformats.org/officeDocument/2006/relationships/webSettings" Target="webSettings.xml"/><Relationship Id="rId12" Type="http://schemas.openxmlformats.org/officeDocument/2006/relationships/hyperlink" Target="https://www.uradni-list.si/glasilo-uradni-list-rs/vsebina/2006-01-5018" TargetMode="External"/><Relationship Id="rId17" Type="http://schemas.openxmlformats.org/officeDocument/2006/relationships/hyperlink" Target="https://www.uradni-list.si/glasilo-uradni-list-rs/vsebina/2018-01-027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radni-list.si/glasilo-uradni-list-rs/vsebina/2015-01-4086" TargetMode="External"/><Relationship Id="rId20" Type="http://schemas.openxmlformats.org/officeDocument/2006/relationships/hyperlink" Target="https://www.uradni-list.si/glasilo-uradni-list-rs/vsebina/2020-01-276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06-01-2180"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radni-list.si/glasilo-uradni-list-rs/vsebina/2015-01-0728"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tanja.gregorcic@nova-gorica.si" TargetMode="External"/><Relationship Id="rId19" Type="http://schemas.openxmlformats.org/officeDocument/2006/relationships/hyperlink" Target="https://www.uradni-list.si/glasilo-uradni-list-rs/vsebina/2011-01-30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14-01-2077" TargetMode="External"/><Relationship Id="rId22" Type="http://schemas.openxmlformats.org/officeDocument/2006/relationships/hyperlink" Target="https://www.uradni-list.si/glasilo-uradni-list-rs/vsebina/2023-01-030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3190</Words>
  <Characters>18187</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Tatjana Gregorčič</cp:lastModifiedBy>
  <cp:revision>9</cp:revision>
  <cp:lastPrinted>2026-02-06T07:15:00Z</cp:lastPrinted>
  <dcterms:created xsi:type="dcterms:W3CDTF">2026-02-05T14:14:00Z</dcterms:created>
  <dcterms:modified xsi:type="dcterms:W3CDTF">2026-02-06T07:15:00Z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