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42F0D467" w:rsidR="005210F0" w:rsidRPr="00722FAC" w:rsidRDefault="00000000" w:rsidP="00722FAC">
      <w:pPr>
        <w:pStyle w:val="Nazivenote"/>
      </w:pPr>
      <w:r>
        <w:t>Mayor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02FE797" w14:textId="77777777" w:rsidR="00392A63" w:rsidRDefault="00392A63" w:rsidP="00392A63">
      <w:pPr>
        <w:spacing w:after="0" w:line="240" w:lineRule="auto"/>
        <w:ind w:left="0" w:right="0"/>
        <w:rPr>
          <w:rFonts w:ascii="Arial" w:hAnsi="Arial"/>
          <w:bCs w:val="0"/>
          <w:noProof w:val="0"/>
          <w:sz w:val="22"/>
        </w:rPr>
      </w:pPr>
    </w:p>
    <w:p w14:paraId="642F7F5A" w14:textId="27F4AA24" w:rsidR="00392A63" w:rsidRPr="00392A63" w:rsidRDefault="00392A63" w:rsidP="00392A63">
      <w:pPr>
        <w:spacing w:after="0" w:line="240" w:lineRule="auto"/>
        <w:ind w:left="0" w:right="0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Številka: 1103-2/2025-1</w:t>
      </w:r>
    </w:p>
    <w:p w14:paraId="0D35818E" w14:textId="77777777" w:rsidR="00392A63" w:rsidRPr="00392A63" w:rsidRDefault="00392A63" w:rsidP="00392A63">
      <w:pPr>
        <w:spacing w:after="0" w:line="240" w:lineRule="auto"/>
        <w:ind w:left="0" w:right="0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Datum:  3.11.2025</w:t>
      </w:r>
    </w:p>
    <w:p w14:paraId="58B7E09A" w14:textId="77777777" w:rsidR="00392A63" w:rsidRPr="00392A63" w:rsidRDefault="00392A63" w:rsidP="00392A63">
      <w:pPr>
        <w:spacing w:after="0" w:line="240" w:lineRule="auto"/>
        <w:ind w:left="0" w:right="0"/>
        <w:rPr>
          <w:bCs w:val="0"/>
          <w:noProof w:val="0"/>
          <w:szCs w:val="20"/>
        </w:rPr>
      </w:pPr>
    </w:p>
    <w:p w14:paraId="213060BE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 xml:space="preserve">Na podlagi 4. člena Odloka o sofinanciranju programov javnih del iz proračuna Mestne občine Nova Gorica (Uradni list RS, št. 113/2023) je Komisija za izbor programov javnih del sprejela naslednji </w:t>
      </w:r>
    </w:p>
    <w:p w14:paraId="57FC28F9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</w:p>
    <w:p w14:paraId="7FBCAB06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color w:val="2F5496" w:themeColor="accent1" w:themeShade="BF"/>
          <w:szCs w:val="20"/>
        </w:rPr>
      </w:pPr>
    </w:p>
    <w:p w14:paraId="03FA0BD4" w14:textId="77777777" w:rsidR="00392A63" w:rsidRPr="00392A63" w:rsidRDefault="00392A63" w:rsidP="00392A63">
      <w:pPr>
        <w:spacing w:after="0" w:line="240" w:lineRule="auto"/>
        <w:ind w:left="0" w:right="0"/>
        <w:jc w:val="center"/>
        <w:rPr>
          <w:b/>
          <w:noProof w:val="0"/>
          <w:color w:val="2F5496" w:themeColor="accent1" w:themeShade="BF"/>
          <w:szCs w:val="20"/>
        </w:rPr>
      </w:pPr>
      <w:r w:rsidRPr="00392A63">
        <w:rPr>
          <w:b/>
          <w:noProof w:val="0"/>
          <w:color w:val="2F5496" w:themeColor="accent1" w:themeShade="BF"/>
          <w:szCs w:val="20"/>
        </w:rPr>
        <w:t>SKLEP</w:t>
      </w:r>
    </w:p>
    <w:p w14:paraId="2AA4873A" w14:textId="77777777" w:rsidR="00392A63" w:rsidRPr="00392A63" w:rsidRDefault="00392A63" w:rsidP="00392A63">
      <w:pPr>
        <w:spacing w:after="0" w:line="240" w:lineRule="auto"/>
        <w:ind w:left="0" w:right="0"/>
        <w:jc w:val="center"/>
        <w:rPr>
          <w:b/>
          <w:noProof w:val="0"/>
          <w:color w:val="2F5496" w:themeColor="accent1" w:themeShade="BF"/>
          <w:szCs w:val="20"/>
        </w:rPr>
      </w:pPr>
      <w:r w:rsidRPr="00392A63">
        <w:rPr>
          <w:b/>
          <w:noProof w:val="0"/>
          <w:color w:val="2F5496" w:themeColor="accent1" w:themeShade="BF"/>
          <w:szCs w:val="20"/>
        </w:rPr>
        <w:t>o določitvi meril za obravnavo in ocenjevanje vlog prispelih na javno povabilo Zavoda za zaposlovanje RS za izbor programov javnih del za leto 2026</w:t>
      </w:r>
    </w:p>
    <w:p w14:paraId="04E4934A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</w:p>
    <w:p w14:paraId="4FF341D8" w14:textId="77777777" w:rsidR="00392A63" w:rsidRPr="00392A63" w:rsidRDefault="00392A63" w:rsidP="00392A63">
      <w:pPr>
        <w:numPr>
          <w:ilvl w:val="0"/>
          <w:numId w:val="8"/>
        </w:numPr>
        <w:spacing w:after="0" w:line="240" w:lineRule="auto"/>
        <w:ind w:right="0"/>
        <w:jc w:val="center"/>
        <w:rPr>
          <w:bCs w:val="0"/>
          <w:noProof w:val="0"/>
          <w:szCs w:val="20"/>
        </w:rPr>
      </w:pPr>
    </w:p>
    <w:p w14:paraId="4231CBA4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</w:p>
    <w:p w14:paraId="0B5E3A0F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Komisija za izbor programov javnih del, sofinanciranih iz sredstev proračuna Mestne občine Nova Gorica, glede na aktualne potrebe v lokalni skupnosti s tem sklepom določa merila za obravnavo in ocenjevanje vlog prispelih na javno povabilo Zavoda za zaposlovanje RS za izbor programov javnih del za leto 2026.</w:t>
      </w:r>
    </w:p>
    <w:p w14:paraId="38E5FF02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</w:p>
    <w:p w14:paraId="6A74B3FC" w14:textId="77777777" w:rsidR="00392A63" w:rsidRPr="00392A63" w:rsidRDefault="00392A63" w:rsidP="00392A63">
      <w:pPr>
        <w:numPr>
          <w:ilvl w:val="0"/>
          <w:numId w:val="8"/>
        </w:numPr>
        <w:spacing w:after="0" w:line="240" w:lineRule="auto"/>
        <w:ind w:right="0"/>
        <w:jc w:val="center"/>
        <w:rPr>
          <w:bCs w:val="0"/>
          <w:noProof w:val="0"/>
          <w:szCs w:val="20"/>
        </w:rPr>
      </w:pPr>
    </w:p>
    <w:p w14:paraId="1A29B699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</w:p>
    <w:p w14:paraId="4D4EBC36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Vloge prijaviteljev se točkujejo v razponu do največ 100 točk po naslednjih merilih:</w:t>
      </w:r>
    </w:p>
    <w:p w14:paraId="60973909" w14:textId="77777777" w:rsidR="00392A63" w:rsidRPr="00392A63" w:rsidRDefault="00392A63" w:rsidP="00392A63">
      <w:pPr>
        <w:numPr>
          <w:ilvl w:val="1"/>
          <w:numId w:val="8"/>
        </w:numPr>
        <w:spacing w:after="0" w:line="240" w:lineRule="auto"/>
        <w:ind w:right="0"/>
        <w:jc w:val="both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pomen programa za lokalno skupnost in prispevek programa k splošni koristi širše skupnosti (programi s področja šolstva, socialnega varstva in kulture: od 21 – 40 točk; programi s področja zdravstva, športa in drugo: do 20 točk),</w:t>
      </w:r>
    </w:p>
    <w:p w14:paraId="2473EACF" w14:textId="77777777" w:rsidR="00392A63" w:rsidRPr="00392A63" w:rsidRDefault="00392A63" w:rsidP="00392A63">
      <w:pPr>
        <w:numPr>
          <w:ilvl w:val="1"/>
          <w:numId w:val="8"/>
        </w:numPr>
        <w:spacing w:after="0" w:line="240" w:lineRule="auto"/>
        <w:ind w:right="0"/>
        <w:jc w:val="both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obseg (število) uporabnikov programa/neposredna pomoč posamezniku (od 1 do 10 uporabnikov: do 10 točk; od 11 do 20 uporabnikov: od 11 – 15 točk; več kot 21 uporabnikov: od 16 – 20 točk),</w:t>
      </w:r>
    </w:p>
    <w:p w14:paraId="0E03C731" w14:textId="77777777" w:rsidR="00392A63" w:rsidRPr="00392A63" w:rsidRDefault="00392A63" w:rsidP="00392A63">
      <w:pPr>
        <w:numPr>
          <w:ilvl w:val="1"/>
          <w:numId w:val="8"/>
        </w:numPr>
        <w:spacing w:after="0" w:line="240" w:lineRule="auto"/>
        <w:ind w:right="0"/>
        <w:jc w:val="both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program se izvaja na področju, na katerem primanjkujejo aktivnosti javnih zavodov, nevladnih organizacij in drugih izvajalcev - do 20 točk,</w:t>
      </w:r>
    </w:p>
    <w:p w14:paraId="41FD5AEC" w14:textId="77777777" w:rsidR="00392A63" w:rsidRPr="00392A63" w:rsidRDefault="00392A63" w:rsidP="00392A63">
      <w:pPr>
        <w:numPr>
          <w:ilvl w:val="1"/>
          <w:numId w:val="8"/>
        </w:numPr>
        <w:spacing w:after="0" w:line="240" w:lineRule="auto"/>
        <w:ind w:right="0"/>
        <w:jc w:val="both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program izkazuje podporo aktivnostim, ki se v lokalnem okolju izkazujejo kot problematične (učna pomoč učencem in dijakom, pomoč pri integraciji priseljencev, aktivnosti na področju kulture v okviru EPK, delo z ranljivimi skupinami, ljudmi z oviranostmi, starejšimi,..) – do 20 točk.</w:t>
      </w:r>
    </w:p>
    <w:p w14:paraId="2F95EB73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</w:p>
    <w:p w14:paraId="25765AD8" w14:textId="77777777" w:rsidR="00392A63" w:rsidRPr="00392A63" w:rsidRDefault="00392A63" w:rsidP="00392A63">
      <w:pPr>
        <w:numPr>
          <w:ilvl w:val="0"/>
          <w:numId w:val="8"/>
        </w:numPr>
        <w:spacing w:after="0" w:line="240" w:lineRule="auto"/>
        <w:ind w:right="0"/>
        <w:jc w:val="center"/>
        <w:rPr>
          <w:bCs w:val="0"/>
          <w:noProof w:val="0"/>
          <w:szCs w:val="20"/>
        </w:rPr>
      </w:pPr>
    </w:p>
    <w:p w14:paraId="4887CF8F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</w:p>
    <w:p w14:paraId="1D32788B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Ta sklep se objavi na spletni strani Mestne občine Nova Gorica.</w:t>
      </w:r>
    </w:p>
    <w:p w14:paraId="34472CEF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</w:p>
    <w:p w14:paraId="2993AEC2" w14:textId="77777777" w:rsidR="00392A63" w:rsidRPr="00392A63" w:rsidRDefault="00392A63" w:rsidP="00392A63">
      <w:pPr>
        <w:numPr>
          <w:ilvl w:val="0"/>
          <w:numId w:val="8"/>
        </w:numPr>
        <w:spacing w:after="0" w:line="240" w:lineRule="auto"/>
        <w:ind w:right="0"/>
        <w:jc w:val="center"/>
        <w:rPr>
          <w:bCs w:val="0"/>
          <w:noProof w:val="0"/>
          <w:szCs w:val="20"/>
        </w:rPr>
      </w:pPr>
    </w:p>
    <w:p w14:paraId="21A40B77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</w:p>
    <w:p w14:paraId="2D58968B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bCs w:val="0"/>
          <w:noProof w:val="0"/>
          <w:szCs w:val="20"/>
        </w:rPr>
      </w:pPr>
      <w:r w:rsidRPr="00392A63">
        <w:rPr>
          <w:bCs w:val="0"/>
          <w:noProof w:val="0"/>
          <w:szCs w:val="20"/>
        </w:rPr>
        <w:t>Ta sklep velja takoj.</w:t>
      </w:r>
    </w:p>
    <w:p w14:paraId="3A9422D2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rFonts w:ascii="Arial" w:hAnsi="Arial"/>
          <w:bCs w:val="0"/>
          <w:noProof w:val="0"/>
          <w:sz w:val="22"/>
        </w:rPr>
      </w:pPr>
    </w:p>
    <w:p w14:paraId="6008A156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rFonts w:ascii="Arial" w:hAnsi="Arial"/>
          <w:bCs w:val="0"/>
          <w:noProof w:val="0"/>
          <w:color w:val="2F5496" w:themeColor="accent1" w:themeShade="BF"/>
          <w:sz w:val="22"/>
        </w:rPr>
      </w:pPr>
      <w:r w:rsidRPr="00392A63">
        <w:rPr>
          <w:rFonts w:ascii="Arial" w:hAnsi="Arial"/>
          <w:bCs w:val="0"/>
          <w:noProof w:val="0"/>
          <w:sz w:val="22"/>
        </w:rPr>
        <w:tab/>
      </w:r>
      <w:r w:rsidRPr="00392A63">
        <w:rPr>
          <w:rFonts w:ascii="Arial" w:hAnsi="Arial"/>
          <w:bCs w:val="0"/>
          <w:noProof w:val="0"/>
          <w:sz w:val="22"/>
        </w:rPr>
        <w:tab/>
      </w:r>
      <w:r w:rsidRPr="00392A63">
        <w:rPr>
          <w:rFonts w:ascii="Arial" w:hAnsi="Arial"/>
          <w:bCs w:val="0"/>
          <w:noProof w:val="0"/>
          <w:sz w:val="22"/>
        </w:rPr>
        <w:tab/>
      </w:r>
      <w:r w:rsidRPr="00392A63">
        <w:rPr>
          <w:rFonts w:ascii="Arial" w:hAnsi="Arial"/>
          <w:bCs w:val="0"/>
          <w:noProof w:val="0"/>
          <w:sz w:val="22"/>
        </w:rPr>
        <w:tab/>
      </w:r>
      <w:r w:rsidRPr="00392A63">
        <w:rPr>
          <w:rFonts w:ascii="Arial" w:hAnsi="Arial"/>
          <w:bCs w:val="0"/>
          <w:noProof w:val="0"/>
          <w:sz w:val="22"/>
        </w:rPr>
        <w:tab/>
      </w:r>
      <w:r w:rsidRPr="00392A63">
        <w:rPr>
          <w:rFonts w:ascii="Arial" w:hAnsi="Arial"/>
          <w:bCs w:val="0"/>
          <w:noProof w:val="0"/>
          <w:sz w:val="22"/>
        </w:rPr>
        <w:tab/>
      </w:r>
      <w:r w:rsidRPr="00392A63">
        <w:rPr>
          <w:rFonts w:ascii="Arial" w:hAnsi="Arial"/>
          <w:bCs w:val="0"/>
          <w:noProof w:val="0"/>
          <w:sz w:val="22"/>
        </w:rPr>
        <w:tab/>
      </w:r>
      <w:r w:rsidRPr="00392A63">
        <w:rPr>
          <w:rFonts w:ascii="Arial" w:hAnsi="Arial"/>
          <w:bCs w:val="0"/>
          <w:noProof w:val="0"/>
          <w:sz w:val="22"/>
        </w:rPr>
        <w:tab/>
      </w:r>
      <w:r w:rsidRPr="00392A63">
        <w:rPr>
          <w:rFonts w:ascii="Arial" w:hAnsi="Arial"/>
          <w:bCs w:val="0"/>
          <w:noProof w:val="0"/>
          <w:sz w:val="22"/>
        </w:rPr>
        <w:tab/>
      </w:r>
      <w:r w:rsidRPr="00392A63">
        <w:rPr>
          <w:rFonts w:ascii="Arial" w:hAnsi="Arial"/>
          <w:bCs w:val="0"/>
          <w:noProof w:val="0"/>
          <w:color w:val="2F5496" w:themeColor="accent1" w:themeShade="BF"/>
          <w:sz w:val="22"/>
        </w:rPr>
        <w:t>Predsednica komisije</w:t>
      </w:r>
      <w:r w:rsidRPr="00392A63">
        <w:rPr>
          <w:rFonts w:ascii="Arial" w:hAnsi="Arial"/>
          <w:bCs w:val="0"/>
          <w:noProof w:val="0"/>
          <w:color w:val="2F5496" w:themeColor="accent1" w:themeShade="BF"/>
          <w:sz w:val="22"/>
        </w:rPr>
        <w:tab/>
      </w:r>
    </w:p>
    <w:p w14:paraId="46225248" w14:textId="77777777" w:rsidR="00392A63" w:rsidRPr="00392A63" w:rsidRDefault="00392A63" w:rsidP="00392A63">
      <w:pPr>
        <w:spacing w:after="0" w:line="240" w:lineRule="auto"/>
        <w:ind w:left="0" w:right="0"/>
        <w:jc w:val="both"/>
        <w:rPr>
          <w:rFonts w:ascii="Arial" w:hAnsi="Arial"/>
          <w:bCs w:val="0"/>
          <w:noProof w:val="0"/>
          <w:color w:val="2F5496" w:themeColor="accent1" w:themeShade="BF"/>
          <w:sz w:val="22"/>
        </w:rPr>
      </w:pPr>
      <w:r w:rsidRPr="00392A63">
        <w:rPr>
          <w:rFonts w:ascii="Arial" w:hAnsi="Arial"/>
          <w:bCs w:val="0"/>
          <w:noProof w:val="0"/>
          <w:color w:val="2F5496" w:themeColor="accent1" w:themeShade="BF"/>
          <w:sz w:val="22"/>
        </w:rPr>
        <w:t xml:space="preserve">                                                                                                               Ljubka Čargo, </w:t>
      </w:r>
      <w:proofErr w:type="spellStart"/>
      <w:r w:rsidRPr="00392A63">
        <w:rPr>
          <w:rFonts w:ascii="Arial" w:hAnsi="Arial"/>
          <w:bCs w:val="0"/>
          <w:noProof w:val="0"/>
          <w:color w:val="2F5496" w:themeColor="accent1" w:themeShade="BF"/>
          <w:sz w:val="22"/>
        </w:rPr>
        <w:t>l.r</w:t>
      </w:r>
      <w:proofErr w:type="spellEnd"/>
      <w:r w:rsidRPr="00392A63">
        <w:rPr>
          <w:rFonts w:ascii="Arial" w:hAnsi="Arial"/>
          <w:bCs w:val="0"/>
          <w:noProof w:val="0"/>
          <w:color w:val="2F5496" w:themeColor="accent1" w:themeShade="BF"/>
          <w:sz w:val="22"/>
        </w:rPr>
        <w:t>.</w:t>
      </w:r>
    </w:p>
    <w:p w14:paraId="0390C703" w14:textId="77777777" w:rsidR="00392A63" w:rsidRDefault="00392A63" w:rsidP="00BA46CD">
      <w:pPr>
        <w:pStyle w:val="Naslovnik"/>
        <w:spacing w:after="1320"/>
        <w:rPr>
          <w:b/>
          <w:bCs w:val="0"/>
        </w:rPr>
      </w:pPr>
    </w:p>
    <w:sectPr w:rsidR="00392A63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E556" w14:textId="77777777" w:rsidR="00D917B0" w:rsidRDefault="00D917B0">
      <w:pPr>
        <w:spacing w:after="0" w:line="240" w:lineRule="auto"/>
      </w:pPr>
      <w:r>
        <w:separator/>
      </w:r>
    </w:p>
  </w:endnote>
  <w:endnote w:type="continuationSeparator" w:id="0">
    <w:p w14:paraId="29FC8622" w14:textId="77777777" w:rsidR="00D917B0" w:rsidRDefault="00D9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50C6" w14:textId="77777777" w:rsidR="006F0A70" w:rsidRDefault="006F0A7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000000" w:rsidP="003F3284">
    <w:pPr>
      <w:pStyle w:val="MONGnoga"/>
    </w:pPr>
    <w:r w:rsidRPr="008759F5">
      <w:drawing>
        <wp:anchor distT="0" distB="0" distL="114300" distR="114300" simplePos="0" relativeHeight="251659264" behindDoc="1" locked="0" layoutInCell="1" allowOverlap="1" wp14:anchorId="72C3F3BA" wp14:editId="626A20B4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000000" w:rsidP="00722FAC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3F2420D3" wp14:editId="680C1BD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r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3950AA2A" w:rsidR="00734A18" w:rsidRPr="00722FAC" w:rsidRDefault="00000000" w:rsidP="00722FAC">
    <w:pPr>
      <w:pStyle w:val="MONGnoga"/>
    </w:pPr>
    <w:r>
      <w:t>VAT number</w:t>
    </w:r>
    <w:r w:rsidRPr="00722FAC">
      <w:t xml:space="preserve">: SI53055730, </w:t>
    </w:r>
    <w:r>
      <w:t>registration number</w:t>
    </w:r>
    <w:r w:rsidRPr="00722FAC">
      <w:t>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DC96" w14:textId="77777777" w:rsidR="00D917B0" w:rsidRDefault="00D917B0">
      <w:pPr>
        <w:spacing w:after="0" w:line="240" w:lineRule="auto"/>
      </w:pPr>
      <w:r>
        <w:separator/>
      </w:r>
    </w:p>
  </w:footnote>
  <w:footnote w:type="continuationSeparator" w:id="0">
    <w:p w14:paraId="258325B0" w14:textId="77777777" w:rsidR="00D917B0" w:rsidRDefault="00D9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62EA" w14:textId="77777777" w:rsidR="006F0A70" w:rsidRDefault="006F0A7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000000" w:rsidP="003F3284">
    <w:r>
      <w:drawing>
        <wp:anchor distT="0" distB="0" distL="114300" distR="114300" simplePos="0" relativeHeight="251658240" behindDoc="1" locked="0" layoutInCell="1" allowOverlap="1" wp14:anchorId="78D474C0" wp14:editId="098FF55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000000" w:rsidP="003F3284">
    <w:r>
      <w:drawing>
        <wp:anchor distT="0" distB="0" distL="114300" distR="114300" simplePos="0" relativeHeight="251656192" behindDoc="1" locked="0" layoutInCell="1" allowOverlap="1" wp14:anchorId="1C75763B" wp14:editId="61456AE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A5EC0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48C3BA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10556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5F0E07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64E9C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A059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FCAF9C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DBAE3A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8C93C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D5F80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AD4297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DCC87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E6A4B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0AAA2B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D2AA7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0EE84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525E5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2074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D93A11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8AAF02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A743C0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410C28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DAEE6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90461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0FAC4F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2BE046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33EDB2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2362A2"/>
    <w:multiLevelType w:val="hybridMultilevel"/>
    <w:tmpl w:val="D6981C8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6DAE0AD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8075AE"/>
    <w:multiLevelType w:val="hybridMultilevel"/>
    <w:tmpl w:val="370ADEA6"/>
    <w:lvl w:ilvl="0" w:tplc="24C855AC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34B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AF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66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41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56C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E1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EA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40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F228E"/>
    <w:multiLevelType w:val="hybridMultilevel"/>
    <w:tmpl w:val="B6FA3DE0"/>
    <w:lvl w:ilvl="0" w:tplc="B4AA9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34C528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FC7C2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6F2592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54571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7627B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C0FD5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2E281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3AA2A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351D4F"/>
    <w:multiLevelType w:val="hybridMultilevel"/>
    <w:tmpl w:val="538EF2CE"/>
    <w:lvl w:ilvl="0" w:tplc="862842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F3C090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CE994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984DC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C3C031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6014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7AD8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64C6E5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16E72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0D3747"/>
    <w:multiLevelType w:val="hybridMultilevel"/>
    <w:tmpl w:val="951A9C18"/>
    <w:lvl w:ilvl="0" w:tplc="92C890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A2E634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2E4CD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80489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80E12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EA165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FC8F34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AB4BD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EC0A6F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4"/>
  </w:num>
  <w:num w:numId="2" w16cid:durableId="1564440524">
    <w:abstractNumId w:val="6"/>
  </w:num>
  <w:num w:numId="3" w16cid:durableId="1989281952">
    <w:abstractNumId w:val="0"/>
  </w:num>
  <w:num w:numId="4" w16cid:durableId="457340087">
    <w:abstractNumId w:val="2"/>
  </w:num>
  <w:num w:numId="5" w16cid:durableId="2029018289">
    <w:abstractNumId w:val="5"/>
  </w:num>
  <w:num w:numId="6" w16cid:durableId="1927811028">
    <w:abstractNumId w:val="7"/>
  </w:num>
  <w:num w:numId="7" w16cid:durableId="1159418049">
    <w:abstractNumId w:val="1"/>
  </w:num>
  <w:num w:numId="8" w16cid:durableId="1985769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4277"/>
    <w:rsid w:val="000276AB"/>
    <w:rsid w:val="00035268"/>
    <w:rsid w:val="0005678C"/>
    <w:rsid w:val="00083CA2"/>
    <w:rsid w:val="000D6C77"/>
    <w:rsid w:val="00101B99"/>
    <w:rsid w:val="001073C7"/>
    <w:rsid w:val="00110838"/>
    <w:rsid w:val="001137D1"/>
    <w:rsid w:val="00145A3D"/>
    <w:rsid w:val="0016510C"/>
    <w:rsid w:val="001776A5"/>
    <w:rsid w:val="00184E64"/>
    <w:rsid w:val="00191283"/>
    <w:rsid w:val="00192B9A"/>
    <w:rsid w:val="001B21C9"/>
    <w:rsid w:val="001B2389"/>
    <w:rsid w:val="001C6438"/>
    <w:rsid w:val="001D7013"/>
    <w:rsid w:val="001F4732"/>
    <w:rsid w:val="0022273D"/>
    <w:rsid w:val="0022510F"/>
    <w:rsid w:val="00226E0E"/>
    <w:rsid w:val="00235F37"/>
    <w:rsid w:val="0028430E"/>
    <w:rsid w:val="00287D4F"/>
    <w:rsid w:val="002B08B0"/>
    <w:rsid w:val="002D3DF2"/>
    <w:rsid w:val="002F26F0"/>
    <w:rsid w:val="00305974"/>
    <w:rsid w:val="00345529"/>
    <w:rsid w:val="00366240"/>
    <w:rsid w:val="00392A63"/>
    <w:rsid w:val="0039457F"/>
    <w:rsid w:val="003A0AE4"/>
    <w:rsid w:val="003A2C22"/>
    <w:rsid w:val="003B11F7"/>
    <w:rsid w:val="003F3284"/>
    <w:rsid w:val="00404823"/>
    <w:rsid w:val="004129EE"/>
    <w:rsid w:val="00454265"/>
    <w:rsid w:val="00463FA4"/>
    <w:rsid w:val="00486063"/>
    <w:rsid w:val="004953C5"/>
    <w:rsid w:val="004A325F"/>
    <w:rsid w:val="004A535E"/>
    <w:rsid w:val="004C5C4C"/>
    <w:rsid w:val="004E242E"/>
    <w:rsid w:val="00501EB2"/>
    <w:rsid w:val="005210F0"/>
    <w:rsid w:val="005361AF"/>
    <w:rsid w:val="00581BE7"/>
    <w:rsid w:val="00592FB1"/>
    <w:rsid w:val="005C4702"/>
    <w:rsid w:val="00611F95"/>
    <w:rsid w:val="006620F0"/>
    <w:rsid w:val="0067472F"/>
    <w:rsid w:val="006752A2"/>
    <w:rsid w:val="006B42F9"/>
    <w:rsid w:val="006D786F"/>
    <w:rsid w:val="006F0A70"/>
    <w:rsid w:val="007063A4"/>
    <w:rsid w:val="00722FAC"/>
    <w:rsid w:val="00734A18"/>
    <w:rsid w:val="0079172C"/>
    <w:rsid w:val="00791DB2"/>
    <w:rsid w:val="00793022"/>
    <w:rsid w:val="007C0DEA"/>
    <w:rsid w:val="007C74A8"/>
    <w:rsid w:val="007D3693"/>
    <w:rsid w:val="007E04A2"/>
    <w:rsid w:val="00810854"/>
    <w:rsid w:val="00832D2A"/>
    <w:rsid w:val="008515CD"/>
    <w:rsid w:val="00873CAB"/>
    <w:rsid w:val="008759F5"/>
    <w:rsid w:val="008802E3"/>
    <w:rsid w:val="008821D4"/>
    <w:rsid w:val="008847A6"/>
    <w:rsid w:val="008A5F4D"/>
    <w:rsid w:val="008F2827"/>
    <w:rsid w:val="00905F98"/>
    <w:rsid w:val="00923A6E"/>
    <w:rsid w:val="00942356"/>
    <w:rsid w:val="009805C0"/>
    <w:rsid w:val="00997F24"/>
    <w:rsid w:val="009D3904"/>
    <w:rsid w:val="00A023DF"/>
    <w:rsid w:val="00A45865"/>
    <w:rsid w:val="00A9127C"/>
    <w:rsid w:val="00A95A58"/>
    <w:rsid w:val="00AA4BFD"/>
    <w:rsid w:val="00B316A5"/>
    <w:rsid w:val="00B754E3"/>
    <w:rsid w:val="00B84570"/>
    <w:rsid w:val="00BA46CD"/>
    <w:rsid w:val="00BE4DC7"/>
    <w:rsid w:val="00BE59A0"/>
    <w:rsid w:val="00BF7B56"/>
    <w:rsid w:val="00C072E2"/>
    <w:rsid w:val="00C10614"/>
    <w:rsid w:val="00C12D30"/>
    <w:rsid w:val="00C46DB5"/>
    <w:rsid w:val="00C662B9"/>
    <w:rsid w:val="00C7627D"/>
    <w:rsid w:val="00C762F1"/>
    <w:rsid w:val="00C973E8"/>
    <w:rsid w:val="00CD0869"/>
    <w:rsid w:val="00CD1C81"/>
    <w:rsid w:val="00CE01CB"/>
    <w:rsid w:val="00D32794"/>
    <w:rsid w:val="00D731FF"/>
    <w:rsid w:val="00D81991"/>
    <w:rsid w:val="00D917B0"/>
    <w:rsid w:val="00DA69BC"/>
    <w:rsid w:val="00DB324B"/>
    <w:rsid w:val="00DD1372"/>
    <w:rsid w:val="00DD5294"/>
    <w:rsid w:val="00DE7B81"/>
    <w:rsid w:val="00E57102"/>
    <w:rsid w:val="00E876FD"/>
    <w:rsid w:val="00EE5DDF"/>
    <w:rsid w:val="00EF0214"/>
    <w:rsid w:val="00F12361"/>
    <w:rsid w:val="00F216E4"/>
    <w:rsid w:val="00F24C66"/>
    <w:rsid w:val="00F27F42"/>
    <w:rsid w:val="00F40810"/>
    <w:rsid w:val="00F4231E"/>
    <w:rsid w:val="00F66755"/>
    <w:rsid w:val="00F811AF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DD5294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DD5294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Martina Remec Pečenko</cp:lastModifiedBy>
  <cp:revision>5</cp:revision>
  <cp:lastPrinted>2025-03-18T10:56:00Z</cp:lastPrinted>
  <dcterms:created xsi:type="dcterms:W3CDTF">2025-10-21T06:15:00Z</dcterms:created>
  <dcterms:modified xsi:type="dcterms:W3CDTF">2025-11-03T12:34:00Z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