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7044C" w14:paraId="045E46C3" w14:textId="77777777" w:rsidTr="00B97CE4">
        <w:tc>
          <w:tcPr>
            <w:tcW w:w="4531" w:type="dxa"/>
          </w:tcPr>
          <w:p w14:paraId="04080C4A" w14:textId="77777777" w:rsidR="0067044C" w:rsidRDefault="0067044C" w:rsidP="00B97CE4">
            <w:pPr>
              <w:jc w:val="center"/>
              <w:rPr>
                <w:rFonts w:ascii="Arial" w:hAnsi="Arial" w:cs="Arial"/>
                <w:b/>
                <w:bCs/>
              </w:rPr>
            </w:pPr>
            <w:r>
              <w:rPr>
                <w:rFonts w:ascii="Arial" w:hAnsi="Arial" w:cs="Arial"/>
                <w:b/>
                <w:bCs/>
                <w:noProof/>
              </w:rPr>
              <w:drawing>
                <wp:inline distT="0" distB="0" distL="0" distR="0" wp14:anchorId="72201228" wp14:editId="53657A0C">
                  <wp:extent cx="2731135" cy="1182829"/>
                  <wp:effectExtent l="0" t="0" r="0" b="0"/>
                  <wp:docPr id="2056370659" name="Slika 1" descr="Slika, ki vsebuje besede besedilo, logotip, pisava, grafik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70659" name="Slika 1" descr="Slika, ki vsebuje besede besedilo, logotip, pisava, grafika&#10;&#10;Vsebina, ustvarjena z UI, morda ni pravilna."/>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59507" cy="1195117"/>
                          </a:xfrm>
                          <a:prstGeom prst="rect">
                            <a:avLst/>
                          </a:prstGeom>
                        </pic:spPr>
                      </pic:pic>
                    </a:graphicData>
                  </a:graphic>
                </wp:inline>
              </w:drawing>
            </w:r>
          </w:p>
        </w:tc>
        <w:tc>
          <w:tcPr>
            <w:tcW w:w="4531" w:type="dxa"/>
          </w:tcPr>
          <w:p w14:paraId="43CC386B" w14:textId="77777777" w:rsidR="0067044C" w:rsidRDefault="0067044C" w:rsidP="00B97CE4">
            <w:pPr>
              <w:jc w:val="center"/>
              <w:rPr>
                <w:rFonts w:ascii="Arial" w:hAnsi="Arial" w:cs="Arial"/>
                <w:b/>
                <w:bCs/>
                <w:noProof/>
              </w:rPr>
            </w:pPr>
          </w:p>
          <w:p w14:paraId="0C9D29EE" w14:textId="77777777" w:rsidR="0067044C" w:rsidRDefault="0067044C" w:rsidP="00B97CE4">
            <w:pPr>
              <w:jc w:val="center"/>
              <w:rPr>
                <w:rFonts w:ascii="Arial" w:hAnsi="Arial" w:cs="Arial"/>
                <w:b/>
                <w:bCs/>
              </w:rPr>
            </w:pPr>
            <w:r>
              <w:rPr>
                <w:rFonts w:ascii="Arial" w:hAnsi="Arial" w:cs="Arial"/>
                <w:b/>
                <w:bCs/>
                <w:noProof/>
              </w:rPr>
              <w:drawing>
                <wp:inline distT="0" distB="0" distL="0" distR="0" wp14:anchorId="7707FF63" wp14:editId="26CE2CAD">
                  <wp:extent cx="1724025" cy="711272"/>
                  <wp:effectExtent l="0" t="0" r="0" b="0"/>
                  <wp:docPr id="1259721677" name="Slika 4" descr="Slika, ki vsebuje besede pisava, simbol, logotip, grafik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21677" name="Slika 4" descr="Slika, ki vsebuje besede pisava, simbol, logotip, grafika&#10;&#10;Vsebina, ustvarjena z UI, morda ni pravil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004" cy="730654"/>
                          </a:xfrm>
                          <a:prstGeom prst="rect">
                            <a:avLst/>
                          </a:prstGeom>
                          <a:noFill/>
                        </pic:spPr>
                      </pic:pic>
                    </a:graphicData>
                  </a:graphic>
                </wp:inline>
              </w:drawing>
            </w:r>
          </w:p>
        </w:tc>
      </w:tr>
    </w:tbl>
    <w:p w14:paraId="2FCD5C44" w14:textId="77777777" w:rsidR="0067044C" w:rsidRDefault="0067044C" w:rsidP="0067044C">
      <w:pPr>
        <w:spacing w:after="0"/>
        <w:jc w:val="center"/>
        <w:rPr>
          <w:rFonts w:ascii="Arial" w:hAnsi="Arial" w:cs="Arial"/>
          <w:b/>
          <w:bCs/>
        </w:rPr>
      </w:pPr>
    </w:p>
    <w:p w14:paraId="745963BB" w14:textId="77777777" w:rsidR="0067044C" w:rsidRDefault="0067044C" w:rsidP="0067044C">
      <w:pPr>
        <w:spacing w:after="0"/>
        <w:jc w:val="center"/>
        <w:rPr>
          <w:rFonts w:ascii="Arial" w:hAnsi="Arial" w:cs="Arial"/>
          <w:b/>
          <w:bCs/>
        </w:rPr>
      </w:pPr>
    </w:p>
    <w:p w14:paraId="245404A1" w14:textId="77777777" w:rsidR="0067044C" w:rsidRPr="0067044C" w:rsidRDefault="0067044C" w:rsidP="0067044C">
      <w:pPr>
        <w:spacing w:after="0"/>
        <w:jc w:val="center"/>
        <w:rPr>
          <w:rFonts w:ascii="Verdana" w:hAnsi="Verdana" w:cs="Arial"/>
          <w:b/>
          <w:bCs/>
          <w:sz w:val="20"/>
          <w:szCs w:val="20"/>
        </w:rPr>
      </w:pPr>
      <w:r w:rsidRPr="0067044C">
        <w:rPr>
          <w:rFonts w:ascii="Verdana" w:hAnsi="Verdana" w:cs="Arial"/>
          <w:b/>
          <w:bCs/>
          <w:sz w:val="20"/>
          <w:szCs w:val="20"/>
        </w:rPr>
        <w:t>JAVNI NATEČAJ ZA IZBOR OLJČNEGA OLJA MESTNE OBČINE NOVA GORICA,</w:t>
      </w:r>
    </w:p>
    <w:p w14:paraId="46426C87" w14:textId="77777777" w:rsidR="0067044C" w:rsidRPr="0067044C" w:rsidRDefault="0067044C" w:rsidP="0067044C">
      <w:pPr>
        <w:spacing w:after="0"/>
        <w:jc w:val="center"/>
        <w:rPr>
          <w:rFonts w:ascii="Verdana" w:hAnsi="Verdana" w:cs="Arial"/>
          <w:b/>
          <w:bCs/>
          <w:sz w:val="20"/>
          <w:szCs w:val="20"/>
        </w:rPr>
      </w:pPr>
      <w:r w:rsidRPr="0067044C">
        <w:rPr>
          <w:rFonts w:ascii="Verdana" w:hAnsi="Verdana" w:cs="Arial"/>
          <w:b/>
          <w:bCs/>
          <w:sz w:val="20"/>
          <w:szCs w:val="20"/>
        </w:rPr>
        <w:t>KI BO DOBILO NAZIV »ŽUPANOVO OLJČNO OLJE« ZA LETO 2026</w:t>
      </w:r>
    </w:p>
    <w:p w14:paraId="7D4A614A" w14:textId="77777777" w:rsidR="0067044C" w:rsidRPr="0067044C" w:rsidRDefault="0067044C" w:rsidP="0067044C">
      <w:pPr>
        <w:jc w:val="both"/>
        <w:rPr>
          <w:rFonts w:ascii="Verdana" w:hAnsi="Verdana" w:cs="Arial"/>
          <w:sz w:val="20"/>
          <w:szCs w:val="20"/>
        </w:rPr>
      </w:pPr>
    </w:p>
    <w:p w14:paraId="29834374" w14:textId="77777777" w:rsidR="0067044C" w:rsidRPr="0067044C" w:rsidRDefault="0067044C" w:rsidP="0067044C">
      <w:pPr>
        <w:pStyle w:val="Odstavekseznama"/>
        <w:numPr>
          <w:ilvl w:val="0"/>
          <w:numId w:val="1"/>
        </w:numPr>
        <w:jc w:val="both"/>
        <w:rPr>
          <w:rFonts w:ascii="Verdana" w:hAnsi="Verdana" w:cs="Arial"/>
          <w:sz w:val="20"/>
          <w:szCs w:val="20"/>
        </w:rPr>
      </w:pPr>
      <w:r w:rsidRPr="0067044C">
        <w:rPr>
          <w:rFonts w:ascii="Verdana" w:hAnsi="Verdana" w:cs="Arial"/>
          <w:sz w:val="20"/>
          <w:szCs w:val="20"/>
        </w:rPr>
        <w:t>PREDMET JAVNEGA NATEČAJA:</w:t>
      </w:r>
    </w:p>
    <w:p w14:paraId="2BBF7E73" w14:textId="77777777" w:rsidR="0067044C" w:rsidRPr="0067044C" w:rsidRDefault="0067044C" w:rsidP="0067044C">
      <w:pPr>
        <w:jc w:val="both"/>
        <w:rPr>
          <w:rFonts w:ascii="Verdana" w:hAnsi="Verdana" w:cs="Arial"/>
          <w:sz w:val="20"/>
          <w:szCs w:val="20"/>
        </w:rPr>
      </w:pPr>
      <w:r w:rsidRPr="0067044C">
        <w:rPr>
          <w:rFonts w:ascii="Verdana" w:hAnsi="Verdana" w:cs="Arial"/>
          <w:sz w:val="20"/>
          <w:szCs w:val="20"/>
        </w:rPr>
        <w:t xml:space="preserve">Predmet javnega natečaja je izbor oljčnega olja, ki bo dobilo naziv </w:t>
      </w:r>
      <w:r w:rsidRPr="0067044C">
        <w:rPr>
          <w:rFonts w:ascii="Verdana" w:hAnsi="Verdana" w:cs="Arial"/>
          <w:b/>
          <w:bCs/>
          <w:sz w:val="20"/>
          <w:szCs w:val="20"/>
        </w:rPr>
        <w:t>»Županovo oljčno olje« Mestne občine Nova Gorica za leto 2026</w:t>
      </w:r>
      <w:r w:rsidRPr="0067044C">
        <w:rPr>
          <w:rFonts w:ascii="Verdana" w:hAnsi="Verdana" w:cs="Arial"/>
          <w:sz w:val="20"/>
          <w:szCs w:val="20"/>
        </w:rPr>
        <w:t>.</w:t>
      </w:r>
    </w:p>
    <w:p w14:paraId="6C62DC4A" w14:textId="77777777" w:rsidR="0067044C" w:rsidRPr="0067044C" w:rsidRDefault="0067044C" w:rsidP="0067044C">
      <w:pPr>
        <w:pStyle w:val="Odstavekseznama"/>
        <w:numPr>
          <w:ilvl w:val="0"/>
          <w:numId w:val="1"/>
        </w:numPr>
        <w:jc w:val="both"/>
        <w:rPr>
          <w:rFonts w:ascii="Verdana" w:hAnsi="Verdana" w:cs="Arial"/>
          <w:sz w:val="20"/>
          <w:szCs w:val="20"/>
        </w:rPr>
      </w:pPr>
      <w:r w:rsidRPr="0067044C">
        <w:rPr>
          <w:rFonts w:ascii="Verdana" w:hAnsi="Verdana" w:cs="Arial"/>
          <w:sz w:val="20"/>
          <w:szCs w:val="20"/>
        </w:rPr>
        <w:t>POGOJI IN MERILA:</w:t>
      </w:r>
    </w:p>
    <w:p w14:paraId="27A9ECE8" w14:textId="77777777" w:rsidR="0067044C" w:rsidRPr="0067044C" w:rsidRDefault="0067044C" w:rsidP="0067044C">
      <w:pPr>
        <w:ind w:left="720"/>
        <w:jc w:val="both"/>
        <w:rPr>
          <w:rFonts w:ascii="Verdana" w:hAnsi="Verdana" w:cs="Arial"/>
          <w:bCs/>
          <w:sz w:val="20"/>
          <w:szCs w:val="20"/>
        </w:rPr>
      </w:pPr>
      <w:r w:rsidRPr="0067044C">
        <w:rPr>
          <w:rFonts w:ascii="Verdana" w:hAnsi="Verdana" w:cs="Arial"/>
          <w:bCs/>
          <w:sz w:val="20"/>
          <w:szCs w:val="20"/>
          <w:u w:val="single"/>
        </w:rPr>
        <w:t>Pogoji natečaja</w:t>
      </w:r>
      <w:r w:rsidRPr="0067044C">
        <w:rPr>
          <w:rFonts w:ascii="Verdana" w:hAnsi="Verdana" w:cs="Arial"/>
          <w:bCs/>
          <w:sz w:val="20"/>
          <w:szCs w:val="20"/>
        </w:rPr>
        <w:t>:</w:t>
      </w:r>
    </w:p>
    <w:p w14:paraId="3CF25B05" w14:textId="77777777" w:rsidR="0067044C" w:rsidRPr="0067044C" w:rsidRDefault="0067044C" w:rsidP="0067044C">
      <w:pPr>
        <w:ind w:left="720"/>
        <w:jc w:val="both"/>
        <w:rPr>
          <w:rFonts w:ascii="Verdana" w:hAnsi="Verdana" w:cs="Arial"/>
          <w:sz w:val="20"/>
          <w:szCs w:val="20"/>
        </w:rPr>
      </w:pPr>
      <w:r w:rsidRPr="0067044C">
        <w:rPr>
          <w:rFonts w:ascii="Verdana" w:hAnsi="Verdana" w:cs="Arial"/>
          <w:sz w:val="20"/>
          <w:szCs w:val="20"/>
        </w:rPr>
        <w:t>Na natečaju lahko sodelujejo registrirani pridelovalci oljčnega olja, ki izpolnjujejo naslednje pogoje:</w:t>
      </w:r>
    </w:p>
    <w:p w14:paraId="389AA762" w14:textId="77777777" w:rsidR="0067044C" w:rsidRPr="0067044C" w:rsidRDefault="0067044C" w:rsidP="0067044C">
      <w:pPr>
        <w:pStyle w:val="Odstavekseznama"/>
        <w:numPr>
          <w:ilvl w:val="0"/>
          <w:numId w:val="2"/>
        </w:numPr>
        <w:jc w:val="both"/>
        <w:rPr>
          <w:rFonts w:ascii="Verdana" w:hAnsi="Verdana" w:cs="Arial"/>
          <w:sz w:val="20"/>
          <w:szCs w:val="20"/>
        </w:rPr>
      </w:pPr>
      <w:r w:rsidRPr="0067044C">
        <w:rPr>
          <w:rFonts w:ascii="Verdana" w:hAnsi="Verdana" w:cs="Arial"/>
          <w:sz w:val="20"/>
          <w:szCs w:val="20"/>
        </w:rPr>
        <w:t>imajo stalno prebivališče ali sedež v Mestni občini Nova Gorica (v nadaljevanju: MONG),</w:t>
      </w:r>
    </w:p>
    <w:p w14:paraId="201428E7" w14:textId="77777777" w:rsidR="0067044C" w:rsidRPr="0067044C" w:rsidRDefault="0067044C" w:rsidP="0067044C">
      <w:pPr>
        <w:pStyle w:val="Odstavekseznama"/>
        <w:numPr>
          <w:ilvl w:val="0"/>
          <w:numId w:val="2"/>
        </w:numPr>
        <w:jc w:val="both"/>
        <w:rPr>
          <w:rFonts w:ascii="Verdana" w:hAnsi="Verdana" w:cs="Arial"/>
          <w:sz w:val="20"/>
          <w:szCs w:val="20"/>
        </w:rPr>
      </w:pPr>
      <w:r w:rsidRPr="0067044C">
        <w:rPr>
          <w:rFonts w:ascii="Verdana" w:hAnsi="Verdana" w:cs="Arial"/>
          <w:sz w:val="20"/>
          <w:szCs w:val="20"/>
        </w:rPr>
        <w:t>so vpisani v register pridelovalcev oljčnega olja pri upravnem organu,</w:t>
      </w:r>
    </w:p>
    <w:p w14:paraId="4071F8A4" w14:textId="77777777" w:rsidR="0067044C" w:rsidRPr="0067044C" w:rsidRDefault="0067044C" w:rsidP="0067044C">
      <w:pPr>
        <w:pStyle w:val="Odstavekseznama"/>
        <w:numPr>
          <w:ilvl w:val="0"/>
          <w:numId w:val="2"/>
        </w:numPr>
        <w:jc w:val="both"/>
        <w:rPr>
          <w:rFonts w:ascii="Verdana" w:hAnsi="Verdana" w:cs="Arial"/>
          <w:sz w:val="20"/>
          <w:szCs w:val="20"/>
        </w:rPr>
      </w:pPr>
      <w:r w:rsidRPr="0067044C">
        <w:rPr>
          <w:rFonts w:ascii="Verdana" w:hAnsi="Verdana" w:cs="Arial"/>
          <w:sz w:val="20"/>
          <w:szCs w:val="20"/>
        </w:rPr>
        <w:t>njihovo olje je iz oljk, ki rastejo na območju MONG,</w:t>
      </w:r>
    </w:p>
    <w:p w14:paraId="6F5C736F" w14:textId="77777777" w:rsidR="0067044C" w:rsidRPr="0067044C" w:rsidRDefault="0067044C" w:rsidP="0067044C">
      <w:pPr>
        <w:pStyle w:val="Odstavekseznama"/>
        <w:numPr>
          <w:ilvl w:val="0"/>
          <w:numId w:val="2"/>
        </w:numPr>
        <w:jc w:val="both"/>
        <w:rPr>
          <w:rFonts w:ascii="Verdana" w:hAnsi="Verdana" w:cs="Arial"/>
          <w:sz w:val="20"/>
          <w:szCs w:val="20"/>
        </w:rPr>
      </w:pPr>
      <w:r w:rsidRPr="0067044C">
        <w:rPr>
          <w:rFonts w:ascii="Verdana" w:hAnsi="Verdana" w:cs="Arial"/>
          <w:sz w:val="20"/>
          <w:szCs w:val="20"/>
        </w:rPr>
        <w:t>lahko ponudijo v odkup za najmanj 600 steklenic (0,25 l) oljčnega olja in razpolagajo z najmanj 250 litri v letu 2025 proizvedenega oljčnega olja, prijavljenega upravnemu organu,</w:t>
      </w:r>
    </w:p>
    <w:p w14:paraId="48C54A95" w14:textId="77777777" w:rsidR="0067044C" w:rsidRPr="0067044C" w:rsidRDefault="0067044C" w:rsidP="0067044C">
      <w:pPr>
        <w:pStyle w:val="Odstavekseznama"/>
        <w:numPr>
          <w:ilvl w:val="0"/>
          <w:numId w:val="2"/>
        </w:numPr>
        <w:jc w:val="both"/>
        <w:rPr>
          <w:rFonts w:ascii="Verdana" w:hAnsi="Verdana" w:cs="Arial"/>
          <w:sz w:val="20"/>
          <w:szCs w:val="20"/>
        </w:rPr>
      </w:pPr>
      <w:r w:rsidRPr="0067044C">
        <w:rPr>
          <w:rFonts w:ascii="Verdana" w:hAnsi="Verdana" w:cs="Arial"/>
          <w:sz w:val="20"/>
          <w:szCs w:val="20"/>
        </w:rPr>
        <w:t>soglašajo z bruto odkupno ceno 8 € za 0,25 l oljčnega olja.</w:t>
      </w:r>
    </w:p>
    <w:p w14:paraId="53CB0746" w14:textId="77777777" w:rsidR="0067044C" w:rsidRPr="0067044C" w:rsidRDefault="0067044C" w:rsidP="0067044C">
      <w:pPr>
        <w:jc w:val="both"/>
        <w:rPr>
          <w:rFonts w:ascii="Verdana" w:hAnsi="Verdana" w:cs="Arial"/>
          <w:sz w:val="20"/>
          <w:szCs w:val="20"/>
        </w:rPr>
      </w:pPr>
      <w:r w:rsidRPr="0067044C">
        <w:rPr>
          <w:rFonts w:ascii="Verdana" w:hAnsi="Verdana" w:cs="Arial"/>
          <w:sz w:val="20"/>
          <w:szCs w:val="20"/>
        </w:rPr>
        <w:t>Vsak sodelujoči lahko na natečaj prijavi največ tri vzorce oljčnega olja.</w:t>
      </w:r>
    </w:p>
    <w:p w14:paraId="2EE2FDC5" w14:textId="77777777" w:rsidR="0067044C" w:rsidRPr="0067044C" w:rsidRDefault="0067044C" w:rsidP="0067044C">
      <w:pPr>
        <w:jc w:val="both"/>
        <w:rPr>
          <w:rFonts w:ascii="Verdana" w:hAnsi="Verdana" w:cs="Arial"/>
          <w:sz w:val="20"/>
          <w:szCs w:val="20"/>
        </w:rPr>
      </w:pPr>
      <w:r w:rsidRPr="0067044C">
        <w:rPr>
          <w:rFonts w:ascii="Verdana" w:hAnsi="Verdana" w:cs="Arial"/>
          <w:sz w:val="20"/>
          <w:szCs w:val="20"/>
        </w:rPr>
        <w:t xml:space="preserve">Na izboru ne morejo sodelovati pridelovalci oljčnega olja, za katere velja omejitev poslovanja z Mestno občino Nova Gorica po Zakonu o integriteti in preprečevanju korupcije (Uradni list RS, št. 69/11 – uradno prečiščeno besedilo, 158/20, 3/22 – </w:t>
      </w:r>
      <w:proofErr w:type="spellStart"/>
      <w:r w:rsidRPr="0067044C">
        <w:rPr>
          <w:rFonts w:ascii="Verdana" w:hAnsi="Verdana" w:cs="Arial"/>
          <w:sz w:val="20"/>
          <w:szCs w:val="20"/>
        </w:rPr>
        <w:t>ZDeb</w:t>
      </w:r>
      <w:proofErr w:type="spellEnd"/>
      <w:r w:rsidRPr="0067044C">
        <w:rPr>
          <w:rFonts w:ascii="Verdana" w:hAnsi="Verdana" w:cs="Arial"/>
          <w:sz w:val="20"/>
          <w:szCs w:val="20"/>
        </w:rPr>
        <w:t xml:space="preserve"> in 16/23 </w:t>
      </w:r>
      <w:proofErr w:type="spellStart"/>
      <w:r w:rsidRPr="0067044C">
        <w:rPr>
          <w:rFonts w:ascii="Verdana" w:hAnsi="Verdana" w:cs="Arial"/>
          <w:sz w:val="20"/>
          <w:szCs w:val="20"/>
        </w:rPr>
        <w:t>ZZPri</w:t>
      </w:r>
      <w:proofErr w:type="spellEnd"/>
      <w:r w:rsidRPr="0067044C">
        <w:rPr>
          <w:rFonts w:ascii="Verdana" w:hAnsi="Verdana" w:cs="Arial"/>
          <w:sz w:val="20"/>
          <w:szCs w:val="20"/>
        </w:rPr>
        <w:t>). Prijave oljkarjev, za katere velja navedena omejitev, bodo izločene iz nadaljnjega postopka še pred ocenjevanjem.</w:t>
      </w:r>
    </w:p>
    <w:p w14:paraId="552E3346" w14:textId="77777777" w:rsidR="0067044C" w:rsidRPr="0067044C" w:rsidRDefault="0067044C" w:rsidP="0067044C">
      <w:pPr>
        <w:jc w:val="both"/>
        <w:rPr>
          <w:rFonts w:ascii="Verdana" w:hAnsi="Verdana" w:cs="Arial"/>
          <w:bCs/>
          <w:sz w:val="20"/>
          <w:szCs w:val="20"/>
        </w:rPr>
      </w:pPr>
      <w:r w:rsidRPr="0067044C">
        <w:rPr>
          <w:rFonts w:ascii="Verdana" w:hAnsi="Verdana" w:cs="Arial"/>
          <w:sz w:val="20"/>
          <w:szCs w:val="20"/>
        </w:rPr>
        <w:t xml:space="preserve">            </w:t>
      </w:r>
      <w:r w:rsidRPr="0067044C">
        <w:rPr>
          <w:rFonts w:ascii="Verdana" w:hAnsi="Verdana" w:cs="Arial"/>
          <w:bCs/>
          <w:sz w:val="20"/>
          <w:szCs w:val="20"/>
          <w:u w:val="single"/>
        </w:rPr>
        <w:t>Merila natečaja</w:t>
      </w:r>
      <w:r w:rsidRPr="0067044C">
        <w:rPr>
          <w:rFonts w:ascii="Verdana" w:hAnsi="Verdana" w:cs="Arial"/>
          <w:bCs/>
          <w:sz w:val="20"/>
          <w:szCs w:val="20"/>
        </w:rPr>
        <w:t>:</w:t>
      </w:r>
    </w:p>
    <w:p w14:paraId="6871F3EC" w14:textId="77777777" w:rsidR="0067044C" w:rsidRPr="0067044C" w:rsidRDefault="0067044C" w:rsidP="0067044C">
      <w:pPr>
        <w:jc w:val="both"/>
        <w:rPr>
          <w:rFonts w:ascii="Verdana" w:hAnsi="Verdana" w:cs="Arial"/>
          <w:sz w:val="20"/>
          <w:szCs w:val="20"/>
        </w:rPr>
      </w:pPr>
      <w:r w:rsidRPr="0067044C">
        <w:rPr>
          <w:rFonts w:ascii="Verdana" w:hAnsi="Verdana" w:cs="Arial"/>
          <w:sz w:val="20"/>
          <w:szCs w:val="20"/>
        </w:rPr>
        <w:t>Ocenjevanje bo potekalo po metodologiji iz Uredbe Komisije (EGS) št. 2568/91</w:t>
      </w:r>
      <w:r w:rsidRPr="0067044C">
        <w:rPr>
          <w:rFonts w:ascii="Verdana" w:eastAsia="Times New Roman" w:hAnsi="Verdana" w:cs="Lucida Sans Unicode"/>
          <w:color w:val="112250"/>
          <w:kern w:val="36"/>
          <w:sz w:val="20"/>
          <w:szCs w:val="20"/>
          <w:lang w:eastAsia="sl-SI"/>
        </w:rPr>
        <w:t xml:space="preserve"> </w:t>
      </w:r>
      <w:r w:rsidRPr="0067044C">
        <w:rPr>
          <w:rFonts w:ascii="Verdana" w:hAnsi="Verdana" w:cs="Arial"/>
          <w:sz w:val="20"/>
          <w:szCs w:val="20"/>
        </w:rPr>
        <w:t>z dne 11. julija 1991 o značilnostih oljčnega olja in olja iz oljčnih tropin ter o ustreznih analiznih metodah. Ocenjevanje bo izvedla najmanj 8-članska komisija za senzorično ocenjevanje oljčnega olja, ustanovljena v Goriškem oljkarskem društvu (GOD). Nihče izmed članov ocenjevalne komisije ne sme sodelovati z lastnimi ali olji njegove družine, pri čemer se za družino štejejo: zakonec, oče, mati, otrok, sestra ali brat, posvojitelj ali posvojenec, partner v zunajzakonski skupnosti ali registrirani istospolni skupnosti.</w:t>
      </w:r>
    </w:p>
    <w:p w14:paraId="76A7895C" w14:textId="77777777" w:rsidR="0067044C" w:rsidRPr="0067044C" w:rsidRDefault="0067044C" w:rsidP="0067044C">
      <w:pPr>
        <w:jc w:val="both"/>
        <w:rPr>
          <w:rFonts w:ascii="Verdana" w:hAnsi="Verdana" w:cs="Arial"/>
          <w:sz w:val="20"/>
          <w:szCs w:val="20"/>
        </w:rPr>
      </w:pPr>
      <w:r w:rsidRPr="0067044C">
        <w:rPr>
          <w:rFonts w:ascii="Verdana" w:hAnsi="Verdana" w:cs="Arial"/>
          <w:sz w:val="20"/>
          <w:szCs w:val="20"/>
        </w:rPr>
        <w:t>Vzorce oljčnega olja bo po opravljeni analizi na proste maščobne kisline ocenjevala komisija iz prejšnjega odstavka v za to prirejenih prostorih v skladu z veljavnimi standardi.</w:t>
      </w:r>
    </w:p>
    <w:p w14:paraId="144D8C74" w14:textId="77777777" w:rsidR="0067044C" w:rsidRPr="0067044C" w:rsidRDefault="0067044C" w:rsidP="0067044C">
      <w:pPr>
        <w:jc w:val="both"/>
        <w:rPr>
          <w:rFonts w:ascii="Verdana" w:hAnsi="Verdana" w:cs="Arial"/>
          <w:sz w:val="20"/>
          <w:szCs w:val="20"/>
        </w:rPr>
      </w:pPr>
      <w:r w:rsidRPr="0067044C">
        <w:rPr>
          <w:rFonts w:ascii="Verdana" w:hAnsi="Verdana" w:cs="Arial"/>
          <w:sz w:val="20"/>
          <w:szCs w:val="20"/>
        </w:rPr>
        <w:t xml:space="preserve">Predsednik komisije skrbi za nemoten potek ocenjevanja in za anonimnost ocenjevanih vzorcev. </w:t>
      </w:r>
    </w:p>
    <w:p w14:paraId="7E1205B2" w14:textId="77777777" w:rsidR="0067044C" w:rsidRPr="0067044C" w:rsidRDefault="0067044C" w:rsidP="0067044C">
      <w:pPr>
        <w:jc w:val="both"/>
        <w:rPr>
          <w:rFonts w:ascii="Verdana" w:hAnsi="Verdana" w:cs="Arial"/>
          <w:sz w:val="20"/>
          <w:szCs w:val="20"/>
        </w:rPr>
      </w:pPr>
      <w:r w:rsidRPr="0067044C">
        <w:rPr>
          <w:rFonts w:ascii="Verdana" w:hAnsi="Verdana" w:cs="Arial"/>
          <w:sz w:val="20"/>
          <w:szCs w:val="20"/>
        </w:rPr>
        <w:t>Komisija najprej oceni vse na natečaj prispele vzorce, nato pa ponovno še prvih deset najbolje ocenjenih vzorcev. Obe oceni se seštejeta in delita z 2 (dva). Tako dobljeni rezultat je končna ocena senzoričnega ocenjevanja.</w:t>
      </w:r>
    </w:p>
    <w:p w14:paraId="0AEC6BFC" w14:textId="77777777" w:rsidR="007F0636" w:rsidRDefault="007F0636" w:rsidP="0067044C">
      <w:pPr>
        <w:jc w:val="both"/>
        <w:rPr>
          <w:rFonts w:ascii="Verdana" w:hAnsi="Verdana" w:cs="Arial"/>
          <w:sz w:val="20"/>
          <w:szCs w:val="20"/>
        </w:rPr>
      </w:pPr>
    </w:p>
    <w:p w14:paraId="6CDCFF29" w14:textId="77777777" w:rsidR="007F0636" w:rsidRDefault="007F0636" w:rsidP="0067044C">
      <w:pPr>
        <w:jc w:val="both"/>
        <w:rPr>
          <w:rFonts w:ascii="Verdana" w:hAnsi="Verdana" w:cs="Arial"/>
          <w:sz w:val="20"/>
          <w:szCs w:val="20"/>
        </w:rPr>
      </w:pPr>
    </w:p>
    <w:p w14:paraId="29B20B32" w14:textId="77777777" w:rsidR="007F0636" w:rsidRDefault="007F0636" w:rsidP="0067044C">
      <w:pPr>
        <w:jc w:val="both"/>
        <w:rPr>
          <w:rFonts w:ascii="Verdana" w:hAnsi="Verdana" w:cs="Arial"/>
          <w:sz w:val="20"/>
          <w:szCs w:val="20"/>
        </w:rPr>
      </w:pPr>
    </w:p>
    <w:p w14:paraId="1471696A" w14:textId="7535BD74" w:rsidR="0067044C" w:rsidRPr="0067044C" w:rsidRDefault="0067044C" w:rsidP="0067044C">
      <w:pPr>
        <w:jc w:val="both"/>
        <w:rPr>
          <w:rFonts w:ascii="Verdana" w:hAnsi="Verdana" w:cs="Arial"/>
          <w:sz w:val="20"/>
          <w:szCs w:val="20"/>
        </w:rPr>
      </w:pPr>
      <w:r w:rsidRPr="0067044C">
        <w:rPr>
          <w:rFonts w:ascii="Verdana" w:hAnsi="Verdana" w:cs="Arial"/>
          <w:sz w:val="20"/>
          <w:szCs w:val="20"/>
        </w:rPr>
        <w:t>Pri končni oceni kvalitete oljčnega olja se skladno z uveljavljenimi postopki združita senzorična ocena in kemična ocena prostih maščobnih kislin. Tako dobljeni rezultat ugotovi Komisija za senzorično ocenjevanje oljčnega olja GOD.</w:t>
      </w:r>
    </w:p>
    <w:p w14:paraId="5DE5C2C6" w14:textId="77777777" w:rsidR="0067044C" w:rsidRPr="0067044C" w:rsidRDefault="0067044C" w:rsidP="0067044C">
      <w:pPr>
        <w:jc w:val="both"/>
        <w:rPr>
          <w:rFonts w:ascii="Verdana" w:hAnsi="Verdana" w:cs="Arial"/>
          <w:sz w:val="20"/>
          <w:szCs w:val="20"/>
        </w:rPr>
      </w:pPr>
      <w:r w:rsidRPr="0067044C">
        <w:rPr>
          <w:rFonts w:ascii="Verdana" w:hAnsi="Verdana" w:cs="Arial"/>
          <w:sz w:val="20"/>
          <w:szCs w:val="20"/>
        </w:rPr>
        <w:t>Vsak prijavljen vzorec oljčnega olja lahko doseže maksimalno število 100 točk.</w:t>
      </w:r>
    </w:p>
    <w:p w14:paraId="526E19C5" w14:textId="77777777" w:rsidR="0067044C" w:rsidRPr="0067044C" w:rsidRDefault="0067044C" w:rsidP="0067044C">
      <w:pPr>
        <w:pStyle w:val="Odstavekseznama"/>
        <w:numPr>
          <w:ilvl w:val="0"/>
          <w:numId w:val="1"/>
        </w:numPr>
        <w:jc w:val="both"/>
        <w:rPr>
          <w:rFonts w:ascii="Verdana" w:hAnsi="Verdana" w:cs="Arial"/>
          <w:sz w:val="20"/>
          <w:szCs w:val="20"/>
        </w:rPr>
      </w:pPr>
      <w:r w:rsidRPr="0067044C">
        <w:rPr>
          <w:rFonts w:ascii="Verdana" w:hAnsi="Verdana" w:cs="Arial"/>
          <w:sz w:val="20"/>
          <w:szCs w:val="20"/>
        </w:rPr>
        <w:t>NAGRADE NATEČAJA</w:t>
      </w:r>
    </w:p>
    <w:p w14:paraId="64DF6D5C" w14:textId="77777777" w:rsidR="0067044C" w:rsidRPr="0067044C" w:rsidRDefault="0067044C" w:rsidP="0067044C">
      <w:pPr>
        <w:jc w:val="both"/>
        <w:rPr>
          <w:rFonts w:ascii="Verdana" w:hAnsi="Verdana" w:cs="Arial"/>
          <w:sz w:val="20"/>
          <w:szCs w:val="20"/>
        </w:rPr>
      </w:pPr>
      <w:r w:rsidRPr="0067044C">
        <w:rPr>
          <w:rFonts w:ascii="Verdana" w:hAnsi="Verdana" w:cs="Arial"/>
          <w:sz w:val="20"/>
          <w:szCs w:val="20"/>
        </w:rPr>
        <w:t xml:space="preserve">Oljčno olje, ki bo dobilo največ točk, bo nagrajeno z nazivom »ŽUPANOVO OLJČNO OLJE« Mestne občine Nova Gorica za leto 2026. </w:t>
      </w:r>
    </w:p>
    <w:p w14:paraId="6A73579C" w14:textId="77777777" w:rsidR="0067044C" w:rsidRPr="0067044C" w:rsidRDefault="0067044C" w:rsidP="0067044C">
      <w:pPr>
        <w:jc w:val="both"/>
        <w:rPr>
          <w:rFonts w:ascii="Verdana" w:hAnsi="Verdana" w:cs="Arial"/>
          <w:sz w:val="20"/>
          <w:szCs w:val="20"/>
        </w:rPr>
      </w:pPr>
      <w:r w:rsidRPr="0067044C">
        <w:rPr>
          <w:rFonts w:ascii="Verdana" w:hAnsi="Verdana" w:cs="Arial"/>
          <w:sz w:val="20"/>
          <w:szCs w:val="20"/>
        </w:rPr>
        <w:t>MONG bo za protokolarne in promocijske namene od pridelovalca odkupila najmanj 150 l oljčnega olja, ki bo razglašeno za »Županovo oljčno olje« Mestne občine Nova Gorica za leto 2026. Olje naj ne bo ustekleničeno, saj se bo polnilo v posebej za to oblikovano embalažo. MONG bo zagotovila ustrezno embalažo, steklenico, zamašek, nalepke in obešanke (600 kosov) za ustekleničenje tega olja, pridelovalec pa bo poskrbel, da olje ustekleniči in steklenico opremi z nalepko in obešankami. Olje, nabavljeno s strani MONG, bo hranil pridelovalec do porabe vseh zalog, nabavljenih s strani MONG. Pridelovalec bo po naročilu olje v embalaži dostavljal MONG. Sodelujoči na natečaju bodo s strani GOD glede na doseženo število točk prejeli:</w:t>
      </w:r>
    </w:p>
    <w:p w14:paraId="65F4D8CE" w14:textId="77777777" w:rsidR="0067044C" w:rsidRPr="0067044C" w:rsidRDefault="0067044C" w:rsidP="0067044C">
      <w:pPr>
        <w:pStyle w:val="Odstavekseznama"/>
        <w:numPr>
          <w:ilvl w:val="0"/>
          <w:numId w:val="3"/>
        </w:numPr>
        <w:jc w:val="both"/>
        <w:rPr>
          <w:rFonts w:ascii="Verdana" w:hAnsi="Verdana" w:cs="Arial"/>
          <w:bCs/>
          <w:sz w:val="20"/>
          <w:szCs w:val="20"/>
        </w:rPr>
      </w:pPr>
      <w:r w:rsidRPr="0067044C">
        <w:rPr>
          <w:rFonts w:ascii="Verdana" w:hAnsi="Verdana" w:cs="Arial"/>
          <w:b/>
          <w:sz w:val="20"/>
          <w:szCs w:val="20"/>
        </w:rPr>
        <w:t>Zlato odličje</w:t>
      </w:r>
      <w:r w:rsidRPr="0067044C">
        <w:rPr>
          <w:rFonts w:ascii="Verdana" w:hAnsi="Verdana" w:cs="Arial"/>
          <w:bCs/>
          <w:sz w:val="20"/>
          <w:szCs w:val="20"/>
        </w:rPr>
        <w:t xml:space="preserve"> za vzorce ekstra deviškega oljčnega olja, ki dosežejo od 88 do 100  točk;</w:t>
      </w:r>
    </w:p>
    <w:p w14:paraId="7D2E4E91" w14:textId="77777777" w:rsidR="0067044C" w:rsidRPr="0067044C" w:rsidRDefault="0067044C" w:rsidP="0067044C">
      <w:pPr>
        <w:pStyle w:val="Odstavekseznama"/>
        <w:numPr>
          <w:ilvl w:val="0"/>
          <w:numId w:val="3"/>
        </w:numPr>
        <w:jc w:val="both"/>
        <w:rPr>
          <w:rFonts w:ascii="Verdana" w:hAnsi="Verdana" w:cs="Arial"/>
          <w:bCs/>
          <w:sz w:val="20"/>
          <w:szCs w:val="20"/>
        </w:rPr>
      </w:pPr>
      <w:r w:rsidRPr="0067044C">
        <w:rPr>
          <w:rFonts w:ascii="Verdana" w:hAnsi="Verdana" w:cs="Arial"/>
          <w:b/>
          <w:sz w:val="20"/>
          <w:szCs w:val="20"/>
        </w:rPr>
        <w:t>Srebrno odličje</w:t>
      </w:r>
      <w:r w:rsidRPr="0067044C">
        <w:rPr>
          <w:rFonts w:ascii="Verdana" w:hAnsi="Verdana" w:cs="Arial"/>
          <w:bCs/>
          <w:sz w:val="20"/>
          <w:szCs w:val="20"/>
        </w:rPr>
        <w:t xml:space="preserve"> za vzorce ekstra deviškega oljčnega olja, ki dosežejo od 83 do 87,9 točke;</w:t>
      </w:r>
    </w:p>
    <w:p w14:paraId="74891AEA" w14:textId="77777777" w:rsidR="0067044C" w:rsidRPr="0067044C" w:rsidRDefault="0067044C" w:rsidP="0067044C">
      <w:pPr>
        <w:pStyle w:val="Odstavekseznama"/>
        <w:numPr>
          <w:ilvl w:val="0"/>
          <w:numId w:val="3"/>
        </w:numPr>
        <w:jc w:val="both"/>
        <w:rPr>
          <w:rFonts w:ascii="Verdana" w:hAnsi="Verdana" w:cs="Arial"/>
          <w:sz w:val="20"/>
          <w:szCs w:val="20"/>
        </w:rPr>
      </w:pPr>
      <w:r w:rsidRPr="0067044C">
        <w:rPr>
          <w:rFonts w:ascii="Verdana" w:hAnsi="Verdana" w:cs="Arial"/>
          <w:b/>
          <w:sz w:val="20"/>
          <w:szCs w:val="20"/>
        </w:rPr>
        <w:t>Bronasto odličje</w:t>
      </w:r>
      <w:r w:rsidRPr="0067044C">
        <w:rPr>
          <w:rFonts w:ascii="Verdana" w:hAnsi="Verdana" w:cs="Arial"/>
          <w:bCs/>
          <w:sz w:val="20"/>
          <w:szCs w:val="20"/>
        </w:rPr>
        <w:t xml:space="preserve"> za</w:t>
      </w:r>
      <w:r w:rsidRPr="0067044C">
        <w:rPr>
          <w:rFonts w:ascii="Verdana" w:hAnsi="Verdana" w:cs="Arial"/>
          <w:sz w:val="20"/>
          <w:szCs w:val="20"/>
        </w:rPr>
        <w:t xml:space="preserve"> vzorce ekstra deviškega oljčnega olja, ki dosežejo od 78 do 82,9 točke.</w:t>
      </w:r>
    </w:p>
    <w:p w14:paraId="4ADA8828" w14:textId="77777777" w:rsidR="0067044C" w:rsidRPr="0067044C" w:rsidRDefault="0067044C" w:rsidP="0067044C">
      <w:pPr>
        <w:jc w:val="both"/>
        <w:rPr>
          <w:rFonts w:ascii="Verdana" w:hAnsi="Verdana" w:cs="Arial"/>
          <w:sz w:val="20"/>
          <w:szCs w:val="20"/>
        </w:rPr>
      </w:pPr>
      <w:r w:rsidRPr="0067044C">
        <w:rPr>
          <w:rFonts w:ascii="Verdana" w:hAnsi="Verdana" w:cs="Arial"/>
          <w:sz w:val="20"/>
          <w:szCs w:val="20"/>
        </w:rPr>
        <w:t>Vsi ostali sodelujoči bodo prejeli zahvalo za sodelovanje na natečaju.</w:t>
      </w:r>
    </w:p>
    <w:p w14:paraId="3CA637D4" w14:textId="77777777" w:rsidR="0067044C" w:rsidRPr="0067044C" w:rsidRDefault="0067044C" w:rsidP="0067044C">
      <w:pPr>
        <w:pStyle w:val="Odstavekseznama"/>
        <w:numPr>
          <w:ilvl w:val="0"/>
          <w:numId w:val="1"/>
        </w:numPr>
        <w:jc w:val="both"/>
        <w:rPr>
          <w:rFonts w:ascii="Verdana" w:hAnsi="Verdana" w:cs="Arial"/>
          <w:sz w:val="20"/>
          <w:szCs w:val="20"/>
        </w:rPr>
      </w:pPr>
      <w:r w:rsidRPr="0067044C">
        <w:rPr>
          <w:rFonts w:ascii="Verdana" w:hAnsi="Verdana" w:cs="Arial"/>
          <w:sz w:val="20"/>
          <w:szCs w:val="20"/>
        </w:rPr>
        <w:t>ROK IN NAČIN ODDAJE PRIJAV</w:t>
      </w:r>
    </w:p>
    <w:p w14:paraId="4FB89CED" w14:textId="42A7290F" w:rsidR="0067044C" w:rsidRPr="0067044C" w:rsidRDefault="0067044C" w:rsidP="0067044C">
      <w:pPr>
        <w:jc w:val="both"/>
        <w:rPr>
          <w:rFonts w:ascii="Verdana" w:hAnsi="Verdana" w:cs="Arial"/>
          <w:sz w:val="20"/>
          <w:szCs w:val="20"/>
        </w:rPr>
      </w:pPr>
      <w:r w:rsidRPr="0067044C">
        <w:rPr>
          <w:rFonts w:ascii="Verdana" w:hAnsi="Verdana" w:cs="Arial"/>
          <w:sz w:val="20"/>
          <w:szCs w:val="20"/>
        </w:rPr>
        <w:t xml:space="preserve">Sodelujoči prijavijo svoje vzorce oljčnega olja s prijavnico, ki je v prilogi tega natečaja. </w:t>
      </w:r>
      <w:bookmarkStart w:id="0" w:name="_Hlk56678758"/>
      <w:r w:rsidRPr="0067044C">
        <w:rPr>
          <w:rFonts w:ascii="Verdana" w:hAnsi="Verdana" w:cs="Arial"/>
          <w:sz w:val="20"/>
          <w:szCs w:val="20"/>
        </w:rPr>
        <w:t>Vzorec obsega 3 steklenice po 0,5 l oljčnega olja</w:t>
      </w:r>
      <w:bookmarkEnd w:id="0"/>
      <w:r w:rsidRPr="0067044C">
        <w:rPr>
          <w:rFonts w:ascii="Verdana" w:hAnsi="Verdana" w:cs="Arial"/>
          <w:sz w:val="20"/>
          <w:szCs w:val="20"/>
        </w:rPr>
        <w:t xml:space="preserve">, </w:t>
      </w:r>
      <w:r w:rsidR="005D33A3">
        <w:rPr>
          <w:rFonts w:ascii="Verdana" w:hAnsi="Verdana" w:cs="Arial"/>
          <w:sz w:val="20"/>
          <w:szCs w:val="20"/>
        </w:rPr>
        <w:t>katere</w:t>
      </w:r>
      <w:r w:rsidR="005D33A3" w:rsidRPr="005D33A3">
        <w:rPr>
          <w:rFonts w:ascii="Verdana" w:hAnsi="Verdana" w:cs="Arial"/>
          <w:sz w:val="20"/>
          <w:szCs w:val="20"/>
        </w:rPr>
        <w:t xml:space="preserve"> morajo biti označene z etiketo</w:t>
      </w:r>
      <w:r w:rsidRPr="0067044C">
        <w:rPr>
          <w:rFonts w:ascii="Verdana" w:hAnsi="Verdana" w:cs="Arial"/>
          <w:sz w:val="20"/>
          <w:szCs w:val="20"/>
        </w:rPr>
        <w:t>.</w:t>
      </w:r>
    </w:p>
    <w:p w14:paraId="7207FE56" w14:textId="35D903B4" w:rsidR="0067044C" w:rsidRPr="0067044C" w:rsidRDefault="0067044C" w:rsidP="0067044C">
      <w:pPr>
        <w:jc w:val="both"/>
        <w:rPr>
          <w:rFonts w:ascii="Verdana" w:hAnsi="Verdana" w:cs="Arial"/>
          <w:sz w:val="20"/>
          <w:szCs w:val="20"/>
        </w:rPr>
      </w:pPr>
      <w:bookmarkStart w:id="1" w:name="_Hlk56679195"/>
      <w:r w:rsidRPr="0067044C">
        <w:rPr>
          <w:rFonts w:ascii="Verdana" w:hAnsi="Verdana" w:cs="Arial"/>
          <w:sz w:val="20"/>
          <w:szCs w:val="20"/>
        </w:rPr>
        <w:t xml:space="preserve">Prijavo in vzorce lahko oddate </w:t>
      </w:r>
      <w:r w:rsidR="00E713A3">
        <w:rPr>
          <w:rFonts w:ascii="Verdana" w:hAnsi="Verdana" w:cs="Arial"/>
          <w:sz w:val="20"/>
          <w:szCs w:val="20"/>
        </w:rPr>
        <w:t>do zaključka javnega natečaja</w:t>
      </w:r>
      <w:r w:rsidR="005535F2">
        <w:rPr>
          <w:rFonts w:ascii="Verdana" w:hAnsi="Verdana" w:cs="Arial"/>
          <w:sz w:val="20"/>
          <w:szCs w:val="20"/>
        </w:rPr>
        <w:t>, in sicer</w:t>
      </w:r>
      <w:r w:rsidR="00E713A3">
        <w:rPr>
          <w:rFonts w:ascii="Verdana" w:hAnsi="Verdana" w:cs="Arial"/>
          <w:sz w:val="20"/>
          <w:szCs w:val="20"/>
        </w:rPr>
        <w:t xml:space="preserve"> </w:t>
      </w:r>
      <w:r w:rsidRPr="0067044C">
        <w:rPr>
          <w:rFonts w:ascii="Verdana" w:hAnsi="Verdana" w:cs="Arial"/>
          <w:sz w:val="20"/>
          <w:szCs w:val="20"/>
        </w:rPr>
        <w:t>v petek</w:t>
      </w:r>
      <w:r w:rsidR="005B608A" w:rsidRPr="005B608A">
        <w:rPr>
          <w:rFonts w:ascii="Verdana" w:hAnsi="Verdana" w:cs="Arial"/>
          <w:sz w:val="20"/>
          <w:szCs w:val="20"/>
        </w:rPr>
        <w:t>,</w:t>
      </w:r>
      <w:r w:rsidRPr="005B608A">
        <w:rPr>
          <w:rFonts w:ascii="Verdana" w:hAnsi="Verdana" w:cs="Arial"/>
          <w:sz w:val="20"/>
          <w:szCs w:val="20"/>
        </w:rPr>
        <w:t xml:space="preserve"> 2</w:t>
      </w:r>
      <w:r w:rsidR="0076731D" w:rsidRPr="005B608A">
        <w:rPr>
          <w:rFonts w:ascii="Verdana" w:hAnsi="Verdana" w:cs="Arial"/>
          <w:sz w:val="20"/>
          <w:szCs w:val="20"/>
        </w:rPr>
        <w:t>1</w:t>
      </w:r>
      <w:r w:rsidRPr="005B608A">
        <w:rPr>
          <w:rFonts w:ascii="Verdana" w:hAnsi="Verdana" w:cs="Arial"/>
          <w:sz w:val="20"/>
          <w:szCs w:val="20"/>
        </w:rPr>
        <w:t>. 11. 202</w:t>
      </w:r>
      <w:r w:rsidR="0076731D" w:rsidRPr="005B608A">
        <w:rPr>
          <w:rFonts w:ascii="Verdana" w:hAnsi="Verdana" w:cs="Arial"/>
          <w:sz w:val="20"/>
          <w:szCs w:val="20"/>
        </w:rPr>
        <w:t>5</w:t>
      </w:r>
      <w:r w:rsidR="005B608A" w:rsidRPr="005B608A">
        <w:rPr>
          <w:rFonts w:ascii="Verdana" w:hAnsi="Verdana" w:cs="Arial"/>
          <w:sz w:val="20"/>
          <w:szCs w:val="20"/>
        </w:rPr>
        <w:t>,</w:t>
      </w:r>
      <w:r w:rsidRPr="005B608A">
        <w:rPr>
          <w:rFonts w:ascii="Verdana" w:hAnsi="Verdana" w:cs="Arial"/>
          <w:sz w:val="20"/>
          <w:szCs w:val="20"/>
        </w:rPr>
        <w:t xml:space="preserve"> </w:t>
      </w:r>
      <w:r w:rsidR="005B608A" w:rsidRPr="005B608A">
        <w:rPr>
          <w:rFonts w:ascii="Verdana" w:hAnsi="Verdana" w:cs="Arial"/>
          <w:sz w:val="20"/>
          <w:szCs w:val="20"/>
        </w:rPr>
        <w:t xml:space="preserve">med </w:t>
      </w:r>
      <w:r w:rsidRPr="005B608A">
        <w:rPr>
          <w:rFonts w:ascii="Verdana" w:hAnsi="Verdana" w:cs="Arial"/>
          <w:sz w:val="20"/>
          <w:szCs w:val="20"/>
        </w:rPr>
        <w:t>1</w:t>
      </w:r>
      <w:r w:rsidR="0076731D" w:rsidRPr="005B608A">
        <w:rPr>
          <w:rFonts w:ascii="Verdana" w:hAnsi="Verdana" w:cs="Arial"/>
          <w:sz w:val="20"/>
          <w:szCs w:val="20"/>
        </w:rPr>
        <w:t>8</w:t>
      </w:r>
      <w:r w:rsidRPr="005B608A">
        <w:rPr>
          <w:rFonts w:ascii="Verdana" w:hAnsi="Verdana" w:cs="Arial"/>
          <w:sz w:val="20"/>
          <w:szCs w:val="20"/>
        </w:rPr>
        <w:t xml:space="preserve">. </w:t>
      </w:r>
      <w:r w:rsidR="005B608A" w:rsidRPr="005B608A">
        <w:rPr>
          <w:rFonts w:ascii="Verdana" w:hAnsi="Verdana" w:cs="Arial"/>
          <w:sz w:val="20"/>
          <w:szCs w:val="20"/>
        </w:rPr>
        <w:t xml:space="preserve">in </w:t>
      </w:r>
      <w:r w:rsidRPr="005B608A">
        <w:rPr>
          <w:rFonts w:ascii="Verdana" w:hAnsi="Verdana" w:cs="Arial"/>
          <w:sz w:val="20"/>
          <w:szCs w:val="20"/>
        </w:rPr>
        <w:t>19.</w:t>
      </w:r>
      <w:r w:rsidR="005B608A" w:rsidRPr="005B608A">
        <w:rPr>
          <w:rFonts w:ascii="Verdana" w:hAnsi="Verdana" w:cs="Arial"/>
          <w:sz w:val="20"/>
          <w:szCs w:val="20"/>
        </w:rPr>
        <w:t xml:space="preserve"> ur</w:t>
      </w:r>
      <w:r w:rsidR="005B608A">
        <w:rPr>
          <w:rFonts w:ascii="Verdana" w:hAnsi="Verdana" w:cs="Arial"/>
          <w:sz w:val="20"/>
          <w:szCs w:val="20"/>
        </w:rPr>
        <w:t>o</w:t>
      </w:r>
      <w:r w:rsidR="00E713A3">
        <w:rPr>
          <w:rFonts w:ascii="Verdana" w:hAnsi="Verdana" w:cs="Arial"/>
          <w:sz w:val="20"/>
          <w:szCs w:val="20"/>
        </w:rPr>
        <w:t xml:space="preserve">. </w:t>
      </w:r>
      <w:r w:rsidRPr="0067044C">
        <w:rPr>
          <w:rFonts w:ascii="Verdana" w:hAnsi="Verdana" w:cs="Arial"/>
          <w:sz w:val="20"/>
          <w:szCs w:val="20"/>
        </w:rPr>
        <w:t xml:space="preserve">Vzorce zbiramo v prostorih Goriškega oljkarskega društva v Šempasu (soba za </w:t>
      </w:r>
      <w:proofErr w:type="spellStart"/>
      <w:r w:rsidRPr="0067044C">
        <w:rPr>
          <w:rFonts w:ascii="Verdana" w:hAnsi="Verdana" w:cs="Arial"/>
          <w:sz w:val="20"/>
          <w:szCs w:val="20"/>
        </w:rPr>
        <w:t>senzoriko</w:t>
      </w:r>
      <w:proofErr w:type="spellEnd"/>
      <w:r w:rsidRPr="0067044C">
        <w:rPr>
          <w:rFonts w:ascii="Verdana" w:hAnsi="Verdana" w:cs="Arial"/>
          <w:sz w:val="20"/>
          <w:szCs w:val="20"/>
        </w:rPr>
        <w:t>).</w:t>
      </w:r>
    </w:p>
    <w:p w14:paraId="37B52D57" w14:textId="77777777" w:rsidR="0067044C" w:rsidRPr="0067044C" w:rsidRDefault="0067044C" w:rsidP="0067044C">
      <w:pPr>
        <w:pStyle w:val="Odstavekseznama"/>
        <w:numPr>
          <w:ilvl w:val="0"/>
          <w:numId w:val="1"/>
        </w:numPr>
        <w:jc w:val="both"/>
        <w:rPr>
          <w:rFonts w:ascii="Verdana" w:hAnsi="Verdana" w:cs="Arial"/>
          <w:sz w:val="20"/>
          <w:szCs w:val="20"/>
        </w:rPr>
      </w:pPr>
      <w:r w:rsidRPr="0067044C">
        <w:rPr>
          <w:rFonts w:ascii="Verdana" w:hAnsi="Verdana" w:cs="Arial"/>
          <w:sz w:val="20"/>
          <w:szCs w:val="20"/>
        </w:rPr>
        <w:t>OBVEŠČANJE O IZIDU JAVNEGA NATEČAJA</w:t>
      </w:r>
    </w:p>
    <w:p w14:paraId="3C994570" w14:textId="77777777" w:rsidR="0067044C" w:rsidRPr="0067044C" w:rsidRDefault="0067044C" w:rsidP="0067044C">
      <w:pPr>
        <w:pStyle w:val="Default"/>
        <w:jc w:val="both"/>
        <w:rPr>
          <w:rFonts w:ascii="Verdana" w:hAnsi="Verdana" w:cs="Arial"/>
          <w:color w:val="000000" w:themeColor="text1"/>
          <w:sz w:val="20"/>
          <w:szCs w:val="20"/>
          <w:lang w:val="sl-SI"/>
        </w:rPr>
      </w:pPr>
      <w:r w:rsidRPr="0067044C">
        <w:rPr>
          <w:rFonts w:ascii="Verdana" w:hAnsi="Verdana" w:cs="Arial"/>
          <w:color w:val="auto"/>
          <w:sz w:val="20"/>
          <w:szCs w:val="20"/>
          <w:lang w:val="sl-SI"/>
        </w:rPr>
        <w:t>Prijavitelji bodo o odločitvi ocenjevalne komisije seznanjeni pisno v roku 15 dni od razglasitve rezultatov s strani GOD. Rezultati pa bodo objavljeni tudi javno, in sicer na spletni strani</w:t>
      </w:r>
      <w:r w:rsidRPr="0067044C">
        <w:rPr>
          <w:rFonts w:ascii="Verdana" w:hAnsi="Verdana"/>
          <w:sz w:val="20"/>
          <w:szCs w:val="20"/>
          <w:lang w:val="sl-SI"/>
        </w:rPr>
        <w:t xml:space="preserve"> </w:t>
      </w:r>
      <w:r w:rsidRPr="0067044C">
        <w:rPr>
          <w:rFonts w:ascii="Verdana" w:hAnsi="Verdana" w:cs="Arial"/>
          <w:color w:val="auto"/>
          <w:sz w:val="20"/>
          <w:szCs w:val="20"/>
          <w:lang w:val="sl-SI"/>
        </w:rPr>
        <w:t xml:space="preserve">Goriškega oljkarskega društva </w:t>
      </w:r>
      <w:hyperlink r:id="rId7" w:history="1">
        <w:r w:rsidRPr="0067044C">
          <w:rPr>
            <w:rStyle w:val="Hiperpovezava"/>
            <w:rFonts w:ascii="Verdana" w:eastAsia="Times New Roman" w:hAnsi="Verdana" w:cs="Arial"/>
            <w:sz w:val="20"/>
            <w:szCs w:val="20"/>
            <w:lang w:val="sl-SI"/>
          </w:rPr>
          <w:t>www.god.si</w:t>
        </w:r>
      </w:hyperlink>
      <w:r w:rsidRPr="0067044C">
        <w:rPr>
          <w:rFonts w:ascii="Verdana" w:eastAsia="Times New Roman" w:hAnsi="Verdana"/>
          <w:sz w:val="20"/>
          <w:szCs w:val="20"/>
          <w:lang w:val="sl-SI"/>
        </w:rPr>
        <w:t xml:space="preserve"> in </w:t>
      </w:r>
      <w:r w:rsidRPr="0067044C">
        <w:rPr>
          <w:rFonts w:ascii="Verdana" w:hAnsi="Verdana" w:cs="Arial"/>
          <w:color w:val="auto"/>
          <w:sz w:val="20"/>
          <w:szCs w:val="20"/>
          <w:lang w:val="sl-SI"/>
        </w:rPr>
        <w:t>Mestne občine Nova Gorica</w:t>
      </w:r>
      <w:r w:rsidRPr="0067044C">
        <w:rPr>
          <w:rFonts w:ascii="Verdana" w:hAnsi="Verdana" w:cs="Arial"/>
          <w:color w:val="000000" w:themeColor="text1"/>
          <w:sz w:val="20"/>
          <w:szCs w:val="20"/>
          <w:lang w:val="sl-SI"/>
        </w:rPr>
        <w:t xml:space="preserve"> </w:t>
      </w:r>
      <w:hyperlink r:id="rId8" w:history="1">
        <w:r w:rsidRPr="0067044C">
          <w:rPr>
            <w:rStyle w:val="Hiperpovezava"/>
            <w:rFonts w:ascii="Verdana" w:hAnsi="Verdana" w:cs="Arial"/>
            <w:sz w:val="20"/>
            <w:szCs w:val="20"/>
            <w:lang w:val="sl-SI"/>
          </w:rPr>
          <w:t>www.nova-gorica.si</w:t>
        </w:r>
      </w:hyperlink>
      <w:r w:rsidRPr="0067044C">
        <w:rPr>
          <w:rFonts w:ascii="Verdana" w:hAnsi="Verdana" w:cs="Arial"/>
          <w:color w:val="000000" w:themeColor="text1"/>
          <w:sz w:val="20"/>
          <w:szCs w:val="20"/>
          <w:lang w:val="sl-SI"/>
        </w:rPr>
        <w:t>.</w:t>
      </w:r>
    </w:p>
    <w:p w14:paraId="5F09A391" w14:textId="77777777" w:rsidR="0067044C" w:rsidRPr="0067044C" w:rsidRDefault="0067044C" w:rsidP="0067044C">
      <w:pPr>
        <w:jc w:val="both"/>
        <w:rPr>
          <w:rFonts w:ascii="Verdana" w:hAnsi="Verdana" w:cs="Arial"/>
          <w:sz w:val="20"/>
          <w:szCs w:val="20"/>
        </w:rPr>
      </w:pPr>
    </w:p>
    <w:bookmarkEnd w:id="1"/>
    <w:p w14:paraId="0FD4CF44" w14:textId="77777777" w:rsidR="0067044C" w:rsidRPr="0067044C" w:rsidRDefault="0067044C" w:rsidP="0067044C">
      <w:pPr>
        <w:jc w:val="both"/>
        <w:rPr>
          <w:rFonts w:ascii="Verdana" w:hAnsi="Verdana" w:cs="Arial"/>
          <w:sz w:val="20"/>
          <w:szCs w:val="20"/>
        </w:rPr>
      </w:pPr>
      <w:r w:rsidRPr="0067044C">
        <w:rPr>
          <w:rFonts w:ascii="Verdana" w:hAnsi="Verdana" w:cs="Calibri Light"/>
          <w:i/>
          <w:iCs/>
          <w:color w:val="000000"/>
          <w:sz w:val="20"/>
          <w:szCs w:val="20"/>
        </w:rPr>
        <w:t>S prijavo na javni natečaj prijavitelji soglašajo, da se za namen izvedbe postopka javnega natečaja obdelujejo osebni podatki, ki jih prijavitelji vpišejo v prijavnico. Zbrani osebni podatki bodo uporabljeni izključno za potrebe pričujočega javnega natečaja in bodo ves čas varovani v skladu z Uredbo (EU) 2016/679 Evropskega parlamenta in sveta z dne 27. aprila 2016 o varstvu posameznikov pri obdelavi osebnih podatkov in o prostem pretoku takih podatkov ter o razveljavitvi Direktive 95/46/ES (GDPR), z Zakonom o varstvu osebnih podatkov (ZVOP-2), ter drugimi predpisi, ki urejajo to področje. Pravico imate, da od upravljavca kadarkoli zahtevate popravek, dopolnitev, izbris, omejitev obdelave, prenosa vaših osebnih podatkov in ugovora, vključno s pravico do pritožbe pri Informacijskem pooblaščencu, Dunajska cesta 22, 1000 Ljubljana.</w:t>
      </w:r>
    </w:p>
    <w:p w14:paraId="7C107C50" w14:textId="77777777" w:rsidR="004B1D31" w:rsidRPr="0067044C" w:rsidRDefault="004B1D31">
      <w:pPr>
        <w:rPr>
          <w:rFonts w:ascii="Verdana" w:hAnsi="Verdana"/>
          <w:sz w:val="20"/>
          <w:szCs w:val="20"/>
        </w:rPr>
      </w:pPr>
    </w:p>
    <w:sectPr w:rsidR="004B1D31" w:rsidRPr="0067044C" w:rsidSect="0067044C">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21C"/>
    <w:multiLevelType w:val="hybridMultilevel"/>
    <w:tmpl w:val="8D3CA61A"/>
    <w:lvl w:ilvl="0" w:tplc="7A2C6BA8">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1B055BF"/>
    <w:multiLevelType w:val="hybridMultilevel"/>
    <w:tmpl w:val="9674631A"/>
    <w:lvl w:ilvl="0" w:tplc="1C6007E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76446F83"/>
    <w:multiLevelType w:val="hybridMultilevel"/>
    <w:tmpl w:val="FDF8DE4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89822686">
    <w:abstractNumId w:val="2"/>
  </w:num>
  <w:num w:numId="2" w16cid:durableId="1964995962">
    <w:abstractNumId w:val="1"/>
  </w:num>
  <w:num w:numId="3" w16cid:durableId="1572540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44C"/>
    <w:rsid w:val="00031FED"/>
    <w:rsid w:val="000A6847"/>
    <w:rsid w:val="003B25B0"/>
    <w:rsid w:val="004A17FD"/>
    <w:rsid w:val="004B1D31"/>
    <w:rsid w:val="005535F2"/>
    <w:rsid w:val="00556E17"/>
    <w:rsid w:val="005573DD"/>
    <w:rsid w:val="005B608A"/>
    <w:rsid w:val="005D33A3"/>
    <w:rsid w:val="00606C31"/>
    <w:rsid w:val="00653E37"/>
    <w:rsid w:val="0067044C"/>
    <w:rsid w:val="006C3547"/>
    <w:rsid w:val="0076731D"/>
    <w:rsid w:val="00792BCB"/>
    <w:rsid w:val="007F0636"/>
    <w:rsid w:val="00930DCA"/>
    <w:rsid w:val="00BA2EBD"/>
    <w:rsid w:val="00D33464"/>
    <w:rsid w:val="00E713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345C"/>
  <w15:chartTrackingRefBased/>
  <w15:docId w15:val="{5C754E94-4BD7-4C07-92FF-D0475DF0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7044C"/>
    <w:rPr>
      <w:kern w:val="0"/>
      <w14:ligatures w14:val="none"/>
    </w:rPr>
  </w:style>
  <w:style w:type="paragraph" w:styleId="Naslov1">
    <w:name w:val="heading 1"/>
    <w:basedOn w:val="Navaden"/>
    <w:next w:val="Navaden"/>
    <w:link w:val="Naslov1Znak"/>
    <w:uiPriority w:val="9"/>
    <w:qFormat/>
    <w:rsid w:val="00670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670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67044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7044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67044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7044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7044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7044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7044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7044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67044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67044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7044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67044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7044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7044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7044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7044C"/>
    <w:rPr>
      <w:rFonts w:eastAsiaTheme="majorEastAsia" w:cstheme="majorBidi"/>
      <w:color w:val="272727" w:themeColor="text1" w:themeTint="D8"/>
    </w:rPr>
  </w:style>
  <w:style w:type="paragraph" w:styleId="Naslov">
    <w:name w:val="Title"/>
    <w:basedOn w:val="Navaden"/>
    <w:next w:val="Navaden"/>
    <w:link w:val="NaslovZnak"/>
    <w:uiPriority w:val="10"/>
    <w:qFormat/>
    <w:rsid w:val="00670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7044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7044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7044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7044C"/>
    <w:pPr>
      <w:spacing w:before="160"/>
      <w:jc w:val="center"/>
    </w:pPr>
    <w:rPr>
      <w:i/>
      <w:iCs/>
      <w:color w:val="404040" w:themeColor="text1" w:themeTint="BF"/>
    </w:rPr>
  </w:style>
  <w:style w:type="character" w:customStyle="1" w:styleId="CitatZnak">
    <w:name w:val="Citat Znak"/>
    <w:basedOn w:val="Privzetapisavaodstavka"/>
    <w:link w:val="Citat"/>
    <w:uiPriority w:val="29"/>
    <w:rsid w:val="0067044C"/>
    <w:rPr>
      <w:i/>
      <w:iCs/>
      <w:color w:val="404040" w:themeColor="text1" w:themeTint="BF"/>
    </w:rPr>
  </w:style>
  <w:style w:type="paragraph" w:styleId="Odstavekseznama">
    <w:name w:val="List Paragraph"/>
    <w:basedOn w:val="Navaden"/>
    <w:uiPriority w:val="34"/>
    <w:qFormat/>
    <w:rsid w:val="0067044C"/>
    <w:pPr>
      <w:ind w:left="720"/>
      <w:contextualSpacing/>
    </w:pPr>
  </w:style>
  <w:style w:type="character" w:styleId="Intenzivenpoudarek">
    <w:name w:val="Intense Emphasis"/>
    <w:basedOn w:val="Privzetapisavaodstavka"/>
    <w:uiPriority w:val="21"/>
    <w:qFormat/>
    <w:rsid w:val="0067044C"/>
    <w:rPr>
      <w:i/>
      <w:iCs/>
      <w:color w:val="0F4761" w:themeColor="accent1" w:themeShade="BF"/>
    </w:rPr>
  </w:style>
  <w:style w:type="paragraph" w:styleId="Intenzivencitat">
    <w:name w:val="Intense Quote"/>
    <w:basedOn w:val="Navaden"/>
    <w:next w:val="Navaden"/>
    <w:link w:val="IntenzivencitatZnak"/>
    <w:uiPriority w:val="30"/>
    <w:qFormat/>
    <w:rsid w:val="00670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7044C"/>
    <w:rPr>
      <w:i/>
      <w:iCs/>
      <w:color w:val="0F4761" w:themeColor="accent1" w:themeShade="BF"/>
    </w:rPr>
  </w:style>
  <w:style w:type="character" w:styleId="Intenzivensklic">
    <w:name w:val="Intense Reference"/>
    <w:basedOn w:val="Privzetapisavaodstavka"/>
    <w:uiPriority w:val="32"/>
    <w:qFormat/>
    <w:rsid w:val="0067044C"/>
    <w:rPr>
      <w:b/>
      <w:bCs/>
      <w:smallCaps/>
      <w:color w:val="0F4761" w:themeColor="accent1" w:themeShade="BF"/>
      <w:spacing w:val="5"/>
    </w:rPr>
  </w:style>
  <w:style w:type="character" w:styleId="Hiperpovezava">
    <w:name w:val="Hyperlink"/>
    <w:basedOn w:val="Privzetapisavaodstavka"/>
    <w:uiPriority w:val="99"/>
    <w:unhideWhenUsed/>
    <w:rsid w:val="0067044C"/>
    <w:rPr>
      <w:color w:val="467886" w:themeColor="hyperlink"/>
      <w:u w:val="single"/>
    </w:rPr>
  </w:style>
  <w:style w:type="paragraph" w:customStyle="1" w:styleId="Default">
    <w:name w:val="Default"/>
    <w:rsid w:val="0067044C"/>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table" w:styleId="Tabelamrea">
    <w:name w:val="Table Grid"/>
    <w:basedOn w:val="Navadnatabela"/>
    <w:uiPriority w:val="39"/>
    <w:rsid w:val="006704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D33464"/>
    <w:rPr>
      <w:sz w:val="16"/>
      <w:szCs w:val="16"/>
    </w:rPr>
  </w:style>
  <w:style w:type="paragraph" w:styleId="Pripombabesedilo">
    <w:name w:val="annotation text"/>
    <w:basedOn w:val="Navaden"/>
    <w:link w:val="PripombabesediloZnak"/>
    <w:uiPriority w:val="99"/>
    <w:unhideWhenUsed/>
    <w:rsid w:val="00D33464"/>
    <w:pPr>
      <w:spacing w:line="240" w:lineRule="auto"/>
    </w:pPr>
    <w:rPr>
      <w:sz w:val="20"/>
      <w:szCs w:val="20"/>
    </w:rPr>
  </w:style>
  <w:style w:type="character" w:customStyle="1" w:styleId="PripombabesediloZnak">
    <w:name w:val="Pripomba – besedilo Znak"/>
    <w:basedOn w:val="Privzetapisavaodstavka"/>
    <w:link w:val="Pripombabesedilo"/>
    <w:uiPriority w:val="99"/>
    <w:rsid w:val="00D33464"/>
    <w:rPr>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D33464"/>
    <w:rPr>
      <w:b/>
      <w:bCs/>
    </w:rPr>
  </w:style>
  <w:style w:type="character" w:customStyle="1" w:styleId="ZadevapripombeZnak">
    <w:name w:val="Zadeva pripombe Znak"/>
    <w:basedOn w:val="PripombabesediloZnak"/>
    <w:link w:val="Zadevapripombe"/>
    <w:uiPriority w:val="99"/>
    <w:semiHidden/>
    <w:rsid w:val="00D3346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a-gorica.si" TargetMode="External"/><Relationship Id="rId3" Type="http://schemas.openxmlformats.org/officeDocument/2006/relationships/settings" Target="settings.xml"/><Relationship Id="rId7" Type="http://schemas.openxmlformats.org/officeDocument/2006/relationships/hyperlink" Target="http://www.god.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4791</Characters>
  <Application>Microsoft Office Word</Application>
  <DocSecurity>0</DocSecurity>
  <Lines>39</Lines>
  <Paragraphs>11</Paragraphs>
  <ScaleCrop>false</ScaleCrop>
  <Company>Mestna obcina Nova Gorica</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Bajec</dc:creator>
  <cp:keywords/>
  <dc:description/>
  <cp:lastModifiedBy>Petra Bajec</cp:lastModifiedBy>
  <cp:revision>2</cp:revision>
  <dcterms:created xsi:type="dcterms:W3CDTF">2025-11-04T15:27:00Z</dcterms:created>
  <dcterms:modified xsi:type="dcterms:W3CDTF">2025-11-04T15:27:00Z</dcterms:modified>
</cp:coreProperties>
</file>