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727313A" w:rsidR="0066085E" w:rsidRDefault="00BA4540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4D59460">
                <wp:simplePos x="0" y="0"/>
                <wp:positionH relativeFrom="column">
                  <wp:posOffset>4867910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50" y="21159"/>
                    <wp:lineTo x="21150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0D88E52" w:rsidR="00445A64" w:rsidRPr="000E5815" w:rsidRDefault="00BA454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3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" stroked="f">
                <v:textbox>
                  <w:txbxContent>
                    <w:p w14:paraId="79C32D9A" w14:textId="30D88E52" w:rsidR="00445A64" w:rsidRPr="000E5815" w:rsidRDefault="00BA454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277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BF141E9">
                <wp:simplePos x="0" y="0"/>
                <wp:positionH relativeFrom="page">
                  <wp:posOffset>5715000</wp:posOffset>
                </wp:positionH>
                <wp:positionV relativeFrom="page">
                  <wp:posOffset>1082040</wp:posOffset>
                </wp:positionV>
                <wp:extent cx="10287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9FB12" id="Pravokotnik 18" o:spid="_x0000_s1026" alt="&quot;&quot;" style="position:absolute;margin-left:450pt;margin-top:85.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1925594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4E6E87" w:rsidRPr="004E6E87">
        <w:rPr>
          <w:rStyle w:val="ZvezaZnak"/>
          <w:bCs/>
          <w:sz w:val="20"/>
          <w:u w:val="none"/>
        </w:rPr>
        <w:t>3500-0005/2025-31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>Nova Gorica</w:t>
      </w:r>
      <w:r w:rsidRPr="00BA4540">
        <w:t xml:space="preserve">, dne </w:t>
      </w:r>
      <w:r w:rsidR="00905FF8">
        <w:t>8</w:t>
      </w:r>
      <w:r w:rsidRPr="00BA4540">
        <w:t xml:space="preserve">. </w:t>
      </w:r>
      <w:r w:rsidR="006B500F" w:rsidRPr="00BA4540">
        <w:t>decembr</w:t>
      </w:r>
      <w:r w:rsidR="00905FF8">
        <w:t>a</w:t>
      </w:r>
      <w:r w:rsidRPr="00BA4540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F292D98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905FF8">
        <w:t xml:space="preserve">Predlog </w:t>
      </w:r>
      <w:r w:rsidR="008A260E">
        <w:rPr>
          <w:rStyle w:val="gradivoZnak"/>
          <w:rFonts w:eastAsiaTheme="majorEastAsia"/>
        </w:rPr>
        <w:t>Sklep</w:t>
      </w:r>
      <w:r w:rsidR="00905FF8">
        <w:rPr>
          <w:rStyle w:val="gradivoZnak"/>
          <w:rFonts w:eastAsiaTheme="majorEastAsia"/>
        </w:rPr>
        <w:t>a</w:t>
      </w:r>
      <w:r w:rsidR="008A260E">
        <w:rPr>
          <w:rStyle w:val="gradivoZnak"/>
          <w:rFonts w:eastAsiaTheme="majorEastAsia"/>
        </w:rPr>
        <w:t xml:space="preserve"> o tehnični posodobitvi Občinskega prostorskega načrta Mestne občine Nova </w:t>
      </w:r>
      <w:r w:rsidR="00872909">
        <w:rPr>
          <w:rStyle w:val="gradivoZnak"/>
          <w:rFonts w:eastAsiaTheme="majorEastAsia"/>
        </w:rPr>
        <w:t>Gorica</w:t>
      </w:r>
    </w:p>
    <w:p w14:paraId="4EB48263" w14:textId="0452C5F2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9568DD">
        <w:rPr>
          <w:rStyle w:val="gradivoZnak"/>
        </w:rPr>
        <w:t>Služba</w:t>
      </w:r>
      <w:r w:rsidR="008631C4">
        <w:rPr>
          <w:rStyle w:val="gradivoZnak"/>
        </w:rPr>
        <w:t xml:space="preserve"> za okolje </w:t>
      </w:r>
      <w:r w:rsidR="009568DD">
        <w:rPr>
          <w:rStyle w:val="gradivoZnak"/>
        </w:rPr>
        <w:t xml:space="preserve">in </w:t>
      </w:r>
      <w:r w:rsidR="008631C4">
        <w:rPr>
          <w:rStyle w:val="gradivoZnak"/>
        </w:rPr>
        <w:t xml:space="preserve">prostor </w:t>
      </w:r>
    </w:p>
    <w:p w14:paraId="2589E91B" w14:textId="505AE655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72909">
        <w:t>LOCUS d.o.o.</w:t>
      </w:r>
    </w:p>
    <w:p w14:paraId="11F58982" w14:textId="7E912A69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696009">
        <w:t>Irena Balantič</w:t>
      </w:r>
      <w:r w:rsidR="00500E47">
        <w:t>, višja svetovalka za okolje in prostor</w:t>
      </w:r>
    </w:p>
    <w:p w14:paraId="75A8D632" w14:textId="7075C255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500E47">
        <w:rPr>
          <w:b/>
          <w:bCs w:val="0"/>
        </w:rPr>
        <w:t>TELO</w:t>
      </w:r>
      <w:r>
        <w:t xml:space="preserve">: </w:t>
      </w:r>
      <w:r>
        <w:tab/>
      </w:r>
      <w:r w:rsidR="00696009">
        <w:t xml:space="preserve"> </w:t>
      </w:r>
      <w:r w:rsidR="00500E47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7498FDF2" w14:textId="69895502" w:rsidR="000B0305" w:rsidRDefault="00FB7287" w:rsidP="00500E47">
      <w:pPr>
        <w:jc w:val="left"/>
      </w:pPr>
      <w:r w:rsidRPr="0008026B">
        <w:t xml:space="preserve">Mestni svet Mestne občine Nova Gorica sprejme Sklep o </w:t>
      </w:r>
      <w:r w:rsidR="000B0305">
        <w:t>tehnični posodobitvi Občinskega prostorskega načrta Mestne občine Nova Gorica</w:t>
      </w:r>
      <w:r w:rsidR="00641183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F71DA73" w:rsidR="00FB7287" w:rsidRPr="00E639CC" w:rsidRDefault="00500E47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1C622A9D" w14:textId="77777777" w:rsidR="00EF71F7" w:rsidRDefault="00EF71F7" w:rsidP="00774DD1">
      <w:pPr>
        <w:pStyle w:val="gradivo"/>
      </w:pPr>
    </w:p>
    <w:p w14:paraId="1C6841A1" w14:textId="3400C3BE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6010AFF9" w:rsidR="00774DD1" w:rsidRDefault="0031431D" w:rsidP="00774DD1">
      <w:pPr>
        <w:pStyle w:val="gradivo"/>
        <w:numPr>
          <w:ilvl w:val="0"/>
          <w:numId w:val="10"/>
        </w:numPr>
      </w:pPr>
      <w:r>
        <w:t>P</w:t>
      </w:r>
      <w:r w:rsidR="0066085E" w:rsidRPr="00774DD1">
        <w:t>redlog sklepa</w:t>
      </w:r>
      <w:r w:rsidR="00386692">
        <w:t xml:space="preserve"> z obrazložitvijo</w:t>
      </w:r>
    </w:p>
    <w:p w14:paraId="0A5B3C3C" w14:textId="119EE367" w:rsidR="00D8326F" w:rsidRDefault="0031431D" w:rsidP="007D48AB">
      <w:pPr>
        <w:pStyle w:val="gradivo"/>
        <w:numPr>
          <w:ilvl w:val="0"/>
          <w:numId w:val="10"/>
        </w:numPr>
      </w:pPr>
      <w:r>
        <w:t>Stališča do pripomb podanih v času javne razgr</w:t>
      </w:r>
      <w:r w:rsidR="002600C7">
        <w:t>n</w:t>
      </w:r>
      <w:r>
        <w:t>itve</w:t>
      </w:r>
    </w:p>
    <w:p w14:paraId="512C8BB5" w14:textId="7C682E65" w:rsidR="00D8326F" w:rsidRPr="00BE06A7" w:rsidRDefault="00D8326F" w:rsidP="00D8326F">
      <w:pPr>
        <w:pStyle w:val="Odstavekseznama"/>
        <w:numPr>
          <w:ilvl w:val="0"/>
          <w:numId w:val="10"/>
        </w:numPr>
      </w:pPr>
      <w:r w:rsidRPr="00BE06A7">
        <w:t>Pregledna karta občine z razdelitvijo na liste (M 1:50.000)</w:t>
      </w:r>
    </w:p>
    <w:p w14:paraId="34F884E2" w14:textId="44FA673B" w:rsidR="00D8326F" w:rsidRPr="00BE06A7" w:rsidRDefault="00D8326F" w:rsidP="00D8326F">
      <w:pPr>
        <w:pStyle w:val="Odstavekseznama"/>
        <w:numPr>
          <w:ilvl w:val="0"/>
          <w:numId w:val="10"/>
        </w:numPr>
      </w:pPr>
      <w:r w:rsidRPr="00BE06A7">
        <w:t>Pregledna karta občine s prikazom osnovne namenske rabe in ključnih omrežij gospodarske javne infrastrukture (M 1:50.000)</w:t>
      </w:r>
    </w:p>
    <w:p w14:paraId="3D0E9BAF" w14:textId="32026508" w:rsidR="00D8326F" w:rsidRPr="00BE06A7" w:rsidRDefault="00D8326F" w:rsidP="00D8326F">
      <w:pPr>
        <w:pStyle w:val="Odstavekseznama"/>
        <w:numPr>
          <w:ilvl w:val="0"/>
          <w:numId w:val="10"/>
        </w:numPr>
      </w:pPr>
      <w:r w:rsidRPr="00BE06A7">
        <w:t xml:space="preserve">Prikaz območij enot urejanja prostora, osnovne oziroma podrobnejše namenske rabe prostora in prostorskih izvedbenih pogojev (M 1:5.000) </w:t>
      </w:r>
    </w:p>
    <w:p w14:paraId="18184546" w14:textId="5B4FF991" w:rsidR="001C491B" w:rsidRDefault="00D8326F" w:rsidP="00EF71F7">
      <w:pPr>
        <w:pStyle w:val="Odstavekseznama"/>
        <w:numPr>
          <w:ilvl w:val="0"/>
          <w:numId w:val="10"/>
        </w:numPr>
      </w:pPr>
      <w:r w:rsidRPr="00BE06A7">
        <w:t>Prikaz območij enot urejanja prostora in prikaz javne gospodarske infrastrukture. (M 1:5.000)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6413CD89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54048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73D90EF3" w14:textId="77777777" w:rsidR="006E4CCD" w:rsidRDefault="006E4CCD" w:rsidP="006E4CCD">
      <w:pPr>
        <w:pStyle w:val="Default"/>
      </w:pPr>
    </w:p>
    <w:p w14:paraId="66A73987" w14:textId="0CA1DE4C" w:rsidR="006E4CCD" w:rsidRDefault="006E4CCD" w:rsidP="00776009">
      <w:pPr>
        <w:jc w:val="left"/>
      </w:pPr>
      <w:r w:rsidRPr="006E4CCD">
        <w:t xml:space="preserve">Na podlagi 141. in 142. člena Zakona o urejanju prostora (Uradni list RS, št. 199/21, 18/23 – ZDU-1O, 78/23 – ZUNPEOVE, 95/23 – ZIUOPZP, 23/24, 109/24, 25/25 – odl. US in 75/25) ter 19. člena Statuta Mestne občine Nova Gorica (Uradni list Republike Slovenije, št. 13/12, 18/17, 18/19) je mestni svet Mestne občine Nova Gorica na </w:t>
      </w:r>
      <w:r w:rsidRPr="00090D2C">
        <w:t>seji</w:t>
      </w:r>
      <w:r w:rsidR="00090D2C" w:rsidRPr="00090D2C">
        <w:t xml:space="preserve"> </w:t>
      </w:r>
      <w:r w:rsidRPr="00090D2C">
        <w:t xml:space="preserve">dne </w:t>
      </w:r>
      <w:r w:rsidR="00321519">
        <w:t>_____________________</w:t>
      </w:r>
      <w:r w:rsidRPr="006E4CCD">
        <w:t xml:space="preserve"> sprejel naslednji</w:t>
      </w:r>
    </w:p>
    <w:p w14:paraId="2E81D1B7" w14:textId="77777777" w:rsidR="00AE720F" w:rsidRPr="00AE720F" w:rsidRDefault="00AE720F" w:rsidP="00396C37">
      <w:pPr>
        <w:pStyle w:val="Naslov1"/>
        <w:spacing w:after="0"/>
        <w:jc w:val="center"/>
      </w:pPr>
      <w:r>
        <w:t xml:space="preserve"> </w:t>
      </w:r>
      <w:r w:rsidRPr="00AE720F">
        <w:t xml:space="preserve">S K L E P </w:t>
      </w:r>
    </w:p>
    <w:p w14:paraId="4344814E" w14:textId="73BB7026" w:rsidR="00AE720F" w:rsidRPr="00AE720F" w:rsidRDefault="00AE720F" w:rsidP="00396C37">
      <w:pPr>
        <w:pStyle w:val="Naslov1"/>
        <w:spacing w:before="0"/>
        <w:jc w:val="center"/>
      </w:pPr>
      <w:r w:rsidRPr="00AE720F">
        <w:t>o tehnični posodobitvi Občinskega prostorskega načrta Mestne občine Nova Gorica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33AA76D7" w14:textId="77777777" w:rsidR="004508C9" w:rsidRDefault="00F63CB9" w:rsidP="00776009">
      <w:pPr>
        <w:jc w:val="left"/>
      </w:pPr>
      <w:r w:rsidRPr="007A4852">
        <w:t>S tem sklepom se sprejme tehničn</w:t>
      </w:r>
      <w:r w:rsidR="006E7FB6">
        <w:t>a</w:t>
      </w:r>
      <w:r w:rsidRPr="007A4852">
        <w:t xml:space="preserve"> posodob</w:t>
      </w:r>
      <w:r w:rsidR="006E7FB6">
        <w:t>itev prikaza namenske rabe prostora iz grafičnega dela</w:t>
      </w:r>
      <w:r w:rsidRPr="007A4852">
        <w:t xml:space="preserve"> Občinsk</w:t>
      </w:r>
      <w:r w:rsidR="004F61D0">
        <w:t>ega</w:t>
      </w:r>
      <w:r w:rsidRPr="007A4852">
        <w:t xml:space="preserve"> prostorsk</w:t>
      </w:r>
      <w:r w:rsidR="004F61D0">
        <w:t>ega</w:t>
      </w:r>
      <w:r w:rsidRPr="007A4852">
        <w:t xml:space="preserve"> načrt</w:t>
      </w:r>
      <w:r w:rsidR="004F61D0">
        <w:t>a</w:t>
      </w:r>
      <w:r w:rsidRPr="007A4852">
        <w:t xml:space="preserve"> Mestne občine Nova Gorica</w:t>
      </w:r>
      <w:r w:rsidR="006F1CF9">
        <w:t xml:space="preserve"> na celotnem območju občine Nova Gorica.</w:t>
      </w:r>
      <w:r w:rsidR="00FE6DF2">
        <w:t xml:space="preserve"> </w:t>
      </w:r>
    </w:p>
    <w:p w14:paraId="3E789C56" w14:textId="1C6261D5" w:rsidR="007A4852" w:rsidRDefault="004508C9" w:rsidP="00776009">
      <w:pPr>
        <w:jc w:val="left"/>
      </w:pPr>
      <w:r>
        <w:t>I</w:t>
      </w:r>
      <w:r w:rsidR="0087065B">
        <w:t>dentifikacijsk</w:t>
      </w:r>
      <w:r>
        <w:t>a</w:t>
      </w:r>
      <w:r w:rsidR="0087065B">
        <w:t xml:space="preserve"> številk</w:t>
      </w:r>
      <w:r>
        <w:t>a</w:t>
      </w:r>
      <w:r w:rsidR="0087065B">
        <w:t xml:space="preserve"> prostorskega akta v zbirki prostorskih aktov</w:t>
      </w:r>
      <w:r>
        <w:t>:</w:t>
      </w:r>
      <w:r w:rsidR="0087065B">
        <w:t xml:space="preserve"> 6557.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53EEC8D4" w14:textId="0BD8B3F0" w:rsidR="006F4023" w:rsidRPr="00352A82" w:rsidRDefault="006F4023" w:rsidP="00776009">
      <w:pPr>
        <w:jc w:val="left"/>
      </w:pPr>
      <w:r w:rsidRPr="006F4023">
        <w:t>S tehnično posodobitvijo se zagotavlja ažurnost grafičnega dela prostorskega izvedbenega načrta s katastrom nepremičnin. Tehnična uskladitev je izvedena na stanje parcel iz katastra nepremičnin z dne 19. 10. 2025.</w:t>
      </w:r>
    </w:p>
    <w:p w14:paraId="0B9C1826" w14:textId="441C8B31" w:rsidR="006F4023" w:rsidRDefault="006F4023" w:rsidP="006F4023">
      <w:pPr>
        <w:jc w:val="center"/>
      </w:pPr>
      <w:r>
        <w:t>3.</w:t>
      </w:r>
    </w:p>
    <w:p w14:paraId="42F5EED7" w14:textId="07885AC1" w:rsidR="00F65BF3" w:rsidRPr="00352A82" w:rsidRDefault="00F65BF3" w:rsidP="00776009">
      <w:pPr>
        <w:jc w:val="left"/>
      </w:pPr>
      <w:r w:rsidRPr="00F65BF3">
        <w:t>Tehnična posodobitev je izvedena za grafični del Občinskega prostorskega načrta Mestne občine Nova Gorica (Uradni list RS, št. 95/12, 112/13</w:t>
      </w:r>
      <w:r w:rsidR="007F5259">
        <w:t xml:space="preserve">  -</w:t>
      </w:r>
      <w:r w:rsidR="00776009">
        <w:t xml:space="preserve"> </w:t>
      </w:r>
      <w:r w:rsidR="007F5259">
        <w:t>popr.</w:t>
      </w:r>
      <w:r w:rsidRPr="00F65BF3">
        <w:t xml:space="preserve">, 10/14, 35/14, 72/14, </w:t>
      </w:r>
      <w:r w:rsidR="007F5259">
        <w:t xml:space="preserve">72/14- popr., 2/15  - popr., </w:t>
      </w:r>
      <w:r w:rsidRPr="00F65BF3">
        <w:t>25/15, 26/15</w:t>
      </w:r>
      <w:r w:rsidR="007F5259">
        <w:t xml:space="preserve"> – popr.</w:t>
      </w:r>
      <w:r w:rsidRPr="00F65BF3">
        <w:t>, 40/16, 73/16, 63/17, 6/18, 13/18</w:t>
      </w:r>
      <w:r w:rsidR="006F7D6F">
        <w:t xml:space="preserve"> – uradno prečiščeno besedilo</w:t>
      </w:r>
      <w:r w:rsidRPr="00F65BF3">
        <w:t xml:space="preserve">, 30/18, </w:t>
      </w:r>
      <w:r w:rsidR="007F5259">
        <w:t>3</w:t>
      </w:r>
      <w:r w:rsidRPr="00F65BF3">
        <w:t>1/20</w:t>
      </w:r>
      <w:r w:rsidR="00172F91">
        <w:t xml:space="preserve">; </w:t>
      </w:r>
      <w:r w:rsidRPr="00F65BF3">
        <w:t>v nadaljevanju</w:t>
      </w:r>
      <w:r w:rsidR="00172F91">
        <w:t>:</w:t>
      </w:r>
      <w:r w:rsidRPr="00F65BF3">
        <w:t xml:space="preserve"> OPN), ki se v zbirki prostorskih aktov vodi pod identifikacijskimi številkami 311, 41, 440, 487, 597, 804, 837, 842, 857 in 1567.</w:t>
      </w:r>
    </w:p>
    <w:p w14:paraId="42E4C13E" w14:textId="7A1FEB7B" w:rsidR="00BE06A7" w:rsidRDefault="00F65BF3" w:rsidP="00BE06A7">
      <w:pPr>
        <w:jc w:val="center"/>
      </w:pPr>
      <w:r>
        <w:t>4.</w:t>
      </w:r>
    </w:p>
    <w:p w14:paraId="52315390" w14:textId="32723665" w:rsidR="00BE06A7" w:rsidRDefault="00BE234C" w:rsidP="00776009">
      <w:pPr>
        <w:spacing w:after="0"/>
        <w:jc w:val="left"/>
      </w:pPr>
      <w:r w:rsidRPr="0098442C">
        <w:t>Vsi g</w:t>
      </w:r>
      <w:r w:rsidR="00BE06A7" w:rsidRPr="0098442C">
        <w:t>rafični prikazi izvedbenega dela OPN</w:t>
      </w:r>
      <w:r w:rsidRPr="0098442C">
        <w:t xml:space="preserve"> se nadomestijo z naslednjimi grafičnimi prikazi</w:t>
      </w:r>
      <w:r w:rsidR="00BE06A7" w:rsidRPr="0098442C">
        <w:t>:</w:t>
      </w:r>
    </w:p>
    <w:p w14:paraId="495F9334" w14:textId="11B81460" w:rsidR="00BE06A7" w:rsidRPr="00BE06A7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t xml:space="preserve">Pregledna karta občine z razdelitvijo na liste (M 1:50.000), </w:t>
      </w:r>
    </w:p>
    <w:p w14:paraId="729F0E33" w14:textId="332CA10B" w:rsidR="00BE06A7" w:rsidRPr="00BE06A7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t xml:space="preserve">Pregledna karta občine s prikazom osnovne namenske rabe in ključnih omrežij gospodarske javne infrastrukture (M 1:50.000), </w:t>
      </w:r>
    </w:p>
    <w:p w14:paraId="5E6B9827" w14:textId="77777777" w:rsidR="009070A0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lastRenderedPageBreak/>
        <w:t xml:space="preserve">Prikaz območij enot urejanja prostora, osnovne oziroma podrobnejše namenske rabe prostora in prostorskih izvedbenih pogojev (M 1:5.000) ter </w:t>
      </w:r>
    </w:p>
    <w:p w14:paraId="6280BBF7" w14:textId="6DF801D7" w:rsidR="004164F0" w:rsidRPr="00BE06A7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t xml:space="preserve">Prikaz območij enot urejanja prostora in prikaz javne gospodarske infrastrukture. (M 1:5.000). </w:t>
      </w:r>
    </w:p>
    <w:p w14:paraId="5D6DEAC5" w14:textId="03D1122F" w:rsidR="00EB6079" w:rsidRDefault="00EB6079" w:rsidP="00EB6079">
      <w:pPr>
        <w:jc w:val="center"/>
      </w:pPr>
      <w:r>
        <w:t>5.</w:t>
      </w:r>
    </w:p>
    <w:p w14:paraId="504C9884" w14:textId="42776748" w:rsidR="00655E9F" w:rsidRDefault="00655E9F" w:rsidP="00776009">
      <w:pPr>
        <w:jc w:val="left"/>
      </w:pPr>
      <w:r w:rsidRPr="00655E9F">
        <w:t xml:space="preserve">Ta sklep se objavi v Uradnem listu RS in začne veljati </w:t>
      </w:r>
      <w:r w:rsidR="008949E6">
        <w:t>1. januarja 2026</w:t>
      </w:r>
      <w:r w:rsidRPr="00655E9F">
        <w:t>.</w:t>
      </w:r>
    </w:p>
    <w:p w14:paraId="1BBCBA27" w14:textId="122D07C3" w:rsidR="002432E3" w:rsidRPr="00655E9F" w:rsidRDefault="002432E3" w:rsidP="00776009">
      <w:pPr>
        <w:rPr>
          <w:bCs w:val="0"/>
        </w:rPr>
      </w:pPr>
      <w:r>
        <w:t xml:space="preserve">Ta sklep se objavi tudi v prostorskem informacijskem sistemu. </w:t>
      </w:r>
    </w:p>
    <w:p w14:paraId="7F35A8C6" w14:textId="3A12267C" w:rsidR="000E5815" w:rsidRDefault="000E5815" w:rsidP="009060A3">
      <w:pPr>
        <w:ind w:left="0"/>
        <w:jc w:val="left"/>
        <w:rPr>
          <w:rStyle w:val="ZvezaZnak"/>
          <w:sz w:val="20"/>
          <w:u w:val="none"/>
        </w:rPr>
      </w:pPr>
    </w:p>
    <w:p w14:paraId="7D88DB35" w14:textId="7393C3E5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Pr="00776009">
        <w:t xml:space="preserve">dne </w:t>
      </w:r>
    </w:p>
    <w:p w14:paraId="2AA2FCC7" w14:textId="6E241C97" w:rsidR="00731380" w:rsidRDefault="00731380" w:rsidP="00352A82"/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06249A6" w:rsidR="009060A3" w:rsidRPr="00E639CC" w:rsidRDefault="00776009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7D48AB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48A6A97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3D27F0C8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65B03913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65B03913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A42B0">
        <w:t>Oddelek za okolje, prostor in javno infrastrukturo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31D67305" w14:textId="73DAE826" w:rsidR="00731380" w:rsidRPr="0066085E" w:rsidRDefault="00196994" w:rsidP="00731380">
      <w:pPr>
        <w:pStyle w:val="Naslov1"/>
      </w:pPr>
      <w:r>
        <w:t xml:space="preserve">Obrazložitev </w:t>
      </w:r>
    </w:p>
    <w:p w14:paraId="4F047917" w14:textId="536059B0" w:rsidR="00E70DD6" w:rsidRDefault="00E70DD6" w:rsidP="00776009">
      <w:pPr>
        <w:jc w:val="left"/>
      </w:pPr>
      <w:r>
        <w:t>Pravna podlaga za sprejem predlaganega sklepa</w:t>
      </w:r>
      <w:r w:rsidR="003A494A">
        <w:t xml:space="preserve"> je Zakon o urejanju prostora </w:t>
      </w:r>
      <w:r w:rsidR="00612B00">
        <w:t>(</w:t>
      </w:r>
      <w:r w:rsidR="00C04AAD" w:rsidRPr="00C04AAD">
        <w:t>Uradni list RS,</w:t>
      </w:r>
      <w:r w:rsidR="00C04AAD" w:rsidRPr="00D30496">
        <w:rPr>
          <w:sz w:val="18"/>
          <w:szCs w:val="18"/>
        </w:rPr>
        <w:t> </w:t>
      </w:r>
      <w:r w:rsidR="00C04AAD" w:rsidRPr="00C04AAD">
        <w:t>št.</w:t>
      </w:r>
      <w:r w:rsidR="00C04AAD" w:rsidRPr="00D30496">
        <w:rPr>
          <w:sz w:val="18"/>
          <w:szCs w:val="18"/>
        </w:rPr>
        <w:t> </w:t>
      </w:r>
      <w:hyperlink r:id="rId17" w:tgtFrame="_blank" w:tooltip="Zakon o urejanju prostora (ZUreP-3)" w:history="1">
        <w:r w:rsidR="00C04AAD" w:rsidRPr="00C04AAD">
          <w:t>199/21</w:t>
        </w:r>
      </w:hyperlink>
      <w:r w:rsidR="00C04AAD" w:rsidRPr="00C04AAD">
        <w:t>,</w:t>
      </w:r>
      <w:r w:rsidR="00C04AAD" w:rsidRPr="00D30496">
        <w:rPr>
          <w:sz w:val="18"/>
          <w:szCs w:val="18"/>
        </w:rPr>
        <w:t> </w:t>
      </w:r>
      <w:hyperlink r:id="rId18" w:tgtFrame="_blank" w:tooltip="Zakon o spremembah in dopolnitvah Zakona o državni upravi (ZDU-1O)" w:history="1">
        <w:r w:rsidR="00C04AAD" w:rsidRPr="00C04AAD">
          <w:t>18/23</w:t>
        </w:r>
      </w:hyperlink>
      <w:r w:rsidR="00C04AAD" w:rsidRPr="00C04AAD">
        <w:t> – ZDU-</w:t>
      </w:r>
      <w:r w:rsidR="00151210" w:rsidRPr="00C04AAD">
        <w:t> </w:t>
      </w:r>
      <w:r w:rsidR="00C04AAD" w:rsidRPr="00C04AAD">
        <w:t>1O,</w:t>
      </w:r>
      <w:r w:rsidR="00C04AAD" w:rsidRPr="003A14F0">
        <w:rPr>
          <w:sz w:val="18"/>
          <w:szCs w:val="18"/>
        </w:rPr>
        <w:t> </w:t>
      </w:r>
      <w:hyperlink r:id="rId19" w:tgtFrame="_blank" w:tooltip="Zakon o uvajanju naprav za proizvodnjo električne energije iz obnovljivih virov energije (ZUNPEOVE)" w:history="1">
        <w:r w:rsidR="00C04AAD" w:rsidRPr="00C04AAD">
          <w:t>78/23</w:t>
        </w:r>
      </w:hyperlink>
      <w:r w:rsidR="00C04AAD" w:rsidRPr="003A14F0">
        <w:rPr>
          <w:sz w:val="18"/>
          <w:szCs w:val="18"/>
        </w:rPr>
        <w:t> –</w:t>
      </w:r>
      <w:r w:rsidR="00C04AAD" w:rsidRPr="00C04AAD">
        <w:t> ZUNPEOVE,</w:t>
      </w:r>
      <w:r w:rsidR="00C04AAD" w:rsidRPr="003A14F0">
        <w:rPr>
          <w:sz w:val="18"/>
          <w:szCs w:val="18"/>
        </w:rPr>
        <w:t> </w:t>
      </w:r>
      <w:hyperlink r:id="rId20" w:tgtFrame="_blank" w:tooltip="Zakon o interventnih ukrepih za odpravo posledic poplav in zemeljskih plazov iz avgusta 2023 (ZIUOPZP)" w:history="1">
        <w:r w:rsidR="00C04AAD" w:rsidRPr="00C04AAD">
          <w:t>95/23</w:t>
        </w:r>
      </w:hyperlink>
      <w:r w:rsidR="00C04AAD" w:rsidRPr="003A14F0">
        <w:rPr>
          <w:sz w:val="18"/>
          <w:szCs w:val="18"/>
        </w:rPr>
        <w:t> </w:t>
      </w:r>
      <w:r w:rsidR="00C04AAD" w:rsidRPr="00C04AAD">
        <w:t>–</w:t>
      </w:r>
      <w:r w:rsidR="00C04AAD" w:rsidRPr="003A14F0">
        <w:rPr>
          <w:sz w:val="18"/>
          <w:szCs w:val="18"/>
        </w:rPr>
        <w:t> </w:t>
      </w:r>
      <w:r w:rsidR="00C04AAD" w:rsidRPr="00C04AAD">
        <w:t>ZIUOPZP, </w:t>
      </w:r>
      <w:hyperlink r:id="rId21" w:tgtFrame="_blank" w:tooltip="Zakon o spremembah in dopolnitvi Zakona o urejanju prostora (ZUreP-3A)" w:history="1">
        <w:r w:rsidR="00C04AAD" w:rsidRPr="00C04AAD">
          <w:t>23/24</w:t>
        </w:r>
      </w:hyperlink>
      <w:r w:rsidR="00D30496">
        <w:t>,</w:t>
      </w:r>
      <w:hyperlink r:id="rId22" w:tgtFrame="_blank" w:tooltip="Zakon o spremembah in dopolnitvah Zakona o urejanju prostora (ZUreP-3B)" w:history="1">
        <w:r w:rsidR="00C04AAD" w:rsidRPr="00C04AAD">
          <w:t>109/24</w:t>
        </w:r>
      </w:hyperlink>
      <w:r w:rsidR="00C04AAD" w:rsidRPr="00C04AAD">
        <w:t>, </w:t>
      </w:r>
      <w:hyperlink r:id="rId23" w:tgtFrame="_blank" w:tooltip="Odločba o ugotovitvi, da so prvi, drugi in tretji odstavek 61. člena Zakona o urejanju prostora v neskladju z Ustavo" w:history="1">
        <w:r w:rsidR="00C04AAD" w:rsidRPr="00C04AAD">
          <w:t>25/25</w:t>
        </w:r>
      </w:hyperlink>
      <w:r w:rsidR="00C04AAD" w:rsidRPr="00C04AAD">
        <w:t> – odl. US in </w:t>
      </w:r>
      <w:hyperlink r:id="rId24" w:tgtFrame="_blank" w:tooltip="Zakon o spremembah in dopolnitvah Zakona o urejanju prostora (ZUreP-3C)" w:history="1">
        <w:r w:rsidR="00C04AAD" w:rsidRPr="00C04AAD">
          <w:t>75/25</w:t>
        </w:r>
      </w:hyperlink>
      <w:r w:rsidR="003A14F0">
        <w:t>; v nadeljavnju: ZUreP-3)</w:t>
      </w:r>
      <w:r w:rsidR="00C724FC">
        <w:t>, ki uvaja instrument tehnične posodobitve (141. in 142. člen ZUreP-3)</w:t>
      </w:r>
      <w:r w:rsidR="00A946D1">
        <w:t>, s katerim se omogoča ažuriranje grafičnega dela prostorskih izvedbenih aktov s podatki o prcelah iz katastra nepremičnin.</w:t>
      </w:r>
    </w:p>
    <w:p w14:paraId="6419F888" w14:textId="5B54E087" w:rsidR="00A946D1" w:rsidRDefault="00F9138F" w:rsidP="00776009">
      <w:pPr>
        <w:jc w:val="left"/>
      </w:pPr>
      <w:r>
        <w:t>Geodetska uprava</w:t>
      </w:r>
      <w:r w:rsidR="007E472E">
        <w:t xml:space="preserve"> RS</w:t>
      </w:r>
      <w:r>
        <w:t xml:space="preserve"> je </w:t>
      </w:r>
      <w:r w:rsidR="001A774A">
        <w:t>pripravil</w:t>
      </w:r>
      <w:r w:rsidR="007E472E">
        <w:t>a</w:t>
      </w:r>
      <w:r w:rsidR="001A774A">
        <w:t xml:space="preserve"> izbojšavo zemljiškega katastra, s katero je izboljšala položajno natančnost</w:t>
      </w:r>
      <w:r w:rsidR="00514093">
        <w:t xml:space="preserve"> zemljiško katastrskih prikazov</w:t>
      </w:r>
      <w:r w:rsidR="00946353">
        <w:t xml:space="preserve"> (</w:t>
      </w:r>
      <w:r w:rsidR="004F1ADB">
        <w:t xml:space="preserve">v nadaljevanju: </w:t>
      </w:r>
      <w:r w:rsidR="00946353">
        <w:t>ZKP)</w:t>
      </w:r>
      <w:r w:rsidR="00514093">
        <w:t xml:space="preserve"> </w:t>
      </w:r>
      <w:r w:rsidR="006B33D9">
        <w:t xml:space="preserve">ter </w:t>
      </w:r>
      <w:r w:rsidR="00DD2394">
        <w:t>ta</w:t>
      </w:r>
      <w:r w:rsidR="006B33D9">
        <w:t xml:space="preserve"> zvezni sloj preoblikovala v zemljiško katastrski načrt</w:t>
      </w:r>
      <w:r w:rsidR="00DD2394">
        <w:t xml:space="preserve">, ki </w:t>
      </w:r>
      <w:r w:rsidR="003D5724">
        <w:t>je formalno že uveljavljen in predstavlja uradni podatek zemljiškega katastra</w:t>
      </w:r>
      <w:r w:rsidR="00946353">
        <w:t xml:space="preserve"> (</w:t>
      </w:r>
      <w:r w:rsidR="004F1ADB">
        <w:t xml:space="preserve">v nadaljevanju: </w:t>
      </w:r>
      <w:r w:rsidR="00946353">
        <w:t>ZKN)</w:t>
      </w:r>
      <w:r w:rsidR="003F3EB0">
        <w:t xml:space="preserve">. </w:t>
      </w:r>
    </w:p>
    <w:p w14:paraId="115240B1" w14:textId="739B2D9F" w:rsidR="003F3EB0" w:rsidRDefault="009A2BFC" w:rsidP="00776009">
      <w:pPr>
        <w:jc w:val="left"/>
      </w:pPr>
      <w:r>
        <w:t>N</w:t>
      </w:r>
      <w:r w:rsidR="003F3EB0">
        <w:t>am</w:t>
      </w:r>
      <w:r w:rsidR="002432E3">
        <w:t>ens</w:t>
      </w:r>
      <w:r w:rsidR="003F3EB0">
        <w:t>ka raba prostora</w:t>
      </w:r>
      <w:r w:rsidR="004F1ADB">
        <w:t xml:space="preserve"> (v nadaljevanju: NRP)</w:t>
      </w:r>
      <w:r w:rsidR="003F3EB0">
        <w:t xml:space="preserve"> v Občinskem prostorskem načrtu </w:t>
      </w:r>
      <w:r>
        <w:t xml:space="preserve">Mestne občine Nova Gorica je </w:t>
      </w:r>
      <w:r w:rsidR="00115655">
        <w:t xml:space="preserve">pripravljena in usklajena s takrat veljavnim </w:t>
      </w:r>
      <w:r w:rsidR="00946353">
        <w:t>ZKP</w:t>
      </w:r>
      <w:r w:rsidR="00E16FF6">
        <w:t>, zato jo je</w:t>
      </w:r>
      <w:r w:rsidR="00946353">
        <w:t xml:space="preserve"> </w:t>
      </w:r>
      <w:r w:rsidR="00CD3261">
        <w:t>potrebno</w:t>
      </w:r>
      <w:r w:rsidR="00946353">
        <w:t xml:space="preserve"> uskladi</w:t>
      </w:r>
      <w:r w:rsidR="00CD3261">
        <w:t>ti</w:t>
      </w:r>
      <w:r w:rsidR="00946353">
        <w:t xml:space="preserve"> z najnovejšim ZKN.</w:t>
      </w:r>
    </w:p>
    <w:p w14:paraId="37C8456B" w14:textId="1E666D7B" w:rsidR="009070A0" w:rsidRDefault="00946353" w:rsidP="00776009">
      <w:pPr>
        <w:jc w:val="left"/>
      </w:pPr>
      <w:r>
        <w:t xml:space="preserve">Mestna občina Nova Gorica se je na podlagi </w:t>
      </w:r>
      <w:r w:rsidR="002A1551">
        <w:t xml:space="preserve">javnega </w:t>
      </w:r>
      <w:r>
        <w:t>poziva</w:t>
      </w:r>
      <w:r w:rsidR="003B5A4F">
        <w:t xml:space="preserve"> Ministrstva za naravne vire in prostor </w:t>
      </w:r>
      <w:r w:rsidR="005D6917">
        <w:t>za dodelitev sredstev za izvedbo tehnične posodobitve občinske</w:t>
      </w:r>
      <w:r w:rsidR="003B5A4F">
        <w:t>g</w:t>
      </w:r>
      <w:r w:rsidR="005D6917">
        <w:t xml:space="preserve">a prostorskega </w:t>
      </w:r>
      <w:r w:rsidR="004806FB">
        <w:t>izvedbenega akta</w:t>
      </w:r>
      <w:r w:rsidR="00EA5D4F">
        <w:t xml:space="preserve"> </w:t>
      </w:r>
      <w:r>
        <w:t xml:space="preserve">odločila, da </w:t>
      </w:r>
      <w:r w:rsidR="004F1ADB">
        <w:t>izvede pos</w:t>
      </w:r>
      <w:r w:rsidR="00A72ACB">
        <w:t xml:space="preserve">topek tehnične posodobitve </w:t>
      </w:r>
      <w:r w:rsidR="00893068">
        <w:t xml:space="preserve">kot samostojni postopek </w:t>
      </w:r>
      <w:r w:rsidR="00A72ACB">
        <w:t>skladno s 142. členom ZUreP-3</w:t>
      </w:r>
      <w:r w:rsidR="00651B99">
        <w:t>. Postopek</w:t>
      </w:r>
      <w:r w:rsidR="00B9688F">
        <w:t xml:space="preserve"> se začne s sklepom župana</w:t>
      </w:r>
      <w:r w:rsidR="000E70DA">
        <w:t>.</w:t>
      </w:r>
      <w:r w:rsidR="004F1ADB">
        <w:t xml:space="preserve"> </w:t>
      </w:r>
      <w:r w:rsidR="004A4A58">
        <w:t xml:space="preserve">Občina osnutek tehnično posodobjenega OPN objavi v prostorskem </w:t>
      </w:r>
      <w:r w:rsidR="005D7B87">
        <w:t xml:space="preserve">informacijskem sistemu. Javnosti </w:t>
      </w:r>
      <w:r w:rsidR="002E50B4">
        <w:t xml:space="preserve">se </w:t>
      </w:r>
      <w:r w:rsidR="005D7B87">
        <w:t xml:space="preserve">omogoči dajanje predlogov in pripomb na objavljeno gradivo v roku, ki ni krajši od 15 dni. Na podlagi pripomb javnosti občina pripravi predlog tehnično posodobjenega </w:t>
      </w:r>
      <w:r w:rsidR="0062252D">
        <w:t>občinskega prostorskega izvedbenega akta, ki ga sprejme Mestni svet s sklepom</w:t>
      </w:r>
      <w:r w:rsidR="00C75F1C">
        <w:t xml:space="preserve"> ter ga objavi v uradnem glasilu občine in prostorskem informacijskem sistemu.</w:t>
      </w:r>
      <w:r w:rsidR="00B566C7">
        <w:t xml:space="preserve"> Tehničn</w:t>
      </w:r>
      <w:r w:rsidR="00121E4D">
        <w:t>o</w:t>
      </w:r>
      <w:r w:rsidR="00B566C7">
        <w:t xml:space="preserve"> posodobitev </w:t>
      </w:r>
      <w:r w:rsidR="00121E4D">
        <w:t>sofinancira Evropska unija iz Sklada za okrevanje in odpornost in Republika Slovenija.</w:t>
      </w:r>
    </w:p>
    <w:p w14:paraId="5C0CA29A" w14:textId="6AA42FBD" w:rsidR="00651B99" w:rsidRDefault="00D7505F" w:rsidP="00776009">
      <w:pPr>
        <w:jc w:val="left"/>
      </w:pPr>
      <w:r>
        <w:t xml:space="preserve">Župan Mestne občine Nova Gorica je </w:t>
      </w:r>
      <w:r w:rsidR="002D59F0">
        <w:t>dne 3. novembra 2025</w:t>
      </w:r>
      <w:r>
        <w:t xml:space="preserve"> sprejel </w:t>
      </w:r>
      <w:r w:rsidR="00F14377">
        <w:t>S</w:t>
      </w:r>
      <w:r>
        <w:t xml:space="preserve">klep o pripravi </w:t>
      </w:r>
      <w:r w:rsidR="002D59F0">
        <w:t xml:space="preserve">prve </w:t>
      </w:r>
      <w:r>
        <w:t>tehnične posodobitve</w:t>
      </w:r>
      <w:r w:rsidR="002D59F0">
        <w:t xml:space="preserve"> Občinskega prostorskega načrta Mestne občine Nova Gorica</w:t>
      </w:r>
      <w:r>
        <w:t xml:space="preserve">. </w:t>
      </w:r>
      <w:r w:rsidR="008F38FF">
        <w:t xml:space="preserve">Javna razgrnitev tehnične posodobitve je potekala v času od 17. novembra 2025 do </w:t>
      </w:r>
      <w:r w:rsidR="0041261D">
        <w:t xml:space="preserve">vključno </w:t>
      </w:r>
      <w:r w:rsidR="002B3E5A">
        <w:t>2</w:t>
      </w:r>
      <w:r w:rsidR="004C772C">
        <w:t>. decem</w:t>
      </w:r>
      <w:r w:rsidR="00A71D19">
        <w:t xml:space="preserve">bra 2025. </w:t>
      </w:r>
      <w:r w:rsidR="00605325">
        <w:t xml:space="preserve">Na </w:t>
      </w:r>
      <w:r w:rsidR="004D08B8">
        <w:t xml:space="preserve">javno objavljeno gradivo </w:t>
      </w:r>
      <w:r w:rsidR="009A52DF">
        <w:t>so</w:t>
      </w:r>
      <w:r w:rsidR="004D08B8">
        <w:t xml:space="preserve"> bil</w:t>
      </w:r>
      <w:r w:rsidR="009A52DF">
        <w:t>e</w:t>
      </w:r>
      <w:r w:rsidR="004D08B8">
        <w:t xml:space="preserve"> podan</w:t>
      </w:r>
      <w:r w:rsidR="009A52DF">
        <w:t>e pripombe vezane na manjš</w:t>
      </w:r>
      <w:r w:rsidR="007570B2">
        <w:t>a odstopanja</w:t>
      </w:r>
      <w:r w:rsidR="009A52DF">
        <w:t xml:space="preserve"> pri izrisu namenske rabe</w:t>
      </w:r>
      <w:r w:rsidR="00A30E52">
        <w:t>, ki so bile v nadaljevanj</w:t>
      </w:r>
      <w:r w:rsidR="007570B2">
        <w:t>u preučen</w:t>
      </w:r>
      <w:r w:rsidR="002432E3">
        <w:t>e</w:t>
      </w:r>
      <w:r w:rsidR="007570B2">
        <w:t xml:space="preserve"> s strani izdelovalca </w:t>
      </w:r>
      <w:r w:rsidR="00B745D8">
        <w:t xml:space="preserve">tehnične posodobitve </w:t>
      </w:r>
      <w:r w:rsidR="00290E4D">
        <w:t>in vključene v pripravo predloga tehnične posodobitve</w:t>
      </w:r>
      <w:r w:rsidR="006F44FD">
        <w:t xml:space="preserve"> OPN.</w:t>
      </w:r>
      <w:r w:rsidR="00F14377">
        <w:t xml:space="preserve"> Gradivo </w:t>
      </w:r>
      <w:r w:rsidR="00C92079">
        <w:t xml:space="preserve">predloga </w:t>
      </w:r>
      <w:r w:rsidR="00F14377">
        <w:t xml:space="preserve">tehnične posodobitve je dostopno na povezavi </w:t>
      </w:r>
      <w:hyperlink r:id="rId25" w:history="1">
        <w:r w:rsidR="006B0C3A" w:rsidRPr="0002114C">
          <w:rPr>
            <w:rStyle w:val="Hiperpovezava"/>
          </w:rPr>
          <w:t>https://www.nova-gorica.si/sl/za-obcane/prostorski-akti/prostorski-akti-v-pripravi/</w:t>
        </w:r>
      </w:hyperlink>
      <w:r w:rsidR="006B0C3A">
        <w:t xml:space="preserve"> .</w:t>
      </w:r>
    </w:p>
    <w:p w14:paraId="7A1C9035" w14:textId="476C451E" w:rsidR="006F44FD" w:rsidRDefault="006F44FD" w:rsidP="00776009">
      <w:pPr>
        <w:jc w:val="left"/>
      </w:pPr>
      <w:r>
        <w:lastRenderedPageBreak/>
        <w:t xml:space="preserve">Uskladitev </w:t>
      </w:r>
      <w:r w:rsidR="00340A6C">
        <w:t>NRP z ZK</w:t>
      </w:r>
      <w:r w:rsidR="00CD3261">
        <w:t>N</w:t>
      </w:r>
      <w:r w:rsidR="00340A6C">
        <w:t xml:space="preserve"> bo omogočala boljše in zanesl</w:t>
      </w:r>
      <w:r w:rsidR="002432E3">
        <w:t>j</w:t>
      </w:r>
      <w:r w:rsidR="00340A6C">
        <w:t xml:space="preserve">ivejše </w:t>
      </w:r>
      <w:r w:rsidR="00276703">
        <w:t xml:space="preserve">lokacijske informacije, boljše preseke s pravnimi režimi, natančnejše prostorsko načrtovanje, </w:t>
      </w:r>
      <w:r w:rsidR="00CD3261">
        <w:t xml:space="preserve">uporabo natančnejših podatkov pri </w:t>
      </w:r>
      <w:r w:rsidR="00103FE0">
        <w:t>odmerha nadomestila za uporabo stavbnega zemljišča, večjo natančnost in boljše informacije v postopkih množičnega vrednotenja nepremičnin, ustreznejše in boljše upravljanje s prostorm</w:t>
      </w:r>
      <w:r w:rsidR="008E721E">
        <w:t>, izvajanje lokacijskih preveritev</w:t>
      </w:r>
      <w:r w:rsidR="006C20D9">
        <w:t xml:space="preserve">. </w:t>
      </w:r>
    </w:p>
    <w:p w14:paraId="3052BEC7" w14:textId="62BC0A34" w:rsidR="002432E3" w:rsidRPr="007854F5" w:rsidRDefault="002432E3" w:rsidP="00776009">
      <w:pPr>
        <w:jc w:val="left"/>
        <w:rPr>
          <w:b/>
          <w:bCs w:val="0"/>
        </w:rPr>
      </w:pPr>
      <w:r w:rsidRPr="007854F5">
        <w:rPr>
          <w:b/>
        </w:rPr>
        <w:t>Mestnemu svetu Mestne občine Nova Gorica predlagamo, da predloženi sklep obravnava in sprejme.</w:t>
      </w:r>
    </w:p>
    <w:p w14:paraId="0B3F9A3D" w14:textId="716DAF6F" w:rsidR="00731380" w:rsidRDefault="00731380" w:rsidP="00352A82"/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311F7F70" w:rsidR="00A03315" w:rsidRPr="00D51EE1" w:rsidRDefault="00F76E55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Irena Balantič</w:t>
            </w:r>
          </w:p>
        </w:tc>
        <w:tc>
          <w:tcPr>
            <w:tcW w:w="3549" w:type="dxa"/>
          </w:tcPr>
          <w:p w14:paraId="33414636" w14:textId="74A54A69" w:rsidR="00A03315" w:rsidRPr="00D51EE1" w:rsidRDefault="005458EA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Erik Lasič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13C244A8" w:rsidR="00A03315" w:rsidRPr="00E639CC" w:rsidRDefault="00F76E5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Višja svetovalka za okolje in prostor</w:t>
            </w:r>
          </w:p>
        </w:tc>
        <w:tc>
          <w:tcPr>
            <w:tcW w:w="3549" w:type="dxa"/>
          </w:tcPr>
          <w:p w14:paraId="770E907E" w14:textId="205201E2" w:rsidR="00A03315" w:rsidRPr="00E639CC" w:rsidRDefault="00167093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 xml:space="preserve">podsekretar – vodja </w:t>
            </w:r>
            <w:r w:rsidR="00476915">
              <w:rPr>
                <w:bCs w:val="0"/>
              </w:rPr>
              <w:t>S</w:t>
            </w:r>
            <w:r w:rsidR="00476915">
              <w:t xml:space="preserve">lužbe za </w:t>
            </w:r>
            <w:r w:rsidR="00B51242">
              <w:t>okolje in prostor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6787" w14:textId="77777777" w:rsidR="005B3DE7" w:rsidRDefault="005B3DE7" w:rsidP="00352A82">
      <w:r>
        <w:separator/>
      </w:r>
    </w:p>
  </w:endnote>
  <w:endnote w:type="continuationSeparator" w:id="0">
    <w:p w14:paraId="6EE5E176" w14:textId="77777777" w:rsidR="005B3DE7" w:rsidRDefault="005B3DE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E753" w14:textId="77777777" w:rsidR="005B3DE7" w:rsidRDefault="005B3DE7" w:rsidP="00352A82">
      <w:r>
        <w:separator/>
      </w:r>
    </w:p>
  </w:footnote>
  <w:footnote w:type="continuationSeparator" w:id="0">
    <w:p w14:paraId="5FF38CDF" w14:textId="77777777" w:rsidR="005B3DE7" w:rsidRDefault="005B3DE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592A95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DE789E"/>
    <w:multiLevelType w:val="hybridMultilevel"/>
    <w:tmpl w:val="38BCDCF8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D9785A"/>
    <w:multiLevelType w:val="hybridMultilevel"/>
    <w:tmpl w:val="05A4D20A"/>
    <w:lvl w:ilvl="0" w:tplc="BED8E086">
      <w:start w:val="1"/>
      <w:numFmt w:val="bullet"/>
      <w:lvlText w:val="-"/>
      <w:lvlJc w:val="left"/>
      <w:pPr>
        <w:ind w:left="214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7CDB3895"/>
    <w:multiLevelType w:val="hybridMultilevel"/>
    <w:tmpl w:val="F2925288"/>
    <w:lvl w:ilvl="0" w:tplc="96D27FE4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379276865">
    <w:abstractNumId w:val="3"/>
  </w:num>
  <w:num w:numId="12" w16cid:durableId="1657682525">
    <w:abstractNumId w:val="12"/>
  </w:num>
  <w:num w:numId="13" w16cid:durableId="2142306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807CE"/>
    <w:rsid w:val="00083CA2"/>
    <w:rsid w:val="00090D2C"/>
    <w:rsid w:val="000B0305"/>
    <w:rsid w:val="000B577C"/>
    <w:rsid w:val="000D6C77"/>
    <w:rsid w:val="000E5815"/>
    <w:rsid w:val="000E70DA"/>
    <w:rsid w:val="00101B99"/>
    <w:rsid w:val="00103FE0"/>
    <w:rsid w:val="00110838"/>
    <w:rsid w:val="001137D1"/>
    <w:rsid w:val="00115655"/>
    <w:rsid w:val="00121E4D"/>
    <w:rsid w:val="00145A3D"/>
    <w:rsid w:val="00151210"/>
    <w:rsid w:val="001661E3"/>
    <w:rsid w:val="00167093"/>
    <w:rsid w:val="00172F91"/>
    <w:rsid w:val="001732D3"/>
    <w:rsid w:val="00175A68"/>
    <w:rsid w:val="00192B9A"/>
    <w:rsid w:val="00196994"/>
    <w:rsid w:val="001A774A"/>
    <w:rsid w:val="001B2389"/>
    <w:rsid w:val="001C3E79"/>
    <w:rsid w:val="001C491B"/>
    <w:rsid w:val="001C6438"/>
    <w:rsid w:val="001D7013"/>
    <w:rsid w:val="001E519B"/>
    <w:rsid w:val="0022510F"/>
    <w:rsid w:val="00226E0E"/>
    <w:rsid w:val="002374C1"/>
    <w:rsid w:val="002432E3"/>
    <w:rsid w:val="00251FBC"/>
    <w:rsid w:val="00253228"/>
    <w:rsid w:val="002600C7"/>
    <w:rsid w:val="00276703"/>
    <w:rsid w:val="0028430E"/>
    <w:rsid w:val="0028622D"/>
    <w:rsid w:val="00290E4D"/>
    <w:rsid w:val="00292182"/>
    <w:rsid w:val="002A1551"/>
    <w:rsid w:val="002B08B0"/>
    <w:rsid w:val="002B3E5A"/>
    <w:rsid w:val="002D59F0"/>
    <w:rsid w:val="002E50B4"/>
    <w:rsid w:val="002F330A"/>
    <w:rsid w:val="002F4F3E"/>
    <w:rsid w:val="0031431D"/>
    <w:rsid w:val="00321519"/>
    <w:rsid w:val="003243D4"/>
    <w:rsid w:val="00340A6C"/>
    <w:rsid w:val="00344157"/>
    <w:rsid w:val="00352A82"/>
    <w:rsid w:val="00355F3A"/>
    <w:rsid w:val="00366240"/>
    <w:rsid w:val="003746C9"/>
    <w:rsid w:val="003815F8"/>
    <w:rsid w:val="00386692"/>
    <w:rsid w:val="0039457F"/>
    <w:rsid w:val="00396C37"/>
    <w:rsid w:val="003A0AE4"/>
    <w:rsid w:val="003A14F0"/>
    <w:rsid w:val="003A494A"/>
    <w:rsid w:val="003B11F7"/>
    <w:rsid w:val="003B1C1F"/>
    <w:rsid w:val="003B5A4F"/>
    <w:rsid w:val="003C6C4B"/>
    <w:rsid w:val="003D5724"/>
    <w:rsid w:val="003F3284"/>
    <w:rsid w:val="003F3EB0"/>
    <w:rsid w:val="0041261D"/>
    <w:rsid w:val="004129EE"/>
    <w:rsid w:val="004164F0"/>
    <w:rsid w:val="00445A64"/>
    <w:rsid w:val="004508C9"/>
    <w:rsid w:val="00463FA4"/>
    <w:rsid w:val="00476915"/>
    <w:rsid w:val="004806FB"/>
    <w:rsid w:val="00486063"/>
    <w:rsid w:val="004953C5"/>
    <w:rsid w:val="004A4A58"/>
    <w:rsid w:val="004C04E1"/>
    <w:rsid w:val="004C772C"/>
    <w:rsid w:val="004D08B8"/>
    <w:rsid w:val="004E242E"/>
    <w:rsid w:val="004E68FC"/>
    <w:rsid w:val="004E6E87"/>
    <w:rsid w:val="004F1ADB"/>
    <w:rsid w:val="004F61D0"/>
    <w:rsid w:val="00500E47"/>
    <w:rsid w:val="00514093"/>
    <w:rsid w:val="005210F0"/>
    <w:rsid w:val="005458EA"/>
    <w:rsid w:val="005562CF"/>
    <w:rsid w:val="00581BE7"/>
    <w:rsid w:val="005A4188"/>
    <w:rsid w:val="005A7EF0"/>
    <w:rsid w:val="005B06C0"/>
    <w:rsid w:val="005B3DE7"/>
    <w:rsid w:val="005D2A68"/>
    <w:rsid w:val="005D6917"/>
    <w:rsid w:val="005D7B87"/>
    <w:rsid w:val="005F7FCD"/>
    <w:rsid w:val="00605325"/>
    <w:rsid w:val="00612B00"/>
    <w:rsid w:val="0062252D"/>
    <w:rsid w:val="00641183"/>
    <w:rsid w:val="00651B99"/>
    <w:rsid w:val="00655E9F"/>
    <w:rsid w:val="0066085E"/>
    <w:rsid w:val="006620F0"/>
    <w:rsid w:val="00696009"/>
    <w:rsid w:val="006A26DE"/>
    <w:rsid w:val="006B0C3A"/>
    <w:rsid w:val="006B33D9"/>
    <w:rsid w:val="006B500F"/>
    <w:rsid w:val="006C20D9"/>
    <w:rsid w:val="006E4CCD"/>
    <w:rsid w:val="006E7FB6"/>
    <w:rsid w:val="006F1CF9"/>
    <w:rsid w:val="006F3123"/>
    <w:rsid w:val="006F4023"/>
    <w:rsid w:val="006F44FD"/>
    <w:rsid w:val="006F7D6F"/>
    <w:rsid w:val="00714788"/>
    <w:rsid w:val="00715D35"/>
    <w:rsid w:val="00722FAC"/>
    <w:rsid w:val="00723864"/>
    <w:rsid w:val="00731380"/>
    <w:rsid w:val="00734A18"/>
    <w:rsid w:val="007548F3"/>
    <w:rsid w:val="007570B2"/>
    <w:rsid w:val="00770284"/>
    <w:rsid w:val="00774DD1"/>
    <w:rsid w:val="00776009"/>
    <w:rsid w:val="0079172C"/>
    <w:rsid w:val="00791DB2"/>
    <w:rsid w:val="00793022"/>
    <w:rsid w:val="00796028"/>
    <w:rsid w:val="007A42B0"/>
    <w:rsid w:val="007A4852"/>
    <w:rsid w:val="007A6DC2"/>
    <w:rsid w:val="007D48AB"/>
    <w:rsid w:val="007E472E"/>
    <w:rsid w:val="007F5259"/>
    <w:rsid w:val="00810854"/>
    <w:rsid w:val="008323F2"/>
    <w:rsid w:val="008631C4"/>
    <w:rsid w:val="0086350F"/>
    <w:rsid w:val="0087065B"/>
    <w:rsid w:val="00872909"/>
    <w:rsid w:val="00873CAB"/>
    <w:rsid w:val="008759F5"/>
    <w:rsid w:val="008802E3"/>
    <w:rsid w:val="008821D4"/>
    <w:rsid w:val="00893068"/>
    <w:rsid w:val="008949E6"/>
    <w:rsid w:val="008A260E"/>
    <w:rsid w:val="008A3474"/>
    <w:rsid w:val="008E721E"/>
    <w:rsid w:val="008F21D2"/>
    <w:rsid w:val="008F2684"/>
    <w:rsid w:val="008F38FF"/>
    <w:rsid w:val="008F5DCA"/>
    <w:rsid w:val="00905FF8"/>
    <w:rsid w:val="009060A3"/>
    <w:rsid w:val="009070A0"/>
    <w:rsid w:val="00923A6E"/>
    <w:rsid w:val="00945FE7"/>
    <w:rsid w:val="00946353"/>
    <w:rsid w:val="009568DD"/>
    <w:rsid w:val="00974365"/>
    <w:rsid w:val="0098442C"/>
    <w:rsid w:val="00984B3B"/>
    <w:rsid w:val="009A2BFC"/>
    <w:rsid w:val="009A52DF"/>
    <w:rsid w:val="009B227A"/>
    <w:rsid w:val="009D183C"/>
    <w:rsid w:val="00A03315"/>
    <w:rsid w:val="00A12CE2"/>
    <w:rsid w:val="00A30E52"/>
    <w:rsid w:val="00A33C69"/>
    <w:rsid w:val="00A41D76"/>
    <w:rsid w:val="00A71D19"/>
    <w:rsid w:val="00A72ACB"/>
    <w:rsid w:val="00A7398A"/>
    <w:rsid w:val="00A9127C"/>
    <w:rsid w:val="00A9136F"/>
    <w:rsid w:val="00A946D1"/>
    <w:rsid w:val="00A95A58"/>
    <w:rsid w:val="00AA4BFD"/>
    <w:rsid w:val="00AD6CCC"/>
    <w:rsid w:val="00AE720F"/>
    <w:rsid w:val="00B442F4"/>
    <w:rsid w:val="00B51242"/>
    <w:rsid w:val="00B566C7"/>
    <w:rsid w:val="00B745D8"/>
    <w:rsid w:val="00B9688F"/>
    <w:rsid w:val="00BA4540"/>
    <w:rsid w:val="00BE06A7"/>
    <w:rsid w:val="00BE234C"/>
    <w:rsid w:val="00BE2600"/>
    <w:rsid w:val="00BE4139"/>
    <w:rsid w:val="00BE5B70"/>
    <w:rsid w:val="00C035A1"/>
    <w:rsid w:val="00C04AAD"/>
    <w:rsid w:val="00C10614"/>
    <w:rsid w:val="00C24958"/>
    <w:rsid w:val="00C341E9"/>
    <w:rsid w:val="00C44386"/>
    <w:rsid w:val="00C4604F"/>
    <w:rsid w:val="00C5335B"/>
    <w:rsid w:val="00C65F88"/>
    <w:rsid w:val="00C724FC"/>
    <w:rsid w:val="00C75F1C"/>
    <w:rsid w:val="00C7627D"/>
    <w:rsid w:val="00C92079"/>
    <w:rsid w:val="00C973E8"/>
    <w:rsid w:val="00CC3F17"/>
    <w:rsid w:val="00CD0869"/>
    <w:rsid w:val="00CD3261"/>
    <w:rsid w:val="00CF0B4F"/>
    <w:rsid w:val="00CF2AFF"/>
    <w:rsid w:val="00CF46F1"/>
    <w:rsid w:val="00D0466C"/>
    <w:rsid w:val="00D30496"/>
    <w:rsid w:val="00D353BF"/>
    <w:rsid w:val="00D51EE1"/>
    <w:rsid w:val="00D7505F"/>
    <w:rsid w:val="00D81991"/>
    <w:rsid w:val="00D8326F"/>
    <w:rsid w:val="00DA69BC"/>
    <w:rsid w:val="00DC2D47"/>
    <w:rsid w:val="00DD2394"/>
    <w:rsid w:val="00DE5D4A"/>
    <w:rsid w:val="00DE7B81"/>
    <w:rsid w:val="00E16FF6"/>
    <w:rsid w:val="00E217AD"/>
    <w:rsid w:val="00E43DB2"/>
    <w:rsid w:val="00E57102"/>
    <w:rsid w:val="00E639CC"/>
    <w:rsid w:val="00E70DD6"/>
    <w:rsid w:val="00E70FB1"/>
    <w:rsid w:val="00E721C4"/>
    <w:rsid w:val="00E876FD"/>
    <w:rsid w:val="00EA5D4F"/>
    <w:rsid w:val="00EB6079"/>
    <w:rsid w:val="00ED7977"/>
    <w:rsid w:val="00EE5DDF"/>
    <w:rsid w:val="00EF71F7"/>
    <w:rsid w:val="00F064FB"/>
    <w:rsid w:val="00F12361"/>
    <w:rsid w:val="00F14377"/>
    <w:rsid w:val="00F24C66"/>
    <w:rsid w:val="00F27F42"/>
    <w:rsid w:val="00F372C1"/>
    <w:rsid w:val="00F40810"/>
    <w:rsid w:val="00F4231E"/>
    <w:rsid w:val="00F63CB9"/>
    <w:rsid w:val="00F65BF3"/>
    <w:rsid w:val="00F76E55"/>
    <w:rsid w:val="00F811AF"/>
    <w:rsid w:val="00F819BE"/>
    <w:rsid w:val="00F9138F"/>
    <w:rsid w:val="00FB7287"/>
    <w:rsid w:val="00FE6DF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6E4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F064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64F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64F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64F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64FB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7F525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23-01-034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4-01-0694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21-01-3971" TargetMode="External"/><Relationship Id="rId25" Type="http://schemas.openxmlformats.org/officeDocument/2006/relationships/hyperlink" Target="https://www.nova-gorica.si/sl/za-obcane/prostorski-akti/prostorski-akti-v-pripravi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23-01-267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25-01-261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25-01-087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3-01-247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24-01-3541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2025-07-11T10:52:37+00:00</Veljaod_x003a_>
    <Veljado xmlns="971fd287-4551-411b-a694-38c9be1b8a3f" xsi:nil="true"/>
    <TaxCatchAll xmlns="151e2135-251a-4a54-bb3f-b4383bb78d32" xsi:nil="true"/>
    <Datumobjave xmlns="971fd287-4551-411b-a694-38c9be1b8a3f">2025-07-11T10:52:37+00:00</Datumobja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1F897-5817-45E7-B037-509837EAD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36AD5-CCE6-41DB-8EB7-B7D8B4870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C3D4F-2013-416F-AA41-EBB7B0E53758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E1564A29-A00E-4D1D-B982-542F7441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16</cp:revision>
  <cp:lastPrinted>2025-02-19T07:16:00Z</cp:lastPrinted>
  <dcterms:created xsi:type="dcterms:W3CDTF">2025-12-04T10:39:00Z</dcterms:created>
  <dcterms:modified xsi:type="dcterms:W3CDTF">2025-12-08T13:39:00Z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