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14E0" w14:textId="0315CC3D" w:rsidR="00DD4396" w:rsidRPr="00DD4396" w:rsidRDefault="00DD4396" w:rsidP="00A67EDA">
      <w:pPr>
        <w:ind w:right="-314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4396">
        <w:rPr>
          <w:rFonts w:ascii="Arial" w:hAnsi="Arial" w:cs="Arial"/>
          <w:b/>
          <w:bCs/>
          <w:sz w:val="72"/>
          <w:szCs w:val="72"/>
        </w:rPr>
        <w:t>11</w:t>
      </w:r>
    </w:p>
    <w:p w14:paraId="5A8201F8" w14:textId="4FD1BB31" w:rsidR="00A67EDA" w:rsidRPr="00FB4E4E" w:rsidRDefault="000B6CFE" w:rsidP="00A67EDA">
      <w:pPr>
        <w:ind w:right="-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podlagi 516. člena Zakona o gospodarskih družbah (Uradni list RS, št. 65/09 – uradno prečiščeno besedilo, 33/11, 91/11, 32/12, 57/12, 44/13 – </w:t>
      </w:r>
      <w:proofErr w:type="spellStart"/>
      <w:r>
        <w:rPr>
          <w:rFonts w:ascii="Arial" w:hAnsi="Arial" w:cs="Arial"/>
          <w:sz w:val="22"/>
          <w:szCs w:val="22"/>
        </w:rPr>
        <w:t>odl</w:t>
      </w:r>
      <w:proofErr w:type="spellEnd"/>
      <w:r>
        <w:rPr>
          <w:rFonts w:ascii="Arial" w:hAnsi="Arial" w:cs="Arial"/>
          <w:sz w:val="22"/>
          <w:szCs w:val="22"/>
        </w:rPr>
        <w:t xml:space="preserve">. US, 82/13, 55/15, 15/17, 22/19 – </w:t>
      </w:r>
      <w:proofErr w:type="spellStart"/>
      <w:r>
        <w:rPr>
          <w:rFonts w:ascii="Arial" w:hAnsi="Arial" w:cs="Arial"/>
          <w:sz w:val="22"/>
          <w:szCs w:val="22"/>
        </w:rPr>
        <w:t>ZposS</w:t>
      </w:r>
      <w:proofErr w:type="spellEnd"/>
      <w:r>
        <w:rPr>
          <w:rFonts w:ascii="Arial" w:hAnsi="Arial" w:cs="Arial"/>
          <w:sz w:val="22"/>
          <w:szCs w:val="22"/>
        </w:rPr>
        <w:t xml:space="preserve">, 158/20 – </w:t>
      </w:r>
      <w:proofErr w:type="spellStart"/>
      <w:r>
        <w:rPr>
          <w:rFonts w:ascii="Arial" w:hAnsi="Arial" w:cs="Arial"/>
          <w:sz w:val="22"/>
          <w:szCs w:val="22"/>
        </w:rPr>
        <w:t>ZlntPK</w:t>
      </w:r>
      <w:proofErr w:type="spellEnd"/>
      <w:r>
        <w:rPr>
          <w:rFonts w:ascii="Arial" w:hAnsi="Arial" w:cs="Arial"/>
          <w:sz w:val="22"/>
          <w:szCs w:val="22"/>
        </w:rPr>
        <w:t xml:space="preserve">-C, </w:t>
      </w:r>
      <w:r w:rsidR="00A67EDA">
        <w:rPr>
          <w:rFonts w:ascii="Arial" w:hAnsi="Arial" w:cs="Arial"/>
          <w:sz w:val="22"/>
          <w:szCs w:val="22"/>
        </w:rPr>
        <w:t xml:space="preserve">18/21 in 18/23 – ZDU-1O) ter 19. člena </w:t>
      </w:r>
      <w:r w:rsidR="00A67EDA" w:rsidRPr="00993176">
        <w:rPr>
          <w:rFonts w:ascii="Arial" w:hAnsi="Arial" w:cs="Arial"/>
          <w:sz w:val="22"/>
          <w:szCs w:val="22"/>
        </w:rPr>
        <w:t>Statuta Mestne občine Nova Gorica (Uradni list RS, št. 13/12, 18/17 in 18/19) je Mestni svet Mestne občine Nova Gorica na seji dne  ______________  sprejel naslednj</w:t>
      </w:r>
      <w:r w:rsidR="00A67EDA">
        <w:rPr>
          <w:rFonts w:ascii="Arial" w:hAnsi="Arial" w:cs="Arial"/>
          <w:sz w:val="22"/>
          <w:szCs w:val="22"/>
        </w:rPr>
        <w:t>i</w:t>
      </w:r>
    </w:p>
    <w:p w14:paraId="3BDCCAB0" w14:textId="77777777" w:rsidR="00E31D25" w:rsidRPr="00FB4E4E" w:rsidRDefault="00E31D25" w:rsidP="00E31D25">
      <w:pPr>
        <w:ind w:right="-314"/>
        <w:jc w:val="both"/>
        <w:rPr>
          <w:rFonts w:ascii="Arial" w:hAnsi="Arial" w:cs="Arial"/>
          <w:sz w:val="22"/>
          <w:szCs w:val="22"/>
        </w:rPr>
      </w:pPr>
    </w:p>
    <w:p w14:paraId="41A7E5C2" w14:textId="69E8FA41" w:rsidR="00837B52" w:rsidRDefault="00837B52" w:rsidP="00E31D25">
      <w:pPr>
        <w:pStyle w:val="Blokbesedila"/>
        <w:ind w:left="0"/>
        <w:jc w:val="center"/>
        <w:rPr>
          <w:rFonts w:cs="Arial"/>
          <w:b/>
          <w:bCs/>
          <w:sz w:val="22"/>
          <w:szCs w:val="22"/>
        </w:rPr>
      </w:pPr>
      <w:r w:rsidRPr="00837B52">
        <w:rPr>
          <w:rFonts w:cs="Arial"/>
          <w:b/>
          <w:bCs/>
          <w:sz w:val="22"/>
          <w:szCs w:val="22"/>
        </w:rPr>
        <w:t>SKLEP</w:t>
      </w:r>
      <w:r>
        <w:rPr>
          <w:rFonts w:cs="Arial"/>
          <w:b/>
          <w:bCs/>
          <w:sz w:val="22"/>
          <w:szCs w:val="22"/>
        </w:rPr>
        <w:t xml:space="preserve"> </w:t>
      </w:r>
      <w:r w:rsidRPr="00837B52">
        <w:rPr>
          <w:rFonts w:cs="Arial"/>
          <w:b/>
          <w:bCs/>
          <w:sz w:val="22"/>
          <w:szCs w:val="22"/>
        </w:rPr>
        <w:t>O</w:t>
      </w:r>
      <w:r w:rsidR="00A67EDA">
        <w:rPr>
          <w:rFonts w:cs="Arial"/>
          <w:b/>
          <w:bCs/>
          <w:sz w:val="22"/>
          <w:szCs w:val="22"/>
        </w:rPr>
        <w:t xml:space="preserve"> DOPOLNITVI</w:t>
      </w:r>
    </w:p>
    <w:p w14:paraId="0D50E8D6" w14:textId="77777777" w:rsidR="00837B52" w:rsidRDefault="00837B52" w:rsidP="00E31D25">
      <w:pPr>
        <w:pStyle w:val="Blokbesedila"/>
        <w:ind w:left="0"/>
        <w:jc w:val="center"/>
        <w:rPr>
          <w:rFonts w:cs="Arial"/>
          <w:b/>
          <w:bCs/>
          <w:sz w:val="22"/>
          <w:szCs w:val="22"/>
        </w:rPr>
      </w:pPr>
      <w:r w:rsidRPr="00837B52">
        <w:rPr>
          <w:rFonts w:cs="Arial"/>
          <w:b/>
          <w:bCs/>
          <w:sz w:val="22"/>
          <w:szCs w:val="22"/>
        </w:rPr>
        <w:t xml:space="preserve">AKTA O USTANOVITVI JAVNEGA PODJETJA MESTNE STORITVE, </w:t>
      </w:r>
    </w:p>
    <w:p w14:paraId="2F9EA445" w14:textId="0BEFC835" w:rsidR="00E31D25" w:rsidRPr="00014F99" w:rsidRDefault="00837B52" w:rsidP="00014F99">
      <w:pPr>
        <w:pStyle w:val="Blokbesedila"/>
        <w:ind w:left="0"/>
        <w:jc w:val="center"/>
        <w:rPr>
          <w:rFonts w:cs="Arial"/>
          <w:b/>
          <w:bCs/>
          <w:sz w:val="22"/>
          <w:szCs w:val="22"/>
        </w:rPr>
      </w:pPr>
      <w:r w:rsidRPr="00837B52">
        <w:rPr>
          <w:rFonts w:cs="Arial"/>
          <w:b/>
          <w:bCs/>
          <w:sz w:val="22"/>
          <w:szCs w:val="22"/>
        </w:rPr>
        <w:t>JAVNO PODJETJE ZA UREJANJE MESTA, D.O.O., NOVA GORICA</w:t>
      </w:r>
    </w:p>
    <w:p w14:paraId="7410AFEC" w14:textId="77777777" w:rsidR="00E31D25" w:rsidRPr="00FB4E4E" w:rsidRDefault="00E31D25" w:rsidP="00E31D25">
      <w:pPr>
        <w:pStyle w:val="Blokbesedila"/>
        <w:ind w:left="0"/>
        <w:rPr>
          <w:rFonts w:cs="Arial"/>
          <w:sz w:val="22"/>
          <w:szCs w:val="22"/>
        </w:rPr>
      </w:pPr>
    </w:p>
    <w:p w14:paraId="3F39EE2A" w14:textId="77777777" w:rsidR="00E31D25" w:rsidRDefault="00E31D25" w:rsidP="00E31D25">
      <w:pPr>
        <w:pStyle w:val="Blokbesedila"/>
        <w:numPr>
          <w:ilvl w:val="0"/>
          <w:numId w:val="3"/>
        </w:numPr>
        <w:jc w:val="center"/>
        <w:rPr>
          <w:rFonts w:cs="Arial"/>
          <w:b/>
          <w:sz w:val="22"/>
          <w:szCs w:val="22"/>
        </w:rPr>
      </w:pPr>
    </w:p>
    <w:p w14:paraId="0C2E80B4" w14:textId="77777777" w:rsidR="00A67EDA" w:rsidRDefault="00A67EDA" w:rsidP="00E31D25">
      <w:pPr>
        <w:pStyle w:val="Blokbesedila"/>
        <w:ind w:left="0"/>
        <w:rPr>
          <w:rFonts w:cs="Arial"/>
          <w:sz w:val="22"/>
          <w:szCs w:val="22"/>
        </w:rPr>
      </w:pPr>
    </w:p>
    <w:p w14:paraId="6A6AF3EF" w14:textId="45A0ABB0" w:rsidR="00A347E3" w:rsidRDefault="00E31D25" w:rsidP="00E31D25">
      <w:pPr>
        <w:pStyle w:val="Blokbesedila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</w:t>
      </w:r>
      <w:r w:rsidR="00E923C3">
        <w:rPr>
          <w:rFonts w:cs="Arial"/>
          <w:sz w:val="22"/>
          <w:szCs w:val="22"/>
        </w:rPr>
        <w:t xml:space="preserve">Aktu o ustanovitvi Javnega podjetja Mestne storitve, javno podjetje za urejanje mesta, </w:t>
      </w:r>
      <w:proofErr w:type="spellStart"/>
      <w:r w:rsidR="00E923C3">
        <w:rPr>
          <w:rFonts w:cs="Arial"/>
          <w:sz w:val="22"/>
          <w:szCs w:val="22"/>
        </w:rPr>
        <w:t>d.o.o</w:t>
      </w:r>
      <w:proofErr w:type="spellEnd"/>
      <w:r w:rsidR="00E923C3">
        <w:rPr>
          <w:rFonts w:cs="Arial"/>
          <w:sz w:val="22"/>
          <w:szCs w:val="22"/>
        </w:rPr>
        <w:t>., Nova Gorica št. 300-02-3/2003-7 z dne 11. 1. 2013 se besedilo prvega</w:t>
      </w:r>
      <w:r>
        <w:rPr>
          <w:rFonts w:cs="Arial"/>
          <w:sz w:val="22"/>
          <w:szCs w:val="22"/>
        </w:rPr>
        <w:t xml:space="preserve"> odstavk</w:t>
      </w:r>
      <w:r w:rsidR="00E923C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4. člena </w:t>
      </w:r>
      <w:r w:rsidR="00A347E3">
        <w:rPr>
          <w:rFonts w:cs="Arial"/>
          <w:sz w:val="22"/>
          <w:szCs w:val="22"/>
        </w:rPr>
        <w:t>dopolni tako, da se glasi:</w:t>
      </w:r>
      <w:r w:rsidRPr="005B6445">
        <w:rPr>
          <w:rFonts w:cs="Arial"/>
          <w:sz w:val="22"/>
          <w:szCs w:val="22"/>
        </w:rPr>
        <w:t xml:space="preserve"> </w:t>
      </w:r>
    </w:p>
    <w:p w14:paraId="07EF4089" w14:textId="77777777" w:rsidR="00A347E3" w:rsidRDefault="00A347E3" w:rsidP="00E31D25">
      <w:pPr>
        <w:pStyle w:val="Blokbesedila"/>
        <w:ind w:left="0"/>
        <w:rPr>
          <w:rFonts w:cs="Arial"/>
          <w:sz w:val="22"/>
          <w:szCs w:val="22"/>
        </w:rPr>
      </w:pPr>
    </w:p>
    <w:p w14:paraId="441C5B19" w14:textId="3FE7460B" w:rsidR="00E31D25" w:rsidRPr="000107D7" w:rsidRDefault="00A347E3" w:rsidP="00E31D25">
      <w:pPr>
        <w:pStyle w:val="Blokbesedila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»Podjetje opravlja naslednje dejavnosti</w:t>
      </w:r>
      <w:r w:rsidR="00E31D25" w:rsidRPr="005B6445">
        <w:rPr>
          <w:rFonts w:cs="Arial"/>
          <w:sz w:val="22"/>
          <w:szCs w:val="22"/>
        </w:rPr>
        <w:t>:</w:t>
      </w:r>
    </w:p>
    <w:p w14:paraId="0EDFAC92" w14:textId="77777777" w:rsidR="00E31D25" w:rsidRPr="00014F99" w:rsidRDefault="00E31D25" w:rsidP="00E31D25">
      <w:pPr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Popravila kovinskih izdelkov</w:t>
      </w:r>
    </w:p>
    <w:p w14:paraId="35EC1264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33.130 Popravila elektronskih in optičnih naprav</w:t>
      </w:r>
    </w:p>
    <w:p w14:paraId="3C8A4664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33.140 Popravila električnih naprav</w:t>
      </w:r>
    </w:p>
    <w:p w14:paraId="1FBB4FC9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35.119 Druga proizvodnja električne energije</w:t>
      </w:r>
    </w:p>
    <w:p w14:paraId="6FF0833F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35.120 Prenos električne energije</w:t>
      </w:r>
    </w:p>
    <w:p w14:paraId="78E7EEAF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35.130 Distribucija električne energije</w:t>
      </w:r>
    </w:p>
    <w:p w14:paraId="74BCB7DE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35.140 Trgovanje z električno energijo</w:t>
      </w:r>
    </w:p>
    <w:p w14:paraId="06E6A914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41.100</w:t>
      </w:r>
      <w:r w:rsidRPr="00014F99">
        <w:rPr>
          <w:rFonts w:ascii="Arial" w:hAnsi="Arial" w:cs="Arial"/>
          <w:sz w:val="20"/>
          <w:szCs w:val="20"/>
        </w:rPr>
        <w:tab/>
        <w:t>Organizacija izvedbe stavbnih projektov</w:t>
      </w:r>
    </w:p>
    <w:p w14:paraId="59F10742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42.220 Gradnja objektov oskrbne infrastrukture za elektriko in telekomunikacije</w:t>
      </w:r>
    </w:p>
    <w:p w14:paraId="0EB04226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42.990</w:t>
      </w:r>
      <w:r w:rsidRPr="00014F99">
        <w:rPr>
          <w:rFonts w:ascii="Arial" w:hAnsi="Arial" w:cs="Arial"/>
          <w:sz w:val="20"/>
          <w:szCs w:val="20"/>
        </w:rPr>
        <w:tab/>
        <w:t>Gradnja drugih objektov nizke gradnje</w:t>
      </w:r>
    </w:p>
    <w:p w14:paraId="1AE6771C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 xml:space="preserve">43.210 </w:t>
      </w:r>
      <w:proofErr w:type="spellStart"/>
      <w:r w:rsidRPr="00014F99">
        <w:rPr>
          <w:rFonts w:ascii="Arial" w:hAnsi="Arial" w:cs="Arial"/>
          <w:sz w:val="20"/>
          <w:szCs w:val="20"/>
        </w:rPr>
        <w:t>Inštaliranje</w:t>
      </w:r>
      <w:proofErr w:type="spellEnd"/>
      <w:r w:rsidRPr="00014F99">
        <w:rPr>
          <w:rFonts w:ascii="Arial" w:hAnsi="Arial" w:cs="Arial"/>
          <w:sz w:val="20"/>
          <w:szCs w:val="20"/>
        </w:rPr>
        <w:t xml:space="preserve"> električnih naprav in napeljav</w:t>
      </w:r>
    </w:p>
    <w:p w14:paraId="167435B5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43.342</w:t>
      </w:r>
      <w:r w:rsidRPr="00014F99">
        <w:rPr>
          <w:rFonts w:ascii="Arial" w:hAnsi="Arial" w:cs="Arial"/>
          <w:sz w:val="20"/>
          <w:szCs w:val="20"/>
        </w:rPr>
        <w:tab/>
        <w:t>Pleskarska dela</w:t>
      </w:r>
    </w:p>
    <w:p w14:paraId="033D0DA4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43.390</w:t>
      </w:r>
      <w:r w:rsidRPr="00014F99">
        <w:rPr>
          <w:rFonts w:ascii="Arial" w:hAnsi="Arial" w:cs="Arial"/>
          <w:sz w:val="20"/>
          <w:szCs w:val="20"/>
        </w:rPr>
        <w:tab/>
        <w:t>Druga zaključna gradbena dela</w:t>
      </w:r>
    </w:p>
    <w:p w14:paraId="5840F87C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43.990</w:t>
      </w:r>
      <w:r w:rsidRPr="00014F99">
        <w:rPr>
          <w:rFonts w:ascii="Arial" w:hAnsi="Arial" w:cs="Arial"/>
          <w:sz w:val="20"/>
          <w:szCs w:val="20"/>
        </w:rPr>
        <w:tab/>
        <w:t>Druga specializirana gradbena dela</w:t>
      </w:r>
    </w:p>
    <w:p w14:paraId="4F8997D2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49.420</w:t>
      </w:r>
      <w:r w:rsidRPr="00014F99">
        <w:rPr>
          <w:rFonts w:ascii="Arial" w:hAnsi="Arial" w:cs="Arial"/>
          <w:sz w:val="20"/>
          <w:szCs w:val="20"/>
        </w:rPr>
        <w:tab/>
        <w:t>Selitvena dejavnost</w:t>
      </w:r>
    </w:p>
    <w:p w14:paraId="6C923DE9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52.210 Spremljajoče storitvene dejavnosti v kopenskem prometu</w:t>
      </w:r>
    </w:p>
    <w:p w14:paraId="415DFFB1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52.290</w:t>
      </w:r>
      <w:r w:rsidRPr="00014F99">
        <w:rPr>
          <w:rFonts w:ascii="Arial" w:hAnsi="Arial" w:cs="Arial"/>
          <w:sz w:val="20"/>
          <w:szCs w:val="20"/>
        </w:rPr>
        <w:tab/>
        <w:t>Špedicija in druge spremljajoče prometne dejavnosti</w:t>
      </w:r>
    </w:p>
    <w:p w14:paraId="4E270071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63.120</w:t>
      </w:r>
      <w:r w:rsidRPr="00014F99">
        <w:rPr>
          <w:rFonts w:ascii="Arial" w:hAnsi="Arial" w:cs="Arial"/>
          <w:color w:val="FF6600"/>
          <w:sz w:val="20"/>
          <w:szCs w:val="20"/>
        </w:rPr>
        <w:tab/>
      </w:r>
      <w:r w:rsidRPr="00014F99">
        <w:rPr>
          <w:rFonts w:ascii="Arial" w:hAnsi="Arial" w:cs="Arial"/>
          <w:sz w:val="20"/>
          <w:szCs w:val="20"/>
        </w:rPr>
        <w:t>Obratovanje spletnih portalov</w:t>
      </w:r>
    </w:p>
    <w:p w14:paraId="4948D268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68.200</w:t>
      </w:r>
      <w:r w:rsidRPr="00014F99">
        <w:rPr>
          <w:rFonts w:ascii="Arial" w:hAnsi="Arial" w:cs="Arial"/>
          <w:sz w:val="20"/>
          <w:szCs w:val="20"/>
        </w:rPr>
        <w:tab/>
        <w:t>Oddajanje in obratovanje lastnih in najetih nepremičnin</w:t>
      </w:r>
    </w:p>
    <w:p w14:paraId="09BCB414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68.320</w:t>
      </w:r>
      <w:r w:rsidRPr="00014F99">
        <w:rPr>
          <w:rFonts w:ascii="Arial" w:hAnsi="Arial" w:cs="Arial"/>
          <w:sz w:val="20"/>
          <w:szCs w:val="20"/>
        </w:rPr>
        <w:tab/>
        <w:t>Upravljanje nepremičnin za plačilo ali po pogodbi</w:t>
      </w:r>
    </w:p>
    <w:p w14:paraId="27552401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71.111</w:t>
      </w:r>
      <w:r w:rsidRPr="00014F99">
        <w:rPr>
          <w:rFonts w:ascii="Arial" w:hAnsi="Arial" w:cs="Arial"/>
          <w:sz w:val="20"/>
          <w:szCs w:val="20"/>
        </w:rPr>
        <w:tab/>
        <w:t>Arhitekturno projektiranje</w:t>
      </w:r>
    </w:p>
    <w:p w14:paraId="085311CF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71.112</w:t>
      </w:r>
      <w:r w:rsidRPr="00014F99">
        <w:rPr>
          <w:rFonts w:ascii="Arial" w:hAnsi="Arial" w:cs="Arial"/>
          <w:sz w:val="20"/>
          <w:szCs w:val="20"/>
        </w:rPr>
        <w:tab/>
        <w:t>Krajinsko arhitekturno, urbanistično in drugo projektiranje</w:t>
      </w:r>
    </w:p>
    <w:p w14:paraId="75DEE4B3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71.129</w:t>
      </w:r>
      <w:r w:rsidRPr="00014F99">
        <w:rPr>
          <w:rFonts w:ascii="Arial" w:hAnsi="Arial" w:cs="Arial"/>
          <w:sz w:val="20"/>
          <w:szCs w:val="20"/>
        </w:rPr>
        <w:tab/>
        <w:t>Druge inženirske dejavnosti in tehnično svetovanje</w:t>
      </w:r>
    </w:p>
    <w:p w14:paraId="02F89134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73.110</w:t>
      </w:r>
      <w:r w:rsidRPr="00014F99">
        <w:rPr>
          <w:rFonts w:ascii="Arial" w:hAnsi="Arial" w:cs="Arial"/>
          <w:sz w:val="20"/>
          <w:szCs w:val="20"/>
        </w:rPr>
        <w:tab/>
        <w:t>Dejavnost oglaševalskih agencij</w:t>
      </w:r>
    </w:p>
    <w:p w14:paraId="14E73A35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73.120</w:t>
      </w:r>
      <w:r w:rsidRPr="00014F99">
        <w:rPr>
          <w:rFonts w:ascii="Arial" w:hAnsi="Arial" w:cs="Arial"/>
          <w:sz w:val="20"/>
          <w:szCs w:val="20"/>
        </w:rPr>
        <w:tab/>
        <w:t>Posredovanje oglaševalskega prostora</w:t>
      </w:r>
    </w:p>
    <w:p w14:paraId="05B0AD38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73.200</w:t>
      </w:r>
      <w:r w:rsidRPr="00014F99">
        <w:rPr>
          <w:rFonts w:ascii="Arial" w:hAnsi="Arial" w:cs="Arial"/>
          <w:sz w:val="20"/>
          <w:szCs w:val="20"/>
        </w:rPr>
        <w:tab/>
        <w:t>Raziskovanje trga in javnega mnenja</w:t>
      </w:r>
    </w:p>
    <w:p w14:paraId="65F1FD08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77.210  Dajanje športne opreme v najem in zakup</w:t>
      </w:r>
    </w:p>
    <w:p w14:paraId="0F8504E2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77.290  Dajanje drugih izdelkov za široko rabo v najem in zakup</w:t>
      </w:r>
    </w:p>
    <w:p w14:paraId="7D1917EE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77.390</w:t>
      </w:r>
      <w:r w:rsidRPr="00014F99">
        <w:rPr>
          <w:rFonts w:ascii="Arial" w:hAnsi="Arial" w:cs="Arial"/>
          <w:sz w:val="20"/>
          <w:szCs w:val="20"/>
        </w:rPr>
        <w:tab/>
        <w:t>Dajanje drugih strojev, naprav in opredmetenih sredstev v najem in zakup</w:t>
      </w:r>
    </w:p>
    <w:p w14:paraId="46B810C1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81.100</w:t>
      </w:r>
      <w:r w:rsidRPr="00014F99">
        <w:rPr>
          <w:rFonts w:ascii="Arial" w:hAnsi="Arial" w:cs="Arial"/>
          <w:sz w:val="20"/>
          <w:szCs w:val="20"/>
        </w:rPr>
        <w:tab/>
        <w:t>Vzdrževanje objektov in hišniška dejavnost</w:t>
      </w:r>
    </w:p>
    <w:p w14:paraId="1E67895E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81.210</w:t>
      </w:r>
      <w:r w:rsidRPr="00014F99">
        <w:rPr>
          <w:rFonts w:ascii="Arial" w:hAnsi="Arial" w:cs="Arial"/>
          <w:sz w:val="20"/>
          <w:szCs w:val="20"/>
        </w:rPr>
        <w:tab/>
        <w:t>Splošno čiščenje stavb</w:t>
      </w:r>
    </w:p>
    <w:p w14:paraId="050D990B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81.220 Drugo čiščenje stavb, industrijskih naprav in opreme</w:t>
      </w:r>
    </w:p>
    <w:p w14:paraId="75B4EFD1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81.290</w:t>
      </w:r>
      <w:r w:rsidRPr="00014F99">
        <w:rPr>
          <w:rFonts w:ascii="Arial" w:hAnsi="Arial" w:cs="Arial"/>
          <w:sz w:val="20"/>
          <w:szCs w:val="20"/>
        </w:rPr>
        <w:tab/>
        <w:t>Čiščenje cest  in drugo čiščenje</w:t>
      </w:r>
    </w:p>
    <w:p w14:paraId="3961274D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81.300  Urejanje in vzdrževanje zelenih površin in okolice</w:t>
      </w:r>
    </w:p>
    <w:p w14:paraId="5F2D90E8" w14:textId="77777777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lastRenderedPageBreak/>
        <w:t>82.300</w:t>
      </w:r>
      <w:r w:rsidRPr="00014F99">
        <w:rPr>
          <w:rFonts w:ascii="Arial" w:hAnsi="Arial" w:cs="Arial"/>
          <w:sz w:val="20"/>
          <w:szCs w:val="20"/>
        </w:rPr>
        <w:tab/>
        <w:t>Organiziranje razstav, sejmov, srečanj</w:t>
      </w:r>
    </w:p>
    <w:p w14:paraId="721D0F9C" w14:textId="2DF84106" w:rsidR="00E31D25" w:rsidRPr="00014F99" w:rsidRDefault="00E31D25" w:rsidP="00E31D25">
      <w:pPr>
        <w:jc w:val="both"/>
        <w:rPr>
          <w:rFonts w:ascii="Arial" w:hAnsi="Arial" w:cs="Arial"/>
          <w:sz w:val="20"/>
          <w:szCs w:val="20"/>
        </w:rPr>
      </w:pPr>
      <w:r w:rsidRPr="00014F99">
        <w:rPr>
          <w:rFonts w:ascii="Arial" w:hAnsi="Arial" w:cs="Arial"/>
          <w:sz w:val="20"/>
          <w:szCs w:val="20"/>
        </w:rPr>
        <w:t>82.990 Drugje nerazvrščene spremljajoče dejavnosti za poslovanje</w:t>
      </w:r>
      <w:r w:rsidR="00A347E3">
        <w:rPr>
          <w:rFonts w:ascii="Arial" w:hAnsi="Arial" w:cs="Arial"/>
          <w:sz w:val="20"/>
          <w:szCs w:val="20"/>
        </w:rPr>
        <w:t>«</w:t>
      </w:r>
    </w:p>
    <w:p w14:paraId="46EF12CC" w14:textId="77777777" w:rsidR="00014F99" w:rsidRDefault="00014F99" w:rsidP="00E31D25">
      <w:pPr>
        <w:jc w:val="both"/>
        <w:rPr>
          <w:rFonts w:ascii="Arial" w:hAnsi="Arial" w:cs="Arial"/>
          <w:bCs/>
          <w:sz w:val="22"/>
          <w:szCs w:val="22"/>
        </w:rPr>
      </w:pPr>
    </w:p>
    <w:p w14:paraId="7CEB2EE3" w14:textId="77777777" w:rsidR="00DD4396" w:rsidRPr="003031D2" w:rsidRDefault="00DD4396" w:rsidP="00E31D25">
      <w:pPr>
        <w:jc w:val="both"/>
        <w:rPr>
          <w:rFonts w:ascii="Arial" w:hAnsi="Arial" w:cs="Arial"/>
          <w:bCs/>
          <w:sz w:val="22"/>
          <w:szCs w:val="22"/>
        </w:rPr>
      </w:pPr>
    </w:p>
    <w:p w14:paraId="249604B7" w14:textId="77777777" w:rsidR="00E31D25" w:rsidRDefault="00E31D25" w:rsidP="00E31D25">
      <w:pPr>
        <w:numPr>
          <w:ilvl w:val="0"/>
          <w:numId w:val="3"/>
        </w:numPr>
        <w:jc w:val="center"/>
        <w:rPr>
          <w:rFonts w:ascii="Arial" w:hAnsi="Arial" w:cs="Arial"/>
          <w:b/>
          <w:sz w:val="22"/>
          <w:szCs w:val="22"/>
        </w:rPr>
      </w:pPr>
    </w:p>
    <w:p w14:paraId="7D70D27D" w14:textId="77777777" w:rsidR="00DD4396" w:rsidRDefault="00DD4396" w:rsidP="00E31D25">
      <w:pPr>
        <w:pStyle w:val="Blokbesedila"/>
        <w:ind w:left="0"/>
        <w:rPr>
          <w:rFonts w:cs="Arial"/>
          <w:sz w:val="22"/>
          <w:szCs w:val="22"/>
        </w:rPr>
      </w:pPr>
    </w:p>
    <w:p w14:paraId="2C16D5B0" w14:textId="5B18C02D" w:rsidR="00E31D25" w:rsidRDefault="00DD4396" w:rsidP="00E31D25">
      <w:pPr>
        <w:pStyle w:val="Blokbesedila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 s</w:t>
      </w:r>
      <w:r w:rsidR="00DD4ED1">
        <w:rPr>
          <w:rFonts w:cs="Arial"/>
          <w:sz w:val="22"/>
          <w:szCs w:val="22"/>
        </w:rPr>
        <w:t>klep velja takoj</w:t>
      </w:r>
      <w:r w:rsidR="006062B7">
        <w:rPr>
          <w:rFonts w:cs="Arial"/>
          <w:sz w:val="22"/>
          <w:szCs w:val="22"/>
        </w:rPr>
        <w:t>.</w:t>
      </w:r>
    </w:p>
    <w:p w14:paraId="2A37ADB5" w14:textId="2676FC4C" w:rsidR="00E31D25" w:rsidRDefault="00E31D25" w:rsidP="00E31D25">
      <w:pPr>
        <w:pStyle w:val="Blokbesedila"/>
        <w:ind w:left="0"/>
        <w:rPr>
          <w:rFonts w:cs="Arial"/>
          <w:sz w:val="22"/>
          <w:szCs w:val="22"/>
        </w:rPr>
      </w:pPr>
    </w:p>
    <w:p w14:paraId="3DB9C374" w14:textId="77777777" w:rsidR="00A67EDA" w:rsidRDefault="00A67EDA" w:rsidP="00E31D25">
      <w:pPr>
        <w:pStyle w:val="Blokbesedila"/>
        <w:ind w:left="0"/>
        <w:rPr>
          <w:rFonts w:cs="Arial"/>
          <w:sz w:val="22"/>
          <w:szCs w:val="22"/>
        </w:rPr>
      </w:pPr>
    </w:p>
    <w:p w14:paraId="66C2D1AB" w14:textId="77777777" w:rsidR="00DD4396" w:rsidRDefault="00DD4396" w:rsidP="00E31D25">
      <w:pPr>
        <w:pStyle w:val="Blokbesedila"/>
        <w:ind w:left="0"/>
        <w:rPr>
          <w:rFonts w:cs="Arial"/>
          <w:sz w:val="22"/>
          <w:szCs w:val="22"/>
        </w:rPr>
      </w:pPr>
    </w:p>
    <w:p w14:paraId="350FB73F" w14:textId="70139299" w:rsidR="00E31D25" w:rsidRPr="00DD4396" w:rsidRDefault="00E31D25" w:rsidP="00E31D25">
      <w:pPr>
        <w:pStyle w:val="Blokbesedila"/>
        <w:ind w:left="0"/>
        <w:rPr>
          <w:rFonts w:cs="Arial"/>
          <w:sz w:val="22"/>
          <w:szCs w:val="22"/>
        </w:rPr>
      </w:pPr>
      <w:r w:rsidRPr="00FB4E4E">
        <w:rPr>
          <w:rFonts w:cs="Arial"/>
          <w:sz w:val="22"/>
          <w:szCs w:val="22"/>
        </w:rPr>
        <w:t xml:space="preserve">Številka: </w:t>
      </w:r>
      <w:r>
        <w:rPr>
          <w:rFonts w:cs="Arial"/>
          <w:sz w:val="22"/>
          <w:szCs w:val="22"/>
        </w:rPr>
        <w:t>300-02-3/2003</w:t>
      </w:r>
      <w:r w:rsidR="00014F99">
        <w:rPr>
          <w:rFonts w:cs="Arial"/>
          <w:sz w:val="22"/>
          <w:szCs w:val="22"/>
        </w:rPr>
        <w:tab/>
      </w:r>
      <w:r w:rsidR="00014F99">
        <w:rPr>
          <w:rFonts w:cs="Arial"/>
          <w:sz w:val="22"/>
          <w:szCs w:val="22"/>
        </w:rPr>
        <w:tab/>
      </w:r>
      <w:r w:rsidR="00014F99">
        <w:rPr>
          <w:rFonts w:cs="Arial"/>
          <w:sz w:val="22"/>
          <w:szCs w:val="22"/>
        </w:rPr>
        <w:tab/>
      </w:r>
      <w:r w:rsidR="00014F99">
        <w:rPr>
          <w:rFonts w:cs="Arial"/>
          <w:sz w:val="22"/>
          <w:szCs w:val="22"/>
        </w:rPr>
        <w:tab/>
        <w:t xml:space="preserve">  </w:t>
      </w:r>
      <w:r w:rsidR="00A67EDA">
        <w:rPr>
          <w:rFonts w:cs="Arial"/>
          <w:sz w:val="22"/>
          <w:szCs w:val="22"/>
        </w:rPr>
        <w:t xml:space="preserve">                           </w:t>
      </w:r>
      <w:r w:rsidR="00014F99" w:rsidRPr="00DD4396">
        <w:rPr>
          <w:rFonts w:cs="Arial"/>
          <w:sz w:val="22"/>
          <w:szCs w:val="22"/>
        </w:rPr>
        <w:t>Samo Turel</w:t>
      </w:r>
    </w:p>
    <w:p w14:paraId="6E447D40" w14:textId="65DFE5B7" w:rsidR="003031D2" w:rsidRPr="00DD4396" w:rsidRDefault="00837B52" w:rsidP="00014F99">
      <w:pPr>
        <w:pStyle w:val="Blokbesedila"/>
        <w:ind w:left="0"/>
        <w:rPr>
          <w:rFonts w:cs="Arial"/>
          <w:sz w:val="22"/>
          <w:szCs w:val="22"/>
        </w:rPr>
      </w:pPr>
      <w:r w:rsidRPr="00DD4396">
        <w:rPr>
          <w:rFonts w:cs="Arial"/>
          <w:sz w:val="22"/>
          <w:szCs w:val="22"/>
        </w:rPr>
        <w:t xml:space="preserve">Nova Gorica, </w:t>
      </w:r>
      <w:r w:rsidR="00014F99" w:rsidRPr="00DD4396">
        <w:rPr>
          <w:rFonts w:cs="Arial"/>
          <w:sz w:val="22"/>
          <w:szCs w:val="22"/>
        </w:rPr>
        <w:tab/>
      </w:r>
      <w:r w:rsidR="00014F99" w:rsidRPr="00DD4396">
        <w:rPr>
          <w:rFonts w:cs="Arial"/>
          <w:sz w:val="22"/>
          <w:szCs w:val="22"/>
        </w:rPr>
        <w:tab/>
      </w:r>
      <w:r w:rsidR="00014F99" w:rsidRPr="00DD4396">
        <w:rPr>
          <w:rFonts w:cs="Arial"/>
          <w:sz w:val="22"/>
          <w:szCs w:val="22"/>
        </w:rPr>
        <w:tab/>
      </w:r>
      <w:r w:rsidR="00014F99" w:rsidRPr="00DD4396">
        <w:rPr>
          <w:rFonts w:cs="Arial"/>
          <w:sz w:val="22"/>
          <w:szCs w:val="22"/>
        </w:rPr>
        <w:tab/>
      </w:r>
      <w:r w:rsidR="00014F99" w:rsidRPr="00DD4396">
        <w:rPr>
          <w:rFonts w:cs="Arial"/>
          <w:sz w:val="22"/>
          <w:szCs w:val="22"/>
        </w:rPr>
        <w:tab/>
      </w:r>
      <w:r w:rsidR="00014F99" w:rsidRPr="00DD4396">
        <w:rPr>
          <w:rFonts w:cs="Arial"/>
          <w:sz w:val="22"/>
          <w:szCs w:val="22"/>
        </w:rPr>
        <w:tab/>
        <w:t xml:space="preserve">        </w:t>
      </w:r>
      <w:r w:rsidR="00A67EDA" w:rsidRPr="00DD4396">
        <w:rPr>
          <w:rFonts w:cs="Arial"/>
          <w:sz w:val="22"/>
          <w:szCs w:val="22"/>
        </w:rPr>
        <w:t xml:space="preserve">                       </w:t>
      </w:r>
      <w:r w:rsidR="00014F99" w:rsidRPr="00DD4396">
        <w:rPr>
          <w:rFonts w:cs="Arial"/>
          <w:sz w:val="22"/>
          <w:szCs w:val="22"/>
        </w:rPr>
        <w:t xml:space="preserve">  ŽUPAN</w:t>
      </w:r>
    </w:p>
    <w:p w14:paraId="0455923B" w14:textId="684B51E5" w:rsidR="003031D2" w:rsidRDefault="00014F99" w:rsidP="00E31D2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A612005" w14:textId="77777777" w:rsidR="00A347E3" w:rsidRDefault="00A347E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9C7B56A" w14:textId="77777777" w:rsidR="00DD4396" w:rsidRDefault="00DD4396" w:rsidP="00E31D2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2231EC" w14:textId="12607726" w:rsidR="00E31D25" w:rsidRPr="00DD4396" w:rsidRDefault="00E31D25" w:rsidP="00E31D25">
      <w:pPr>
        <w:jc w:val="both"/>
        <w:rPr>
          <w:rFonts w:ascii="Arial" w:hAnsi="Arial" w:cs="Arial"/>
          <w:sz w:val="22"/>
          <w:szCs w:val="22"/>
        </w:rPr>
      </w:pPr>
      <w:r w:rsidRPr="00DD4396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0" wp14:anchorId="76526A0A" wp14:editId="71AEF704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9525" b="9525"/>
            <wp:wrapTopAndBottom/>
            <wp:docPr id="1" name="Slika 1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396">
        <w:rPr>
          <w:rFonts w:ascii="Arial" w:hAnsi="Arial" w:cs="Arial"/>
          <w:sz w:val="22"/>
          <w:szCs w:val="22"/>
        </w:rPr>
        <w:t>Številka: 300-02-3/2003-</w:t>
      </w:r>
      <w:r w:rsidR="006C356E" w:rsidRPr="00DD4396">
        <w:rPr>
          <w:rFonts w:ascii="Arial" w:hAnsi="Arial" w:cs="Arial"/>
          <w:sz w:val="22"/>
          <w:szCs w:val="22"/>
        </w:rPr>
        <w:t>7</w:t>
      </w:r>
    </w:p>
    <w:p w14:paraId="3DE220AC" w14:textId="203A6034" w:rsidR="00E31D25" w:rsidRPr="00DD4396" w:rsidRDefault="00837B52" w:rsidP="00E31D25">
      <w:pPr>
        <w:jc w:val="both"/>
        <w:rPr>
          <w:rFonts w:ascii="Arial" w:hAnsi="Arial" w:cs="Arial"/>
          <w:sz w:val="22"/>
          <w:szCs w:val="22"/>
        </w:rPr>
      </w:pPr>
      <w:r w:rsidRPr="00DD4396">
        <w:rPr>
          <w:rFonts w:ascii="Arial" w:hAnsi="Arial" w:cs="Arial"/>
          <w:sz w:val="22"/>
          <w:szCs w:val="22"/>
        </w:rPr>
        <w:t xml:space="preserve">Nova Gorica, </w:t>
      </w:r>
      <w:r w:rsidR="00D06169">
        <w:rPr>
          <w:rFonts w:ascii="Arial" w:hAnsi="Arial" w:cs="Arial"/>
          <w:sz w:val="22"/>
          <w:szCs w:val="22"/>
        </w:rPr>
        <w:t xml:space="preserve">dne </w:t>
      </w:r>
      <w:r w:rsidRPr="00DD4396">
        <w:rPr>
          <w:rFonts w:ascii="Arial" w:hAnsi="Arial" w:cs="Arial"/>
          <w:sz w:val="22"/>
          <w:szCs w:val="22"/>
        </w:rPr>
        <w:t>6. marca 2023</w:t>
      </w:r>
    </w:p>
    <w:p w14:paraId="1B7CC84B" w14:textId="77777777" w:rsidR="00E31D25" w:rsidRDefault="00E31D25" w:rsidP="00E31D25">
      <w:pPr>
        <w:jc w:val="both"/>
        <w:rPr>
          <w:rFonts w:ascii="Arial" w:hAnsi="Arial" w:cs="Arial"/>
          <w:sz w:val="22"/>
          <w:szCs w:val="22"/>
        </w:rPr>
      </w:pPr>
    </w:p>
    <w:p w14:paraId="22738187" w14:textId="77777777" w:rsidR="00D06169" w:rsidRPr="00FB4E4E" w:rsidRDefault="00D06169" w:rsidP="00E31D25">
      <w:pPr>
        <w:jc w:val="both"/>
        <w:rPr>
          <w:rFonts w:ascii="Arial" w:hAnsi="Arial" w:cs="Arial"/>
          <w:sz w:val="22"/>
          <w:szCs w:val="22"/>
        </w:rPr>
      </w:pPr>
    </w:p>
    <w:p w14:paraId="1D1CA683" w14:textId="2AAF3C81" w:rsidR="00E31D25" w:rsidRPr="00D06169" w:rsidRDefault="00E31D25" w:rsidP="00E31D25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D06169">
        <w:rPr>
          <w:rFonts w:ascii="Arial" w:hAnsi="Arial" w:cs="Arial"/>
          <w:bCs/>
          <w:sz w:val="22"/>
          <w:szCs w:val="22"/>
        </w:rPr>
        <w:t>O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B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R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A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Z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L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O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Ž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I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T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E</w:t>
      </w:r>
      <w:r w:rsidR="00837B52" w:rsidRPr="00D06169">
        <w:rPr>
          <w:rFonts w:ascii="Arial" w:hAnsi="Arial" w:cs="Arial"/>
          <w:bCs/>
          <w:sz w:val="22"/>
          <w:szCs w:val="22"/>
        </w:rPr>
        <w:t xml:space="preserve"> </w:t>
      </w:r>
      <w:r w:rsidRPr="00D06169">
        <w:rPr>
          <w:rFonts w:ascii="Arial" w:hAnsi="Arial" w:cs="Arial"/>
          <w:bCs/>
          <w:sz w:val="22"/>
          <w:szCs w:val="22"/>
        </w:rPr>
        <w:t>V</w:t>
      </w:r>
    </w:p>
    <w:p w14:paraId="6F2CAB15" w14:textId="1785977D" w:rsidR="00E31D25" w:rsidRDefault="00E31D25" w:rsidP="00E31D25">
      <w:pPr>
        <w:jc w:val="both"/>
        <w:rPr>
          <w:rFonts w:ascii="Arial" w:hAnsi="Arial" w:cs="Arial"/>
          <w:sz w:val="22"/>
          <w:szCs w:val="22"/>
        </w:rPr>
      </w:pPr>
    </w:p>
    <w:p w14:paraId="1BBA8942" w14:textId="25CAF0C7" w:rsidR="008F1177" w:rsidRDefault="00D83C15" w:rsidP="00E31D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Mestni občini Nova Gorica </w:t>
      </w:r>
      <w:r w:rsidR="004316D1">
        <w:rPr>
          <w:rFonts w:ascii="Arial" w:hAnsi="Arial" w:cs="Arial"/>
          <w:sz w:val="22"/>
          <w:szCs w:val="22"/>
        </w:rPr>
        <w:t>smo</w:t>
      </w:r>
      <w:r w:rsidR="00E464A9">
        <w:rPr>
          <w:rFonts w:ascii="Arial" w:hAnsi="Arial" w:cs="Arial"/>
          <w:sz w:val="22"/>
          <w:szCs w:val="22"/>
        </w:rPr>
        <w:t xml:space="preserve"> preveri</w:t>
      </w:r>
      <w:r w:rsidR="004316D1">
        <w:rPr>
          <w:rFonts w:ascii="Arial" w:hAnsi="Arial" w:cs="Arial"/>
          <w:sz w:val="22"/>
          <w:szCs w:val="22"/>
        </w:rPr>
        <w:t>li</w:t>
      </w:r>
      <w:r w:rsidR="00E464A9">
        <w:rPr>
          <w:rFonts w:ascii="Arial" w:hAnsi="Arial" w:cs="Arial"/>
          <w:sz w:val="22"/>
          <w:szCs w:val="22"/>
        </w:rPr>
        <w:t xml:space="preserve"> </w:t>
      </w:r>
      <w:r w:rsidR="005566F6">
        <w:rPr>
          <w:rFonts w:ascii="Arial" w:hAnsi="Arial" w:cs="Arial"/>
          <w:sz w:val="22"/>
          <w:szCs w:val="22"/>
        </w:rPr>
        <w:t>možnost</w:t>
      </w:r>
      <w:r w:rsidR="00E464A9">
        <w:rPr>
          <w:rFonts w:ascii="Arial" w:hAnsi="Arial" w:cs="Arial"/>
          <w:sz w:val="22"/>
          <w:szCs w:val="22"/>
        </w:rPr>
        <w:t xml:space="preserve"> uporabe streh javnih objektov z</w:t>
      </w:r>
      <w:r w:rsidR="00014F99">
        <w:rPr>
          <w:rFonts w:ascii="Arial" w:hAnsi="Arial" w:cs="Arial"/>
          <w:sz w:val="22"/>
          <w:szCs w:val="22"/>
        </w:rPr>
        <w:t>a</w:t>
      </w:r>
      <w:r w:rsidR="00E464A9">
        <w:rPr>
          <w:rFonts w:ascii="Arial" w:hAnsi="Arial" w:cs="Arial"/>
          <w:sz w:val="22"/>
          <w:szCs w:val="22"/>
        </w:rPr>
        <w:t xml:space="preserve"> namen postavitve sončnih elektrarn</w:t>
      </w:r>
      <w:r w:rsidR="00A347E3">
        <w:rPr>
          <w:rFonts w:ascii="Arial" w:hAnsi="Arial" w:cs="Arial"/>
          <w:sz w:val="22"/>
          <w:szCs w:val="22"/>
        </w:rPr>
        <w:t>,</w:t>
      </w:r>
      <w:r w:rsidR="004316D1">
        <w:rPr>
          <w:rFonts w:ascii="Arial" w:hAnsi="Arial" w:cs="Arial"/>
          <w:sz w:val="22"/>
          <w:szCs w:val="22"/>
        </w:rPr>
        <w:t xml:space="preserve"> in sicer na strehah</w:t>
      </w:r>
      <w:r w:rsidR="00B507F1">
        <w:rPr>
          <w:rFonts w:ascii="Arial" w:hAnsi="Arial" w:cs="Arial"/>
          <w:sz w:val="22"/>
          <w:szCs w:val="22"/>
        </w:rPr>
        <w:t xml:space="preserve"> objektov</w:t>
      </w:r>
      <w:r w:rsidR="004316D1">
        <w:rPr>
          <w:rFonts w:ascii="Arial" w:hAnsi="Arial" w:cs="Arial"/>
          <w:sz w:val="22"/>
          <w:szCs w:val="22"/>
        </w:rPr>
        <w:t xml:space="preserve"> OŠ Milojke Štrukelj, OŠ Frana Erjavca in Zavoda za šport</w:t>
      </w:r>
      <w:r w:rsidR="003675BB">
        <w:rPr>
          <w:rFonts w:ascii="Arial" w:hAnsi="Arial" w:cs="Arial"/>
          <w:sz w:val="22"/>
          <w:szCs w:val="22"/>
        </w:rPr>
        <w:t xml:space="preserve"> (tribune stadiona).</w:t>
      </w:r>
      <w:r w:rsidR="005566F6">
        <w:rPr>
          <w:rFonts w:ascii="Arial" w:hAnsi="Arial" w:cs="Arial"/>
          <w:sz w:val="22"/>
          <w:szCs w:val="22"/>
        </w:rPr>
        <w:t xml:space="preserve"> </w:t>
      </w:r>
      <w:r w:rsidR="004316D1">
        <w:rPr>
          <w:rFonts w:ascii="Arial" w:hAnsi="Arial" w:cs="Arial"/>
          <w:sz w:val="22"/>
          <w:szCs w:val="22"/>
        </w:rPr>
        <w:t xml:space="preserve">Vse analize in preglede je opravila Goriška lokalna energetska agencija - </w:t>
      </w:r>
      <w:proofErr w:type="spellStart"/>
      <w:r w:rsidR="004316D1">
        <w:rPr>
          <w:rFonts w:ascii="Arial" w:hAnsi="Arial" w:cs="Arial"/>
          <w:sz w:val="22"/>
          <w:szCs w:val="22"/>
        </w:rPr>
        <w:t>Golea</w:t>
      </w:r>
      <w:proofErr w:type="spellEnd"/>
      <w:r w:rsidR="004316D1">
        <w:rPr>
          <w:rFonts w:ascii="Arial" w:hAnsi="Arial" w:cs="Arial"/>
          <w:sz w:val="22"/>
          <w:szCs w:val="22"/>
        </w:rPr>
        <w:t xml:space="preserve">. </w:t>
      </w:r>
      <w:r w:rsidR="008F1177">
        <w:rPr>
          <w:rFonts w:ascii="Arial" w:hAnsi="Arial" w:cs="Arial"/>
          <w:sz w:val="22"/>
          <w:szCs w:val="22"/>
        </w:rPr>
        <w:t>Razlog za t</w:t>
      </w:r>
      <w:r w:rsidR="004316D1">
        <w:rPr>
          <w:rFonts w:ascii="Arial" w:hAnsi="Arial" w:cs="Arial"/>
          <w:sz w:val="22"/>
          <w:szCs w:val="22"/>
        </w:rPr>
        <w:t>a korak</w:t>
      </w:r>
      <w:r w:rsidR="008F1177">
        <w:rPr>
          <w:rFonts w:ascii="Arial" w:hAnsi="Arial" w:cs="Arial"/>
          <w:sz w:val="22"/>
          <w:szCs w:val="22"/>
        </w:rPr>
        <w:t xml:space="preserve"> </w:t>
      </w:r>
      <w:r w:rsidR="005651CF">
        <w:rPr>
          <w:rFonts w:ascii="Arial" w:hAnsi="Arial" w:cs="Arial"/>
          <w:sz w:val="22"/>
          <w:szCs w:val="22"/>
        </w:rPr>
        <w:t>je</w:t>
      </w:r>
      <w:r w:rsidR="008F1177">
        <w:rPr>
          <w:rFonts w:ascii="Arial" w:hAnsi="Arial" w:cs="Arial"/>
          <w:sz w:val="22"/>
          <w:szCs w:val="22"/>
        </w:rPr>
        <w:t xml:space="preserve"> občutno </w:t>
      </w:r>
      <w:r w:rsidR="00A30141">
        <w:rPr>
          <w:rFonts w:ascii="Arial" w:hAnsi="Arial" w:cs="Arial"/>
          <w:sz w:val="22"/>
          <w:szCs w:val="22"/>
        </w:rPr>
        <w:t xml:space="preserve">povišanje </w:t>
      </w:r>
      <w:r w:rsidR="008F1177">
        <w:rPr>
          <w:rFonts w:ascii="Arial" w:hAnsi="Arial" w:cs="Arial"/>
          <w:sz w:val="22"/>
          <w:szCs w:val="22"/>
        </w:rPr>
        <w:t xml:space="preserve">cen električne energije v zadnjih dveh letih, na drugi strani pa </w:t>
      </w:r>
      <w:r w:rsidR="007902F1">
        <w:rPr>
          <w:rFonts w:ascii="Arial" w:hAnsi="Arial" w:cs="Arial"/>
          <w:sz w:val="22"/>
          <w:szCs w:val="22"/>
        </w:rPr>
        <w:t xml:space="preserve">možnost </w:t>
      </w:r>
      <w:r w:rsidR="005651CF">
        <w:rPr>
          <w:rFonts w:ascii="Arial" w:hAnsi="Arial" w:cs="Arial"/>
          <w:sz w:val="22"/>
          <w:szCs w:val="22"/>
        </w:rPr>
        <w:t xml:space="preserve">pridobitve </w:t>
      </w:r>
      <w:r w:rsidR="008F1177">
        <w:rPr>
          <w:rFonts w:ascii="Arial" w:hAnsi="Arial" w:cs="Arial"/>
          <w:sz w:val="22"/>
          <w:szCs w:val="22"/>
        </w:rPr>
        <w:t>državn</w:t>
      </w:r>
      <w:r w:rsidR="007902F1">
        <w:rPr>
          <w:rFonts w:ascii="Arial" w:hAnsi="Arial" w:cs="Arial"/>
          <w:sz w:val="22"/>
          <w:szCs w:val="22"/>
        </w:rPr>
        <w:t>ih</w:t>
      </w:r>
      <w:r w:rsidR="008F1177">
        <w:rPr>
          <w:rFonts w:ascii="Arial" w:hAnsi="Arial" w:cs="Arial"/>
          <w:sz w:val="22"/>
          <w:szCs w:val="22"/>
        </w:rPr>
        <w:t xml:space="preserve"> spodbud, </w:t>
      </w:r>
      <w:r w:rsidR="007902F1">
        <w:rPr>
          <w:rFonts w:ascii="Arial" w:hAnsi="Arial" w:cs="Arial"/>
          <w:sz w:val="22"/>
          <w:szCs w:val="22"/>
        </w:rPr>
        <w:t>s čimer</w:t>
      </w:r>
      <w:r w:rsidR="008F1177">
        <w:rPr>
          <w:rFonts w:ascii="Arial" w:hAnsi="Arial" w:cs="Arial"/>
          <w:sz w:val="22"/>
          <w:szCs w:val="22"/>
        </w:rPr>
        <w:t xml:space="preserve"> so</w:t>
      </w:r>
      <w:r w:rsidR="007902F1">
        <w:rPr>
          <w:rFonts w:ascii="Arial" w:hAnsi="Arial" w:cs="Arial"/>
          <w:sz w:val="22"/>
          <w:szCs w:val="22"/>
        </w:rPr>
        <w:t xml:space="preserve"> se</w:t>
      </w:r>
      <w:r w:rsidR="008F1177">
        <w:rPr>
          <w:rFonts w:ascii="Arial" w:hAnsi="Arial" w:cs="Arial"/>
          <w:sz w:val="22"/>
          <w:szCs w:val="22"/>
        </w:rPr>
        <w:t xml:space="preserve"> bistveno spremenile ekonomske kalkulacije glede smiselnosti postavitve sončnih elektrarn.</w:t>
      </w:r>
    </w:p>
    <w:p w14:paraId="7FFBA3F3" w14:textId="5FD336B6" w:rsidR="008F1177" w:rsidRDefault="00D16622" w:rsidP="00E31D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tem </w:t>
      </w:r>
      <w:r w:rsidR="004316D1">
        <w:rPr>
          <w:rFonts w:ascii="Arial" w:hAnsi="Arial" w:cs="Arial"/>
          <w:sz w:val="22"/>
          <w:szCs w:val="22"/>
        </w:rPr>
        <w:t>korakom bi pripomogli tudi</w:t>
      </w:r>
      <w:r>
        <w:rPr>
          <w:rFonts w:ascii="Arial" w:hAnsi="Arial" w:cs="Arial"/>
          <w:sz w:val="22"/>
          <w:szCs w:val="22"/>
        </w:rPr>
        <w:t xml:space="preserve"> k zasledovanju cilja zapisanega v Nacionalnem energetskem in podnebnem načrtu glede zmanjšanja izpustov toplogrednih plinov za 40 % do leta 2030 glede na začetno leto 1990.</w:t>
      </w:r>
    </w:p>
    <w:p w14:paraId="598609EA" w14:textId="5E48B840" w:rsidR="007902F1" w:rsidRDefault="007902F1" w:rsidP="00E31D25">
      <w:pPr>
        <w:jc w:val="both"/>
        <w:rPr>
          <w:rFonts w:ascii="Arial" w:hAnsi="Arial" w:cs="Arial"/>
          <w:sz w:val="22"/>
          <w:szCs w:val="22"/>
        </w:rPr>
      </w:pPr>
    </w:p>
    <w:p w14:paraId="3369B353" w14:textId="3D16F1A9" w:rsidR="00A67EDA" w:rsidRDefault="00A67EDA" w:rsidP="00E31D25">
      <w:pPr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 xml:space="preserve">Ministrstvo za infrastrukturo je objavilo Javni razpis za sofinanciranje operacij gradnje novih manjših proizvodnih naprav za proizvodnjo električne energije z izrabo sončne energije, ki je sicer trenutno zaprt, </w:t>
      </w:r>
      <w:r w:rsidR="00D01C9B">
        <w:rPr>
          <w:rStyle w:val="fontstyle01"/>
          <w:rFonts w:ascii="Arial" w:hAnsi="Arial" w:cs="Arial"/>
          <w:sz w:val="22"/>
          <w:szCs w:val="22"/>
        </w:rPr>
        <w:t>na katerega pa so se lahko prijavile le gospodarske družbe in samostojni podjetniki posamezniki po Zakonu o gospodarskih družbah in zadruge po Zakonu o zadrugah. Občina se na ta razpis ni mogla prijaviti in ni bila upravičenec do</w:t>
      </w:r>
      <w:r w:rsidR="00485B47">
        <w:rPr>
          <w:rStyle w:val="fontstyle01"/>
          <w:rFonts w:ascii="Arial" w:hAnsi="Arial" w:cs="Arial"/>
          <w:sz w:val="22"/>
          <w:szCs w:val="22"/>
        </w:rPr>
        <w:t xml:space="preserve"> državnih </w:t>
      </w:r>
      <w:r w:rsidR="00D01C9B">
        <w:rPr>
          <w:rStyle w:val="fontstyle01"/>
          <w:rFonts w:ascii="Arial" w:hAnsi="Arial" w:cs="Arial"/>
          <w:sz w:val="22"/>
          <w:szCs w:val="22"/>
        </w:rPr>
        <w:t>subvencij za investiranje v postavitev sončnih elektrarn.</w:t>
      </w:r>
    </w:p>
    <w:p w14:paraId="0E2711A1" w14:textId="3441C6AC" w:rsidR="00D01C9B" w:rsidRDefault="00D01C9B" w:rsidP="00E31D25">
      <w:pPr>
        <w:jc w:val="both"/>
        <w:rPr>
          <w:rStyle w:val="fontstyle01"/>
          <w:rFonts w:ascii="Arial" w:hAnsi="Arial" w:cs="Arial"/>
          <w:sz w:val="22"/>
          <w:szCs w:val="22"/>
        </w:rPr>
      </w:pPr>
    </w:p>
    <w:p w14:paraId="5A6F8C00" w14:textId="1A6106D5" w:rsidR="00485B47" w:rsidRDefault="00485B47" w:rsidP="00E31D25">
      <w:pPr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Objava podobnih razpisov se pričakuje tudi v prihodnje, občina pa bo morala po zakonitem postopku in na gospodaren način izbrati ustreznega ponudnika, ki bo pod vnaprej določenimi pogoji pripravljen investirati v izgradnjo sončnih elektrarn na strehah objektov v lasti občine.</w:t>
      </w:r>
    </w:p>
    <w:p w14:paraId="70AC3D40" w14:textId="0E5A19D4" w:rsidR="00485B47" w:rsidRDefault="00485B47" w:rsidP="00485B47">
      <w:pPr>
        <w:jc w:val="both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 xml:space="preserve">Ker želimo, da ima možnost prijaviti se na tak poziv tudi javno podjetje Mestne storitve, </w:t>
      </w:r>
      <w:proofErr w:type="spellStart"/>
      <w:r>
        <w:rPr>
          <w:rStyle w:val="fontstyle01"/>
          <w:rFonts w:ascii="Arial" w:hAnsi="Arial" w:cs="Arial"/>
          <w:sz w:val="22"/>
          <w:szCs w:val="22"/>
        </w:rPr>
        <w:t>d.o.o</w:t>
      </w:r>
      <w:proofErr w:type="spellEnd"/>
      <w:r>
        <w:rPr>
          <w:rStyle w:val="fontstyle01"/>
          <w:rFonts w:ascii="Arial" w:hAnsi="Arial" w:cs="Arial"/>
          <w:sz w:val="22"/>
          <w:szCs w:val="22"/>
        </w:rPr>
        <w:t>., ki je v 100 % lasti Mestne občine Nova Gorica, je potrebno v ustanovitvenem aktu dopolniti regi</w:t>
      </w:r>
      <w:r w:rsidR="00D44842">
        <w:rPr>
          <w:rStyle w:val="fontstyle01"/>
          <w:rFonts w:ascii="Arial" w:hAnsi="Arial" w:cs="Arial"/>
          <w:sz w:val="22"/>
          <w:szCs w:val="22"/>
        </w:rPr>
        <w:t>stracijo z naslednjimi dejavnostmi iz Standardne klasifikacije dejavnosti:</w:t>
      </w:r>
    </w:p>
    <w:p w14:paraId="1AB6A51B" w14:textId="77777777" w:rsidR="00485B47" w:rsidRPr="005566F6" w:rsidRDefault="00485B47" w:rsidP="00485B4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566F6">
        <w:rPr>
          <w:rFonts w:ascii="Arial" w:hAnsi="Arial" w:cs="Arial"/>
          <w:sz w:val="22"/>
          <w:szCs w:val="22"/>
        </w:rPr>
        <w:t>35.119 Druga proizvodnja električne energije</w:t>
      </w:r>
    </w:p>
    <w:p w14:paraId="6BE8C32A" w14:textId="77777777" w:rsidR="00485B47" w:rsidRPr="005566F6" w:rsidRDefault="00485B47" w:rsidP="00485B4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566F6">
        <w:rPr>
          <w:rFonts w:ascii="Arial" w:hAnsi="Arial" w:cs="Arial"/>
          <w:sz w:val="22"/>
          <w:szCs w:val="22"/>
        </w:rPr>
        <w:t>35.120 Prenos električne energije</w:t>
      </w:r>
    </w:p>
    <w:p w14:paraId="5B94119A" w14:textId="77777777" w:rsidR="00485B47" w:rsidRPr="005566F6" w:rsidRDefault="00485B47" w:rsidP="00485B4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566F6">
        <w:rPr>
          <w:rFonts w:ascii="Arial" w:hAnsi="Arial" w:cs="Arial"/>
          <w:sz w:val="22"/>
          <w:szCs w:val="22"/>
        </w:rPr>
        <w:t>35.130 Distribucija električne energije</w:t>
      </w:r>
    </w:p>
    <w:p w14:paraId="5A7417C9" w14:textId="77777777" w:rsidR="00485B47" w:rsidRPr="005566F6" w:rsidRDefault="00485B47" w:rsidP="00485B4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566F6">
        <w:rPr>
          <w:rFonts w:ascii="Arial" w:hAnsi="Arial" w:cs="Arial"/>
          <w:sz w:val="22"/>
          <w:szCs w:val="22"/>
        </w:rPr>
        <w:t>35.140 Trgovanje z električno energijo</w:t>
      </w:r>
      <w:r>
        <w:rPr>
          <w:rFonts w:ascii="Arial" w:hAnsi="Arial" w:cs="Arial"/>
          <w:sz w:val="22"/>
          <w:szCs w:val="22"/>
        </w:rPr>
        <w:t>.</w:t>
      </w:r>
    </w:p>
    <w:p w14:paraId="1B03833B" w14:textId="4BFB409F" w:rsidR="004D58E2" w:rsidRDefault="004D58E2" w:rsidP="00E31D25">
      <w:pPr>
        <w:jc w:val="both"/>
        <w:rPr>
          <w:rStyle w:val="fontstyle01"/>
          <w:rFonts w:ascii="Arial" w:hAnsi="Arial" w:cs="Arial"/>
          <w:sz w:val="22"/>
          <w:szCs w:val="22"/>
        </w:rPr>
      </w:pPr>
    </w:p>
    <w:p w14:paraId="01A588F6" w14:textId="7C218965" w:rsidR="005566F6" w:rsidRPr="00295DBE" w:rsidRDefault="005566F6" w:rsidP="00D83C15">
      <w:pPr>
        <w:pStyle w:val="Default"/>
        <w:jc w:val="both"/>
        <w:rPr>
          <w:b/>
          <w:sz w:val="22"/>
          <w:szCs w:val="22"/>
        </w:rPr>
      </w:pPr>
      <w:r w:rsidRPr="00295DBE">
        <w:rPr>
          <w:b/>
          <w:sz w:val="22"/>
          <w:szCs w:val="22"/>
        </w:rPr>
        <w:t>Mestnemu svetu</w:t>
      </w:r>
      <w:r w:rsidR="00D83C15">
        <w:rPr>
          <w:b/>
          <w:sz w:val="22"/>
          <w:szCs w:val="22"/>
        </w:rPr>
        <w:t xml:space="preserve"> Mestne občine Nova Gorica</w:t>
      </w:r>
      <w:r w:rsidRPr="00295DBE">
        <w:rPr>
          <w:b/>
          <w:sz w:val="22"/>
          <w:szCs w:val="22"/>
        </w:rPr>
        <w:t xml:space="preserve"> predlagamo</w:t>
      </w:r>
      <w:r>
        <w:rPr>
          <w:b/>
          <w:sz w:val="22"/>
          <w:szCs w:val="22"/>
        </w:rPr>
        <w:t>,</w:t>
      </w:r>
      <w:r w:rsidRPr="00295DBE">
        <w:rPr>
          <w:b/>
          <w:sz w:val="22"/>
          <w:szCs w:val="22"/>
        </w:rPr>
        <w:t xml:space="preserve"> da predloženi sklep obravnava in sprejme.</w:t>
      </w:r>
    </w:p>
    <w:p w14:paraId="4134E847" w14:textId="77777777" w:rsidR="00E31D25" w:rsidRDefault="00E31D25" w:rsidP="00E31D25">
      <w:pPr>
        <w:jc w:val="both"/>
        <w:rPr>
          <w:rFonts w:ascii="Arial" w:hAnsi="Arial" w:cs="Arial"/>
          <w:sz w:val="22"/>
          <w:szCs w:val="22"/>
        </w:rPr>
      </w:pPr>
    </w:p>
    <w:p w14:paraId="5F977B8D" w14:textId="77777777" w:rsidR="0037673A" w:rsidRDefault="0037673A" w:rsidP="00E31D25">
      <w:pPr>
        <w:jc w:val="both"/>
        <w:rPr>
          <w:rFonts w:ascii="Arial" w:hAnsi="Arial" w:cs="Arial"/>
          <w:sz w:val="22"/>
          <w:szCs w:val="22"/>
        </w:rPr>
      </w:pPr>
    </w:p>
    <w:p w14:paraId="5D6B505B" w14:textId="516BB227" w:rsidR="005566F6" w:rsidRPr="0037673A" w:rsidRDefault="005566F6" w:rsidP="005566F6">
      <w:pPr>
        <w:jc w:val="both"/>
        <w:rPr>
          <w:rFonts w:ascii="Arial" w:hAnsi="Arial" w:cs="Arial"/>
          <w:bCs/>
          <w:sz w:val="22"/>
          <w:szCs w:val="22"/>
        </w:rPr>
      </w:pPr>
      <w:r w:rsidRPr="006C356E">
        <w:rPr>
          <w:rFonts w:ascii="Arial" w:hAnsi="Arial" w:cs="Arial"/>
          <w:sz w:val="22"/>
          <w:szCs w:val="22"/>
        </w:rPr>
        <w:t>Martina Remec Pečenko</w:t>
      </w:r>
      <w:r w:rsidRPr="006C356E">
        <w:rPr>
          <w:rFonts w:ascii="Arial" w:hAnsi="Arial" w:cs="Arial"/>
          <w:sz w:val="22"/>
          <w:szCs w:val="22"/>
        </w:rPr>
        <w:tab/>
      </w:r>
      <w:r w:rsidRPr="006C356E">
        <w:rPr>
          <w:rFonts w:ascii="Arial" w:hAnsi="Arial" w:cs="Arial"/>
          <w:sz w:val="22"/>
          <w:szCs w:val="22"/>
        </w:rPr>
        <w:tab/>
      </w:r>
      <w:r w:rsidRPr="006C356E">
        <w:rPr>
          <w:rFonts w:ascii="Arial" w:hAnsi="Arial" w:cs="Arial"/>
          <w:sz w:val="22"/>
          <w:szCs w:val="22"/>
        </w:rPr>
        <w:tab/>
      </w:r>
      <w:r w:rsidRPr="006C356E">
        <w:rPr>
          <w:rFonts w:ascii="Arial" w:hAnsi="Arial" w:cs="Arial"/>
          <w:sz w:val="22"/>
          <w:szCs w:val="22"/>
        </w:rPr>
        <w:tab/>
      </w:r>
      <w:r w:rsidRPr="006C356E">
        <w:rPr>
          <w:rFonts w:ascii="Arial" w:hAnsi="Arial" w:cs="Arial"/>
          <w:sz w:val="22"/>
          <w:szCs w:val="22"/>
        </w:rPr>
        <w:tab/>
      </w:r>
      <w:r w:rsidRPr="006C356E">
        <w:rPr>
          <w:rFonts w:ascii="Arial" w:hAnsi="Arial" w:cs="Arial"/>
          <w:sz w:val="22"/>
          <w:szCs w:val="22"/>
        </w:rPr>
        <w:tab/>
      </w:r>
      <w:r w:rsidR="0037673A">
        <w:rPr>
          <w:rFonts w:ascii="Arial" w:hAnsi="Arial" w:cs="Arial"/>
          <w:sz w:val="22"/>
          <w:szCs w:val="22"/>
        </w:rPr>
        <w:t xml:space="preserve"> </w:t>
      </w:r>
      <w:r w:rsidRPr="0037673A">
        <w:rPr>
          <w:rFonts w:ascii="Arial" w:hAnsi="Arial" w:cs="Arial"/>
          <w:bCs/>
          <w:sz w:val="22"/>
          <w:szCs w:val="22"/>
        </w:rPr>
        <w:t>Samo Turel</w:t>
      </w:r>
    </w:p>
    <w:p w14:paraId="78F68BB2" w14:textId="77777777" w:rsidR="005566F6" w:rsidRPr="0037673A" w:rsidRDefault="005566F6" w:rsidP="005566F6">
      <w:pPr>
        <w:jc w:val="both"/>
        <w:rPr>
          <w:rFonts w:ascii="Arial" w:hAnsi="Arial" w:cs="Arial"/>
          <w:bCs/>
          <w:sz w:val="22"/>
          <w:szCs w:val="22"/>
        </w:rPr>
      </w:pPr>
      <w:r w:rsidRPr="0037673A">
        <w:rPr>
          <w:rFonts w:ascii="Arial" w:hAnsi="Arial" w:cs="Arial"/>
          <w:bCs/>
          <w:sz w:val="22"/>
          <w:szCs w:val="22"/>
        </w:rPr>
        <w:t xml:space="preserve">vodja Oddelka za gospodarstvo </w:t>
      </w:r>
      <w:r w:rsidRPr="0037673A">
        <w:rPr>
          <w:rFonts w:ascii="Arial" w:hAnsi="Arial" w:cs="Arial"/>
          <w:bCs/>
          <w:sz w:val="22"/>
          <w:szCs w:val="22"/>
        </w:rPr>
        <w:tab/>
      </w:r>
      <w:r w:rsidRPr="0037673A">
        <w:rPr>
          <w:rFonts w:ascii="Arial" w:hAnsi="Arial" w:cs="Arial"/>
          <w:bCs/>
          <w:sz w:val="22"/>
          <w:szCs w:val="22"/>
        </w:rPr>
        <w:tab/>
      </w:r>
      <w:r w:rsidRPr="0037673A">
        <w:rPr>
          <w:rFonts w:ascii="Arial" w:hAnsi="Arial" w:cs="Arial"/>
          <w:bCs/>
          <w:sz w:val="22"/>
          <w:szCs w:val="22"/>
        </w:rPr>
        <w:tab/>
      </w:r>
      <w:r w:rsidRPr="0037673A">
        <w:rPr>
          <w:rFonts w:ascii="Arial" w:hAnsi="Arial" w:cs="Arial"/>
          <w:bCs/>
          <w:sz w:val="22"/>
          <w:szCs w:val="22"/>
        </w:rPr>
        <w:tab/>
      </w:r>
      <w:r w:rsidRPr="0037673A">
        <w:rPr>
          <w:rFonts w:ascii="Arial" w:hAnsi="Arial" w:cs="Arial"/>
          <w:bCs/>
          <w:sz w:val="22"/>
          <w:szCs w:val="22"/>
        </w:rPr>
        <w:tab/>
        <w:t xml:space="preserve">    ŽUPAN</w:t>
      </w:r>
    </w:p>
    <w:p w14:paraId="255A274C" w14:textId="77777777" w:rsidR="005566F6" w:rsidRPr="006C356E" w:rsidRDefault="005566F6" w:rsidP="005566F6">
      <w:pPr>
        <w:jc w:val="both"/>
        <w:rPr>
          <w:rFonts w:ascii="Arial" w:hAnsi="Arial" w:cs="Arial"/>
          <w:sz w:val="22"/>
          <w:szCs w:val="22"/>
        </w:rPr>
      </w:pPr>
      <w:r w:rsidRPr="006C356E">
        <w:rPr>
          <w:rFonts w:ascii="Arial" w:hAnsi="Arial" w:cs="Arial"/>
          <w:sz w:val="22"/>
          <w:szCs w:val="22"/>
        </w:rPr>
        <w:t>in gospodarske javne službe</w:t>
      </w:r>
    </w:p>
    <w:p w14:paraId="22CF8956" w14:textId="5A1F73A0" w:rsidR="00E31D25" w:rsidRPr="006C356E" w:rsidRDefault="00E31D25" w:rsidP="00E31D25">
      <w:pPr>
        <w:rPr>
          <w:rFonts w:ascii="Arial" w:hAnsi="Arial" w:cs="Arial"/>
          <w:sz w:val="22"/>
          <w:szCs w:val="22"/>
        </w:rPr>
      </w:pPr>
    </w:p>
    <w:p w14:paraId="03A3BA4A" w14:textId="69A02F2E" w:rsidR="00485B47" w:rsidRPr="006C356E" w:rsidRDefault="00485B47" w:rsidP="00E31D25">
      <w:pPr>
        <w:rPr>
          <w:rFonts w:ascii="Arial" w:hAnsi="Arial" w:cs="Arial"/>
          <w:sz w:val="22"/>
          <w:szCs w:val="22"/>
        </w:rPr>
      </w:pPr>
    </w:p>
    <w:p w14:paraId="4EDCE2E7" w14:textId="5C7088FA" w:rsidR="00D71F52" w:rsidRPr="006C356E" w:rsidRDefault="00485B47" w:rsidP="007C73A5">
      <w:pPr>
        <w:rPr>
          <w:rFonts w:ascii="Arial" w:hAnsi="Arial" w:cs="Arial"/>
          <w:sz w:val="22"/>
          <w:szCs w:val="22"/>
        </w:rPr>
      </w:pPr>
      <w:r w:rsidRPr="006C356E">
        <w:rPr>
          <w:rFonts w:ascii="Arial" w:hAnsi="Arial" w:cs="Arial"/>
          <w:sz w:val="22"/>
          <w:szCs w:val="22"/>
        </w:rPr>
        <w:t>Matej Živec</w:t>
      </w:r>
    </w:p>
    <w:p w14:paraId="6443B7C2" w14:textId="204CB32A" w:rsidR="00485B47" w:rsidRPr="006C356E" w:rsidRDefault="00485B47" w:rsidP="007C73A5">
      <w:pPr>
        <w:rPr>
          <w:rFonts w:ascii="Arial" w:hAnsi="Arial" w:cs="Arial"/>
          <w:sz w:val="22"/>
          <w:szCs w:val="22"/>
        </w:rPr>
      </w:pPr>
      <w:r w:rsidRPr="006C356E">
        <w:rPr>
          <w:rFonts w:ascii="Arial" w:hAnsi="Arial" w:cs="Arial"/>
          <w:sz w:val="22"/>
          <w:szCs w:val="22"/>
        </w:rPr>
        <w:t>Višji svetovalec za</w:t>
      </w:r>
    </w:p>
    <w:p w14:paraId="39821B9D" w14:textId="034C0027" w:rsidR="00485B47" w:rsidRPr="006C356E" w:rsidRDefault="00485B47" w:rsidP="007C73A5">
      <w:pPr>
        <w:rPr>
          <w:rFonts w:ascii="Arial" w:hAnsi="Arial" w:cs="Arial"/>
          <w:sz w:val="22"/>
          <w:szCs w:val="22"/>
        </w:rPr>
      </w:pPr>
      <w:r w:rsidRPr="006C356E">
        <w:rPr>
          <w:rFonts w:ascii="Arial" w:hAnsi="Arial" w:cs="Arial"/>
          <w:sz w:val="22"/>
          <w:szCs w:val="22"/>
        </w:rPr>
        <w:t>gospodarske javne službe</w:t>
      </w:r>
    </w:p>
    <w:sectPr w:rsidR="00485B47" w:rsidRPr="006C356E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88A8" w14:textId="77777777" w:rsidR="00947322" w:rsidRDefault="00947322">
      <w:r>
        <w:separator/>
      </w:r>
    </w:p>
  </w:endnote>
  <w:endnote w:type="continuationSeparator" w:id="0">
    <w:p w14:paraId="550D67C0" w14:textId="77777777" w:rsidR="00947322" w:rsidRDefault="0094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C93E" w14:textId="77777777" w:rsidR="0041720E" w:rsidRDefault="0089578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0A1B5D" wp14:editId="5CC896F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5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CDF6" w14:textId="77777777" w:rsidR="004C63EA" w:rsidRDefault="0089578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0A65243" wp14:editId="67AEC73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3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11B5" w14:textId="77777777" w:rsidR="00947322" w:rsidRDefault="00947322">
      <w:r>
        <w:separator/>
      </w:r>
    </w:p>
  </w:footnote>
  <w:footnote w:type="continuationSeparator" w:id="0">
    <w:p w14:paraId="2CCE8800" w14:textId="77777777" w:rsidR="00947322" w:rsidRDefault="0094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694E" w14:textId="77777777" w:rsidR="004C63EA" w:rsidRDefault="0089578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54C6A5" wp14:editId="4D5568E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14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0CF"/>
    <w:multiLevelType w:val="hybridMultilevel"/>
    <w:tmpl w:val="389627FC"/>
    <w:lvl w:ilvl="0" w:tplc="5A921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1B5"/>
    <w:multiLevelType w:val="hybridMultilevel"/>
    <w:tmpl w:val="10B448E2"/>
    <w:lvl w:ilvl="0" w:tplc="6018E9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57B18"/>
    <w:multiLevelType w:val="hybridMultilevel"/>
    <w:tmpl w:val="3D0417A4"/>
    <w:lvl w:ilvl="0" w:tplc="6018E9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D5A34"/>
    <w:multiLevelType w:val="multilevel"/>
    <w:tmpl w:val="9DAA13C6"/>
    <w:lvl w:ilvl="0">
      <w:start w:val="3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1B83"/>
    <w:multiLevelType w:val="hybridMultilevel"/>
    <w:tmpl w:val="6CA46C10"/>
    <w:lvl w:ilvl="0" w:tplc="04C8C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FE6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243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F4B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901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AF6E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8C9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1D09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603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736B1A72"/>
    <w:multiLevelType w:val="hybridMultilevel"/>
    <w:tmpl w:val="1A661B22"/>
    <w:lvl w:ilvl="0" w:tplc="D0DC1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43056">
    <w:abstractNumId w:val="1"/>
  </w:num>
  <w:num w:numId="2" w16cid:durableId="16202452">
    <w:abstractNumId w:val="4"/>
  </w:num>
  <w:num w:numId="3" w16cid:durableId="1513913267">
    <w:abstractNumId w:val="0"/>
  </w:num>
  <w:num w:numId="4" w16cid:durableId="1274629929">
    <w:abstractNumId w:val="3"/>
  </w:num>
  <w:num w:numId="5" w16cid:durableId="273293260">
    <w:abstractNumId w:val="2"/>
  </w:num>
  <w:num w:numId="6" w16cid:durableId="1234002542">
    <w:abstractNumId w:val="6"/>
  </w:num>
  <w:num w:numId="7" w16cid:durableId="1355620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14F99"/>
    <w:rsid w:val="00017927"/>
    <w:rsid w:val="00060C51"/>
    <w:rsid w:val="0007509D"/>
    <w:rsid w:val="000B6CFE"/>
    <w:rsid w:val="000C738E"/>
    <w:rsid w:val="001733B6"/>
    <w:rsid w:val="001C49B1"/>
    <w:rsid w:val="001D50B3"/>
    <w:rsid w:val="0020740C"/>
    <w:rsid w:val="002A48FE"/>
    <w:rsid w:val="002B0A17"/>
    <w:rsid w:val="002B40BE"/>
    <w:rsid w:val="002C6930"/>
    <w:rsid w:val="003031D2"/>
    <w:rsid w:val="00315D10"/>
    <w:rsid w:val="003675BB"/>
    <w:rsid w:val="0037673A"/>
    <w:rsid w:val="00381C8F"/>
    <w:rsid w:val="003C2C73"/>
    <w:rsid w:val="00410E58"/>
    <w:rsid w:val="0041720E"/>
    <w:rsid w:val="00421A66"/>
    <w:rsid w:val="004316D1"/>
    <w:rsid w:val="00446BE6"/>
    <w:rsid w:val="0047642F"/>
    <w:rsid w:val="00485B47"/>
    <w:rsid w:val="004C63EA"/>
    <w:rsid w:val="004D02CA"/>
    <w:rsid w:val="004D58E2"/>
    <w:rsid w:val="00502BAC"/>
    <w:rsid w:val="00522D64"/>
    <w:rsid w:val="00527504"/>
    <w:rsid w:val="005566F6"/>
    <w:rsid w:val="005651CF"/>
    <w:rsid w:val="005831B5"/>
    <w:rsid w:val="005913CD"/>
    <w:rsid w:val="00596E9F"/>
    <w:rsid w:val="00597485"/>
    <w:rsid w:val="005C1716"/>
    <w:rsid w:val="005F11B6"/>
    <w:rsid w:val="00602C72"/>
    <w:rsid w:val="006062B7"/>
    <w:rsid w:val="006206EF"/>
    <w:rsid w:val="00633FAF"/>
    <w:rsid w:val="006B6CB2"/>
    <w:rsid w:val="006C19DE"/>
    <w:rsid w:val="006C356E"/>
    <w:rsid w:val="00740D7B"/>
    <w:rsid w:val="007902F1"/>
    <w:rsid w:val="0079484C"/>
    <w:rsid w:val="007B3AAB"/>
    <w:rsid w:val="007C73A5"/>
    <w:rsid w:val="007E7443"/>
    <w:rsid w:val="00833CB0"/>
    <w:rsid w:val="00837B52"/>
    <w:rsid w:val="008760FD"/>
    <w:rsid w:val="00895784"/>
    <w:rsid w:val="00895C41"/>
    <w:rsid w:val="008F1177"/>
    <w:rsid w:val="008F119D"/>
    <w:rsid w:val="008F7147"/>
    <w:rsid w:val="009239C3"/>
    <w:rsid w:val="009277F9"/>
    <w:rsid w:val="00947322"/>
    <w:rsid w:val="00965763"/>
    <w:rsid w:val="00976A2D"/>
    <w:rsid w:val="009B6E22"/>
    <w:rsid w:val="009F00A5"/>
    <w:rsid w:val="00A30141"/>
    <w:rsid w:val="00A347E3"/>
    <w:rsid w:val="00A4699B"/>
    <w:rsid w:val="00A67EDA"/>
    <w:rsid w:val="00A8204B"/>
    <w:rsid w:val="00AA384E"/>
    <w:rsid w:val="00AF09BF"/>
    <w:rsid w:val="00AF762D"/>
    <w:rsid w:val="00B21B6B"/>
    <w:rsid w:val="00B307A0"/>
    <w:rsid w:val="00B507F1"/>
    <w:rsid w:val="00BB0DE8"/>
    <w:rsid w:val="00BD511B"/>
    <w:rsid w:val="00BE5579"/>
    <w:rsid w:val="00C2256E"/>
    <w:rsid w:val="00C276C7"/>
    <w:rsid w:val="00C519C0"/>
    <w:rsid w:val="00C62E75"/>
    <w:rsid w:val="00C853AA"/>
    <w:rsid w:val="00C97866"/>
    <w:rsid w:val="00CA40DC"/>
    <w:rsid w:val="00CE009D"/>
    <w:rsid w:val="00CE0EFC"/>
    <w:rsid w:val="00D01C9B"/>
    <w:rsid w:val="00D06169"/>
    <w:rsid w:val="00D16622"/>
    <w:rsid w:val="00D44842"/>
    <w:rsid w:val="00D71F52"/>
    <w:rsid w:val="00D82A66"/>
    <w:rsid w:val="00D83C15"/>
    <w:rsid w:val="00DA2879"/>
    <w:rsid w:val="00DA5D61"/>
    <w:rsid w:val="00DD304E"/>
    <w:rsid w:val="00DD4396"/>
    <w:rsid w:val="00DD4ED1"/>
    <w:rsid w:val="00DD6CF2"/>
    <w:rsid w:val="00E23496"/>
    <w:rsid w:val="00E31D25"/>
    <w:rsid w:val="00E43B9C"/>
    <w:rsid w:val="00E464A9"/>
    <w:rsid w:val="00E627E5"/>
    <w:rsid w:val="00E90B06"/>
    <w:rsid w:val="00E923C3"/>
    <w:rsid w:val="00EA303B"/>
    <w:rsid w:val="00EB35BB"/>
    <w:rsid w:val="00EC1522"/>
    <w:rsid w:val="00EC4202"/>
    <w:rsid w:val="00EE3682"/>
    <w:rsid w:val="00EE45BE"/>
    <w:rsid w:val="00F00A6D"/>
    <w:rsid w:val="00F030D0"/>
    <w:rsid w:val="00F27D11"/>
    <w:rsid w:val="00F43BA5"/>
    <w:rsid w:val="00F50FDD"/>
    <w:rsid w:val="00F63668"/>
    <w:rsid w:val="00FA042C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36C78"/>
  <w15:chartTrackingRefBased/>
  <w15:docId w15:val="{CFBA6443-C259-4267-8BD1-7CF5FFF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957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95784"/>
    <w:pPr>
      <w:ind w:left="720"/>
      <w:contextualSpacing/>
    </w:pPr>
  </w:style>
  <w:style w:type="character" w:styleId="Pripombasklic">
    <w:name w:val="annotation reference"/>
    <w:basedOn w:val="Privzetapisavaodstavka"/>
    <w:rsid w:val="006206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06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206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206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206E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00A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00A6D"/>
    <w:rPr>
      <w:rFonts w:ascii="Segoe UI" w:hAnsi="Segoe UI" w:cs="Segoe UI"/>
      <w:sz w:val="18"/>
      <w:szCs w:val="18"/>
    </w:rPr>
  </w:style>
  <w:style w:type="paragraph" w:styleId="Blokbesedila">
    <w:name w:val="Block Text"/>
    <w:basedOn w:val="Navaden"/>
    <w:rsid w:val="00E31D25"/>
    <w:pPr>
      <w:ind w:left="360" w:right="-314"/>
      <w:jc w:val="both"/>
    </w:pPr>
    <w:rPr>
      <w:rFonts w:ascii="Arial" w:hAnsi="Arial"/>
      <w:szCs w:val="20"/>
    </w:rPr>
  </w:style>
  <w:style w:type="character" w:customStyle="1" w:styleId="fontstyle01">
    <w:name w:val="fontstyle01"/>
    <w:basedOn w:val="Privzetapisavaodstavka"/>
    <w:rsid w:val="00C853AA"/>
    <w:rPr>
      <w:rFonts w:ascii="ArialMT" w:hAnsi="ArialM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Privzetapisavaodstavka"/>
    <w:rsid w:val="00C853AA"/>
    <w:rPr>
      <w:rFonts w:ascii="Arial-BoldMT" w:hAnsi="Arial-BoldMT" w:hint="default"/>
      <w:b/>
      <w:bCs/>
      <w:i w:val="0"/>
      <w:iCs w:val="0"/>
      <w:color w:val="000000"/>
      <w:sz w:val="40"/>
      <w:szCs w:val="40"/>
    </w:rPr>
  </w:style>
  <w:style w:type="paragraph" w:styleId="Revizija">
    <w:name w:val="Revision"/>
    <w:hidden/>
    <w:uiPriority w:val="99"/>
    <w:semiHidden/>
    <w:rsid w:val="00E923C3"/>
    <w:rPr>
      <w:sz w:val="24"/>
      <w:szCs w:val="24"/>
    </w:rPr>
  </w:style>
  <w:style w:type="character" w:styleId="Hiperpovezava">
    <w:name w:val="Hyperlink"/>
    <w:basedOn w:val="Privzetapisavaodstavka"/>
    <w:rsid w:val="00FA042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91</TotalTime>
  <Pages>3</Pages>
  <Words>691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8</cp:revision>
  <cp:lastPrinted>1899-12-31T23:00:00Z</cp:lastPrinted>
  <dcterms:created xsi:type="dcterms:W3CDTF">2023-03-23T07:38:00Z</dcterms:created>
  <dcterms:modified xsi:type="dcterms:W3CDTF">2023-03-30T11:35:00Z</dcterms:modified>
</cp:coreProperties>
</file>