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D1B5" w14:textId="6709A7A1" w:rsidR="00847F6C" w:rsidRPr="00847F6C" w:rsidRDefault="00847F6C" w:rsidP="00D35835">
      <w:pPr>
        <w:jc w:val="both"/>
        <w:rPr>
          <w:rFonts w:ascii="Arial" w:hAnsi="Arial" w:cs="Arial"/>
          <w:b/>
          <w:bCs/>
          <w:sz w:val="72"/>
          <w:szCs w:val="7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47F6C">
        <w:rPr>
          <w:rFonts w:ascii="Arial" w:hAnsi="Arial" w:cs="Arial"/>
          <w:b/>
          <w:bCs/>
          <w:sz w:val="72"/>
          <w:szCs w:val="72"/>
        </w:rPr>
        <w:t>18</w:t>
      </w:r>
    </w:p>
    <w:p w14:paraId="186EB178" w14:textId="269FCC49" w:rsidR="00D86141" w:rsidRDefault="00D86141" w:rsidP="00D35835">
      <w:pPr>
        <w:jc w:val="both"/>
        <w:rPr>
          <w:rFonts w:ascii="Arial" w:hAnsi="Arial" w:cs="Arial"/>
          <w:sz w:val="22"/>
          <w:szCs w:val="22"/>
        </w:rPr>
      </w:pPr>
      <w:r w:rsidRPr="00D86141">
        <w:rPr>
          <w:rFonts w:ascii="Arial" w:hAnsi="Arial" w:cs="Arial"/>
          <w:sz w:val="22"/>
          <w:szCs w:val="22"/>
        </w:rPr>
        <w:t>Na podlagi petega odstavka 20. člena Zakona o spodbujanju investicij (Uradni list RS, št. 13/18, 204/21</w:t>
      </w:r>
      <w:r w:rsidR="00D35835">
        <w:rPr>
          <w:rFonts w:ascii="Arial" w:hAnsi="Arial" w:cs="Arial"/>
          <w:sz w:val="22"/>
          <w:szCs w:val="22"/>
        </w:rPr>
        <w:t xml:space="preserve">, </w:t>
      </w:r>
      <w:r w:rsidRPr="00D86141">
        <w:rPr>
          <w:rFonts w:ascii="Arial" w:hAnsi="Arial" w:cs="Arial"/>
          <w:sz w:val="22"/>
          <w:szCs w:val="22"/>
        </w:rPr>
        <w:t>29/22</w:t>
      </w:r>
      <w:r w:rsidR="00D35835">
        <w:rPr>
          <w:rFonts w:ascii="Arial" w:hAnsi="Arial" w:cs="Arial"/>
          <w:sz w:val="22"/>
          <w:szCs w:val="22"/>
        </w:rPr>
        <w:t xml:space="preserve"> in 65/23</w:t>
      </w:r>
      <w:r w:rsidRPr="00D86141">
        <w:rPr>
          <w:rFonts w:ascii="Arial" w:hAnsi="Arial" w:cs="Arial"/>
          <w:sz w:val="22"/>
          <w:szCs w:val="22"/>
        </w:rPr>
        <w:t>) in 19. člena Statuta Mestne občine Nova Gorica (Uradni list RS, št. 13/12, 18/17 in 18/19) je Mestni svet Mestne občine Nova Gorica seji dne ____</w:t>
      </w:r>
      <w:r w:rsidR="00847F6C">
        <w:rPr>
          <w:rFonts w:ascii="Arial" w:hAnsi="Arial" w:cs="Arial"/>
          <w:sz w:val="22"/>
          <w:szCs w:val="22"/>
        </w:rPr>
        <w:t>____________</w:t>
      </w:r>
      <w:r w:rsidRPr="00D86141">
        <w:rPr>
          <w:rFonts w:ascii="Arial" w:hAnsi="Arial" w:cs="Arial"/>
          <w:sz w:val="22"/>
          <w:szCs w:val="22"/>
        </w:rPr>
        <w:t xml:space="preserve"> sprejel naslednji </w:t>
      </w:r>
    </w:p>
    <w:p w14:paraId="7C5D1255" w14:textId="77777777" w:rsidR="00D86141" w:rsidRDefault="00D86141" w:rsidP="001857D8">
      <w:pPr>
        <w:rPr>
          <w:rFonts w:ascii="Arial" w:hAnsi="Arial" w:cs="Arial"/>
          <w:sz w:val="22"/>
          <w:szCs w:val="22"/>
        </w:rPr>
      </w:pPr>
    </w:p>
    <w:p w14:paraId="0FD496CB" w14:textId="77777777" w:rsidR="00D86141" w:rsidRDefault="00D86141" w:rsidP="001857D8">
      <w:pPr>
        <w:rPr>
          <w:rFonts w:ascii="Arial" w:hAnsi="Arial" w:cs="Arial"/>
          <w:sz w:val="22"/>
          <w:szCs w:val="22"/>
        </w:rPr>
      </w:pPr>
    </w:p>
    <w:p w14:paraId="2D76E90F" w14:textId="77777777" w:rsidR="00D86141" w:rsidRDefault="00D86141" w:rsidP="001857D8">
      <w:pPr>
        <w:rPr>
          <w:rFonts w:ascii="Arial" w:hAnsi="Arial" w:cs="Arial"/>
          <w:sz w:val="22"/>
          <w:szCs w:val="22"/>
        </w:rPr>
      </w:pPr>
    </w:p>
    <w:p w14:paraId="2CD46C06" w14:textId="77777777" w:rsidR="00D86141" w:rsidRDefault="00D86141" w:rsidP="001857D8">
      <w:pPr>
        <w:rPr>
          <w:rFonts w:ascii="Arial" w:hAnsi="Arial" w:cs="Arial"/>
          <w:sz w:val="22"/>
          <w:szCs w:val="22"/>
        </w:rPr>
      </w:pPr>
    </w:p>
    <w:p w14:paraId="67C1CB7C" w14:textId="77777777" w:rsidR="00D86141" w:rsidRPr="000F235A" w:rsidRDefault="00D86141" w:rsidP="00D8614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2"/>
        <w:jc w:val="center"/>
        <w:rPr>
          <w:rFonts w:ascii="Arial" w:hAnsi="Arial" w:cs="Arial"/>
          <w:bCs/>
          <w:sz w:val="22"/>
          <w:szCs w:val="22"/>
        </w:rPr>
      </w:pPr>
      <w:r w:rsidRPr="000F235A">
        <w:rPr>
          <w:rFonts w:ascii="Arial" w:hAnsi="Arial" w:cs="Arial"/>
          <w:bCs/>
          <w:sz w:val="22"/>
          <w:szCs w:val="22"/>
        </w:rPr>
        <w:t>S K L E P</w:t>
      </w:r>
    </w:p>
    <w:p w14:paraId="312FE840" w14:textId="77777777" w:rsidR="00D86141" w:rsidRDefault="00D86141" w:rsidP="001857D8">
      <w:pPr>
        <w:rPr>
          <w:rFonts w:ascii="Arial" w:hAnsi="Arial" w:cs="Arial"/>
          <w:sz w:val="22"/>
          <w:szCs w:val="22"/>
        </w:rPr>
      </w:pPr>
    </w:p>
    <w:p w14:paraId="5C5B3398" w14:textId="77777777" w:rsidR="00D86141" w:rsidRDefault="00D86141" w:rsidP="001857D8">
      <w:pPr>
        <w:rPr>
          <w:rFonts w:ascii="Arial" w:hAnsi="Arial" w:cs="Arial"/>
          <w:sz w:val="22"/>
          <w:szCs w:val="22"/>
        </w:rPr>
      </w:pPr>
    </w:p>
    <w:p w14:paraId="28E5F991" w14:textId="77777777" w:rsidR="00D86141" w:rsidRDefault="00D86141" w:rsidP="001857D8">
      <w:pPr>
        <w:rPr>
          <w:rFonts w:ascii="Arial" w:hAnsi="Arial" w:cs="Arial"/>
          <w:sz w:val="22"/>
          <w:szCs w:val="22"/>
        </w:rPr>
      </w:pPr>
    </w:p>
    <w:p w14:paraId="3CB46C16" w14:textId="21A9DF65" w:rsidR="0056090C" w:rsidRDefault="00D86141" w:rsidP="0056090C">
      <w:pPr>
        <w:jc w:val="center"/>
        <w:rPr>
          <w:rFonts w:ascii="Arial" w:hAnsi="Arial" w:cs="Arial"/>
          <w:sz w:val="22"/>
          <w:szCs w:val="22"/>
        </w:rPr>
      </w:pPr>
      <w:r w:rsidRPr="00D86141">
        <w:rPr>
          <w:rFonts w:ascii="Arial" w:hAnsi="Arial" w:cs="Arial"/>
          <w:sz w:val="22"/>
          <w:szCs w:val="22"/>
        </w:rPr>
        <w:t>1.</w:t>
      </w:r>
    </w:p>
    <w:p w14:paraId="4873E876" w14:textId="77777777" w:rsidR="0056090C" w:rsidRDefault="0056090C" w:rsidP="00D86141">
      <w:pPr>
        <w:jc w:val="both"/>
        <w:rPr>
          <w:rFonts w:ascii="Arial" w:hAnsi="Arial" w:cs="Arial"/>
          <w:sz w:val="22"/>
          <w:szCs w:val="22"/>
        </w:rPr>
      </w:pPr>
    </w:p>
    <w:p w14:paraId="0D2E1211" w14:textId="70A36C05" w:rsidR="00D86141" w:rsidRDefault="00D86141" w:rsidP="00D86141">
      <w:pPr>
        <w:jc w:val="both"/>
        <w:rPr>
          <w:rFonts w:ascii="Arial" w:hAnsi="Arial" w:cs="Arial"/>
          <w:sz w:val="22"/>
          <w:szCs w:val="22"/>
        </w:rPr>
      </w:pPr>
      <w:r w:rsidRPr="00D86141">
        <w:rPr>
          <w:rFonts w:ascii="Arial" w:hAnsi="Arial" w:cs="Arial"/>
          <w:sz w:val="22"/>
          <w:szCs w:val="22"/>
        </w:rPr>
        <w:t xml:space="preserve">Nepremičnine </w:t>
      </w:r>
      <w:proofErr w:type="spellStart"/>
      <w:r w:rsidRPr="00D86141">
        <w:rPr>
          <w:rFonts w:ascii="Arial" w:hAnsi="Arial" w:cs="Arial"/>
          <w:sz w:val="22"/>
          <w:szCs w:val="22"/>
        </w:rPr>
        <w:t>parc</w:t>
      </w:r>
      <w:proofErr w:type="spellEnd"/>
      <w:r w:rsidRPr="00D86141">
        <w:rPr>
          <w:rFonts w:ascii="Arial" w:hAnsi="Arial" w:cs="Arial"/>
          <w:sz w:val="22"/>
          <w:szCs w:val="22"/>
        </w:rPr>
        <w:t>. št. 1183/23, 1183/24, 1183/28 in 1183/30</w:t>
      </w:r>
      <w:r w:rsidR="00D35835">
        <w:rPr>
          <w:rFonts w:ascii="Arial" w:hAnsi="Arial" w:cs="Arial"/>
          <w:sz w:val="22"/>
          <w:szCs w:val="22"/>
        </w:rPr>
        <w:t>,</w:t>
      </w:r>
      <w:r w:rsidRPr="00D86141">
        <w:rPr>
          <w:rFonts w:ascii="Arial" w:hAnsi="Arial" w:cs="Arial"/>
          <w:sz w:val="22"/>
          <w:szCs w:val="22"/>
        </w:rPr>
        <w:t xml:space="preserve"> vse </w:t>
      </w:r>
      <w:proofErr w:type="spellStart"/>
      <w:r w:rsidRPr="00D86141">
        <w:rPr>
          <w:rFonts w:ascii="Arial" w:hAnsi="Arial" w:cs="Arial"/>
          <w:sz w:val="22"/>
          <w:szCs w:val="22"/>
        </w:rPr>
        <w:t>k.o</w:t>
      </w:r>
      <w:proofErr w:type="spellEnd"/>
      <w:r w:rsidRPr="00D86141">
        <w:rPr>
          <w:rFonts w:ascii="Arial" w:hAnsi="Arial" w:cs="Arial"/>
          <w:sz w:val="22"/>
          <w:szCs w:val="22"/>
        </w:rPr>
        <w:t xml:space="preserve">. 2302 Kromberk, v skupni izmeri </w:t>
      </w:r>
      <w:r w:rsidR="00D35835">
        <w:rPr>
          <w:rFonts w:ascii="Arial" w:hAnsi="Arial" w:cs="Arial"/>
          <w:sz w:val="22"/>
          <w:szCs w:val="22"/>
        </w:rPr>
        <w:t>14.695</w:t>
      </w:r>
      <w:r w:rsidRPr="00D86141">
        <w:rPr>
          <w:rFonts w:ascii="Arial" w:hAnsi="Arial" w:cs="Arial"/>
          <w:sz w:val="22"/>
          <w:szCs w:val="22"/>
        </w:rPr>
        <w:t xml:space="preserve"> m², se prodajo po</w:t>
      </w:r>
      <w:r w:rsidR="0056090C">
        <w:rPr>
          <w:rFonts w:ascii="Arial" w:hAnsi="Arial" w:cs="Arial"/>
          <w:sz w:val="22"/>
          <w:szCs w:val="22"/>
        </w:rPr>
        <w:t>d</w:t>
      </w:r>
      <w:r w:rsidRPr="00D86141">
        <w:rPr>
          <w:rFonts w:ascii="Arial" w:hAnsi="Arial" w:cs="Arial"/>
          <w:sz w:val="22"/>
          <w:szCs w:val="22"/>
        </w:rPr>
        <w:t xml:space="preserve"> cen</w:t>
      </w:r>
      <w:r w:rsidR="0056090C">
        <w:rPr>
          <w:rFonts w:ascii="Arial" w:hAnsi="Arial" w:cs="Arial"/>
          <w:sz w:val="22"/>
          <w:szCs w:val="22"/>
        </w:rPr>
        <w:t>o</w:t>
      </w:r>
      <w:r w:rsidRPr="00D86141">
        <w:rPr>
          <w:rFonts w:ascii="Arial" w:hAnsi="Arial" w:cs="Arial"/>
          <w:sz w:val="22"/>
          <w:szCs w:val="22"/>
        </w:rPr>
        <w:t xml:space="preserve">, ki je nižja od tržne. </w:t>
      </w:r>
    </w:p>
    <w:p w14:paraId="7E041763" w14:textId="77777777" w:rsidR="00D86141" w:rsidRDefault="00D86141" w:rsidP="00D86141">
      <w:pPr>
        <w:jc w:val="both"/>
        <w:rPr>
          <w:rFonts w:ascii="Arial" w:hAnsi="Arial" w:cs="Arial"/>
          <w:sz w:val="22"/>
          <w:szCs w:val="22"/>
        </w:rPr>
      </w:pPr>
    </w:p>
    <w:p w14:paraId="1FFD875B" w14:textId="77777777" w:rsidR="0056090C" w:rsidRDefault="0056090C" w:rsidP="00D86141">
      <w:pPr>
        <w:jc w:val="both"/>
        <w:rPr>
          <w:rFonts w:ascii="Arial" w:hAnsi="Arial" w:cs="Arial"/>
          <w:sz w:val="22"/>
          <w:szCs w:val="22"/>
        </w:rPr>
      </w:pPr>
    </w:p>
    <w:p w14:paraId="51331E8E" w14:textId="7B28523B" w:rsidR="0056090C" w:rsidRDefault="00D86141" w:rsidP="0056090C">
      <w:pPr>
        <w:jc w:val="center"/>
        <w:rPr>
          <w:rFonts w:ascii="Arial" w:hAnsi="Arial" w:cs="Arial"/>
          <w:sz w:val="22"/>
          <w:szCs w:val="22"/>
        </w:rPr>
      </w:pPr>
      <w:r w:rsidRPr="00D86141">
        <w:rPr>
          <w:rFonts w:ascii="Arial" w:hAnsi="Arial" w:cs="Arial"/>
          <w:sz w:val="22"/>
          <w:szCs w:val="22"/>
        </w:rPr>
        <w:t>2.</w:t>
      </w:r>
    </w:p>
    <w:p w14:paraId="0C9ECC5C" w14:textId="77777777" w:rsidR="000F235A" w:rsidRDefault="000F235A" w:rsidP="00D86141">
      <w:pPr>
        <w:jc w:val="both"/>
        <w:rPr>
          <w:rFonts w:ascii="Arial" w:hAnsi="Arial" w:cs="Arial"/>
          <w:sz w:val="22"/>
          <w:szCs w:val="22"/>
        </w:rPr>
      </w:pPr>
    </w:p>
    <w:p w14:paraId="356A0D44" w14:textId="773A7EB4" w:rsidR="00D86141" w:rsidRDefault="00D86141" w:rsidP="00D86141">
      <w:pPr>
        <w:jc w:val="both"/>
        <w:rPr>
          <w:rFonts w:ascii="Arial" w:hAnsi="Arial" w:cs="Arial"/>
          <w:sz w:val="22"/>
          <w:szCs w:val="22"/>
        </w:rPr>
      </w:pPr>
      <w:r w:rsidRPr="00D86141">
        <w:rPr>
          <w:rFonts w:ascii="Arial" w:hAnsi="Arial" w:cs="Arial"/>
          <w:sz w:val="22"/>
          <w:szCs w:val="22"/>
        </w:rPr>
        <w:t xml:space="preserve">Mestni svet Mestne občine Nova Gorica pooblašča župana Mestne občine Nova Gorica, da v skladu z določbami Zakona o spodbujanju investicij </w:t>
      </w:r>
      <w:r w:rsidR="005732D6" w:rsidRPr="00D86141">
        <w:rPr>
          <w:rFonts w:ascii="Arial" w:hAnsi="Arial" w:cs="Arial"/>
          <w:sz w:val="22"/>
          <w:szCs w:val="22"/>
        </w:rPr>
        <w:t>(Uradni list RS, št. 13/18, 204/21</w:t>
      </w:r>
      <w:r w:rsidR="005732D6">
        <w:rPr>
          <w:rFonts w:ascii="Arial" w:hAnsi="Arial" w:cs="Arial"/>
          <w:sz w:val="22"/>
          <w:szCs w:val="22"/>
        </w:rPr>
        <w:t xml:space="preserve">, </w:t>
      </w:r>
      <w:r w:rsidR="005732D6" w:rsidRPr="00D86141">
        <w:rPr>
          <w:rFonts w:ascii="Arial" w:hAnsi="Arial" w:cs="Arial"/>
          <w:sz w:val="22"/>
          <w:szCs w:val="22"/>
        </w:rPr>
        <w:t>29/22</w:t>
      </w:r>
      <w:r w:rsidR="005732D6">
        <w:rPr>
          <w:rFonts w:ascii="Arial" w:hAnsi="Arial" w:cs="Arial"/>
          <w:sz w:val="22"/>
          <w:szCs w:val="22"/>
        </w:rPr>
        <w:t xml:space="preserve"> in 56/23) </w:t>
      </w:r>
      <w:r w:rsidRPr="00D86141">
        <w:rPr>
          <w:rFonts w:ascii="Arial" w:hAnsi="Arial" w:cs="Arial"/>
          <w:sz w:val="22"/>
          <w:szCs w:val="22"/>
        </w:rPr>
        <w:t xml:space="preserve">izvede postopek prodaje nepremičnin </w:t>
      </w:r>
      <w:proofErr w:type="spellStart"/>
      <w:r w:rsidRPr="00D86141">
        <w:rPr>
          <w:rFonts w:ascii="Arial" w:hAnsi="Arial" w:cs="Arial"/>
          <w:sz w:val="22"/>
          <w:szCs w:val="22"/>
        </w:rPr>
        <w:t>parc</w:t>
      </w:r>
      <w:proofErr w:type="spellEnd"/>
      <w:r w:rsidRPr="00D86141">
        <w:rPr>
          <w:rFonts w:ascii="Arial" w:hAnsi="Arial" w:cs="Arial"/>
          <w:sz w:val="22"/>
          <w:szCs w:val="22"/>
        </w:rPr>
        <w:t>. št. 1183/23, 1183/24, 1183/28</w:t>
      </w:r>
      <w:r w:rsidR="00D35835">
        <w:rPr>
          <w:rFonts w:ascii="Arial" w:hAnsi="Arial" w:cs="Arial"/>
          <w:sz w:val="22"/>
          <w:szCs w:val="22"/>
        </w:rPr>
        <w:t xml:space="preserve"> in</w:t>
      </w:r>
      <w:r w:rsidRPr="00D86141">
        <w:rPr>
          <w:rFonts w:ascii="Arial" w:hAnsi="Arial" w:cs="Arial"/>
          <w:sz w:val="22"/>
          <w:szCs w:val="22"/>
        </w:rPr>
        <w:t xml:space="preserve"> 1183/30</w:t>
      </w:r>
      <w:r w:rsidR="00D35835">
        <w:rPr>
          <w:rFonts w:ascii="Arial" w:hAnsi="Arial" w:cs="Arial"/>
          <w:sz w:val="22"/>
          <w:szCs w:val="22"/>
        </w:rPr>
        <w:t>,</w:t>
      </w:r>
      <w:r w:rsidRPr="00D86141">
        <w:rPr>
          <w:rFonts w:ascii="Arial" w:hAnsi="Arial" w:cs="Arial"/>
          <w:sz w:val="22"/>
          <w:szCs w:val="22"/>
        </w:rPr>
        <w:t xml:space="preserve"> vse </w:t>
      </w:r>
      <w:proofErr w:type="spellStart"/>
      <w:r w:rsidRPr="00D86141">
        <w:rPr>
          <w:rFonts w:ascii="Arial" w:hAnsi="Arial" w:cs="Arial"/>
          <w:sz w:val="22"/>
          <w:szCs w:val="22"/>
        </w:rPr>
        <w:t>k.o</w:t>
      </w:r>
      <w:proofErr w:type="spellEnd"/>
      <w:r w:rsidRPr="00D86141">
        <w:rPr>
          <w:rFonts w:ascii="Arial" w:hAnsi="Arial" w:cs="Arial"/>
          <w:sz w:val="22"/>
          <w:szCs w:val="22"/>
        </w:rPr>
        <w:t xml:space="preserve">. 2302 Kromberk, v skupni izmeri </w:t>
      </w:r>
      <w:r w:rsidR="00D35835">
        <w:rPr>
          <w:rFonts w:ascii="Arial" w:hAnsi="Arial" w:cs="Arial"/>
          <w:sz w:val="22"/>
          <w:szCs w:val="22"/>
        </w:rPr>
        <w:t>14.695</w:t>
      </w:r>
      <w:r w:rsidRPr="00D86141">
        <w:rPr>
          <w:rFonts w:ascii="Arial" w:hAnsi="Arial" w:cs="Arial"/>
          <w:sz w:val="22"/>
          <w:szCs w:val="22"/>
        </w:rPr>
        <w:t xml:space="preserve"> m², pod ceno, ki je nižja od tržne cene, t. j. </w:t>
      </w:r>
      <w:r w:rsidR="00D35835">
        <w:rPr>
          <w:rFonts w:ascii="Arial" w:hAnsi="Arial" w:cs="Arial"/>
          <w:sz w:val="22"/>
          <w:szCs w:val="22"/>
        </w:rPr>
        <w:t>68,99</w:t>
      </w:r>
      <w:r w:rsidRPr="00D86141">
        <w:rPr>
          <w:rFonts w:ascii="Arial" w:hAnsi="Arial" w:cs="Arial"/>
          <w:sz w:val="22"/>
          <w:szCs w:val="22"/>
        </w:rPr>
        <w:t xml:space="preserve"> EUR/m² neto), in sicer ne za manj kot 57,12 EUR/m². </w:t>
      </w:r>
    </w:p>
    <w:p w14:paraId="4A839811" w14:textId="77777777" w:rsidR="00D86141" w:rsidRDefault="00D86141" w:rsidP="00D86141">
      <w:pPr>
        <w:jc w:val="both"/>
        <w:rPr>
          <w:rFonts w:ascii="Arial" w:hAnsi="Arial" w:cs="Arial"/>
          <w:sz w:val="22"/>
          <w:szCs w:val="22"/>
        </w:rPr>
      </w:pPr>
    </w:p>
    <w:p w14:paraId="603C15EC" w14:textId="77777777" w:rsidR="0056090C" w:rsidRDefault="0056090C" w:rsidP="00D86141">
      <w:pPr>
        <w:jc w:val="both"/>
        <w:rPr>
          <w:rFonts w:ascii="Arial" w:hAnsi="Arial" w:cs="Arial"/>
          <w:sz w:val="22"/>
          <w:szCs w:val="22"/>
        </w:rPr>
      </w:pPr>
    </w:p>
    <w:p w14:paraId="53CC4BFF" w14:textId="3EBBD838" w:rsidR="0056090C" w:rsidRDefault="00D86141" w:rsidP="0056090C">
      <w:pPr>
        <w:jc w:val="center"/>
        <w:rPr>
          <w:rFonts w:ascii="Arial" w:hAnsi="Arial" w:cs="Arial"/>
          <w:sz w:val="22"/>
          <w:szCs w:val="22"/>
        </w:rPr>
      </w:pPr>
      <w:r w:rsidRPr="00D86141">
        <w:rPr>
          <w:rFonts w:ascii="Arial" w:hAnsi="Arial" w:cs="Arial"/>
          <w:sz w:val="22"/>
          <w:szCs w:val="22"/>
        </w:rPr>
        <w:t>3.</w:t>
      </w:r>
    </w:p>
    <w:p w14:paraId="394FFA72" w14:textId="77777777" w:rsidR="000F235A" w:rsidRDefault="000F235A" w:rsidP="00D86141">
      <w:pPr>
        <w:jc w:val="both"/>
        <w:rPr>
          <w:rFonts w:ascii="Arial" w:hAnsi="Arial" w:cs="Arial"/>
          <w:sz w:val="22"/>
          <w:szCs w:val="22"/>
        </w:rPr>
      </w:pPr>
    </w:p>
    <w:p w14:paraId="4B3C7B24" w14:textId="5F8C6248" w:rsidR="00D86141" w:rsidRDefault="00D86141" w:rsidP="00D86141">
      <w:pPr>
        <w:jc w:val="both"/>
        <w:rPr>
          <w:rFonts w:ascii="Arial" w:hAnsi="Arial" w:cs="Arial"/>
          <w:sz w:val="22"/>
          <w:szCs w:val="22"/>
        </w:rPr>
      </w:pPr>
      <w:r w:rsidRPr="00D86141">
        <w:rPr>
          <w:rFonts w:ascii="Arial" w:hAnsi="Arial" w:cs="Arial"/>
          <w:sz w:val="22"/>
          <w:szCs w:val="22"/>
        </w:rPr>
        <w:t>Ta sklep velja takoj.</w:t>
      </w:r>
    </w:p>
    <w:p w14:paraId="22BDB427" w14:textId="77777777" w:rsidR="00D86141" w:rsidRDefault="00D86141" w:rsidP="00D86141">
      <w:pPr>
        <w:jc w:val="both"/>
        <w:rPr>
          <w:rFonts w:ascii="Arial" w:hAnsi="Arial" w:cs="Arial"/>
          <w:sz w:val="22"/>
          <w:szCs w:val="22"/>
        </w:rPr>
      </w:pPr>
    </w:p>
    <w:p w14:paraId="52829CCD" w14:textId="77777777" w:rsidR="00D86141" w:rsidRDefault="00D86141" w:rsidP="00D86141">
      <w:pPr>
        <w:jc w:val="both"/>
        <w:rPr>
          <w:rFonts w:ascii="Arial" w:hAnsi="Arial" w:cs="Arial"/>
          <w:sz w:val="22"/>
          <w:szCs w:val="22"/>
        </w:rPr>
      </w:pPr>
    </w:p>
    <w:p w14:paraId="0E1A34AA" w14:textId="77777777" w:rsidR="00D86141" w:rsidRDefault="00D86141" w:rsidP="00D86141">
      <w:pPr>
        <w:jc w:val="both"/>
        <w:rPr>
          <w:rFonts w:ascii="Arial" w:hAnsi="Arial" w:cs="Arial"/>
          <w:sz w:val="22"/>
          <w:szCs w:val="22"/>
        </w:rPr>
      </w:pPr>
    </w:p>
    <w:p w14:paraId="31CE70EB" w14:textId="77777777" w:rsidR="0056090C" w:rsidRDefault="0056090C" w:rsidP="00D86141">
      <w:pPr>
        <w:jc w:val="both"/>
        <w:rPr>
          <w:rFonts w:ascii="Arial" w:hAnsi="Arial" w:cs="Arial"/>
          <w:sz w:val="22"/>
          <w:szCs w:val="22"/>
        </w:rPr>
      </w:pPr>
    </w:p>
    <w:p w14:paraId="0D694DF4" w14:textId="45FF0022" w:rsidR="00D86141" w:rsidRDefault="00D86141" w:rsidP="00D86141">
      <w:pPr>
        <w:jc w:val="both"/>
        <w:rPr>
          <w:rFonts w:ascii="Arial" w:hAnsi="Arial" w:cs="Arial"/>
          <w:sz w:val="22"/>
          <w:szCs w:val="22"/>
        </w:rPr>
      </w:pPr>
      <w:r w:rsidRPr="00D86141">
        <w:rPr>
          <w:rFonts w:ascii="Arial" w:hAnsi="Arial" w:cs="Arial"/>
          <w:sz w:val="22"/>
          <w:szCs w:val="22"/>
        </w:rPr>
        <w:t xml:space="preserve">Številka </w:t>
      </w:r>
      <w:r w:rsidR="00D35835">
        <w:rPr>
          <w:rFonts w:ascii="Arial" w:hAnsi="Arial" w:cs="Arial"/>
          <w:sz w:val="22"/>
          <w:szCs w:val="22"/>
        </w:rPr>
        <w:t>4780-65/2022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35835">
        <w:rPr>
          <w:rFonts w:ascii="Arial" w:hAnsi="Arial" w:cs="Arial"/>
          <w:sz w:val="22"/>
          <w:szCs w:val="22"/>
        </w:rPr>
        <w:tab/>
      </w:r>
      <w:r w:rsidRPr="00D86141">
        <w:rPr>
          <w:rFonts w:ascii="Arial" w:hAnsi="Arial" w:cs="Arial"/>
          <w:sz w:val="22"/>
          <w:szCs w:val="22"/>
        </w:rPr>
        <w:t xml:space="preserve"> </w:t>
      </w:r>
      <w:r w:rsidR="00D35835">
        <w:rPr>
          <w:rFonts w:ascii="Arial" w:hAnsi="Arial" w:cs="Arial"/>
          <w:sz w:val="22"/>
          <w:szCs w:val="22"/>
        </w:rPr>
        <w:t>Samo Turel</w:t>
      </w:r>
    </w:p>
    <w:p w14:paraId="160E762A" w14:textId="203D1C7B" w:rsidR="00D86141" w:rsidRDefault="00D86141" w:rsidP="00D86141">
      <w:pPr>
        <w:jc w:val="both"/>
        <w:rPr>
          <w:rFonts w:ascii="Arial" w:hAnsi="Arial" w:cs="Arial"/>
          <w:sz w:val="22"/>
          <w:szCs w:val="22"/>
        </w:rPr>
      </w:pPr>
      <w:r w:rsidRPr="00D86141">
        <w:rPr>
          <w:rFonts w:ascii="Arial" w:hAnsi="Arial" w:cs="Arial"/>
          <w:sz w:val="22"/>
          <w:szCs w:val="22"/>
        </w:rPr>
        <w:t xml:space="preserve">Nova Gorica,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35835">
        <w:rPr>
          <w:rFonts w:ascii="Arial" w:hAnsi="Arial" w:cs="Arial"/>
          <w:sz w:val="22"/>
          <w:szCs w:val="22"/>
        </w:rPr>
        <w:t xml:space="preserve">   </w:t>
      </w:r>
      <w:r w:rsidR="000F235A">
        <w:rPr>
          <w:rFonts w:ascii="Arial" w:hAnsi="Arial" w:cs="Arial"/>
          <w:sz w:val="22"/>
          <w:szCs w:val="22"/>
        </w:rPr>
        <w:t xml:space="preserve">  </w:t>
      </w:r>
      <w:r w:rsidRPr="00D86141">
        <w:rPr>
          <w:rFonts w:ascii="Arial" w:hAnsi="Arial" w:cs="Arial"/>
          <w:sz w:val="22"/>
          <w:szCs w:val="22"/>
        </w:rPr>
        <w:t>ŽUPAN</w:t>
      </w:r>
    </w:p>
    <w:p w14:paraId="4CB47907" w14:textId="77777777" w:rsidR="00D86141" w:rsidRDefault="00D86141" w:rsidP="00D86141">
      <w:pPr>
        <w:jc w:val="both"/>
        <w:rPr>
          <w:rFonts w:ascii="Arial" w:hAnsi="Arial" w:cs="Arial"/>
          <w:sz w:val="22"/>
          <w:szCs w:val="22"/>
        </w:rPr>
      </w:pPr>
    </w:p>
    <w:p w14:paraId="3CD875D6" w14:textId="77777777" w:rsidR="00D86141" w:rsidRDefault="00D86141" w:rsidP="00D86141">
      <w:pPr>
        <w:jc w:val="both"/>
        <w:rPr>
          <w:rFonts w:ascii="Arial" w:hAnsi="Arial" w:cs="Arial"/>
          <w:sz w:val="22"/>
          <w:szCs w:val="22"/>
        </w:rPr>
      </w:pPr>
    </w:p>
    <w:p w14:paraId="02699BCD" w14:textId="77777777" w:rsidR="00D86141" w:rsidRDefault="00D86141" w:rsidP="00D86141">
      <w:pPr>
        <w:jc w:val="both"/>
        <w:rPr>
          <w:rFonts w:ascii="Arial" w:hAnsi="Arial" w:cs="Arial"/>
          <w:sz w:val="22"/>
          <w:szCs w:val="22"/>
        </w:rPr>
      </w:pPr>
    </w:p>
    <w:p w14:paraId="6AC8C9C1" w14:textId="77777777" w:rsidR="00D86141" w:rsidRDefault="00D86141" w:rsidP="00D86141">
      <w:pPr>
        <w:jc w:val="both"/>
        <w:rPr>
          <w:rFonts w:ascii="Arial" w:hAnsi="Arial" w:cs="Arial"/>
          <w:sz w:val="22"/>
          <w:szCs w:val="22"/>
        </w:rPr>
      </w:pPr>
    </w:p>
    <w:p w14:paraId="3B94D720" w14:textId="77777777" w:rsidR="00D86141" w:rsidRDefault="00D86141" w:rsidP="00D86141">
      <w:pPr>
        <w:jc w:val="both"/>
        <w:rPr>
          <w:rFonts w:ascii="Arial" w:hAnsi="Arial" w:cs="Arial"/>
          <w:sz w:val="22"/>
          <w:szCs w:val="22"/>
        </w:rPr>
      </w:pPr>
    </w:p>
    <w:p w14:paraId="2027E33A" w14:textId="77777777" w:rsidR="00D86141" w:rsidRDefault="00D86141" w:rsidP="00D86141">
      <w:pPr>
        <w:jc w:val="both"/>
        <w:rPr>
          <w:rFonts w:ascii="Arial" w:hAnsi="Arial" w:cs="Arial"/>
          <w:sz w:val="22"/>
          <w:szCs w:val="22"/>
        </w:rPr>
      </w:pPr>
    </w:p>
    <w:p w14:paraId="309B5985" w14:textId="77777777" w:rsidR="00D86141" w:rsidRDefault="00D86141" w:rsidP="00D86141">
      <w:pPr>
        <w:jc w:val="both"/>
        <w:rPr>
          <w:rFonts w:ascii="Arial" w:hAnsi="Arial" w:cs="Arial"/>
          <w:sz w:val="22"/>
          <w:szCs w:val="22"/>
        </w:rPr>
      </w:pPr>
    </w:p>
    <w:p w14:paraId="13D54AAA" w14:textId="77777777" w:rsidR="00D86141" w:rsidRDefault="00D86141" w:rsidP="00D86141">
      <w:pPr>
        <w:jc w:val="both"/>
        <w:rPr>
          <w:rFonts w:ascii="Arial" w:hAnsi="Arial" w:cs="Arial"/>
          <w:sz w:val="22"/>
          <w:szCs w:val="22"/>
        </w:rPr>
      </w:pPr>
    </w:p>
    <w:p w14:paraId="658CC202" w14:textId="77777777" w:rsidR="00D86141" w:rsidRDefault="00D86141" w:rsidP="00D86141">
      <w:pPr>
        <w:jc w:val="both"/>
        <w:rPr>
          <w:rFonts w:ascii="Arial" w:hAnsi="Arial" w:cs="Arial"/>
          <w:sz w:val="22"/>
          <w:szCs w:val="22"/>
        </w:rPr>
      </w:pPr>
    </w:p>
    <w:p w14:paraId="4773EA89" w14:textId="29A92410" w:rsidR="00D35835" w:rsidRDefault="00D35835">
      <w:pPr>
        <w:spacing w:after="160" w:line="259" w:lineRule="auto"/>
        <w:rPr>
          <w:rFonts w:ascii="Arial" w:hAnsi="Arial" w:cs="Arial"/>
          <w:sz w:val="22"/>
          <w:szCs w:val="22"/>
        </w:rPr>
      </w:pPr>
      <w:r>
        <w:rPr>
          <w:rFonts w:ascii="Arial" w:hAnsi="Arial" w:cs="Arial"/>
          <w:sz w:val="22"/>
          <w:szCs w:val="22"/>
        </w:rPr>
        <w:br w:type="page"/>
      </w:r>
    </w:p>
    <w:p w14:paraId="712A5BF1" w14:textId="6549637C" w:rsidR="00D86141" w:rsidRDefault="00217DC8" w:rsidP="00D86141">
      <w:pPr>
        <w:jc w:val="both"/>
        <w:rPr>
          <w:rFonts w:ascii="Arial" w:hAnsi="Arial" w:cs="Arial"/>
          <w:sz w:val="22"/>
          <w:szCs w:val="22"/>
        </w:rPr>
      </w:pPr>
      <w:r w:rsidRPr="00D86141">
        <w:rPr>
          <w:rFonts w:ascii="Arial" w:hAnsi="Arial" w:cs="Arial"/>
          <w:noProof/>
          <w:sz w:val="22"/>
          <w:szCs w:val="22"/>
        </w:rPr>
        <w:lastRenderedPageBreak/>
        <w:drawing>
          <wp:anchor distT="0" distB="0" distL="114300" distR="114300" simplePos="0" relativeHeight="251659264" behindDoc="0" locked="0" layoutInCell="1" allowOverlap="0" wp14:anchorId="4B7A65E3" wp14:editId="0D44FD13">
            <wp:simplePos x="0" y="0"/>
            <wp:positionH relativeFrom="page">
              <wp:posOffset>270510</wp:posOffset>
            </wp:positionH>
            <wp:positionV relativeFrom="page">
              <wp:posOffset>206375</wp:posOffset>
            </wp:positionV>
            <wp:extent cx="2371725" cy="1000125"/>
            <wp:effectExtent l="0" t="0" r="9525" b="9525"/>
            <wp:wrapTopAndBottom/>
            <wp:docPr id="1528363266" name="Slika 152836326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79753" name="Slika 2" descr="Slika, ki vsebuje besede besedilo&#10;&#10;Opis je samodejno ustvarj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86141" w:rsidRPr="00D86141">
        <w:rPr>
          <w:rFonts w:ascii="Arial" w:hAnsi="Arial" w:cs="Arial"/>
          <w:sz w:val="22"/>
          <w:szCs w:val="22"/>
        </w:rPr>
        <w:t xml:space="preserve">Številka: </w:t>
      </w:r>
      <w:r w:rsidR="00D35835">
        <w:rPr>
          <w:rFonts w:ascii="Arial" w:hAnsi="Arial" w:cs="Arial"/>
          <w:sz w:val="22"/>
          <w:szCs w:val="22"/>
        </w:rPr>
        <w:t>4780-65/2022</w:t>
      </w:r>
      <w:r w:rsidR="00C42D5E">
        <w:rPr>
          <w:rFonts w:ascii="Arial" w:hAnsi="Arial" w:cs="Arial"/>
          <w:sz w:val="22"/>
          <w:szCs w:val="22"/>
        </w:rPr>
        <w:t>-</w:t>
      </w:r>
      <w:r w:rsidR="005732D6">
        <w:rPr>
          <w:rFonts w:ascii="Arial" w:hAnsi="Arial" w:cs="Arial"/>
          <w:sz w:val="22"/>
          <w:szCs w:val="22"/>
        </w:rPr>
        <w:t>31</w:t>
      </w:r>
    </w:p>
    <w:p w14:paraId="467E4ACD" w14:textId="5B005F7B" w:rsidR="00D86141" w:rsidRDefault="00D86141" w:rsidP="00D86141">
      <w:pPr>
        <w:jc w:val="both"/>
        <w:rPr>
          <w:rFonts w:ascii="Arial" w:hAnsi="Arial" w:cs="Arial"/>
          <w:sz w:val="22"/>
          <w:szCs w:val="22"/>
        </w:rPr>
      </w:pPr>
      <w:r w:rsidRPr="00D86141">
        <w:rPr>
          <w:rFonts w:ascii="Arial" w:hAnsi="Arial" w:cs="Arial"/>
          <w:sz w:val="22"/>
          <w:szCs w:val="22"/>
        </w:rPr>
        <w:t xml:space="preserve">Nova Gorica, </w:t>
      </w:r>
      <w:r w:rsidR="000F235A">
        <w:rPr>
          <w:rFonts w:ascii="Arial" w:hAnsi="Arial" w:cs="Arial"/>
          <w:sz w:val="22"/>
          <w:szCs w:val="22"/>
        </w:rPr>
        <w:t>dne 6</w:t>
      </w:r>
      <w:r w:rsidR="005732D6">
        <w:rPr>
          <w:rFonts w:ascii="Arial" w:hAnsi="Arial" w:cs="Arial"/>
          <w:sz w:val="22"/>
          <w:szCs w:val="22"/>
        </w:rPr>
        <w:t>. septembr</w:t>
      </w:r>
      <w:r w:rsidR="00207FE1">
        <w:rPr>
          <w:rFonts w:ascii="Arial" w:hAnsi="Arial" w:cs="Arial"/>
          <w:sz w:val="22"/>
          <w:szCs w:val="22"/>
        </w:rPr>
        <w:t>a</w:t>
      </w:r>
      <w:r w:rsidR="005732D6">
        <w:rPr>
          <w:rFonts w:ascii="Arial" w:hAnsi="Arial" w:cs="Arial"/>
          <w:sz w:val="22"/>
          <w:szCs w:val="22"/>
        </w:rPr>
        <w:t xml:space="preserve"> 2023</w:t>
      </w:r>
    </w:p>
    <w:p w14:paraId="3BAB31FC" w14:textId="77777777" w:rsidR="00D86141" w:rsidRDefault="00D86141" w:rsidP="00D86141">
      <w:pPr>
        <w:jc w:val="both"/>
        <w:rPr>
          <w:rFonts w:ascii="Arial" w:hAnsi="Arial" w:cs="Arial"/>
          <w:sz w:val="22"/>
          <w:szCs w:val="22"/>
        </w:rPr>
      </w:pPr>
    </w:p>
    <w:p w14:paraId="22F2F6A2" w14:textId="54604553" w:rsidR="00D86141" w:rsidRDefault="005732D6" w:rsidP="00D86141">
      <w:pPr>
        <w:jc w:val="center"/>
        <w:rPr>
          <w:rFonts w:ascii="Arial" w:hAnsi="Arial" w:cs="Arial"/>
          <w:sz w:val="22"/>
          <w:szCs w:val="22"/>
        </w:rPr>
      </w:pPr>
      <w:r>
        <w:rPr>
          <w:rFonts w:ascii="Arial" w:hAnsi="Arial" w:cs="Arial"/>
          <w:sz w:val="22"/>
          <w:szCs w:val="22"/>
        </w:rPr>
        <w:t>O</w:t>
      </w:r>
      <w:r w:rsidR="00207FE1">
        <w:rPr>
          <w:rFonts w:ascii="Arial" w:hAnsi="Arial" w:cs="Arial"/>
          <w:sz w:val="22"/>
          <w:szCs w:val="22"/>
        </w:rPr>
        <w:t xml:space="preserve"> B R A Z L O Ž I T E V</w:t>
      </w:r>
    </w:p>
    <w:p w14:paraId="4FD456E0" w14:textId="77777777" w:rsidR="00D86141" w:rsidRDefault="00D86141" w:rsidP="00D86141">
      <w:pPr>
        <w:jc w:val="both"/>
        <w:rPr>
          <w:rFonts w:ascii="Arial" w:hAnsi="Arial" w:cs="Arial"/>
          <w:sz w:val="22"/>
          <w:szCs w:val="22"/>
        </w:rPr>
      </w:pPr>
    </w:p>
    <w:p w14:paraId="3CAE297C" w14:textId="77777777" w:rsidR="00AC1D7D" w:rsidRDefault="00D86141" w:rsidP="00D86141">
      <w:pPr>
        <w:jc w:val="both"/>
        <w:rPr>
          <w:rFonts w:ascii="Arial" w:hAnsi="Arial" w:cs="Arial"/>
          <w:sz w:val="22"/>
          <w:szCs w:val="22"/>
        </w:rPr>
      </w:pPr>
      <w:r w:rsidRPr="00D86141">
        <w:rPr>
          <w:rFonts w:ascii="Arial" w:hAnsi="Arial" w:cs="Arial"/>
          <w:sz w:val="22"/>
          <w:szCs w:val="22"/>
        </w:rPr>
        <w:t xml:space="preserve">Pri pripravi načrta in metode prodaje zemljišč v Poslovno ekonomski coni Nova Gorica – Kromberk (v nadaljevanju PEC) </w:t>
      </w:r>
      <w:r w:rsidR="00AC1D7D">
        <w:rPr>
          <w:rFonts w:ascii="Arial" w:hAnsi="Arial" w:cs="Arial"/>
          <w:sz w:val="22"/>
          <w:szCs w:val="22"/>
        </w:rPr>
        <w:t>se</w:t>
      </w:r>
      <w:r w:rsidRPr="00D86141">
        <w:rPr>
          <w:rFonts w:ascii="Arial" w:hAnsi="Arial" w:cs="Arial"/>
          <w:sz w:val="22"/>
          <w:szCs w:val="22"/>
        </w:rPr>
        <w:t xml:space="preserve"> zasled</w:t>
      </w:r>
      <w:r w:rsidR="00AC1D7D">
        <w:rPr>
          <w:rFonts w:ascii="Arial" w:hAnsi="Arial" w:cs="Arial"/>
          <w:sz w:val="22"/>
          <w:szCs w:val="22"/>
        </w:rPr>
        <w:t>uje</w:t>
      </w:r>
      <w:r w:rsidRPr="00D86141">
        <w:rPr>
          <w:rFonts w:ascii="Arial" w:hAnsi="Arial" w:cs="Arial"/>
          <w:sz w:val="22"/>
          <w:szCs w:val="22"/>
        </w:rPr>
        <w:t xml:space="preserve"> tri ključne pogoje: </w:t>
      </w:r>
    </w:p>
    <w:p w14:paraId="6DA3B7A5" w14:textId="10BD3D4C" w:rsidR="00AC1D7D" w:rsidRPr="002872E4" w:rsidRDefault="005732D6" w:rsidP="002872E4">
      <w:pPr>
        <w:pStyle w:val="Odstavekseznama"/>
        <w:numPr>
          <w:ilvl w:val="0"/>
          <w:numId w:val="6"/>
        </w:numPr>
        <w:jc w:val="both"/>
        <w:rPr>
          <w:rFonts w:ascii="Arial" w:hAnsi="Arial" w:cs="Arial"/>
          <w:sz w:val="22"/>
          <w:szCs w:val="22"/>
        </w:rPr>
      </w:pPr>
      <w:r w:rsidRPr="002872E4">
        <w:rPr>
          <w:rFonts w:ascii="Arial" w:hAnsi="Arial" w:cs="Arial"/>
          <w:sz w:val="22"/>
          <w:szCs w:val="22"/>
        </w:rPr>
        <w:t>zadostitev</w:t>
      </w:r>
      <w:r w:rsidR="00D86141" w:rsidRPr="002872E4">
        <w:rPr>
          <w:rFonts w:ascii="Arial" w:hAnsi="Arial" w:cs="Arial"/>
          <w:sz w:val="22"/>
          <w:szCs w:val="22"/>
        </w:rPr>
        <w:t xml:space="preserve"> pogojem, ki izhajajo iz pogodbe z Ministrstvom za gospodarstvo, razvoj in tehnologijo – </w:t>
      </w:r>
      <w:proofErr w:type="spellStart"/>
      <w:r w:rsidR="00D86141" w:rsidRPr="002872E4">
        <w:rPr>
          <w:rFonts w:ascii="Arial" w:hAnsi="Arial" w:cs="Arial"/>
          <w:sz w:val="22"/>
          <w:szCs w:val="22"/>
        </w:rPr>
        <w:t>t</w:t>
      </w:r>
      <w:r w:rsidRPr="002872E4">
        <w:rPr>
          <w:rFonts w:ascii="Arial" w:hAnsi="Arial" w:cs="Arial"/>
          <w:sz w:val="22"/>
          <w:szCs w:val="22"/>
        </w:rPr>
        <w:t>.</w:t>
      </w:r>
      <w:r w:rsidR="00D86141" w:rsidRPr="002872E4">
        <w:rPr>
          <w:rFonts w:ascii="Arial" w:hAnsi="Arial" w:cs="Arial"/>
          <w:sz w:val="22"/>
          <w:szCs w:val="22"/>
        </w:rPr>
        <w:t>j</w:t>
      </w:r>
      <w:proofErr w:type="spellEnd"/>
      <w:r w:rsidRPr="002872E4">
        <w:rPr>
          <w:rFonts w:ascii="Arial" w:hAnsi="Arial" w:cs="Arial"/>
          <w:sz w:val="22"/>
          <w:szCs w:val="22"/>
        </w:rPr>
        <w:t>.</w:t>
      </w:r>
      <w:r w:rsidR="00D86141" w:rsidRPr="002872E4">
        <w:rPr>
          <w:rFonts w:ascii="Arial" w:hAnsi="Arial" w:cs="Arial"/>
          <w:sz w:val="22"/>
          <w:szCs w:val="22"/>
        </w:rPr>
        <w:t xml:space="preserve">, da </w:t>
      </w:r>
      <w:r w:rsidRPr="002872E4">
        <w:rPr>
          <w:rFonts w:ascii="Arial" w:hAnsi="Arial" w:cs="Arial"/>
          <w:sz w:val="22"/>
          <w:szCs w:val="22"/>
        </w:rPr>
        <w:t xml:space="preserve">se </w:t>
      </w:r>
      <w:r w:rsidR="00D86141" w:rsidRPr="002872E4">
        <w:rPr>
          <w:rFonts w:ascii="Arial" w:hAnsi="Arial" w:cs="Arial"/>
          <w:sz w:val="22"/>
          <w:szCs w:val="22"/>
        </w:rPr>
        <w:t xml:space="preserve">zemljišča </w:t>
      </w:r>
      <w:r w:rsidRPr="002872E4">
        <w:rPr>
          <w:rFonts w:ascii="Arial" w:hAnsi="Arial" w:cs="Arial"/>
          <w:sz w:val="22"/>
          <w:szCs w:val="22"/>
        </w:rPr>
        <w:t>proda</w:t>
      </w:r>
      <w:r w:rsidR="00D86141" w:rsidRPr="002872E4">
        <w:rPr>
          <w:rFonts w:ascii="Arial" w:hAnsi="Arial" w:cs="Arial"/>
          <w:sz w:val="22"/>
          <w:szCs w:val="22"/>
        </w:rPr>
        <w:t xml:space="preserve"> samo </w:t>
      </w:r>
      <w:proofErr w:type="spellStart"/>
      <w:r w:rsidR="00D86141" w:rsidRPr="002872E4">
        <w:rPr>
          <w:rFonts w:ascii="Arial" w:hAnsi="Arial" w:cs="Arial"/>
          <w:sz w:val="22"/>
          <w:szCs w:val="22"/>
        </w:rPr>
        <w:t>mikro</w:t>
      </w:r>
      <w:proofErr w:type="spellEnd"/>
      <w:r w:rsidR="00D86141" w:rsidRPr="002872E4">
        <w:rPr>
          <w:rFonts w:ascii="Arial" w:hAnsi="Arial" w:cs="Arial"/>
          <w:sz w:val="22"/>
          <w:szCs w:val="22"/>
        </w:rPr>
        <w:t>, malim in srednjim podjetjem ter najkasneje 3 leta po zaključku investicije v infrastrukturno opremljenost cone zagotovi najmanj 60% zasedenost zemljišč,</w:t>
      </w:r>
    </w:p>
    <w:p w14:paraId="0E170902" w14:textId="4B8DF1ED" w:rsidR="00AC1D7D" w:rsidRPr="002872E4" w:rsidRDefault="005732D6" w:rsidP="002872E4">
      <w:pPr>
        <w:pStyle w:val="Odstavekseznama"/>
        <w:numPr>
          <w:ilvl w:val="0"/>
          <w:numId w:val="6"/>
        </w:numPr>
        <w:jc w:val="both"/>
        <w:rPr>
          <w:rFonts w:ascii="Arial" w:hAnsi="Arial" w:cs="Arial"/>
          <w:sz w:val="22"/>
          <w:szCs w:val="22"/>
        </w:rPr>
      </w:pPr>
      <w:r w:rsidRPr="002872E4">
        <w:rPr>
          <w:rFonts w:ascii="Arial" w:hAnsi="Arial" w:cs="Arial"/>
          <w:sz w:val="22"/>
          <w:szCs w:val="22"/>
        </w:rPr>
        <w:t>minimiziranje</w:t>
      </w:r>
      <w:r w:rsidR="00D86141" w:rsidRPr="002872E4">
        <w:rPr>
          <w:rFonts w:ascii="Arial" w:hAnsi="Arial" w:cs="Arial"/>
          <w:sz w:val="22"/>
          <w:szCs w:val="22"/>
        </w:rPr>
        <w:t xml:space="preserve"> možnost</w:t>
      </w:r>
      <w:r w:rsidRPr="002872E4">
        <w:rPr>
          <w:rFonts w:ascii="Arial" w:hAnsi="Arial" w:cs="Arial"/>
          <w:sz w:val="22"/>
          <w:szCs w:val="22"/>
        </w:rPr>
        <w:t>i</w:t>
      </w:r>
      <w:r w:rsidR="00D86141" w:rsidRPr="002872E4">
        <w:rPr>
          <w:rFonts w:ascii="Arial" w:hAnsi="Arial" w:cs="Arial"/>
          <w:sz w:val="22"/>
          <w:szCs w:val="22"/>
        </w:rPr>
        <w:t xml:space="preserve"> špekulantstva in preprodaje in </w:t>
      </w:r>
    </w:p>
    <w:p w14:paraId="27F87180" w14:textId="4E3412CD" w:rsidR="00AC1D7D" w:rsidRPr="002872E4" w:rsidRDefault="005732D6" w:rsidP="002872E4">
      <w:pPr>
        <w:pStyle w:val="Odstavekseznama"/>
        <w:numPr>
          <w:ilvl w:val="0"/>
          <w:numId w:val="6"/>
        </w:numPr>
        <w:jc w:val="both"/>
        <w:rPr>
          <w:rFonts w:ascii="Arial" w:hAnsi="Arial" w:cs="Arial"/>
          <w:sz w:val="22"/>
          <w:szCs w:val="22"/>
        </w:rPr>
      </w:pPr>
      <w:r w:rsidRPr="002872E4">
        <w:rPr>
          <w:rFonts w:ascii="Arial" w:hAnsi="Arial" w:cs="Arial"/>
          <w:sz w:val="22"/>
          <w:szCs w:val="22"/>
        </w:rPr>
        <w:t>zagotovitev</w:t>
      </w:r>
      <w:r w:rsidR="00D86141" w:rsidRPr="002872E4">
        <w:rPr>
          <w:rFonts w:ascii="Arial" w:hAnsi="Arial" w:cs="Arial"/>
          <w:sz w:val="22"/>
          <w:szCs w:val="22"/>
        </w:rPr>
        <w:t xml:space="preserve"> optimaln</w:t>
      </w:r>
      <w:r w:rsidRPr="002872E4">
        <w:rPr>
          <w:rFonts w:ascii="Arial" w:hAnsi="Arial" w:cs="Arial"/>
          <w:sz w:val="22"/>
          <w:szCs w:val="22"/>
        </w:rPr>
        <w:t>ega</w:t>
      </w:r>
      <w:r w:rsidR="00D86141" w:rsidRPr="002872E4">
        <w:rPr>
          <w:rFonts w:ascii="Arial" w:hAnsi="Arial" w:cs="Arial"/>
          <w:sz w:val="22"/>
          <w:szCs w:val="22"/>
        </w:rPr>
        <w:t xml:space="preserve"> izkoristk</w:t>
      </w:r>
      <w:r w:rsidRPr="002872E4">
        <w:rPr>
          <w:rFonts w:ascii="Arial" w:hAnsi="Arial" w:cs="Arial"/>
          <w:sz w:val="22"/>
          <w:szCs w:val="22"/>
        </w:rPr>
        <w:t>a</w:t>
      </w:r>
      <w:r w:rsidR="00D86141" w:rsidRPr="002872E4">
        <w:rPr>
          <w:rFonts w:ascii="Arial" w:hAnsi="Arial" w:cs="Arial"/>
          <w:sz w:val="22"/>
          <w:szCs w:val="22"/>
        </w:rPr>
        <w:t xml:space="preserve"> prostora za nova podjetja ter </w:t>
      </w:r>
      <w:r w:rsidRPr="002872E4">
        <w:rPr>
          <w:rFonts w:ascii="Arial" w:hAnsi="Arial" w:cs="Arial"/>
          <w:sz w:val="22"/>
          <w:szCs w:val="22"/>
        </w:rPr>
        <w:t>minimaliziranje</w:t>
      </w:r>
      <w:r w:rsidR="00D86141" w:rsidRPr="002872E4">
        <w:rPr>
          <w:rFonts w:ascii="Arial" w:hAnsi="Arial" w:cs="Arial"/>
          <w:sz w:val="22"/>
          <w:szCs w:val="22"/>
        </w:rPr>
        <w:t xml:space="preserve"> začetn</w:t>
      </w:r>
      <w:r w:rsidRPr="002872E4">
        <w:rPr>
          <w:rFonts w:ascii="Arial" w:hAnsi="Arial" w:cs="Arial"/>
          <w:sz w:val="22"/>
          <w:szCs w:val="22"/>
        </w:rPr>
        <w:t>ih</w:t>
      </w:r>
      <w:r w:rsidR="00D86141" w:rsidRPr="002872E4">
        <w:rPr>
          <w:rFonts w:ascii="Arial" w:hAnsi="Arial" w:cs="Arial"/>
          <w:sz w:val="22"/>
          <w:szCs w:val="22"/>
        </w:rPr>
        <w:t xml:space="preserve"> strošk</w:t>
      </w:r>
      <w:r w:rsidRPr="002872E4">
        <w:rPr>
          <w:rFonts w:ascii="Arial" w:hAnsi="Arial" w:cs="Arial"/>
          <w:sz w:val="22"/>
          <w:szCs w:val="22"/>
        </w:rPr>
        <w:t xml:space="preserve">ov investitorjev </w:t>
      </w:r>
      <w:r w:rsidR="00D86141" w:rsidRPr="002872E4">
        <w:rPr>
          <w:rFonts w:ascii="Arial" w:hAnsi="Arial" w:cs="Arial"/>
          <w:sz w:val="22"/>
          <w:szCs w:val="22"/>
        </w:rPr>
        <w:t xml:space="preserve">v gradnjo v coni. </w:t>
      </w:r>
    </w:p>
    <w:p w14:paraId="5190319E" w14:textId="77777777" w:rsidR="00AC1D7D" w:rsidRDefault="00AC1D7D" w:rsidP="00D86141">
      <w:pPr>
        <w:jc w:val="both"/>
        <w:rPr>
          <w:rFonts w:ascii="Arial" w:hAnsi="Arial" w:cs="Arial"/>
          <w:sz w:val="22"/>
          <w:szCs w:val="22"/>
        </w:rPr>
      </w:pPr>
    </w:p>
    <w:p w14:paraId="180BC5D8" w14:textId="77777777" w:rsidR="00AC1D7D" w:rsidRDefault="00D86141" w:rsidP="00D86141">
      <w:pPr>
        <w:jc w:val="both"/>
        <w:rPr>
          <w:rFonts w:ascii="Arial" w:hAnsi="Arial" w:cs="Arial"/>
          <w:sz w:val="22"/>
          <w:szCs w:val="22"/>
        </w:rPr>
      </w:pPr>
      <w:r w:rsidRPr="00D86141">
        <w:rPr>
          <w:rFonts w:ascii="Arial" w:hAnsi="Arial" w:cs="Arial"/>
          <w:sz w:val="22"/>
          <w:szCs w:val="22"/>
        </w:rPr>
        <w:t xml:space="preserve">Poleg teh treh ključnih pogojev </w:t>
      </w:r>
      <w:r w:rsidR="00AC1D7D">
        <w:rPr>
          <w:rFonts w:ascii="Arial" w:hAnsi="Arial" w:cs="Arial"/>
          <w:sz w:val="22"/>
          <w:szCs w:val="22"/>
        </w:rPr>
        <w:t>se zasleduje tudi</w:t>
      </w:r>
      <w:r w:rsidRPr="00D86141">
        <w:rPr>
          <w:rFonts w:ascii="Arial" w:hAnsi="Arial" w:cs="Arial"/>
          <w:sz w:val="22"/>
          <w:szCs w:val="22"/>
        </w:rPr>
        <w:t xml:space="preserve"> cilje, ki </w:t>
      </w:r>
      <w:r w:rsidR="00AC1D7D">
        <w:rPr>
          <w:rFonts w:ascii="Arial" w:hAnsi="Arial" w:cs="Arial"/>
          <w:sz w:val="22"/>
          <w:szCs w:val="22"/>
        </w:rPr>
        <w:t xml:space="preserve">se </w:t>
      </w:r>
      <w:r w:rsidRPr="00D86141">
        <w:rPr>
          <w:rFonts w:ascii="Arial" w:hAnsi="Arial" w:cs="Arial"/>
          <w:sz w:val="22"/>
          <w:szCs w:val="22"/>
        </w:rPr>
        <w:t xml:space="preserve">jih z investicijo želi doseči, kar </w:t>
      </w:r>
      <w:r w:rsidR="00AC1D7D">
        <w:rPr>
          <w:rFonts w:ascii="Arial" w:hAnsi="Arial" w:cs="Arial"/>
          <w:sz w:val="22"/>
          <w:szCs w:val="22"/>
        </w:rPr>
        <w:t>je</w:t>
      </w:r>
      <w:r w:rsidRPr="00D86141">
        <w:rPr>
          <w:rFonts w:ascii="Arial" w:hAnsi="Arial" w:cs="Arial"/>
          <w:sz w:val="22"/>
          <w:szCs w:val="22"/>
        </w:rPr>
        <w:t xml:space="preserve"> tudi zapisa</w:t>
      </w:r>
      <w:r w:rsidR="00AC1D7D">
        <w:rPr>
          <w:rFonts w:ascii="Arial" w:hAnsi="Arial" w:cs="Arial"/>
          <w:sz w:val="22"/>
          <w:szCs w:val="22"/>
        </w:rPr>
        <w:t>no</w:t>
      </w:r>
      <w:r w:rsidRPr="00D86141">
        <w:rPr>
          <w:rFonts w:ascii="Arial" w:hAnsi="Arial" w:cs="Arial"/>
          <w:sz w:val="22"/>
          <w:szCs w:val="22"/>
        </w:rPr>
        <w:t xml:space="preserve"> v Investicijsk</w:t>
      </w:r>
      <w:r w:rsidR="00AC1D7D">
        <w:rPr>
          <w:rFonts w:ascii="Arial" w:hAnsi="Arial" w:cs="Arial"/>
          <w:sz w:val="22"/>
          <w:szCs w:val="22"/>
        </w:rPr>
        <w:t>em</w:t>
      </w:r>
      <w:r w:rsidRPr="00D86141">
        <w:rPr>
          <w:rFonts w:ascii="Arial" w:hAnsi="Arial" w:cs="Arial"/>
          <w:sz w:val="22"/>
          <w:szCs w:val="22"/>
        </w:rPr>
        <w:t xml:space="preserve"> program</w:t>
      </w:r>
      <w:r w:rsidR="00AC1D7D">
        <w:rPr>
          <w:rFonts w:ascii="Arial" w:hAnsi="Arial" w:cs="Arial"/>
          <w:sz w:val="22"/>
          <w:szCs w:val="22"/>
        </w:rPr>
        <w:t>u</w:t>
      </w:r>
      <w:r w:rsidRPr="00D86141">
        <w:rPr>
          <w:rFonts w:ascii="Arial" w:hAnsi="Arial" w:cs="Arial"/>
          <w:sz w:val="22"/>
          <w:szCs w:val="22"/>
        </w:rPr>
        <w:t xml:space="preserve"> »Izgradnja poslovno ekonomske cone Nova Gorica – Kromberk« (Priloga 3), predvsem: </w:t>
      </w:r>
    </w:p>
    <w:p w14:paraId="3ACFEC8A" w14:textId="5CED200A" w:rsidR="00AC1D7D" w:rsidRPr="00431D73" w:rsidRDefault="00D86141" w:rsidP="00431D73">
      <w:pPr>
        <w:pStyle w:val="Odstavekseznama"/>
        <w:numPr>
          <w:ilvl w:val="0"/>
          <w:numId w:val="7"/>
        </w:numPr>
        <w:jc w:val="both"/>
        <w:rPr>
          <w:rFonts w:ascii="Arial" w:hAnsi="Arial" w:cs="Arial"/>
          <w:sz w:val="22"/>
          <w:szCs w:val="22"/>
        </w:rPr>
      </w:pPr>
      <w:r w:rsidRPr="00431D73">
        <w:rPr>
          <w:rFonts w:ascii="Arial" w:hAnsi="Arial" w:cs="Arial"/>
          <w:sz w:val="22"/>
          <w:szCs w:val="22"/>
        </w:rPr>
        <w:t xml:space="preserve">možnost kvalitetnega razvoja gospodarske dejavnosti v MONG z vzpostavitvijo infrastrukturno opremljenih poslovnih prostorov, </w:t>
      </w:r>
    </w:p>
    <w:p w14:paraId="32316147" w14:textId="6860B96E" w:rsidR="00AC1D7D" w:rsidRPr="00431D73" w:rsidRDefault="00D86141" w:rsidP="00431D73">
      <w:pPr>
        <w:pStyle w:val="Odstavekseznama"/>
        <w:numPr>
          <w:ilvl w:val="0"/>
          <w:numId w:val="7"/>
        </w:numPr>
        <w:jc w:val="both"/>
        <w:rPr>
          <w:rFonts w:ascii="Arial" w:hAnsi="Arial" w:cs="Arial"/>
          <w:sz w:val="22"/>
          <w:szCs w:val="22"/>
        </w:rPr>
      </w:pPr>
      <w:r w:rsidRPr="00431D73">
        <w:rPr>
          <w:rFonts w:ascii="Arial" w:hAnsi="Arial" w:cs="Arial"/>
          <w:sz w:val="22"/>
          <w:szCs w:val="22"/>
        </w:rPr>
        <w:t xml:space="preserve">povečati ponudbo trenutno manjkajočih ustrezno komunalno opremljenih in prometno dostopnih zemljišč za opravljanje poslovne dejavnosti na območju Mestne občine Nova Gorica, </w:t>
      </w:r>
    </w:p>
    <w:p w14:paraId="2A365AB1" w14:textId="3409165E" w:rsidR="00AC1D7D" w:rsidRPr="00431D73" w:rsidRDefault="00D86141" w:rsidP="00431D73">
      <w:pPr>
        <w:pStyle w:val="Odstavekseznama"/>
        <w:numPr>
          <w:ilvl w:val="0"/>
          <w:numId w:val="7"/>
        </w:numPr>
        <w:jc w:val="both"/>
        <w:rPr>
          <w:rFonts w:ascii="Arial" w:hAnsi="Arial" w:cs="Arial"/>
          <w:sz w:val="22"/>
          <w:szCs w:val="22"/>
        </w:rPr>
      </w:pPr>
      <w:r w:rsidRPr="00431D73">
        <w:rPr>
          <w:rFonts w:ascii="Arial" w:hAnsi="Arial" w:cs="Arial"/>
          <w:sz w:val="22"/>
          <w:szCs w:val="22"/>
        </w:rPr>
        <w:t xml:space="preserve">omogočiti zainteresiranim podjetjem, da si zagotovijo ustrezne površine za njihov gospodarski oz. podjetniški razvoj, </w:t>
      </w:r>
    </w:p>
    <w:p w14:paraId="3863476B" w14:textId="2C14FD34" w:rsidR="00AC1D7D" w:rsidRPr="00431D73" w:rsidRDefault="00D86141" w:rsidP="00431D73">
      <w:pPr>
        <w:pStyle w:val="Odstavekseznama"/>
        <w:numPr>
          <w:ilvl w:val="0"/>
          <w:numId w:val="7"/>
        </w:numPr>
        <w:jc w:val="both"/>
        <w:rPr>
          <w:rFonts w:ascii="Arial" w:hAnsi="Arial" w:cs="Arial"/>
          <w:sz w:val="22"/>
          <w:szCs w:val="22"/>
        </w:rPr>
      </w:pPr>
      <w:r w:rsidRPr="00431D73">
        <w:rPr>
          <w:rFonts w:ascii="Arial" w:hAnsi="Arial" w:cs="Arial"/>
          <w:sz w:val="22"/>
          <w:szCs w:val="22"/>
        </w:rPr>
        <w:t xml:space="preserve">povečati privlačnost lokalnega okolja za privabljanje novih, tudi tujih investitorjev, </w:t>
      </w:r>
    </w:p>
    <w:p w14:paraId="492E20AE" w14:textId="6C4F1F30" w:rsidR="00AC1D7D" w:rsidRPr="00431D73" w:rsidRDefault="00D86141" w:rsidP="00431D73">
      <w:pPr>
        <w:pStyle w:val="Odstavekseznama"/>
        <w:numPr>
          <w:ilvl w:val="0"/>
          <w:numId w:val="7"/>
        </w:numPr>
        <w:jc w:val="both"/>
        <w:rPr>
          <w:rFonts w:ascii="Arial" w:hAnsi="Arial" w:cs="Arial"/>
          <w:sz w:val="22"/>
          <w:szCs w:val="22"/>
        </w:rPr>
      </w:pPr>
      <w:r w:rsidRPr="00431D73">
        <w:rPr>
          <w:rFonts w:ascii="Arial" w:hAnsi="Arial" w:cs="Arial"/>
          <w:sz w:val="22"/>
          <w:szCs w:val="22"/>
        </w:rPr>
        <w:t xml:space="preserve">ustvariti pogoje za nastajanje novih podjetij in širitev obstoječih ter za razvoj novih dejavnosti, </w:t>
      </w:r>
    </w:p>
    <w:p w14:paraId="215207BE" w14:textId="521E01B2" w:rsidR="00AC1D7D" w:rsidRPr="00431D73" w:rsidRDefault="00D86141" w:rsidP="00431D73">
      <w:pPr>
        <w:pStyle w:val="Odstavekseznama"/>
        <w:numPr>
          <w:ilvl w:val="0"/>
          <w:numId w:val="7"/>
        </w:numPr>
        <w:jc w:val="both"/>
        <w:rPr>
          <w:rFonts w:ascii="Arial" w:hAnsi="Arial" w:cs="Arial"/>
          <w:sz w:val="22"/>
          <w:szCs w:val="22"/>
        </w:rPr>
      </w:pPr>
      <w:r w:rsidRPr="00431D73">
        <w:rPr>
          <w:rFonts w:ascii="Arial" w:hAnsi="Arial" w:cs="Arial"/>
          <w:sz w:val="22"/>
          <w:szCs w:val="22"/>
        </w:rPr>
        <w:t xml:space="preserve">ustvariti pogoje za nova delovna mesta, </w:t>
      </w:r>
    </w:p>
    <w:p w14:paraId="0A8814A3" w14:textId="217D6C0C" w:rsidR="00AC1D7D" w:rsidRPr="00431D73" w:rsidRDefault="00D86141" w:rsidP="00431D73">
      <w:pPr>
        <w:pStyle w:val="Odstavekseznama"/>
        <w:numPr>
          <w:ilvl w:val="0"/>
          <w:numId w:val="7"/>
        </w:numPr>
        <w:jc w:val="both"/>
        <w:rPr>
          <w:rFonts w:ascii="Arial" w:hAnsi="Arial" w:cs="Arial"/>
          <w:sz w:val="22"/>
          <w:szCs w:val="22"/>
        </w:rPr>
      </w:pPr>
      <w:r w:rsidRPr="00431D73">
        <w:rPr>
          <w:rFonts w:ascii="Arial" w:hAnsi="Arial" w:cs="Arial"/>
          <w:sz w:val="22"/>
          <w:szCs w:val="22"/>
        </w:rPr>
        <w:t>izboljšati delovne in bivanjske pogoje lokalnega prebivalstva,</w:t>
      </w:r>
    </w:p>
    <w:p w14:paraId="21DD2D87" w14:textId="4A028802" w:rsidR="00AC1D7D" w:rsidRPr="00431D73" w:rsidRDefault="00D86141" w:rsidP="00431D73">
      <w:pPr>
        <w:pStyle w:val="Odstavekseznama"/>
        <w:numPr>
          <w:ilvl w:val="0"/>
          <w:numId w:val="7"/>
        </w:numPr>
        <w:jc w:val="both"/>
        <w:rPr>
          <w:rFonts w:ascii="Arial" w:hAnsi="Arial" w:cs="Arial"/>
          <w:sz w:val="22"/>
          <w:szCs w:val="22"/>
        </w:rPr>
      </w:pPr>
      <w:r w:rsidRPr="00431D73">
        <w:rPr>
          <w:rFonts w:ascii="Arial" w:hAnsi="Arial" w:cs="Arial"/>
          <w:sz w:val="22"/>
          <w:szCs w:val="22"/>
        </w:rPr>
        <w:t xml:space="preserve">prispevati k zmanjšanju »bega možganov«, </w:t>
      </w:r>
    </w:p>
    <w:p w14:paraId="4EE4B8A0" w14:textId="34FA6935" w:rsidR="00AC1D7D" w:rsidRPr="00431D73" w:rsidRDefault="00D86141" w:rsidP="00431D73">
      <w:pPr>
        <w:pStyle w:val="Odstavekseznama"/>
        <w:numPr>
          <w:ilvl w:val="0"/>
          <w:numId w:val="7"/>
        </w:numPr>
        <w:jc w:val="both"/>
        <w:rPr>
          <w:rFonts w:ascii="Arial" w:hAnsi="Arial" w:cs="Arial"/>
          <w:sz w:val="22"/>
          <w:szCs w:val="22"/>
        </w:rPr>
      </w:pPr>
      <w:r w:rsidRPr="00431D73">
        <w:rPr>
          <w:rFonts w:ascii="Arial" w:hAnsi="Arial" w:cs="Arial"/>
          <w:sz w:val="22"/>
          <w:szCs w:val="22"/>
        </w:rPr>
        <w:t xml:space="preserve">prispevati k povečanju dodane vrednosti podjetij in hitrejšemu razvoju gospodarstva na lokalni ter širši regionalni in državni ravni. </w:t>
      </w:r>
    </w:p>
    <w:p w14:paraId="02CA05FF" w14:textId="77777777" w:rsidR="00AC1D7D" w:rsidRDefault="00AC1D7D" w:rsidP="00D86141">
      <w:pPr>
        <w:jc w:val="both"/>
        <w:rPr>
          <w:rFonts w:ascii="Arial" w:hAnsi="Arial" w:cs="Arial"/>
          <w:sz w:val="22"/>
          <w:szCs w:val="22"/>
        </w:rPr>
      </w:pPr>
    </w:p>
    <w:p w14:paraId="2D698B0F" w14:textId="17101181" w:rsidR="00AC1D7D" w:rsidRDefault="00D86141" w:rsidP="00D86141">
      <w:pPr>
        <w:jc w:val="both"/>
        <w:rPr>
          <w:rFonts w:ascii="Arial" w:hAnsi="Arial" w:cs="Arial"/>
          <w:sz w:val="22"/>
          <w:szCs w:val="22"/>
        </w:rPr>
      </w:pPr>
      <w:r w:rsidRPr="00D86141">
        <w:rPr>
          <w:rFonts w:ascii="Arial" w:hAnsi="Arial" w:cs="Arial"/>
          <w:sz w:val="22"/>
          <w:szCs w:val="22"/>
        </w:rPr>
        <w:t>Glede na zgoraj obrazloženo se je kot najbolj optimalna varianta metode prodaje, ki hkrati zagotavlja dovolj finančne varnosti in pridobitev investitorjev, ki bodo sledili zastavljenim ciljem, izkazala prodaja po Zakonu o spodbujanju investicij (Uradni list RS, št. 13/18, 204/21</w:t>
      </w:r>
      <w:r w:rsidR="005732D6">
        <w:rPr>
          <w:rFonts w:ascii="Arial" w:hAnsi="Arial" w:cs="Arial"/>
          <w:sz w:val="22"/>
          <w:szCs w:val="22"/>
        </w:rPr>
        <w:t xml:space="preserve">, </w:t>
      </w:r>
      <w:r w:rsidRPr="00D86141">
        <w:rPr>
          <w:rFonts w:ascii="Arial" w:hAnsi="Arial" w:cs="Arial"/>
          <w:sz w:val="22"/>
          <w:szCs w:val="22"/>
        </w:rPr>
        <w:t>29/22</w:t>
      </w:r>
      <w:r w:rsidR="005732D6">
        <w:rPr>
          <w:rFonts w:ascii="Arial" w:hAnsi="Arial" w:cs="Arial"/>
          <w:sz w:val="22"/>
          <w:szCs w:val="22"/>
        </w:rPr>
        <w:t xml:space="preserve"> in 56/23,</w:t>
      </w:r>
      <w:r w:rsidRPr="00D86141">
        <w:rPr>
          <w:rFonts w:ascii="Arial" w:hAnsi="Arial" w:cs="Arial"/>
          <w:sz w:val="22"/>
          <w:szCs w:val="22"/>
        </w:rPr>
        <w:t xml:space="preserve"> v nadaljevanju: </w:t>
      </w:r>
      <w:proofErr w:type="spellStart"/>
      <w:r w:rsidRPr="00D86141">
        <w:rPr>
          <w:rFonts w:ascii="Arial" w:hAnsi="Arial" w:cs="Arial"/>
          <w:sz w:val="22"/>
          <w:szCs w:val="22"/>
        </w:rPr>
        <w:t>ZSInv</w:t>
      </w:r>
      <w:proofErr w:type="spellEnd"/>
      <w:r w:rsidRPr="00D86141">
        <w:rPr>
          <w:rFonts w:ascii="Arial" w:hAnsi="Arial" w:cs="Arial"/>
          <w:sz w:val="22"/>
          <w:szCs w:val="22"/>
        </w:rPr>
        <w:t xml:space="preserve">). </w:t>
      </w:r>
    </w:p>
    <w:p w14:paraId="718B714F" w14:textId="77777777" w:rsidR="00AC1D7D" w:rsidRDefault="00AC1D7D" w:rsidP="00D86141">
      <w:pPr>
        <w:jc w:val="both"/>
        <w:rPr>
          <w:rFonts w:ascii="Arial" w:hAnsi="Arial" w:cs="Arial"/>
          <w:sz w:val="22"/>
          <w:szCs w:val="22"/>
        </w:rPr>
      </w:pPr>
    </w:p>
    <w:p w14:paraId="4879C12B" w14:textId="45087C0A" w:rsidR="00AC1D7D" w:rsidRDefault="00D86141" w:rsidP="00D86141">
      <w:pPr>
        <w:jc w:val="both"/>
        <w:rPr>
          <w:rFonts w:ascii="Arial" w:hAnsi="Arial" w:cs="Arial"/>
          <w:sz w:val="22"/>
          <w:szCs w:val="22"/>
        </w:rPr>
      </w:pPr>
      <w:proofErr w:type="spellStart"/>
      <w:r w:rsidRPr="00D86141">
        <w:rPr>
          <w:rFonts w:ascii="Arial" w:hAnsi="Arial" w:cs="Arial"/>
          <w:sz w:val="22"/>
          <w:szCs w:val="22"/>
        </w:rPr>
        <w:t>ZSInv</w:t>
      </w:r>
      <w:proofErr w:type="spellEnd"/>
      <w:r w:rsidRPr="00D86141">
        <w:rPr>
          <w:rFonts w:ascii="Arial" w:hAnsi="Arial" w:cs="Arial"/>
          <w:sz w:val="22"/>
          <w:szCs w:val="22"/>
        </w:rPr>
        <w:t xml:space="preserve"> opredeljuje oblike spodbud za začetne investicije, pogoje, merila, postopek dodeljevanja investicijskih spodbud ter aktivnosti za spodbujanje investicij in internacionalizacije gospodarskih družb. Te spodbude so lahko v obliki: </w:t>
      </w:r>
    </w:p>
    <w:p w14:paraId="1AED6ACC" w14:textId="5D18EBBA" w:rsidR="00AC1D7D" w:rsidRPr="00431D73" w:rsidRDefault="00D86141" w:rsidP="00431D73">
      <w:pPr>
        <w:pStyle w:val="Odstavekseznama"/>
        <w:numPr>
          <w:ilvl w:val="0"/>
          <w:numId w:val="8"/>
        </w:numPr>
        <w:jc w:val="both"/>
        <w:rPr>
          <w:rFonts w:ascii="Arial" w:hAnsi="Arial" w:cs="Arial"/>
          <w:sz w:val="22"/>
          <w:szCs w:val="22"/>
        </w:rPr>
      </w:pPr>
      <w:r w:rsidRPr="00431D73">
        <w:rPr>
          <w:rFonts w:ascii="Arial" w:hAnsi="Arial" w:cs="Arial"/>
          <w:sz w:val="22"/>
          <w:szCs w:val="22"/>
        </w:rPr>
        <w:t xml:space="preserve">subvencije, </w:t>
      </w:r>
    </w:p>
    <w:p w14:paraId="69619B8B" w14:textId="24380195" w:rsidR="00AC1D7D" w:rsidRPr="00431D73" w:rsidRDefault="00D86141" w:rsidP="00431D73">
      <w:pPr>
        <w:pStyle w:val="Odstavekseznama"/>
        <w:numPr>
          <w:ilvl w:val="0"/>
          <w:numId w:val="8"/>
        </w:numPr>
        <w:jc w:val="both"/>
        <w:rPr>
          <w:rFonts w:ascii="Arial" w:hAnsi="Arial" w:cs="Arial"/>
          <w:sz w:val="22"/>
          <w:szCs w:val="22"/>
        </w:rPr>
      </w:pPr>
      <w:r w:rsidRPr="00431D73">
        <w:rPr>
          <w:rFonts w:ascii="Arial" w:hAnsi="Arial" w:cs="Arial"/>
          <w:sz w:val="22"/>
          <w:szCs w:val="22"/>
        </w:rPr>
        <w:t xml:space="preserve">kredita, garancije in subvencionirane obrestne mere, </w:t>
      </w:r>
    </w:p>
    <w:p w14:paraId="69DC6B29" w14:textId="541F481C" w:rsidR="00AC1D7D" w:rsidRPr="00217DC8" w:rsidRDefault="00D86141" w:rsidP="00217DC8">
      <w:pPr>
        <w:pStyle w:val="Odstavekseznama"/>
        <w:numPr>
          <w:ilvl w:val="0"/>
          <w:numId w:val="8"/>
        </w:numPr>
        <w:jc w:val="both"/>
        <w:rPr>
          <w:rFonts w:ascii="Arial" w:hAnsi="Arial" w:cs="Arial"/>
          <w:sz w:val="22"/>
          <w:szCs w:val="22"/>
        </w:rPr>
      </w:pPr>
      <w:r w:rsidRPr="00217DC8">
        <w:rPr>
          <w:rFonts w:ascii="Arial" w:hAnsi="Arial" w:cs="Arial"/>
          <w:sz w:val="22"/>
          <w:szCs w:val="22"/>
        </w:rPr>
        <w:t xml:space="preserve">nakupa nepremičnin v lasti samoupravne lokalne skupnosti po ceni, ki je nižja od tržne. </w:t>
      </w:r>
    </w:p>
    <w:p w14:paraId="7330CBAE" w14:textId="77777777" w:rsidR="00AC1D7D" w:rsidRDefault="00AC1D7D" w:rsidP="00D86141">
      <w:pPr>
        <w:jc w:val="both"/>
        <w:rPr>
          <w:rFonts w:ascii="Arial" w:hAnsi="Arial" w:cs="Arial"/>
          <w:sz w:val="22"/>
          <w:szCs w:val="22"/>
        </w:rPr>
      </w:pPr>
    </w:p>
    <w:p w14:paraId="64D80536" w14:textId="2C56526C" w:rsidR="00E22B7D" w:rsidRDefault="00D86141" w:rsidP="00D86141">
      <w:pPr>
        <w:jc w:val="both"/>
        <w:rPr>
          <w:rFonts w:ascii="Arial" w:hAnsi="Arial" w:cs="Arial"/>
          <w:sz w:val="22"/>
          <w:szCs w:val="22"/>
        </w:rPr>
      </w:pPr>
      <w:proofErr w:type="spellStart"/>
      <w:r w:rsidRPr="00D86141">
        <w:rPr>
          <w:rFonts w:ascii="Arial" w:hAnsi="Arial" w:cs="Arial"/>
          <w:sz w:val="22"/>
          <w:szCs w:val="22"/>
        </w:rPr>
        <w:t>ZSInv</w:t>
      </w:r>
      <w:proofErr w:type="spellEnd"/>
      <w:r w:rsidRPr="00D86141">
        <w:rPr>
          <w:rFonts w:ascii="Arial" w:hAnsi="Arial" w:cs="Arial"/>
          <w:sz w:val="22"/>
          <w:szCs w:val="22"/>
        </w:rPr>
        <w:t xml:space="preserve"> v 20. členu določa, da ne glede na določbe zakona, ki ureja ravnanje s stvarnim premoženjem države in samoupravnih lokalnih skupnosti, lokalna skupnost lahko na podlagi neposredne pogodbe o nakupu nepremičnin po cenah, ki so nižje od tržnih (v nadaljnjem besedilu: pogodba o nakupu nepremičnin), ob izpolnjevanju pogojev, iz prvega odstavka 4. člena in meril iz prvega odstavka 5. člena </w:t>
      </w:r>
      <w:proofErr w:type="spellStart"/>
      <w:r w:rsidRPr="00D86141">
        <w:rPr>
          <w:rFonts w:ascii="Arial" w:hAnsi="Arial" w:cs="Arial"/>
          <w:sz w:val="22"/>
          <w:szCs w:val="22"/>
        </w:rPr>
        <w:t>ZSInv</w:t>
      </w:r>
      <w:proofErr w:type="spellEnd"/>
      <w:r w:rsidRPr="00D86141">
        <w:rPr>
          <w:rFonts w:ascii="Arial" w:hAnsi="Arial" w:cs="Arial"/>
          <w:sz w:val="22"/>
          <w:szCs w:val="22"/>
        </w:rPr>
        <w:t xml:space="preserve">, proda nepremičnine gospodarski družbi po cenah, ki so nižje od tržnih. Ocenjena tržna vrednost nepremičnin s </w:t>
      </w:r>
      <w:proofErr w:type="spellStart"/>
      <w:r w:rsidRPr="00D86141">
        <w:rPr>
          <w:rFonts w:ascii="Arial" w:hAnsi="Arial" w:cs="Arial"/>
          <w:sz w:val="22"/>
          <w:szCs w:val="22"/>
        </w:rPr>
        <w:lastRenderedPageBreak/>
        <w:t>parc</w:t>
      </w:r>
      <w:proofErr w:type="spellEnd"/>
      <w:r w:rsidRPr="00D86141">
        <w:rPr>
          <w:rFonts w:ascii="Arial" w:hAnsi="Arial" w:cs="Arial"/>
          <w:sz w:val="22"/>
          <w:szCs w:val="22"/>
        </w:rPr>
        <w:t>. št. 1183/23, 1183/24, 1183/28</w:t>
      </w:r>
      <w:r w:rsidR="00AC1D7D">
        <w:rPr>
          <w:rFonts w:ascii="Arial" w:hAnsi="Arial" w:cs="Arial"/>
          <w:sz w:val="22"/>
          <w:szCs w:val="22"/>
        </w:rPr>
        <w:t xml:space="preserve"> </w:t>
      </w:r>
      <w:r w:rsidRPr="00D86141">
        <w:rPr>
          <w:rFonts w:ascii="Arial" w:hAnsi="Arial" w:cs="Arial"/>
          <w:sz w:val="22"/>
          <w:szCs w:val="22"/>
        </w:rPr>
        <w:t>in 1183/30</w:t>
      </w:r>
      <w:r w:rsidR="00AC1D7D">
        <w:rPr>
          <w:rFonts w:ascii="Arial" w:hAnsi="Arial" w:cs="Arial"/>
          <w:sz w:val="22"/>
          <w:szCs w:val="22"/>
        </w:rPr>
        <w:t>,</w:t>
      </w:r>
      <w:r w:rsidRPr="00D86141">
        <w:rPr>
          <w:rFonts w:ascii="Arial" w:hAnsi="Arial" w:cs="Arial"/>
          <w:sz w:val="22"/>
          <w:szCs w:val="22"/>
        </w:rPr>
        <w:t xml:space="preserve"> vse </w:t>
      </w:r>
      <w:proofErr w:type="spellStart"/>
      <w:r w:rsidRPr="00D86141">
        <w:rPr>
          <w:rFonts w:ascii="Arial" w:hAnsi="Arial" w:cs="Arial"/>
          <w:sz w:val="22"/>
          <w:szCs w:val="22"/>
        </w:rPr>
        <w:t>k.o</w:t>
      </w:r>
      <w:proofErr w:type="spellEnd"/>
      <w:r w:rsidRPr="00D86141">
        <w:rPr>
          <w:rFonts w:ascii="Arial" w:hAnsi="Arial" w:cs="Arial"/>
          <w:sz w:val="22"/>
          <w:szCs w:val="22"/>
        </w:rPr>
        <w:t xml:space="preserve">. 2302 Kromberk, na dan </w:t>
      </w:r>
      <w:r w:rsidR="00AC1D7D">
        <w:rPr>
          <w:rFonts w:ascii="Arial" w:hAnsi="Arial" w:cs="Arial"/>
          <w:sz w:val="22"/>
          <w:szCs w:val="22"/>
        </w:rPr>
        <w:t>4</w:t>
      </w:r>
      <w:r w:rsidRPr="00D86141">
        <w:rPr>
          <w:rFonts w:ascii="Arial" w:hAnsi="Arial" w:cs="Arial"/>
          <w:sz w:val="22"/>
          <w:szCs w:val="22"/>
        </w:rPr>
        <w:t xml:space="preserve">. </w:t>
      </w:r>
      <w:r w:rsidR="00AC1D7D">
        <w:rPr>
          <w:rFonts w:ascii="Arial" w:hAnsi="Arial" w:cs="Arial"/>
          <w:sz w:val="22"/>
          <w:szCs w:val="22"/>
        </w:rPr>
        <w:t>9</w:t>
      </w:r>
      <w:r w:rsidRPr="00D86141">
        <w:rPr>
          <w:rFonts w:ascii="Arial" w:hAnsi="Arial" w:cs="Arial"/>
          <w:sz w:val="22"/>
          <w:szCs w:val="22"/>
        </w:rPr>
        <w:t>. 202</w:t>
      </w:r>
      <w:r w:rsidR="00AC1D7D">
        <w:rPr>
          <w:rFonts w:ascii="Arial" w:hAnsi="Arial" w:cs="Arial"/>
          <w:sz w:val="22"/>
          <w:szCs w:val="22"/>
        </w:rPr>
        <w:t>3</w:t>
      </w:r>
      <w:r w:rsidRPr="00D86141">
        <w:rPr>
          <w:rFonts w:ascii="Arial" w:hAnsi="Arial" w:cs="Arial"/>
          <w:sz w:val="22"/>
          <w:szCs w:val="22"/>
        </w:rPr>
        <w:t xml:space="preserve"> znaša </w:t>
      </w:r>
      <w:r w:rsidR="00AC1D7D">
        <w:rPr>
          <w:rFonts w:ascii="Arial" w:hAnsi="Arial" w:cs="Arial"/>
          <w:sz w:val="22"/>
          <w:szCs w:val="22"/>
        </w:rPr>
        <w:t>1.753.635,13</w:t>
      </w:r>
      <w:r w:rsidRPr="00D86141">
        <w:rPr>
          <w:rFonts w:ascii="Arial" w:hAnsi="Arial" w:cs="Arial"/>
          <w:sz w:val="22"/>
          <w:szCs w:val="22"/>
        </w:rPr>
        <w:t xml:space="preserve"> EUR ob dokončani komunalni infrastrukturi. Po tej cenitvi je torej tržna vrednost </w:t>
      </w:r>
      <w:r w:rsidR="00AC1D7D">
        <w:rPr>
          <w:rFonts w:ascii="Arial" w:hAnsi="Arial" w:cs="Arial"/>
          <w:sz w:val="22"/>
          <w:szCs w:val="22"/>
        </w:rPr>
        <w:t>68,99</w:t>
      </w:r>
      <w:r w:rsidRPr="00D86141">
        <w:rPr>
          <w:rFonts w:ascii="Arial" w:hAnsi="Arial" w:cs="Arial"/>
          <w:sz w:val="22"/>
          <w:szCs w:val="22"/>
        </w:rPr>
        <w:t xml:space="preserve"> EUR/m</w:t>
      </w:r>
      <w:r w:rsidRPr="00AC1D7D">
        <w:rPr>
          <w:rFonts w:ascii="Arial" w:hAnsi="Arial" w:cs="Arial"/>
          <w:sz w:val="22"/>
          <w:szCs w:val="22"/>
          <w:vertAlign w:val="superscript"/>
        </w:rPr>
        <w:t>2</w:t>
      </w:r>
      <w:r w:rsidRPr="00D86141">
        <w:rPr>
          <w:rFonts w:ascii="Arial" w:hAnsi="Arial" w:cs="Arial"/>
          <w:sz w:val="22"/>
          <w:szCs w:val="22"/>
        </w:rPr>
        <w:t xml:space="preserve">. Cenitev je izvedel Edi Batagelj, pooblaščeni ocenjevalec vrednosti nepremičnin pri slovenskem inštitutu za revizijo, </w:t>
      </w:r>
      <w:r w:rsidR="00AC1D7D">
        <w:rPr>
          <w:rFonts w:ascii="Arial" w:hAnsi="Arial" w:cs="Arial"/>
          <w:sz w:val="22"/>
          <w:szCs w:val="22"/>
        </w:rPr>
        <w:t>DON-P-1/22-547</w:t>
      </w:r>
      <w:r w:rsidRPr="00D86141">
        <w:rPr>
          <w:rFonts w:ascii="Arial" w:hAnsi="Arial" w:cs="Arial"/>
          <w:sz w:val="22"/>
          <w:szCs w:val="22"/>
        </w:rPr>
        <w:t xml:space="preserve">, dne </w:t>
      </w:r>
      <w:r w:rsidR="004965DB">
        <w:rPr>
          <w:rFonts w:ascii="Arial" w:hAnsi="Arial" w:cs="Arial"/>
          <w:sz w:val="22"/>
          <w:szCs w:val="22"/>
        </w:rPr>
        <w:t>4</w:t>
      </w:r>
      <w:r w:rsidRPr="00D86141">
        <w:rPr>
          <w:rFonts w:ascii="Arial" w:hAnsi="Arial" w:cs="Arial"/>
          <w:sz w:val="22"/>
          <w:szCs w:val="22"/>
        </w:rPr>
        <w:t xml:space="preserve">. </w:t>
      </w:r>
      <w:r w:rsidR="004965DB">
        <w:rPr>
          <w:rFonts w:ascii="Arial" w:hAnsi="Arial" w:cs="Arial"/>
          <w:sz w:val="22"/>
          <w:szCs w:val="22"/>
        </w:rPr>
        <w:t>9</w:t>
      </w:r>
      <w:r w:rsidRPr="00D86141">
        <w:rPr>
          <w:rFonts w:ascii="Arial" w:hAnsi="Arial" w:cs="Arial"/>
          <w:sz w:val="22"/>
          <w:szCs w:val="22"/>
        </w:rPr>
        <w:t>. 202</w:t>
      </w:r>
      <w:r w:rsidR="00AC1D7D">
        <w:rPr>
          <w:rFonts w:ascii="Arial" w:hAnsi="Arial" w:cs="Arial"/>
          <w:sz w:val="22"/>
          <w:szCs w:val="22"/>
        </w:rPr>
        <w:t>3</w:t>
      </w:r>
      <w:r w:rsidRPr="00D86141">
        <w:rPr>
          <w:rFonts w:ascii="Arial" w:hAnsi="Arial" w:cs="Arial"/>
          <w:sz w:val="22"/>
          <w:szCs w:val="22"/>
        </w:rPr>
        <w:t xml:space="preserve">. Cenitveni dokument se nahaja v prilogi 4. Zemljišča, ki so v lasti Mestne občine Nova Gorica in so namenjena za razvoj gospodarstva, poleg ekonomske funkcije nosijo tudi socialno in razvojno funkcijo zato mora vsakršno razpolaganje, predvsem z zemljišči za industrijsko rabo, zasledovati in izpolnjevati tudi druge cilje, ne le zgolj </w:t>
      </w:r>
      <w:proofErr w:type="spellStart"/>
      <w:r w:rsidRPr="00D86141">
        <w:rPr>
          <w:rFonts w:ascii="Arial" w:hAnsi="Arial" w:cs="Arial"/>
          <w:sz w:val="22"/>
          <w:szCs w:val="22"/>
        </w:rPr>
        <w:t>maksimiziranje</w:t>
      </w:r>
      <w:proofErr w:type="spellEnd"/>
      <w:r w:rsidRPr="00D86141">
        <w:rPr>
          <w:rFonts w:ascii="Arial" w:hAnsi="Arial" w:cs="Arial"/>
          <w:sz w:val="22"/>
          <w:szCs w:val="22"/>
        </w:rPr>
        <w:t xml:space="preserve"> finančnih prihodkov. Zasledovani cilji so obširneje opisani v Investicijskem programu »Izgradnja poslovno ekonomske cone Nova Gorica – Kromberk« (Priloga 3). </w:t>
      </w:r>
    </w:p>
    <w:p w14:paraId="7322E4C8" w14:textId="77777777" w:rsidR="00E22B7D" w:rsidRDefault="00E22B7D" w:rsidP="00D86141">
      <w:pPr>
        <w:jc w:val="both"/>
        <w:rPr>
          <w:rFonts w:ascii="Arial" w:hAnsi="Arial" w:cs="Arial"/>
          <w:sz w:val="22"/>
          <w:szCs w:val="22"/>
        </w:rPr>
      </w:pPr>
    </w:p>
    <w:p w14:paraId="05204022" w14:textId="77777777" w:rsidR="00E22B7D" w:rsidRDefault="00D86141" w:rsidP="00D86141">
      <w:pPr>
        <w:jc w:val="both"/>
        <w:rPr>
          <w:rFonts w:ascii="Arial" w:hAnsi="Arial" w:cs="Arial"/>
          <w:sz w:val="22"/>
          <w:szCs w:val="22"/>
        </w:rPr>
      </w:pPr>
      <w:r w:rsidRPr="00D86141">
        <w:rPr>
          <w:rFonts w:ascii="Arial" w:hAnsi="Arial" w:cs="Arial"/>
          <w:sz w:val="22"/>
          <w:szCs w:val="22"/>
        </w:rPr>
        <w:t>Razlika med ocenjeno in prodajno vrednostjo predstavlja višino regionalne državne pomoči. Prodajno ceno nepremičnin določi samoupravna lokalna skupnost in v skladu s predlaganim sklepom le-ta ne sme biti nižja od 57,12 EUR/m</w:t>
      </w:r>
      <w:r w:rsidRPr="00E22B7D">
        <w:rPr>
          <w:rFonts w:ascii="Arial" w:hAnsi="Arial" w:cs="Arial"/>
          <w:sz w:val="22"/>
          <w:szCs w:val="22"/>
          <w:vertAlign w:val="superscript"/>
        </w:rPr>
        <w:t>2</w:t>
      </w:r>
      <w:r w:rsidRPr="00D86141">
        <w:rPr>
          <w:rFonts w:ascii="Arial" w:hAnsi="Arial" w:cs="Arial"/>
          <w:sz w:val="22"/>
          <w:szCs w:val="22"/>
        </w:rPr>
        <w:t xml:space="preserve">. Nižjo ceno od tržne omogoča finančna vrzel, ki je bila izračunana ob prijavi opremljanja poslovne cone na razpis Ministrstva za gospodarski razvoj in tehnologije, ki tudi sofinancira infrastrukturno opremljanje poslovne cone. Finančna vrzel ter ekonomski in finančni učinki so detajlno prikazani in izračunani v investicijskem programu »Izgradnja poslovno ekonomske cone Nova Gorica – Kromberk«. Cilj je minimiziranje obremenitve začetne investicije investitorjem, ki bodo ustrezali pogojem razpisa. </w:t>
      </w:r>
    </w:p>
    <w:p w14:paraId="28BF680E" w14:textId="77777777" w:rsidR="00E22B7D" w:rsidRDefault="00E22B7D" w:rsidP="00D86141">
      <w:pPr>
        <w:jc w:val="both"/>
        <w:rPr>
          <w:rFonts w:ascii="Arial" w:hAnsi="Arial" w:cs="Arial"/>
          <w:sz w:val="22"/>
          <w:szCs w:val="22"/>
        </w:rPr>
      </w:pPr>
    </w:p>
    <w:p w14:paraId="093F99F4" w14:textId="77777777" w:rsidR="00E22B7D" w:rsidRDefault="00D86141" w:rsidP="00D86141">
      <w:pPr>
        <w:jc w:val="both"/>
        <w:rPr>
          <w:rFonts w:ascii="Arial" w:hAnsi="Arial" w:cs="Arial"/>
          <w:sz w:val="22"/>
          <w:szCs w:val="22"/>
        </w:rPr>
      </w:pPr>
      <w:r w:rsidRPr="00D86141">
        <w:rPr>
          <w:rFonts w:ascii="Arial" w:hAnsi="Arial" w:cs="Arial"/>
          <w:sz w:val="22"/>
          <w:szCs w:val="22"/>
        </w:rPr>
        <w:t xml:space="preserve">Sklep o prodaji nepremičnine pod ceno, ki je nižja od tržne, sprejme svet samoupravne skupnosti. Neposredna pogodba o nakupu nepremičnin po ceni, ki bo nižja od tržne, bo sklenjena v skladu z določili, ki jih določa </w:t>
      </w:r>
      <w:proofErr w:type="spellStart"/>
      <w:r w:rsidRPr="00D86141">
        <w:rPr>
          <w:rFonts w:ascii="Arial" w:hAnsi="Arial" w:cs="Arial"/>
          <w:sz w:val="22"/>
          <w:szCs w:val="22"/>
        </w:rPr>
        <w:t>ZSInv</w:t>
      </w:r>
      <w:proofErr w:type="spellEnd"/>
      <w:r w:rsidRPr="00D86141">
        <w:rPr>
          <w:rFonts w:ascii="Arial" w:hAnsi="Arial" w:cs="Arial"/>
          <w:sz w:val="22"/>
          <w:szCs w:val="22"/>
        </w:rPr>
        <w:t xml:space="preserve">. </w:t>
      </w:r>
    </w:p>
    <w:p w14:paraId="280A7B8F" w14:textId="77777777" w:rsidR="00E22B7D" w:rsidRDefault="00E22B7D" w:rsidP="00D86141">
      <w:pPr>
        <w:jc w:val="both"/>
        <w:rPr>
          <w:rFonts w:ascii="Arial" w:hAnsi="Arial" w:cs="Arial"/>
          <w:sz w:val="22"/>
          <w:szCs w:val="22"/>
        </w:rPr>
      </w:pPr>
    </w:p>
    <w:p w14:paraId="7AE2A6B6" w14:textId="77777777" w:rsidR="00E22B7D" w:rsidRDefault="00D86141" w:rsidP="00D86141">
      <w:pPr>
        <w:jc w:val="both"/>
        <w:rPr>
          <w:rFonts w:ascii="Arial" w:hAnsi="Arial" w:cs="Arial"/>
          <w:sz w:val="22"/>
          <w:szCs w:val="22"/>
        </w:rPr>
      </w:pPr>
      <w:r w:rsidRPr="00D86141">
        <w:rPr>
          <w:rFonts w:ascii="Arial" w:hAnsi="Arial" w:cs="Arial"/>
          <w:sz w:val="22"/>
          <w:szCs w:val="22"/>
        </w:rPr>
        <w:t xml:space="preserve">S prodajo predmetnih nepremičnin po ceni, ki je nižja od tržne, bo Mestna občina Nova Gorica zagotavlja pogoje za rast in razvoj podjetij, kot tudi prispevala k hitrejšemu razvoju gospodarstva in regije. </w:t>
      </w:r>
    </w:p>
    <w:p w14:paraId="1EFF8FC3" w14:textId="77777777" w:rsidR="00E22B7D" w:rsidRDefault="00E22B7D" w:rsidP="00D86141">
      <w:pPr>
        <w:jc w:val="both"/>
        <w:rPr>
          <w:rFonts w:ascii="Arial" w:hAnsi="Arial" w:cs="Arial"/>
          <w:sz w:val="22"/>
          <w:szCs w:val="22"/>
        </w:rPr>
      </w:pPr>
    </w:p>
    <w:p w14:paraId="596F56DD" w14:textId="77777777" w:rsidR="00E22B7D" w:rsidRDefault="00D86141" w:rsidP="00D86141">
      <w:pPr>
        <w:jc w:val="both"/>
        <w:rPr>
          <w:rFonts w:ascii="Arial" w:hAnsi="Arial" w:cs="Arial"/>
          <w:sz w:val="22"/>
          <w:szCs w:val="22"/>
        </w:rPr>
      </w:pPr>
      <w:r w:rsidRPr="00D86141">
        <w:rPr>
          <w:rFonts w:ascii="Arial" w:hAnsi="Arial" w:cs="Arial"/>
          <w:sz w:val="22"/>
          <w:szCs w:val="22"/>
        </w:rPr>
        <w:t>V Investicijskem programu (priloga 3) poglavje 13.2 Projekcija letnih prihodkov investicije so prikazani izračuni prihodkov na takratno ocenjeno tržno vrednost zemljišča (57,12 eur/m2 ). V poglavju 14 istega dokumenta "Presoja upravičenosti investicijskega projekta« so prikazane ekonomske in socialne koristi ter določeni merljivi učinki, ki jih bo Mestna občina Nova Gorica pridobila s prodajo nepremičnin</w:t>
      </w:r>
      <w:r w:rsidR="00E22B7D">
        <w:rPr>
          <w:rFonts w:ascii="Arial" w:hAnsi="Arial" w:cs="Arial"/>
          <w:sz w:val="22"/>
          <w:szCs w:val="22"/>
        </w:rPr>
        <w:t>.</w:t>
      </w:r>
      <w:r w:rsidRPr="00D86141">
        <w:rPr>
          <w:rFonts w:ascii="Arial" w:hAnsi="Arial" w:cs="Arial"/>
          <w:sz w:val="22"/>
          <w:szCs w:val="22"/>
        </w:rPr>
        <w:t xml:space="preserve"> </w:t>
      </w:r>
    </w:p>
    <w:p w14:paraId="6299FA00" w14:textId="77777777" w:rsidR="00E22B7D" w:rsidRDefault="00E22B7D" w:rsidP="00D86141">
      <w:pPr>
        <w:jc w:val="both"/>
        <w:rPr>
          <w:rFonts w:ascii="Arial" w:hAnsi="Arial" w:cs="Arial"/>
          <w:sz w:val="22"/>
          <w:szCs w:val="22"/>
        </w:rPr>
      </w:pPr>
    </w:p>
    <w:p w14:paraId="7AC66C40" w14:textId="77777777" w:rsidR="00E22B7D" w:rsidRDefault="00D86141" w:rsidP="00D86141">
      <w:pPr>
        <w:jc w:val="both"/>
        <w:rPr>
          <w:rFonts w:ascii="Arial" w:hAnsi="Arial" w:cs="Arial"/>
          <w:sz w:val="22"/>
          <w:szCs w:val="22"/>
        </w:rPr>
      </w:pPr>
      <w:r w:rsidRPr="00D86141">
        <w:rPr>
          <w:rFonts w:ascii="Arial" w:hAnsi="Arial" w:cs="Arial"/>
          <w:sz w:val="22"/>
          <w:szCs w:val="22"/>
        </w:rPr>
        <w:t xml:space="preserve">Končni kazalniki ekonomske analize: </w:t>
      </w:r>
    </w:p>
    <w:tbl>
      <w:tblPr>
        <w:tblStyle w:val="Tabelamrea"/>
        <w:tblW w:w="0" w:type="auto"/>
        <w:tblLook w:val="04A0" w:firstRow="1" w:lastRow="0" w:firstColumn="1" w:lastColumn="0" w:noHBand="0" w:noVBand="1"/>
      </w:tblPr>
      <w:tblGrid>
        <w:gridCol w:w="7083"/>
        <w:gridCol w:w="1637"/>
      </w:tblGrid>
      <w:tr w:rsidR="00E22B7D" w:rsidRPr="00E22B7D" w14:paraId="264337AE" w14:textId="397510AC" w:rsidTr="00E22B7D">
        <w:tc>
          <w:tcPr>
            <w:tcW w:w="7083" w:type="dxa"/>
          </w:tcPr>
          <w:p w14:paraId="56917BB2" w14:textId="54A4665E" w:rsidR="00E22B7D" w:rsidRPr="00E22B7D" w:rsidRDefault="00E22B7D" w:rsidP="007537F7">
            <w:pPr>
              <w:jc w:val="both"/>
              <w:rPr>
                <w:rFonts w:ascii="Arial" w:hAnsi="Arial" w:cs="Arial"/>
                <w:sz w:val="22"/>
                <w:szCs w:val="22"/>
              </w:rPr>
            </w:pPr>
            <w:r w:rsidRPr="00E22B7D">
              <w:rPr>
                <w:rFonts w:ascii="Arial" w:hAnsi="Arial" w:cs="Arial"/>
                <w:sz w:val="22"/>
                <w:szCs w:val="22"/>
              </w:rPr>
              <w:t xml:space="preserve">EKONOMSKA NETO SEDANJA VREDNOST </w:t>
            </w:r>
          </w:p>
        </w:tc>
        <w:tc>
          <w:tcPr>
            <w:tcW w:w="1637" w:type="dxa"/>
          </w:tcPr>
          <w:p w14:paraId="5B0D5739" w14:textId="41F80841" w:rsidR="00E22B7D" w:rsidRPr="00E22B7D" w:rsidRDefault="00E22B7D" w:rsidP="007537F7">
            <w:pPr>
              <w:jc w:val="both"/>
              <w:rPr>
                <w:rFonts w:ascii="Arial" w:hAnsi="Arial" w:cs="Arial"/>
                <w:sz w:val="22"/>
                <w:szCs w:val="22"/>
              </w:rPr>
            </w:pPr>
            <w:r w:rsidRPr="00E22B7D">
              <w:rPr>
                <w:rFonts w:ascii="Arial" w:hAnsi="Arial" w:cs="Arial"/>
                <w:sz w:val="22"/>
                <w:szCs w:val="22"/>
              </w:rPr>
              <w:t>3.301.658</w:t>
            </w:r>
          </w:p>
        </w:tc>
      </w:tr>
      <w:tr w:rsidR="00E22B7D" w:rsidRPr="00E22B7D" w14:paraId="6D52CAFC" w14:textId="44BD514B" w:rsidTr="00E22B7D">
        <w:tc>
          <w:tcPr>
            <w:tcW w:w="7083" w:type="dxa"/>
          </w:tcPr>
          <w:p w14:paraId="7BBBC3C8" w14:textId="0AC94463" w:rsidR="00E22B7D" w:rsidRPr="00E22B7D" w:rsidRDefault="00E22B7D" w:rsidP="007537F7">
            <w:pPr>
              <w:jc w:val="both"/>
              <w:rPr>
                <w:rFonts w:ascii="Arial" w:hAnsi="Arial" w:cs="Arial"/>
                <w:sz w:val="22"/>
                <w:szCs w:val="22"/>
              </w:rPr>
            </w:pPr>
            <w:r w:rsidRPr="00E22B7D">
              <w:rPr>
                <w:rFonts w:ascii="Arial" w:hAnsi="Arial" w:cs="Arial"/>
                <w:sz w:val="22"/>
                <w:szCs w:val="22"/>
              </w:rPr>
              <w:t xml:space="preserve">EKONOMSKA INTERNA STOPNJA DONOSA </w:t>
            </w:r>
          </w:p>
        </w:tc>
        <w:tc>
          <w:tcPr>
            <w:tcW w:w="1637" w:type="dxa"/>
          </w:tcPr>
          <w:p w14:paraId="2DE492D9" w14:textId="66513DE3" w:rsidR="00E22B7D" w:rsidRPr="00E22B7D" w:rsidRDefault="00E22B7D" w:rsidP="007537F7">
            <w:pPr>
              <w:jc w:val="both"/>
              <w:rPr>
                <w:rFonts w:ascii="Arial" w:hAnsi="Arial" w:cs="Arial"/>
                <w:sz w:val="22"/>
                <w:szCs w:val="22"/>
              </w:rPr>
            </w:pPr>
            <w:r w:rsidRPr="00E22B7D">
              <w:rPr>
                <w:rFonts w:ascii="Arial" w:hAnsi="Arial" w:cs="Arial"/>
                <w:sz w:val="22"/>
                <w:szCs w:val="22"/>
              </w:rPr>
              <w:t>13,21%</w:t>
            </w:r>
          </w:p>
        </w:tc>
      </w:tr>
      <w:tr w:rsidR="00E22B7D" w:rsidRPr="00E22B7D" w14:paraId="30980988" w14:textId="32B0B7FA" w:rsidTr="00E22B7D">
        <w:tc>
          <w:tcPr>
            <w:tcW w:w="7083" w:type="dxa"/>
          </w:tcPr>
          <w:p w14:paraId="1C422527" w14:textId="1D540DC7" w:rsidR="00E22B7D" w:rsidRPr="00E22B7D" w:rsidRDefault="00E22B7D" w:rsidP="007537F7">
            <w:pPr>
              <w:jc w:val="both"/>
              <w:rPr>
                <w:rFonts w:ascii="Arial" w:hAnsi="Arial" w:cs="Arial"/>
                <w:sz w:val="22"/>
                <w:szCs w:val="22"/>
              </w:rPr>
            </w:pPr>
            <w:r w:rsidRPr="00E22B7D">
              <w:rPr>
                <w:rFonts w:ascii="Arial" w:hAnsi="Arial" w:cs="Arial"/>
                <w:sz w:val="22"/>
                <w:szCs w:val="22"/>
              </w:rPr>
              <w:t xml:space="preserve">KOLIČNIK RELATIVNE KORISTNOSTI (Razmerje med koristmi in stroški) </w:t>
            </w:r>
          </w:p>
        </w:tc>
        <w:tc>
          <w:tcPr>
            <w:tcW w:w="1637" w:type="dxa"/>
          </w:tcPr>
          <w:p w14:paraId="408EBA5A" w14:textId="2D29AB14" w:rsidR="00E22B7D" w:rsidRPr="00E22B7D" w:rsidRDefault="00E22B7D" w:rsidP="007537F7">
            <w:pPr>
              <w:jc w:val="both"/>
              <w:rPr>
                <w:rFonts w:ascii="Arial" w:hAnsi="Arial" w:cs="Arial"/>
                <w:sz w:val="22"/>
                <w:szCs w:val="22"/>
              </w:rPr>
            </w:pPr>
            <w:r w:rsidRPr="00E22B7D">
              <w:rPr>
                <w:rFonts w:ascii="Arial" w:hAnsi="Arial" w:cs="Arial"/>
                <w:sz w:val="22"/>
                <w:szCs w:val="22"/>
              </w:rPr>
              <w:t>1,78</w:t>
            </w:r>
          </w:p>
        </w:tc>
      </w:tr>
    </w:tbl>
    <w:p w14:paraId="6E133AAA" w14:textId="77777777" w:rsidR="00E22B7D" w:rsidRDefault="00E22B7D" w:rsidP="00D86141">
      <w:pPr>
        <w:jc w:val="both"/>
        <w:rPr>
          <w:rFonts w:ascii="Arial" w:hAnsi="Arial" w:cs="Arial"/>
          <w:sz w:val="22"/>
          <w:szCs w:val="22"/>
        </w:rPr>
      </w:pPr>
    </w:p>
    <w:p w14:paraId="104ECDAC" w14:textId="3CA14331" w:rsidR="00E22B7D" w:rsidRDefault="00E22B7D" w:rsidP="00D86141">
      <w:pPr>
        <w:jc w:val="both"/>
        <w:rPr>
          <w:rFonts w:ascii="Arial" w:hAnsi="Arial" w:cs="Arial"/>
          <w:sz w:val="22"/>
          <w:szCs w:val="22"/>
        </w:rPr>
      </w:pPr>
      <w:r w:rsidRPr="00E22B7D">
        <w:rPr>
          <w:rFonts w:ascii="Arial" w:hAnsi="Arial" w:cs="Arial"/>
          <w:sz w:val="22"/>
          <w:szCs w:val="22"/>
        </w:rPr>
        <w:t>Grafični prikaz nepremičnin se nahaja v cenilnem poročilu (Priloga 4).</w:t>
      </w:r>
    </w:p>
    <w:p w14:paraId="13FBAE1A" w14:textId="77777777" w:rsidR="00E22B7D" w:rsidRDefault="00E22B7D" w:rsidP="00D86141">
      <w:pPr>
        <w:jc w:val="both"/>
        <w:rPr>
          <w:rFonts w:ascii="Arial" w:hAnsi="Arial" w:cs="Arial"/>
          <w:sz w:val="22"/>
          <w:szCs w:val="22"/>
        </w:rPr>
      </w:pPr>
    </w:p>
    <w:p w14:paraId="392ABF64" w14:textId="49218217" w:rsidR="005732D6" w:rsidRPr="00E22B7D" w:rsidRDefault="005732D6" w:rsidP="005732D6">
      <w:pPr>
        <w:jc w:val="both"/>
        <w:rPr>
          <w:rFonts w:ascii="Arial" w:hAnsi="Arial" w:cs="Arial"/>
          <w:b/>
          <w:bCs/>
          <w:sz w:val="22"/>
          <w:szCs w:val="22"/>
        </w:rPr>
      </w:pPr>
      <w:r w:rsidRPr="00E22B7D">
        <w:rPr>
          <w:rFonts w:ascii="Arial" w:hAnsi="Arial" w:cs="Arial"/>
          <w:b/>
          <w:bCs/>
          <w:sz w:val="22"/>
          <w:szCs w:val="22"/>
        </w:rPr>
        <w:t xml:space="preserve">Mestnemu svetu </w:t>
      </w:r>
      <w:r w:rsidR="007E33E6">
        <w:rPr>
          <w:rFonts w:ascii="Arial" w:hAnsi="Arial" w:cs="Arial"/>
          <w:b/>
          <w:bCs/>
          <w:sz w:val="22"/>
          <w:szCs w:val="22"/>
        </w:rPr>
        <w:t xml:space="preserve">Mestne občine Nova gorica </w:t>
      </w:r>
      <w:r w:rsidRPr="00E22B7D">
        <w:rPr>
          <w:rFonts w:ascii="Arial" w:hAnsi="Arial" w:cs="Arial"/>
          <w:b/>
          <w:bCs/>
          <w:sz w:val="22"/>
          <w:szCs w:val="22"/>
        </w:rPr>
        <w:t>predlagamo, da predloženi sklep obravnava in sprejme</w:t>
      </w:r>
      <w:r w:rsidR="00E63838">
        <w:rPr>
          <w:rFonts w:ascii="Arial" w:hAnsi="Arial" w:cs="Arial"/>
          <w:b/>
          <w:bCs/>
          <w:sz w:val="22"/>
          <w:szCs w:val="22"/>
        </w:rPr>
        <w:t>.</w:t>
      </w:r>
    </w:p>
    <w:p w14:paraId="46C8FB97" w14:textId="77777777" w:rsidR="005732D6" w:rsidRDefault="005732D6" w:rsidP="00D86141">
      <w:pPr>
        <w:jc w:val="both"/>
        <w:rPr>
          <w:rFonts w:ascii="Arial" w:hAnsi="Arial" w:cs="Arial"/>
          <w:sz w:val="22"/>
          <w:szCs w:val="22"/>
        </w:rPr>
      </w:pPr>
    </w:p>
    <w:p w14:paraId="3F02B380" w14:textId="77777777" w:rsidR="007E33E6" w:rsidRDefault="007E33E6" w:rsidP="00D86141">
      <w:pPr>
        <w:jc w:val="both"/>
        <w:rPr>
          <w:rFonts w:ascii="Arial" w:hAnsi="Arial" w:cs="Arial"/>
          <w:sz w:val="22"/>
          <w:szCs w:val="22"/>
        </w:rPr>
      </w:pPr>
    </w:p>
    <w:p w14:paraId="2C68E242" w14:textId="52405CD2" w:rsidR="00E22B7D" w:rsidRDefault="00D86141" w:rsidP="00D86141">
      <w:pPr>
        <w:jc w:val="both"/>
        <w:rPr>
          <w:rFonts w:ascii="Arial" w:hAnsi="Arial" w:cs="Arial"/>
          <w:sz w:val="22"/>
          <w:szCs w:val="22"/>
        </w:rPr>
      </w:pPr>
      <w:r w:rsidRPr="00D86141">
        <w:rPr>
          <w:rFonts w:ascii="Arial" w:hAnsi="Arial" w:cs="Arial"/>
          <w:sz w:val="22"/>
          <w:szCs w:val="22"/>
        </w:rPr>
        <w:t>Pripravil</w:t>
      </w:r>
      <w:r w:rsidR="00E22B7D">
        <w:rPr>
          <w:rFonts w:ascii="Arial" w:hAnsi="Arial" w:cs="Arial"/>
          <w:sz w:val="22"/>
          <w:szCs w:val="22"/>
        </w:rPr>
        <w:t>a</w:t>
      </w:r>
      <w:r w:rsidRPr="00D86141">
        <w:rPr>
          <w:rFonts w:ascii="Arial" w:hAnsi="Arial" w:cs="Arial"/>
          <w:sz w:val="22"/>
          <w:szCs w:val="22"/>
        </w:rPr>
        <w:t xml:space="preserve">: </w:t>
      </w:r>
      <w:r w:rsidR="00E22B7D">
        <w:rPr>
          <w:rFonts w:ascii="Arial" w:hAnsi="Arial" w:cs="Arial"/>
          <w:sz w:val="22"/>
          <w:szCs w:val="22"/>
        </w:rPr>
        <w:tab/>
      </w:r>
      <w:r w:rsidR="00E22B7D">
        <w:rPr>
          <w:rFonts w:ascii="Arial" w:hAnsi="Arial" w:cs="Arial"/>
          <w:sz w:val="22"/>
          <w:szCs w:val="22"/>
        </w:rPr>
        <w:tab/>
      </w:r>
      <w:r w:rsidR="00E22B7D">
        <w:rPr>
          <w:rFonts w:ascii="Arial" w:hAnsi="Arial" w:cs="Arial"/>
          <w:sz w:val="22"/>
          <w:szCs w:val="22"/>
        </w:rPr>
        <w:tab/>
      </w:r>
      <w:r w:rsidR="00E22B7D">
        <w:rPr>
          <w:rFonts w:ascii="Arial" w:hAnsi="Arial" w:cs="Arial"/>
          <w:sz w:val="22"/>
          <w:szCs w:val="22"/>
        </w:rPr>
        <w:tab/>
      </w:r>
      <w:r w:rsidR="00E22B7D">
        <w:rPr>
          <w:rFonts w:ascii="Arial" w:hAnsi="Arial" w:cs="Arial"/>
          <w:sz w:val="22"/>
          <w:szCs w:val="22"/>
        </w:rPr>
        <w:tab/>
      </w:r>
      <w:r w:rsidR="00E22B7D">
        <w:rPr>
          <w:rFonts w:ascii="Arial" w:hAnsi="Arial" w:cs="Arial"/>
          <w:sz w:val="22"/>
          <w:szCs w:val="22"/>
        </w:rPr>
        <w:tab/>
      </w:r>
      <w:r w:rsidR="00162A19">
        <w:rPr>
          <w:rFonts w:ascii="Arial" w:hAnsi="Arial" w:cs="Arial"/>
          <w:sz w:val="22"/>
          <w:szCs w:val="22"/>
        </w:rPr>
        <w:tab/>
      </w:r>
      <w:r w:rsidR="00E22B7D">
        <w:rPr>
          <w:rFonts w:ascii="Arial" w:hAnsi="Arial" w:cs="Arial"/>
          <w:sz w:val="22"/>
          <w:szCs w:val="22"/>
        </w:rPr>
        <w:tab/>
        <w:t>Samo Turel</w:t>
      </w:r>
      <w:r w:rsidRPr="00D86141">
        <w:rPr>
          <w:rFonts w:ascii="Arial" w:hAnsi="Arial" w:cs="Arial"/>
          <w:sz w:val="22"/>
          <w:szCs w:val="22"/>
        </w:rPr>
        <w:t xml:space="preserve"> </w:t>
      </w:r>
    </w:p>
    <w:p w14:paraId="3E26A055" w14:textId="4C2D574D" w:rsidR="00E22B7D" w:rsidRDefault="004965DB" w:rsidP="004965DB">
      <w:pPr>
        <w:jc w:val="both"/>
        <w:rPr>
          <w:rFonts w:ascii="Arial" w:hAnsi="Arial" w:cs="Arial"/>
          <w:sz w:val="22"/>
          <w:szCs w:val="22"/>
        </w:rPr>
      </w:pPr>
      <w:r>
        <w:rPr>
          <w:rFonts w:ascii="Arial" w:hAnsi="Arial" w:cs="Arial"/>
          <w:sz w:val="22"/>
          <w:szCs w:val="22"/>
        </w:rPr>
        <w:t>Tjaša Harej Pavlica</w:t>
      </w:r>
      <w:r w:rsidRPr="00D86141">
        <w:rPr>
          <w:rFonts w:ascii="Arial" w:hAnsi="Arial" w:cs="Arial"/>
          <w:sz w:val="22"/>
          <w:szCs w:val="22"/>
        </w:rPr>
        <w:t xml:space="preserve">, </w:t>
      </w:r>
      <w:r>
        <w:rPr>
          <w:rFonts w:ascii="Arial" w:hAnsi="Arial" w:cs="Arial"/>
          <w:sz w:val="22"/>
          <w:szCs w:val="22"/>
        </w:rPr>
        <w:t>vodja službe za premoženje</w:t>
      </w:r>
      <w:r w:rsidR="00E22B7D">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D86141" w:rsidRPr="00D86141">
        <w:rPr>
          <w:rFonts w:ascii="Arial" w:hAnsi="Arial" w:cs="Arial"/>
          <w:sz w:val="22"/>
          <w:szCs w:val="22"/>
        </w:rPr>
        <w:t xml:space="preserve">ŽUPAN </w:t>
      </w:r>
    </w:p>
    <w:p w14:paraId="110ABE8A" w14:textId="77777777" w:rsidR="001857D8" w:rsidRPr="00D86141" w:rsidRDefault="001857D8" w:rsidP="00D86141">
      <w:pPr>
        <w:jc w:val="both"/>
        <w:rPr>
          <w:rFonts w:ascii="Arial" w:hAnsi="Arial" w:cs="Arial"/>
          <w:sz w:val="22"/>
          <w:szCs w:val="22"/>
        </w:rPr>
      </w:pPr>
    </w:p>
    <w:p w14:paraId="643C8115" w14:textId="77777777" w:rsidR="001857D8" w:rsidRPr="00D86141" w:rsidRDefault="001857D8" w:rsidP="00D86141">
      <w:pPr>
        <w:jc w:val="both"/>
        <w:rPr>
          <w:rFonts w:ascii="Arial" w:hAnsi="Arial" w:cs="Arial"/>
          <w:b/>
          <w:sz w:val="22"/>
          <w:szCs w:val="22"/>
        </w:rPr>
      </w:pPr>
    </w:p>
    <w:p w14:paraId="1B3D2424" w14:textId="77777777" w:rsidR="004965DB" w:rsidRDefault="004965DB" w:rsidP="004965DB">
      <w:pPr>
        <w:jc w:val="both"/>
        <w:rPr>
          <w:rFonts w:ascii="Arial" w:hAnsi="Arial" w:cs="Arial"/>
          <w:sz w:val="22"/>
          <w:szCs w:val="22"/>
        </w:rPr>
      </w:pPr>
      <w:r w:rsidRPr="00D86141">
        <w:rPr>
          <w:rFonts w:ascii="Arial" w:hAnsi="Arial" w:cs="Arial"/>
          <w:sz w:val="22"/>
          <w:szCs w:val="22"/>
        </w:rPr>
        <w:t xml:space="preserve">Priloge: </w:t>
      </w:r>
    </w:p>
    <w:p w14:paraId="13A028BC" w14:textId="1DE180F8" w:rsidR="004965DB" w:rsidRDefault="004965DB" w:rsidP="004965DB">
      <w:pPr>
        <w:jc w:val="both"/>
        <w:rPr>
          <w:rFonts w:ascii="Arial" w:hAnsi="Arial" w:cs="Arial"/>
          <w:sz w:val="22"/>
          <w:szCs w:val="22"/>
        </w:rPr>
      </w:pPr>
      <w:r w:rsidRPr="00D86141">
        <w:rPr>
          <w:rFonts w:ascii="Arial" w:hAnsi="Arial" w:cs="Arial"/>
          <w:sz w:val="22"/>
          <w:szCs w:val="22"/>
        </w:rPr>
        <w:t xml:space="preserve">- Priloga 1: Pogoji na podlagi </w:t>
      </w:r>
      <w:r w:rsidR="007E33E6">
        <w:rPr>
          <w:rFonts w:ascii="Arial" w:hAnsi="Arial" w:cs="Arial"/>
          <w:sz w:val="22"/>
          <w:szCs w:val="22"/>
        </w:rPr>
        <w:t>prvega</w:t>
      </w:r>
      <w:r w:rsidRPr="00D86141">
        <w:rPr>
          <w:rFonts w:ascii="Arial" w:hAnsi="Arial" w:cs="Arial"/>
          <w:sz w:val="22"/>
          <w:szCs w:val="22"/>
        </w:rPr>
        <w:t xml:space="preserve"> odstavka 4. člena </w:t>
      </w:r>
      <w:proofErr w:type="spellStart"/>
      <w:r w:rsidRPr="00D86141">
        <w:rPr>
          <w:rFonts w:ascii="Arial" w:hAnsi="Arial" w:cs="Arial"/>
          <w:sz w:val="22"/>
          <w:szCs w:val="22"/>
        </w:rPr>
        <w:t>ZSInv</w:t>
      </w:r>
      <w:proofErr w:type="spellEnd"/>
      <w:r w:rsidRPr="00D86141">
        <w:rPr>
          <w:rFonts w:ascii="Arial" w:hAnsi="Arial" w:cs="Arial"/>
          <w:sz w:val="22"/>
          <w:szCs w:val="22"/>
        </w:rPr>
        <w:t xml:space="preserve">, </w:t>
      </w:r>
    </w:p>
    <w:p w14:paraId="02477BDC" w14:textId="14FBD598" w:rsidR="004965DB" w:rsidRDefault="004965DB" w:rsidP="004965DB">
      <w:pPr>
        <w:jc w:val="both"/>
        <w:rPr>
          <w:rFonts w:ascii="Arial" w:hAnsi="Arial" w:cs="Arial"/>
          <w:sz w:val="22"/>
          <w:szCs w:val="22"/>
        </w:rPr>
      </w:pPr>
      <w:r w:rsidRPr="00D86141">
        <w:rPr>
          <w:rFonts w:ascii="Arial" w:hAnsi="Arial" w:cs="Arial"/>
          <w:sz w:val="22"/>
          <w:szCs w:val="22"/>
        </w:rPr>
        <w:t xml:space="preserve">- Priloga 2: Merila iz </w:t>
      </w:r>
      <w:r w:rsidR="007E33E6">
        <w:rPr>
          <w:rFonts w:ascii="Arial" w:hAnsi="Arial" w:cs="Arial"/>
          <w:sz w:val="22"/>
          <w:szCs w:val="22"/>
        </w:rPr>
        <w:t>prvega</w:t>
      </w:r>
      <w:r w:rsidRPr="00D86141">
        <w:rPr>
          <w:rFonts w:ascii="Arial" w:hAnsi="Arial" w:cs="Arial"/>
          <w:sz w:val="22"/>
          <w:szCs w:val="22"/>
        </w:rPr>
        <w:t xml:space="preserve"> odstavka 5. člena </w:t>
      </w:r>
      <w:proofErr w:type="spellStart"/>
      <w:r w:rsidRPr="00D86141">
        <w:rPr>
          <w:rFonts w:ascii="Arial" w:hAnsi="Arial" w:cs="Arial"/>
          <w:sz w:val="22"/>
          <w:szCs w:val="22"/>
        </w:rPr>
        <w:t>ZSInv</w:t>
      </w:r>
      <w:proofErr w:type="spellEnd"/>
      <w:r w:rsidRPr="00D86141">
        <w:rPr>
          <w:rFonts w:ascii="Arial" w:hAnsi="Arial" w:cs="Arial"/>
          <w:sz w:val="22"/>
          <w:szCs w:val="22"/>
        </w:rPr>
        <w:t xml:space="preserve">, </w:t>
      </w:r>
    </w:p>
    <w:p w14:paraId="0B6745F2" w14:textId="3370B934" w:rsidR="004965DB" w:rsidRPr="007E33E6" w:rsidRDefault="007E33E6" w:rsidP="007E33E6">
      <w:pPr>
        <w:jc w:val="both"/>
        <w:rPr>
          <w:rFonts w:ascii="Arial" w:hAnsi="Arial" w:cs="Arial"/>
          <w:sz w:val="22"/>
          <w:szCs w:val="22"/>
        </w:rPr>
      </w:pPr>
      <w:r>
        <w:rPr>
          <w:rFonts w:ascii="Arial" w:hAnsi="Arial" w:cs="Arial"/>
          <w:sz w:val="22"/>
          <w:szCs w:val="22"/>
        </w:rPr>
        <w:lastRenderedPageBreak/>
        <w:t xml:space="preserve">- </w:t>
      </w:r>
      <w:r w:rsidR="004965DB" w:rsidRPr="007E33E6">
        <w:rPr>
          <w:rFonts w:ascii="Arial" w:hAnsi="Arial" w:cs="Arial"/>
          <w:sz w:val="22"/>
          <w:szCs w:val="22"/>
        </w:rPr>
        <w:t xml:space="preserve">Priloga 3: Investicijski program »Izgradnja poslovno ekonomske cone Nova Gorica – </w:t>
      </w:r>
      <w:r>
        <w:rPr>
          <w:rFonts w:ascii="Arial" w:hAnsi="Arial" w:cs="Arial"/>
          <w:sz w:val="22"/>
          <w:szCs w:val="22"/>
        </w:rPr>
        <w:t xml:space="preserve">   </w:t>
      </w:r>
      <w:r w:rsidR="004965DB" w:rsidRPr="007E33E6">
        <w:rPr>
          <w:rFonts w:ascii="Arial" w:hAnsi="Arial" w:cs="Arial"/>
          <w:sz w:val="22"/>
          <w:szCs w:val="22"/>
        </w:rPr>
        <w:t>Kromberk«,</w:t>
      </w:r>
    </w:p>
    <w:p w14:paraId="13F3100A" w14:textId="77777777" w:rsidR="004965DB" w:rsidRDefault="004965DB" w:rsidP="004965DB">
      <w:pPr>
        <w:jc w:val="both"/>
        <w:rPr>
          <w:rFonts w:ascii="Arial" w:hAnsi="Arial" w:cs="Arial"/>
          <w:sz w:val="22"/>
          <w:szCs w:val="22"/>
        </w:rPr>
      </w:pPr>
      <w:r w:rsidRPr="00D86141">
        <w:rPr>
          <w:rFonts w:ascii="Arial" w:hAnsi="Arial" w:cs="Arial"/>
          <w:sz w:val="22"/>
          <w:szCs w:val="22"/>
        </w:rPr>
        <w:t xml:space="preserve">- Priloga 4: Poročilo o tržni vrednosti pravic na nepremičnini. </w:t>
      </w:r>
    </w:p>
    <w:p w14:paraId="0030F161" w14:textId="77777777" w:rsidR="001857D8" w:rsidRPr="00D86141" w:rsidRDefault="001857D8" w:rsidP="00D86141">
      <w:pPr>
        <w:jc w:val="both"/>
        <w:rPr>
          <w:rFonts w:ascii="Arial" w:hAnsi="Arial" w:cs="Arial"/>
          <w:b/>
          <w:sz w:val="22"/>
          <w:szCs w:val="22"/>
        </w:rPr>
      </w:pPr>
    </w:p>
    <w:p w14:paraId="70A8B52E" w14:textId="77777777" w:rsidR="001857D8" w:rsidRPr="00D86141" w:rsidRDefault="001857D8" w:rsidP="001857D8">
      <w:pPr>
        <w:rPr>
          <w:rFonts w:ascii="Arial" w:hAnsi="Arial" w:cs="Arial"/>
          <w:b/>
          <w:sz w:val="22"/>
          <w:szCs w:val="22"/>
        </w:rPr>
      </w:pPr>
    </w:p>
    <w:p w14:paraId="133BA698" w14:textId="77777777" w:rsidR="001857D8" w:rsidRPr="00D86141" w:rsidRDefault="001857D8" w:rsidP="001857D8">
      <w:pPr>
        <w:rPr>
          <w:rFonts w:ascii="Arial" w:hAnsi="Arial" w:cs="Arial"/>
          <w:b/>
          <w:sz w:val="22"/>
          <w:szCs w:val="22"/>
        </w:rPr>
      </w:pPr>
    </w:p>
    <w:p w14:paraId="7272C0E6" w14:textId="77777777" w:rsidR="001857D8" w:rsidRPr="00D86141" w:rsidRDefault="001857D8" w:rsidP="001857D8">
      <w:pPr>
        <w:rPr>
          <w:rFonts w:ascii="Arial" w:hAnsi="Arial" w:cs="Arial"/>
          <w:sz w:val="22"/>
          <w:szCs w:val="22"/>
        </w:rPr>
      </w:pPr>
    </w:p>
    <w:p w14:paraId="52E2B37F" w14:textId="49225CCD" w:rsidR="001857D8" w:rsidRPr="00D86141" w:rsidRDefault="001857D8" w:rsidP="00D86141">
      <w:pPr>
        <w:spacing w:line="360" w:lineRule="auto"/>
        <w:rPr>
          <w:rFonts w:ascii="Arial" w:hAnsi="Arial" w:cs="Arial"/>
          <w:sz w:val="22"/>
          <w:szCs w:val="22"/>
        </w:rPr>
      </w:pPr>
      <w:r w:rsidRPr="00D86141">
        <w:rPr>
          <w:rFonts w:ascii="Arial" w:hAnsi="Arial" w:cs="Arial"/>
          <w:sz w:val="22"/>
          <w:szCs w:val="22"/>
        </w:rPr>
        <w:t xml:space="preserve"> </w:t>
      </w:r>
    </w:p>
    <w:p w14:paraId="56EE65FA" w14:textId="77777777" w:rsidR="00A51099" w:rsidRPr="00D86141" w:rsidRDefault="00A51099">
      <w:pPr>
        <w:rPr>
          <w:rFonts w:ascii="Arial" w:hAnsi="Arial" w:cs="Arial"/>
          <w:sz w:val="22"/>
          <w:szCs w:val="22"/>
        </w:rPr>
      </w:pPr>
    </w:p>
    <w:sectPr w:rsidR="00A51099" w:rsidRPr="00D86141" w:rsidSect="00847F6C">
      <w:footerReference w:type="even" r:id="rId8"/>
      <w:footerReference w:type="default" r:id="rId9"/>
      <w:headerReference w:type="first" r:id="rId10"/>
      <w:footerReference w:type="first" r:id="rId11"/>
      <w:pgSz w:w="11906" w:h="16838" w:code="9"/>
      <w:pgMar w:top="1418" w:right="1418" w:bottom="1418" w:left="175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7371" w14:textId="77777777" w:rsidR="00702F35" w:rsidRDefault="00702F35">
      <w:r>
        <w:separator/>
      </w:r>
    </w:p>
  </w:endnote>
  <w:endnote w:type="continuationSeparator" w:id="0">
    <w:p w14:paraId="4191C0D4" w14:textId="77777777" w:rsidR="00702F35" w:rsidRDefault="0070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B59B" w14:textId="77777777" w:rsidR="00E63838" w:rsidRDefault="001F44FB" w:rsidP="00BF22E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03C711" w14:textId="77777777" w:rsidR="00E63838" w:rsidRDefault="00E63838" w:rsidP="00BF22E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83243" w14:textId="77777777" w:rsidR="00E63838" w:rsidRDefault="00E63838" w:rsidP="00BF22E6">
    <w:pPr>
      <w:pStyle w:val="Noga"/>
      <w:framePr w:wrap="around" w:vAnchor="text" w:hAnchor="margin" w:xAlign="right" w:y="1"/>
      <w:rPr>
        <w:rStyle w:val="tevilkastrani"/>
      </w:rPr>
    </w:pPr>
  </w:p>
  <w:p w14:paraId="780D2F4B" w14:textId="77777777" w:rsidR="00E63838" w:rsidRDefault="001F44FB" w:rsidP="00BF22E6">
    <w:pPr>
      <w:pStyle w:val="Noga"/>
      <w:ind w:right="360"/>
    </w:pPr>
    <w:r>
      <w:rPr>
        <w:noProof/>
      </w:rPr>
      <w:drawing>
        <wp:anchor distT="0" distB="0" distL="114300" distR="114300" simplePos="0" relativeHeight="251661312" behindDoc="0" locked="0" layoutInCell="1" allowOverlap="1" wp14:anchorId="085B6EE2" wp14:editId="36B99A16">
          <wp:simplePos x="0" y="0"/>
          <wp:positionH relativeFrom="page">
            <wp:posOffset>440690</wp:posOffset>
          </wp:positionH>
          <wp:positionV relativeFrom="page">
            <wp:posOffset>9981565</wp:posOffset>
          </wp:positionV>
          <wp:extent cx="5543550" cy="314325"/>
          <wp:effectExtent l="0" t="0" r="0" b="9525"/>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3D5A" w14:textId="77777777" w:rsidR="00E63838" w:rsidRDefault="001F44FB">
    <w:pPr>
      <w:pStyle w:val="Noga"/>
    </w:pPr>
    <w:r>
      <w:rPr>
        <w:noProof/>
      </w:rPr>
      <w:drawing>
        <wp:anchor distT="0" distB="0" distL="114300" distR="114300" simplePos="0" relativeHeight="251659264" behindDoc="0" locked="0" layoutInCell="1" allowOverlap="1" wp14:anchorId="3755E393" wp14:editId="750856AA">
          <wp:simplePos x="0" y="0"/>
          <wp:positionH relativeFrom="page">
            <wp:posOffset>288290</wp:posOffset>
          </wp:positionH>
          <wp:positionV relativeFrom="page">
            <wp:posOffset>9829165</wp:posOffset>
          </wp:positionV>
          <wp:extent cx="5543550" cy="314325"/>
          <wp:effectExtent l="0" t="0" r="0" b="9525"/>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6D7E" w14:textId="77777777" w:rsidR="00702F35" w:rsidRDefault="00702F35">
      <w:r>
        <w:separator/>
      </w:r>
    </w:p>
  </w:footnote>
  <w:footnote w:type="continuationSeparator" w:id="0">
    <w:p w14:paraId="4083413C" w14:textId="77777777" w:rsidR="00702F35" w:rsidRDefault="00702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78AB" w14:textId="77777777" w:rsidR="00E63838" w:rsidRDefault="001F44FB">
    <w:pPr>
      <w:pStyle w:val="Glava"/>
    </w:pPr>
    <w:r>
      <w:rPr>
        <w:noProof/>
      </w:rPr>
      <w:drawing>
        <wp:anchor distT="0" distB="0" distL="114300" distR="114300" simplePos="0" relativeHeight="251660288" behindDoc="0" locked="0" layoutInCell="1" allowOverlap="1" wp14:anchorId="09590A7F" wp14:editId="37F46F12">
          <wp:simplePos x="0" y="0"/>
          <wp:positionH relativeFrom="margin">
            <wp:posOffset>-723900</wp:posOffset>
          </wp:positionH>
          <wp:positionV relativeFrom="page">
            <wp:posOffset>196215</wp:posOffset>
          </wp:positionV>
          <wp:extent cx="2371725" cy="1000125"/>
          <wp:effectExtent l="0" t="0" r="9525" b="9525"/>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86F"/>
    <w:multiLevelType w:val="hybridMultilevel"/>
    <w:tmpl w:val="2B8E442E"/>
    <w:lvl w:ilvl="0" w:tplc="BBCCF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874B4D"/>
    <w:multiLevelType w:val="hybridMultilevel"/>
    <w:tmpl w:val="990E39D4"/>
    <w:lvl w:ilvl="0" w:tplc="668EBF1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7C7622"/>
    <w:multiLevelType w:val="hybridMultilevel"/>
    <w:tmpl w:val="8F18F418"/>
    <w:lvl w:ilvl="0" w:tplc="BBCCF8F8">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15:restartNumberingAfterBreak="0">
    <w:nsid w:val="14F77435"/>
    <w:multiLevelType w:val="hybridMultilevel"/>
    <w:tmpl w:val="84E84278"/>
    <w:lvl w:ilvl="0" w:tplc="BBCCF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237CC0"/>
    <w:multiLevelType w:val="hybridMultilevel"/>
    <w:tmpl w:val="315E729C"/>
    <w:lvl w:ilvl="0" w:tplc="BBCCF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797706"/>
    <w:multiLevelType w:val="hybridMultilevel"/>
    <w:tmpl w:val="05222434"/>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24E80F3B"/>
    <w:multiLevelType w:val="hybridMultilevel"/>
    <w:tmpl w:val="B54EE96C"/>
    <w:lvl w:ilvl="0" w:tplc="BBCCF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4B0A56"/>
    <w:multiLevelType w:val="hybridMultilevel"/>
    <w:tmpl w:val="D0A26C14"/>
    <w:lvl w:ilvl="0" w:tplc="BBCCF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4384B90"/>
    <w:multiLevelType w:val="hybridMultilevel"/>
    <w:tmpl w:val="1AD83EC2"/>
    <w:lvl w:ilvl="0" w:tplc="BBCCF8F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646058C"/>
    <w:multiLevelType w:val="hybridMultilevel"/>
    <w:tmpl w:val="A45E1B88"/>
    <w:lvl w:ilvl="0" w:tplc="BBCCF8F8">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16cid:durableId="1542480642">
    <w:abstractNumId w:val="1"/>
  </w:num>
  <w:num w:numId="2" w16cid:durableId="1292008160">
    <w:abstractNumId w:val="5"/>
  </w:num>
  <w:num w:numId="3" w16cid:durableId="1437285708">
    <w:abstractNumId w:val="9"/>
  </w:num>
  <w:num w:numId="4" w16cid:durableId="85081145">
    <w:abstractNumId w:val="2"/>
  </w:num>
  <w:num w:numId="5" w16cid:durableId="1641304449">
    <w:abstractNumId w:val="0"/>
  </w:num>
  <w:num w:numId="6" w16cid:durableId="757142630">
    <w:abstractNumId w:val="7"/>
  </w:num>
  <w:num w:numId="7" w16cid:durableId="40638269">
    <w:abstractNumId w:val="6"/>
  </w:num>
  <w:num w:numId="8" w16cid:durableId="82075224">
    <w:abstractNumId w:val="3"/>
  </w:num>
  <w:num w:numId="9" w16cid:durableId="930813777">
    <w:abstractNumId w:val="8"/>
  </w:num>
  <w:num w:numId="10" w16cid:durableId="1918857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D8"/>
    <w:rsid w:val="00057E6C"/>
    <w:rsid w:val="000A7717"/>
    <w:rsid w:val="000D5156"/>
    <w:rsid w:val="000F235A"/>
    <w:rsid w:val="0011386E"/>
    <w:rsid w:val="00162A19"/>
    <w:rsid w:val="001857D8"/>
    <w:rsid w:val="001A1536"/>
    <w:rsid w:val="001F44FB"/>
    <w:rsid w:val="00207FE1"/>
    <w:rsid w:val="00217DC8"/>
    <w:rsid w:val="002872E4"/>
    <w:rsid w:val="002D728C"/>
    <w:rsid w:val="00302A93"/>
    <w:rsid w:val="00320C63"/>
    <w:rsid w:val="003450BD"/>
    <w:rsid w:val="00431D73"/>
    <w:rsid w:val="004965DB"/>
    <w:rsid w:val="0056090C"/>
    <w:rsid w:val="005732D6"/>
    <w:rsid w:val="00573664"/>
    <w:rsid w:val="005A602C"/>
    <w:rsid w:val="006419FD"/>
    <w:rsid w:val="00646DB3"/>
    <w:rsid w:val="00666135"/>
    <w:rsid w:val="00702F35"/>
    <w:rsid w:val="007E2EF1"/>
    <w:rsid w:val="007E33E6"/>
    <w:rsid w:val="00812951"/>
    <w:rsid w:val="008268A8"/>
    <w:rsid w:val="00845B50"/>
    <w:rsid w:val="00847F6C"/>
    <w:rsid w:val="008C7052"/>
    <w:rsid w:val="00914DA9"/>
    <w:rsid w:val="009F6130"/>
    <w:rsid w:val="00A017F3"/>
    <w:rsid w:val="00A51099"/>
    <w:rsid w:val="00A704F9"/>
    <w:rsid w:val="00AB0ADC"/>
    <w:rsid w:val="00AC1D7D"/>
    <w:rsid w:val="00B310C3"/>
    <w:rsid w:val="00B44B11"/>
    <w:rsid w:val="00B653A8"/>
    <w:rsid w:val="00B66B9D"/>
    <w:rsid w:val="00B8570B"/>
    <w:rsid w:val="00BA4485"/>
    <w:rsid w:val="00BB5D64"/>
    <w:rsid w:val="00BE522F"/>
    <w:rsid w:val="00C21013"/>
    <w:rsid w:val="00C41A92"/>
    <w:rsid w:val="00C42D5E"/>
    <w:rsid w:val="00C449C6"/>
    <w:rsid w:val="00CC691E"/>
    <w:rsid w:val="00CD3389"/>
    <w:rsid w:val="00D07B59"/>
    <w:rsid w:val="00D221E1"/>
    <w:rsid w:val="00D35835"/>
    <w:rsid w:val="00D86141"/>
    <w:rsid w:val="00E22B7D"/>
    <w:rsid w:val="00E400DD"/>
    <w:rsid w:val="00E63838"/>
    <w:rsid w:val="00F83143"/>
    <w:rsid w:val="00FD0C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A93B7"/>
  <w15:chartTrackingRefBased/>
  <w15:docId w15:val="{ADD744A3-0CE3-4586-8EBC-8DA5D66B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732D6"/>
    <w:pPr>
      <w:spacing w:after="0" w:line="240" w:lineRule="auto"/>
    </w:pPr>
    <w:rPr>
      <w:rFonts w:ascii="Times New Roman" w:eastAsia="Times New Roman" w:hAnsi="Times New Roman" w:cs="Times New Roman"/>
      <w:kern w:val="0"/>
      <w:sz w:val="24"/>
      <w:szCs w:val="24"/>
      <w:lang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57D8"/>
    <w:pPr>
      <w:tabs>
        <w:tab w:val="center" w:pos="4536"/>
        <w:tab w:val="right" w:pos="9072"/>
      </w:tabs>
    </w:pPr>
    <w:rPr>
      <w:lang w:val="x-none"/>
    </w:rPr>
  </w:style>
  <w:style w:type="character" w:customStyle="1" w:styleId="GlavaZnak">
    <w:name w:val="Glava Znak"/>
    <w:basedOn w:val="Privzetapisavaodstavka"/>
    <w:link w:val="Glava"/>
    <w:uiPriority w:val="99"/>
    <w:rsid w:val="001857D8"/>
    <w:rPr>
      <w:rFonts w:ascii="Times New Roman" w:eastAsia="Times New Roman" w:hAnsi="Times New Roman" w:cs="Times New Roman"/>
      <w:kern w:val="0"/>
      <w:sz w:val="24"/>
      <w:szCs w:val="24"/>
      <w:lang w:val="x-none" w:eastAsia="sl-SI"/>
      <w14:ligatures w14:val="none"/>
    </w:rPr>
  </w:style>
  <w:style w:type="paragraph" w:styleId="Noga">
    <w:name w:val="footer"/>
    <w:basedOn w:val="Navaden"/>
    <w:link w:val="NogaZnak"/>
    <w:rsid w:val="001857D8"/>
    <w:pPr>
      <w:tabs>
        <w:tab w:val="center" w:pos="4536"/>
        <w:tab w:val="right" w:pos="9072"/>
      </w:tabs>
    </w:pPr>
    <w:rPr>
      <w:lang w:val="x-none"/>
    </w:rPr>
  </w:style>
  <w:style w:type="character" w:customStyle="1" w:styleId="NogaZnak">
    <w:name w:val="Noga Znak"/>
    <w:basedOn w:val="Privzetapisavaodstavka"/>
    <w:link w:val="Noga"/>
    <w:rsid w:val="001857D8"/>
    <w:rPr>
      <w:rFonts w:ascii="Times New Roman" w:eastAsia="Times New Roman" w:hAnsi="Times New Roman" w:cs="Times New Roman"/>
      <w:kern w:val="0"/>
      <w:sz w:val="24"/>
      <w:szCs w:val="24"/>
      <w:lang w:val="x-none" w:eastAsia="sl-SI"/>
      <w14:ligatures w14:val="none"/>
    </w:rPr>
  </w:style>
  <w:style w:type="character" w:styleId="tevilkastrani">
    <w:name w:val="page number"/>
    <w:basedOn w:val="Privzetapisavaodstavka"/>
    <w:rsid w:val="001857D8"/>
  </w:style>
  <w:style w:type="character" w:styleId="Hiperpovezava">
    <w:name w:val="Hyperlink"/>
    <w:basedOn w:val="Privzetapisavaodstavka"/>
    <w:uiPriority w:val="99"/>
    <w:semiHidden/>
    <w:unhideWhenUsed/>
    <w:rsid w:val="001857D8"/>
    <w:rPr>
      <w:color w:val="0000FF"/>
      <w:u w:val="single"/>
    </w:rPr>
  </w:style>
  <w:style w:type="table" w:styleId="Tabelamrea">
    <w:name w:val="Table Grid"/>
    <w:basedOn w:val="Navadnatabela"/>
    <w:uiPriority w:val="39"/>
    <w:rsid w:val="00E22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07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1088</Words>
  <Characters>6202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Mija Vules</dc:creator>
  <cp:keywords/>
  <dc:description/>
  <cp:lastModifiedBy>Miran Ljucovič</cp:lastModifiedBy>
  <cp:revision>17</cp:revision>
  <cp:lastPrinted>2023-09-05T12:42:00Z</cp:lastPrinted>
  <dcterms:created xsi:type="dcterms:W3CDTF">2023-09-05T11:53:00Z</dcterms:created>
  <dcterms:modified xsi:type="dcterms:W3CDTF">2023-09-07T11:46:00Z</dcterms:modified>
</cp:coreProperties>
</file>