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D513" w14:textId="2C2F1F89" w:rsidR="00230761" w:rsidRDefault="00230761" w:rsidP="00BC26CA">
      <w:pPr>
        <w:jc w:val="both"/>
        <w:rPr>
          <w:rFonts w:ascii="Arial" w:hAnsi="Arial" w:cs="Arial"/>
          <w:b/>
          <w:bC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30761">
        <w:rPr>
          <w:rFonts w:ascii="Arial" w:hAnsi="Arial" w:cs="Arial"/>
          <w:b/>
          <w:bCs/>
          <w:sz w:val="72"/>
          <w:szCs w:val="72"/>
        </w:rPr>
        <w:t>6</w:t>
      </w:r>
    </w:p>
    <w:p w14:paraId="50F0D12D" w14:textId="65421461" w:rsidR="00230761" w:rsidRPr="00230761" w:rsidRDefault="00230761" w:rsidP="00BC26CA">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Prva obravnava</w:t>
      </w:r>
    </w:p>
    <w:p w14:paraId="118D9F4B" w14:textId="4D943CF1" w:rsidR="00BC26CA" w:rsidRPr="00906420" w:rsidRDefault="00BC26CA" w:rsidP="00BC26CA">
      <w:pPr>
        <w:jc w:val="both"/>
        <w:rPr>
          <w:rFonts w:ascii="Arial" w:hAnsi="Arial" w:cs="Arial"/>
          <w:sz w:val="22"/>
          <w:szCs w:val="22"/>
        </w:rPr>
      </w:pPr>
      <w:r w:rsidRPr="00906420">
        <w:rPr>
          <w:rFonts w:ascii="Arial" w:hAnsi="Arial" w:cs="Arial"/>
          <w:sz w:val="22"/>
          <w:szCs w:val="22"/>
        </w:rPr>
        <w:t xml:space="preserve">Na podlagi 29. člena Zakona o lokalni samoupravi </w:t>
      </w:r>
      <w:r w:rsidRPr="00372DFE">
        <w:rPr>
          <w:rFonts w:ascii="Arial" w:hAnsi="Arial" w:cs="Arial"/>
          <w:sz w:val="22"/>
          <w:szCs w:val="22"/>
        </w:rPr>
        <w:t>(Uradni list RS, št. </w:t>
      </w:r>
      <w:hyperlink r:id="rId8" w:tgtFrame="_blank" w:tooltip="Zakon o lokalni samoupravi (uradno prečiščeno besedilo)" w:history="1">
        <w:r w:rsidRPr="00372DFE">
          <w:rPr>
            <w:rFonts w:ascii="Arial" w:hAnsi="Arial" w:cs="Arial"/>
            <w:sz w:val="22"/>
            <w:szCs w:val="22"/>
          </w:rPr>
          <w:t>94/07</w:t>
        </w:r>
      </w:hyperlink>
      <w:r w:rsidRPr="00372DFE">
        <w:rPr>
          <w:rFonts w:ascii="Arial" w:hAnsi="Arial" w:cs="Arial"/>
          <w:sz w:val="22"/>
          <w:szCs w:val="22"/>
        </w:rPr>
        <w:t> – uradno prečiščeno besedilo, </w:t>
      </w:r>
      <w:hyperlink r:id="rId9" w:tgtFrame="_blank" w:tooltip="Zakon o dopolnitvi Zakona o lokalni samoupravi" w:history="1">
        <w:r w:rsidRPr="00372DFE">
          <w:rPr>
            <w:rFonts w:ascii="Arial" w:hAnsi="Arial" w:cs="Arial"/>
            <w:sz w:val="22"/>
            <w:szCs w:val="22"/>
          </w:rPr>
          <w:t>76/08</w:t>
        </w:r>
      </w:hyperlink>
      <w:r w:rsidRPr="00372DFE">
        <w:rPr>
          <w:rFonts w:ascii="Arial" w:hAnsi="Arial" w:cs="Arial"/>
          <w:sz w:val="22"/>
          <w:szCs w:val="22"/>
        </w:rPr>
        <w:t>, </w:t>
      </w:r>
      <w:hyperlink r:id="rId10" w:tgtFrame="_blank" w:tooltip="Zakon o spremembah in dopolnitvah Zakona o lokalni samoupravi" w:history="1">
        <w:r w:rsidRPr="00372DFE">
          <w:rPr>
            <w:rFonts w:ascii="Arial" w:hAnsi="Arial" w:cs="Arial"/>
            <w:sz w:val="22"/>
            <w:szCs w:val="22"/>
          </w:rPr>
          <w:t>79/09</w:t>
        </w:r>
      </w:hyperlink>
      <w:r w:rsidRPr="00372DFE">
        <w:rPr>
          <w:rFonts w:ascii="Arial" w:hAnsi="Arial" w:cs="Arial"/>
          <w:sz w:val="22"/>
          <w:szCs w:val="22"/>
        </w:rPr>
        <w:t>, </w:t>
      </w:r>
      <w:hyperlink r:id="rId11" w:tgtFrame="_blank" w:tooltip="Zakon o spremembah in dopolnitvah Zakona o lokalni samoupravi" w:history="1">
        <w:r w:rsidRPr="00372DFE">
          <w:rPr>
            <w:rFonts w:ascii="Arial" w:hAnsi="Arial" w:cs="Arial"/>
            <w:sz w:val="22"/>
            <w:szCs w:val="22"/>
          </w:rPr>
          <w:t>51/10</w:t>
        </w:r>
      </w:hyperlink>
      <w:r w:rsidRPr="00372DFE">
        <w:rPr>
          <w:rFonts w:ascii="Arial" w:hAnsi="Arial" w:cs="Arial"/>
          <w:sz w:val="22"/>
          <w:szCs w:val="22"/>
        </w:rPr>
        <w:t>, </w:t>
      </w:r>
      <w:hyperlink r:id="rId12" w:tgtFrame="_blank" w:tooltip="Zakon za uravnoteženje javnih financ" w:history="1">
        <w:r w:rsidRPr="00372DFE">
          <w:rPr>
            <w:rFonts w:ascii="Arial" w:hAnsi="Arial" w:cs="Arial"/>
            <w:sz w:val="22"/>
            <w:szCs w:val="22"/>
          </w:rPr>
          <w:t>40/12</w:t>
        </w:r>
      </w:hyperlink>
      <w:r w:rsidRPr="00372DFE">
        <w:rPr>
          <w:rFonts w:ascii="Arial" w:hAnsi="Arial" w:cs="Arial"/>
          <w:sz w:val="22"/>
          <w:szCs w:val="22"/>
        </w:rPr>
        <w:t> – ZUJF, </w:t>
      </w:r>
      <w:hyperlink r:id="rId13" w:tgtFrame="_blank" w:tooltip="Zakon o ukrepih za uravnoteženje javnih financ občin" w:history="1">
        <w:r w:rsidRPr="00372DFE">
          <w:rPr>
            <w:rFonts w:ascii="Arial" w:hAnsi="Arial" w:cs="Arial"/>
            <w:sz w:val="22"/>
            <w:szCs w:val="22"/>
          </w:rPr>
          <w:t>14/15</w:t>
        </w:r>
      </w:hyperlink>
      <w:r w:rsidRPr="00372DFE">
        <w:rPr>
          <w:rFonts w:ascii="Arial" w:hAnsi="Arial" w:cs="Arial"/>
          <w:sz w:val="22"/>
          <w:szCs w:val="22"/>
        </w:rPr>
        <w:t> – ZUUJFO, </w:t>
      </w:r>
      <w:hyperlink r:id="rId14" w:tgtFrame="_blank" w:tooltip="Zakon o stvarnem premoženju države in samoupravnih lokalnih skupnosti" w:history="1">
        <w:r w:rsidRPr="00372DFE">
          <w:rPr>
            <w:rFonts w:ascii="Arial" w:hAnsi="Arial" w:cs="Arial"/>
            <w:sz w:val="22"/>
            <w:szCs w:val="22"/>
          </w:rPr>
          <w:t>11/18</w:t>
        </w:r>
      </w:hyperlink>
      <w:r w:rsidRPr="00372DFE">
        <w:rPr>
          <w:rFonts w:ascii="Arial" w:hAnsi="Arial" w:cs="Arial"/>
          <w:sz w:val="22"/>
          <w:szCs w:val="22"/>
        </w:rPr>
        <w:t> – ZSPDSLS-1, </w:t>
      </w:r>
      <w:hyperlink r:id="rId15" w:tgtFrame="_blank" w:tooltip="Zakon o spremembah in dopolnitvah Zakona o lokalni samoupravi" w:history="1">
        <w:r w:rsidRPr="00372DFE">
          <w:rPr>
            <w:rFonts w:ascii="Arial" w:hAnsi="Arial" w:cs="Arial"/>
            <w:sz w:val="22"/>
            <w:szCs w:val="22"/>
          </w:rPr>
          <w:t>30/18</w:t>
        </w:r>
      </w:hyperlink>
      <w:r w:rsidRPr="00372DFE">
        <w:rPr>
          <w:rFonts w:ascii="Arial" w:hAnsi="Arial" w:cs="Arial"/>
          <w:sz w:val="22"/>
          <w:szCs w:val="22"/>
        </w:rPr>
        <w:t>, </w:t>
      </w:r>
      <w:hyperlink r:id="rId16" w:tgtFrame="_blank" w:tooltip="Zakon o spremembah in dopolnitvah Zakona o interventnih ukrepih za zajezitev epidemije COVID-19 in omilitev njenih posledic za državljane in gospodarstvo" w:history="1">
        <w:r w:rsidRPr="00372DFE">
          <w:rPr>
            <w:rFonts w:ascii="Arial" w:hAnsi="Arial" w:cs="Arial"/>
            <w:sz w:val="22"/>
            <w:szCs w:val="22"/>
          </w:rPr>
          <w:t>61/20</w:t>
        </w:r>
      </w:hyperlink>
      <w:r w:rsidRPr="00372DFE">
        <w:rPr>
          <w:rFonts w:ascii="Arial" w:hAnsi="Arial" w:cs="Arial"/>
          <w:sz w:val="22"/>
          <w:szCs w:val="22"/>
        </w:rPr>
        <w:t> – ZIUZEOP-A in </w:t>
      </w:r>
      <w:hyperlink r:id="rId17" w:tgtFrame="_blank" w:tooltip="Zakon o interventnih ukrepih za omilitev in odpravo posledic epidemije COVID-19" w:history="1">
        <w:r w:rsidRPr="00372DFE">
          <w:rPr>
            <w:rFonts w:ascii="Arial" w:hAnsi="Arial" w:cs="Arial"/>
            <w:sz w:val="22"/>
            <w:szCs w:val="22"/>
          </w:rPr>
          <w:t>80/20</w:t>
        </w:r>
      </w:hyperlink>
      <w:r w:rsidRPr="00372DFE">
        <w:rPr>
          <w:rFonts w:ascii="Arial" w:hAnsi="Arial" w:cs="Arial"/>
          <w:sz w:val="22"/>
          <w:szCs w:val="22"/>
        </w:rPr>
        <w:t> – ZIUOOPE)</w:t>
      </w:r>
      <w:r w:rsidRPr="00906420">
        <w:rPr>
          <w:rFonts w:ascii="Arial" w:hAnsi="Arial" w:cs="Arial"/>
          <w:sz w:val="22"/>
          <w:szCs w:val="22"/>
        </w:rPr>
        <w:t xml:space="preserve">, 29. člena Zakona o javnih financah </w:t>
      </w:r>
      <w:r w:rsidRPr="00372DFE">
        <w:rPr>
          <w:rFonts w:ascii="Arial" w:hAnsi="Arial" w:cs="Arial"/>
          <w:sz w:val="22"/>
          <w:szCs w:val="22"/>
        </w:rPr>
        <w:t>(Uradni list RS, št. </w:t>
      </w:r>
      <w:hyperlink r:id="rId18" w:tgtFrame="_blank" w:tooltip="Zakon o javnih financah (uradno prečiščeno besedilo)" w:history="1">
        <w:r w:rsidRPr="00372DFE">
          <w:rPr>
            <w:rFonts w:ascii="Arial" w:hAnsi="Arial" w:cs="Arial"/>
            <w:sz w:val="22"/>
            <w:szCs w:val="22"/>
          </w:rPr>
          <w:t>11/11</w:t>
        </w:r>
      </w:hyperlink>
      <w:r w:rsidRPr="00372DFE">
        <w:rPr>
          <w:rFonts w:ascii="Arial" w:hAnsi="Arial" w:cs="Arial"/>
          <w:sz w:val="22"/>
          <w:szCs w:val="22"/>
        </w:rPr>
        <w:t> – uradno prečiščeno besedilo, </w:t>
      </w:r>
      <w:hyperlink r:id="rId19" w:tgtFrame="_blank" w:tooltip="Popravek Uradnega prečiščenega besedila Zakona  o javnih financah (ZJF-UPB4p)" w:history="1">
        <w:r w:rsidRPr="00372DFE">
          <w:rPr>
            <w:rFonts w:ascii="Arial" w:hAnsi="Arial" w:cs="Arial"/>
            <w:sz w:val="22"/>
            <w:szCs w:val="22"/>
          </w:rPr>
          <w:t xml:space="preserve">14/13 – </w:t>
        </w:r>
        <w:proofErr w:type="spellStart"/>
        <w:r w:rsidRPr="00372DFE">
          <w:rPr>
            <w:rFonts w:ascii="Arial" w:hAnsi="Arial" w:cs="Arial"/>
            <w:sz w:val="22"/>
            <w:szCs w:val="22"/>
          </w:rPr>
          <w:t>popr</w:t>
        </w:r>
        <w:proofErr w:type="spellEnd"/>
        <w:r w:rsidRPr="00372DFE">
          <w:rPr>
            <w:rFonts w:ascii="Arial" w:hAnsi="Arial" w:cs="Arial"/>
            <w:sz w:val="22"/>
            <w:szCs w:val="22"/>
          </w:rPr>
          <w:t>.</w:t>
        </w:r>
      </w:hyperlink>
      <w:r w:rsidRPr="00372DFE">
        <w:rPr>
          <w:rFonts w:ascii="Arial" w:hAnsi="Arial" w:cs="Arial"/>
          <w:sz w:val="22"/>
          <w:szCs w:val="22"/>
        </w:rPr>
        <w:t>, </w:t>
      </w:r>
      <w:hyperlink r:id="rId20" w:tgtFrame="_blank" w:tooltip="Zakon o dopolnitvi Zakona o javnih financah" w:history="1">
        <w:r w:rsidRPr="00372DFE">
          <w:rPr>
            <w:rFonts w:ascii="Arial" w:hAnsi="Arial" w:cs="Arial"/>
            <w:sz w:val="22"/>
            <w:szCs w:val="22"/>
          </w:rPr>
          <w:t>101/13</w:t>
        </w:r>
      </w:hyperlink>
      <w:r w:rsidRPr="00372DFE">
        <w:rPr>
          <w:rFonts w:ascii="Arial" w:hAnsi="Arial" w:cs="Arial"/>
          <w:sz w:val="22"/>
          <w:szCs w:val="22"/>
        </w:rPr>
        <w:t>, </w:t>
      </w:r>
      <w:hyperlink r:id="rId21" w:tgtFrame="_blank" w:tooltip="Zakon o fiskalnem pravilu" w:history="1">
        <w:r w:rsidRPr="00372DFE">
          <w:rPr>
            <w:rFonts w:ascii="Arial" w:hAnsi="Arial" w:cs="Arial"/>
            <w:sz w:val="22"/>
            <w:szCs w:val="22"/>
          </w:rPr>
          <w:t>55/15</w:t>
        </w:r>
      </w:hyperlink>
      <w:r w:rsidRPr="00372DFE">
        <w:rPr>
          <w:rFonts w:ascii="Arial" w:hAnsi="Arial" w:cs="Arial"/>
          <w:sz w:val="22"/>
          <w:szCs w:val="22"/>
        </w:rPr>
        <w:t xml:space="preserve"> – </w:t>
      </w:r>
      <w:proofErr w:type="spellStart"/>
      <w:r w:rsidRPr="00372DFE">
        <w:rPr>
          <w:rFonts w:ascii="Arial" w:hAnsi="Arial" w:cs="Arial"/>
          <w:sz w:val="22"/>
          <w:szCs w:val="22"/>
        </w:rPr>
        <w:t>ZFisP</w:t>
      </w:r>
      <w:proofErr w:type="spellEnd"/>
      <w:r w:rsidRPr="00372DFE">
        <w:rPr>
          <w:rFonts w:ascii="Arial" w:hAnsi="Arial" w:cs="Arial"/>
          <w:sz w:val="22"/>
          <w:szCs w:val="22"/>
        </w:rPr>
        <w:t>, </w:t>
      </w:r>
      <w:hyperlink r:id="rId22" w:tgtFrame="_blank" w:tooltip="Zakon o izvrševanju proračunov Republike Slovenije za leti 2016 in 2017" w:history="1">
        <w:r w:rsidRPr="00372DFE">
          <w:rPr>
            <w:rFonts w:ascii="Arial" w:hAnsi="Arial" w:cs="Arial"/>
            <w:sz w:val="22"/>
            <w:szCs w:val="22"/>
          </w:rPr>
          <w:t>96/15</w:t>
        </w:r>
      </w:hyperlink>
      <w:r w:rsidRPr="00372DFE">
        <w:rPr>
          <w:rFonts w:ascii="Arial" w:hAnsi="Arial" w:cs="Arial"/>
          <w:sz w:val="22"/>
          <w:szCs w:val="22"/>
        </w:rPr>
        <w:t> – ZIPRS1617, </w:t>
      </w:r>
      <w:hyperlink r:id="rId23" w:tgtFrame="_blank" w:tooltip="Zakon o spremembah in dopolnitvah Zakona o javnih financah" w:history="1">
        <w:r w:rsidRPr="00372DFE">
          <w:rPr>
            <w:rFonts w:ascii="Arial" w:hAnsi="Arial" w:cs="Arial"/>
            <w:sz w:val="22"/>
            <w:szCs w:val="22"/>
          </w:rPr>
          <w:t>13/18</w:t>
        </w:r>
      </w:hyperlink>
      <w:r w:rsidRPr="00372DFE">
        <w:rPr>
          <w:rFonts w:ascii="Arial" w:hAnsi="Arial" w:cs="Arial"/>
          <w:sz w:val="22"/>
          <w:szCs w:val="22"/>
        </w:rPr>
        <w:t> in </w:t>
      </w:r>
      <w:hyperlink r:id="rId2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372DFE">
          <w:rPr>
            <w:rFonts w:ascii="Arial" w:hAnsi="Arial" w:cs="Arial"/>
            <w:sz w:val="22"/>
            <w:szCs w:val="22"/>
          </w:rPr>
          <w:t>195/20</w:t>
        </w:r>
      </w:hyperlink>
      <w:r w:rsidRPr="00372DFE">
        <w:rPr>
          <w:rFonts w:ascii="Arial" w:hAnsi="Arial" w:cs="Arial"/>
          <w:sz w:val="22"/>
          <w:szCs w:val="22"/>
        </w:rPr>
        <w:t xml:space="preserve"> – </w:t>
      </w:r>
      <w:proofErr w:type="spellStart"/>
      <w:r w:rsidRPr="00372DFE">
        <w:rPr>
          <w:rFonts w:ascii="Arial" w:hAnsi="Arial" w:cs="Arial"/>
          <w:sz w:val="22"/>
          <w:szCs w:val="22"/>
        </w:rPr>
        <w:t>odl</w:t>
      </w:r>
      <w:proofErr w:type="spellEnd"/>
      <w:r w:rsidRPr="00372DFE">
        <w:rPr>
          <w:rFonts w:ascii="Arial" w:hAnsi="Arial" w:cs="Arial"/>
          <w:sz w:val="22"/>
          <w:szCs w:val="22"/>
        </w:rPr>
        <w:t>. US</w:t>
      </w:r>
      <w:r w:rsidR="00CB2736">
        <w:rPr>
          <w:rFonts w:ascii="Arial" w:hAnsi="Arial" w:cs="Arial"/>
          <w:sz w:val="22"/>
          <w:szCs w:val="22"/>
        </w:rPr>
        <w:t xml:space="preserve">, </w:t>
      </w:r>
      <w:hyperlink r:id="rId25" w:tgtFrame="_blank" w:tooltip="Zakon o spremembah in dopolnitvah Zakona o državni upravi" w:history="1">
        <w:r w:rsidR="00CB2736" w:rsidRPr="00CB2736">
          <w:rPr>
            <w:rFonts w:ascii="Arial" w:hAnsi="Arial" w:cs="Arial"/>
            <w:sz w:val="22"/>
            <w:szCs w:val="22"/>
          </w:rPr>
          <w:t>18/23</w:t>
        </w:r>
      </w:hyperlink>
      <w:r w:rsidR="00CB2736" w:rsidRPr="00CB2736">
        <w:rPr>
          <w:rFonts w:ascii="Arial" w:hAnsi="Arial" w:cs="Arial"/>
          <w:sz w:val="22"/>
          <w:szCs w:val="22"/>
        </w:rPr>
        <w:t> – ZDU-1O in </w:t>
      </w:r>
      <w:hyperlink r:id="rId26" w:tgtFrame="_blank" w:tooltip="Zakon o spremembah in dopolnitvah Zakona o javnih financah" w:history="1">
        <w:r w:rsidR="00CB2736" w:rsidRPr="00CB2736">
          <w:rPr>
            <w:rFonts w:ascii="Arial" w:hAnsi="Arial" w:cs="Arial"/>
            <w:sz w:val="22"/>
            <w:szCs w:val="22"/>
          </w:rPr>
          <w:t>76/23</w:t>
        </w:r>
      </w:hyperlink>
      <w:r w:rsidRPr="00372DFE">
        <w:rPr>
          <w:rFonts w:ascii="Arial" w:hAnsi="Arial" w:cs="Arial"/>
          <w:sz w:val="22"/>
          <w:szCs w:val="22"/>
        </w:rPr>
        <w:t>)</w:t>
      </w:r>
      <w:r>
        <w:rPr>
          <w:rFonts w:ascii="Arial" w:hAnsi="Arial" w:cs="Arial"/>
          <w:sz w:val="22"/>
          <w:szCs w:val="22"/>
        </w:rPr>
        <w:t xml:space="preserve"> </w:t>
      </w:r>
      <w:r w:rsidRPr="00906420">
        <w:rPr>
          <w:rFonts w:ascii="Arial" w:hAnsi="Arial" w:cs="Arial"/>
          <w:sz w:val="22"/>
          <w:szCs w:val="22"/>
        </w:rPr>
        <w:t xml:space="preserve">ter 19. člena Statuta Mestne občine Nova Gorica (Uradni list RS, št.  13/12, 18/17 in 19/18) je Mestni svet Mestne občine Nova Gorica na seji dne </w:t>
      </w:r>
      <w:r>
        <w:rPr>
          <w:rFonts w:ascii="Arial" w:hAnsi="Arial" w:cs="Arial"/>
          <w:sz w:val="22"/>
          <w:szCs w:val="22"/>
        </w:rPr>
        <w:t>______________</w:t>
      </w:r>
      <w:r w:rsidRPr="00906420">
        <w:rPr>
          <w:rFonts w:ascii="Arial" w:hAnsi="Arial" w:cs="Arial"/>
          <w:sz w:val="22"/>
          <w:szCs w:val="22"/>
        </w:rPr>
        <w:t xml:space="preserve"> sprejel</w:t>
      </w:r>
    </w:p>
    <w:p w14:paraId="0124C795" w14:textId="77777777" w:rsidR="00BC26CA" w:rsidRPr="00906420" w:rsidRDefault="00BC26CA" w:rsidP="00BC26CA">
      <w:pPr>
        <w:jc w:val="both"/>
        <w:rPr>
          <w:rFonts w:ascii="Arial" w:hAnsi="Arial" w:cs="Arial"/>
          <w:sz w:val="22"/>
          <w:szCs w:val="22"/>
        </w:rPr>
      </w:pPr>
    </w:p>
    <w:p w14:paraId="7B094F9B" w14:textId="77777777" w:rsidR="00BC26CA" w:rsidRDefault="00BC26CA" w:rsidP="00BC26CA">
      <w:pPr>
        <w:jc w:val="both"/>
        <w:rPr>
          <w:rFonts w:ascii="Arial" w:hAnsi="Arial" w:cs="Arial"/>
          <w:sz w:val="22"/>
          <w:szCs w:val="22"/>
        </w:rPr>
      </w:pPr>
    </w:p>
    <w:p w14:paraId="77856612" w14:textId="77777777" w:rsidR="00A87154" w:rsidRPr="00906420" w:rsidRDefault="00A87154" w:rsidP="00BC26CA">
      <w:pPr>
        <w:jc w:val="both"/>
        <w:rPr>
          <w:rFonts w:ascii="Arial" w:hAnsi="Arial" w:cs="Arial"/>
          <w:sz w:val="22"/>
          <w:szCs w:val="22"/>
        </w:rPr>
      </w:pPr>
    </w:p>
    <w:p w14:paraId="2F3FDB28" w14:textId="77777777" w:rsidR="00BC26CA" w:rsidRPr="00906420" w:rsidRDefault="00BC26CA" w:rsidP="00BC26CA">
      <w:pPr>
        <w:pStyle w:val="Naslov2"/>
        <w:spacing w:before="0" w:after="0"/>
        <w:jc w:val="center"/>
        <w:rPr>
          <w:i w:val="0"/>
          <w:sz w:val="22"/>
          <w:szCs w:val="22"/>
        </w:rPr>
      </w:pPr>
      <w:r>
        <w:rPr>
          <w:i w:val="0"/>
          <w:sz w:val="22"/>
          <w:szCs w:val="22"/>
        </w:rPr>
        <w:t>O D L O K</w:t>
      </w:r>
    </w:p>
    <w:p w14:paraId="3FC7577C" w14:textId="77777777" w:rsidR="00BC26CA" w:rsidRPr="00906420" w:rsidRDefault="00BC26CA" w:rsidP="00BC26CA">
      <w:pPr>
        <w:pStyle w:val="Naslov3"/>
        <w:spacing w:before="0" w:after="0"/>
        <w:jc w:val="center"/>
        <w:rPr>
          <w:sz w:val="22"/>
          <w:szCs w:val="22"/>
        </w:rPr>
      </w:pPr>
      <w:r w:rsidRPr="00906420">
        <w:rPr>
          <w:sz w:val="22"/>
          <w:szCs w:val="22"/>
        </w:rPr>
        <w:t>O PRORAČUNU MESTNE OBČINE NOVA GORICA</w:t>
      </w:r>
    </w:p>
    <w:p w14:paraId="5D741499" w14:textId="74BE5E92" w:rsidR="00BC26CA" w:rsidRPr="00906420" w:rsidRDefault="00BC26CA" w:rsidP="00BC26CA">
      <w:pPr>
        <w:pStyle w:val="Naslov3"/>
        <w:tabs>
          <w:tab w:val="left" w:pos="660"/>
          <w:tab w:val="center" w:pos="4524"/>
        </w:tabs>
        <w:spacing w:before="0" w:after="0"/>
        <w:jc w:val="center"/>
        <w:rPr>
          <w:sz w:val="22"/>
          <w:szCs w:val="22"/>
        </w:rPr>
      </w:pPr>
      <w:r w:rsidRPr="00906420">
        <w:rPr>
          <w:sz w:val="22"/>
          <w:szCs w:val="22"/>
        </w:rPr>
        <w:t>ZA LETO 202</w:t>
      </w:r>
      <w:r w:rsidR="00802D80">
        <w:rPr>
          <w:sz w:val="22"/>
          <w:szCs w:val="22"/>
        </w:rPr>
        <w:t>5</w:t>
      </w:r>
    </w:p>
    <w:p w14:paraId="494728A5" w14:textId="77777777" w:rsidR="00BC26CA" w:rsidRDefault="00BC26CA" w:rsidP="00BC26CA">
      <w:pPr>
        <w:jc w:val="both"/>
        <w:rPr>
          <w:rFonts w:ascii="Arial" w:hAnsi="Arial" w:cs="Arial"/>
          <w:sz w:val="22"/>
          <w:szCs w:val="22"/>
        </w:rPr>
      </w:pPr>
    </w:p>
    <w:p w14:paraId="5A90DC39" w14:textId="77777777" w:rsidR="00A87154" w:rsidRDefault="00A87154" w:rsidP="00BC26CA">
      <w:pPr>
        <w:jc w:val="both"/>
        <w:rPr>
          <w:rFonts w:ascii="Arial" w:hAnsi="Arial" w:cs="Arial"/>
          <w:sz w:val="22"/>
          <w:szCs w:val="22"/>
        </w:rPr>
      </w:pPr>
    </w:p>
    <w:p w14:paraId="49EF0D78" w14:textId="38A52C99" w:rsidR="00BC26CA" w:rsidRPr="00A87154" w:rsidRDefault="00BC26CA" w:rsidP="00A87154">
      <w:pPr>
        <w:pStyle w:val="Odstavekseznama"/>
        <w:numPr>
          <w:ilvl w:val="0"/>
          <w:numId w:val="39"/>
        </w:numPr>
        <w:rPr>
          <w:rFonts w:cs="Arial"/>
          <w:sz w:val="22"/>
          <w:szCs w:val="22"/>
        </w:rPr>
      </w:pPr>
      <w:r w:rsidRPr="00A87154">
        <w:rPr>
          <w:rFonts w:cs="Arial"/>
          <w:sz w:val="22"/>
          <w:szCs w:val="22"/>
        </w:rPr>
        <w:t>SPLOŠNI DOLOČBI</w:t>
      </w:r>
    </w:p>
    <w:p w14:paraId="51BF72D5" w14:textId="77777777" w:rsidR="00A87154" w:rsidRPr="00A87154" w:rsidRDefault="00A87154" w:rsidP="00A87154">
      <w:pPr>
        <w:rPr>
          <w:rFonts w:cs="Arial"/>
          <w:sz w:val="22"/>
          <w:szCs w:val="22"/>
        </w:rPr>
      </w:pPr>
    </w:p>
    <w:p w14:paraId="72E49207" w14:textId="77777777" w:rsidR="00BC26CA" w:rsidRPr="00906420" w:rsidRDefault="00BC26CA" w:rsidP="00BC26CA">
      <w:pPr>
        <w:jc w:val="center"/>
        <w:rPr>
          <w:rFonts w:ascii="Arial" w:hAnsi="Arial" w:cs="Arial"/>
          <w:sz w:val="22"/>
          <w:szCs w:val="22"/>
        </w:rPr>
      </w:pPr>
      <w:r w:rsidRPr="00906420">
        <w:rPr>
          <w:rFonts w:ascii="Arial" w:hAnsi="Arial" w:cs="Arial"/>
          <w:sz w:val="22"/>
          <w:szCs w:val="22"/>
        </w:rPr>
        <w:t>1. člen</w:t>
      </w:r>
    </w:p>
    <w:p w14:paraId="45C303CA" w14:textId="77777777" w:rsidR="00BC26CA" w:rsidRPr="00906420" w:rsidRDefault="00BC26CA" w:rsidP="00BC26CA">
      <w:pPr>
        <w:jc w:val="both"/>
        <w:rPr>
          <w:rFonts w:ascii="Arial" w:hAnsi="Arial" w:cs="Arial"/>
          <w:sz w:val="22"/>
          <w:szCs w:val="22"/>
        </w:rPr>
      </w:pPr>
    </w:p>
    <w:p w14:paraId="65752FED" w14:textId="01D55F73" w:rsidR="00BC26CA" w:rsidRPr="00906420" w:rsidRDefault="00BC26CA" w:rsidP="00BC26CA">
      <w:pPr>
        <w:pStyle w:val="Telobesedila"/>
        <w:jc w:val="both"/>
        <w:rPr>
          <w:rFonts w:ascii="Arial" w:hAnsi="Arial" w:cs="Arial"/>
          <w:b w:val="0"/>
          <w:sz w:val="22"/>
          <w:szCs w:val="22"/>
        </w:rPr>
      </w:pPr>
      <w:r w:rsidRPr="00906420">
        <w:rPr>
          <w:rFonts w:ascii="Arial" w:hAnsi="Arial" w:cs="Arial"/>
          <w:b w:val="0"/>
          <w:sz w:val="22"/>
          <w:szCs w:val="22"/>
        </w:rPr>
        <w:t xml:space="preserve">S tem odlokom </w:t>
      </w:r>
      <w:r>
        <w:rPr>
          <w:rFonts w:ascii="Arial" w:hAnsi="Arial" w:cs="Arial"/>
          <w:b w:val="0"/>
          <w:sz w:val="22"/>
          <w:szCs w:val="22"/>
        </w:rPr>
        <w:t>Mestna občina Nova Gorica za leto 202</w:t>
      </w:r>
      <w:r w:rsidR="00BE03E1">
        <w:rPr>
          <w:rFonts w:ascii="Arial" w:hAnsi="Arial" w:cs="Arial"/>
          <w:b w:val="0"/>
          <w:sz w:val="22"/>
          <w:szCs w:val="22"/>
        </w:rPr>
        <w:t>5</w:t>
      </w:r>
      <w:r>
        <w:rPr>
          <w:rFonts w:ascii="Arial" w:hAnsi="Arial" w:cs="Arial"/>
          <w:b w:val="0"/>
          <w:sz w:val="22"/>
          <w:szCs w:val="22"/>
        </w:rPr>
        <w:t xml:space="preserve"> določa proračun, </w:t>
      </w:r>
      <w:r w:rsidRPr="00906420">
        <w:rPr>
          <w:rFonts w:ascii="Arial" w:hAnsi="Arial" w:cs="Arial"/>
          <w:b w:val="0"/>
          <w:sz w:val="22"/>
          <w:szCs w:val="22"/>
        </w:rPr>
        <w:t>postopk</w:t>
      </w:r>
      <w:r>
        <w:rPr>
          <w:rFonts w:ascii="Arial" w:hAnsi="Arial" w:cs="Arial"/>
          <w:b w:val="0"/>
          <w:sz w:val="22"/>
          <w:szCs w:val="22"/>
        </w:rPr>
        <w:t>e</w:t>
      </w:r>
      <w:r w:rsidRPr="00906420">
        <w:rPr>
          <w:rFonts w:ascii="Arial" w:hAnsi="Arial" w:cs="Arial"/>
          <w:b w:val="0"/>
          <w:sz w:val="22"/>
          <w:szCs w:val="22"/>
        </w:rPr>
        <w:t xml:space="preserve"> izvrševanja proračuna ter obseg zadolževanja in poroštev občine in javnega sektorja na ravni občine</w:t>
      </w:r>
      <w:r>
        <w:rPr>
          <w:rFonts w:ascii="Arial" w:hAnsi="Arial" w:cs="Arial"/>
          <w:b w:val="0"/>
          <w:sz w:val="22"/>
          <w:szCs w:val="22"/>
        </w:rPr>
        <w:t xml:space="preserve"> (v nadaljnjem besedilu: proračun)</w:t>
      </w:r>
      <w:r w:rsidRPr="00906420">
        <w:rPr>
          <w:rFonts w:ascii="Arial" w:hAnsi="Arial" w:cs="Arial"/>
          <w:b w:val="0"/>
          <w:sz w:val="22"/>
          <w:szCs w:val="22"/>
        </w:rPr>
        <w:t>.</w:t>
      </w:r>
    </w:p>
    <w:p w14:paraId="5BBC853E" w14:textId="77777777" w:rsidR="00BC26CA" w:rsidRPr="00906420" w:rsidRDefault="00BC26CA" w:rsidP="00BC26CA">
      <w:pPr>
        <w:rPr>
          <w:rFonts w:cs="Arial"/>
          <w:sz w:val="22"/>
          <w:szCs w:val="22"/>
        </w:rPr>
      </w:pPr>
    </w:p>
    <w:p w14:paraId="6A5075CF" w14:textId="77777777" w:rsidR="00BC26CA" w:rsidRDefault="00BC26CA" w:rsidP="00BC26CA">
      <w:pPr>
        <w:jc w:val="center"/>
        <w:rPr>
          <w:rFonts w:ascii="Arial" w:hAnsi="Arial" w:cs="Arial"/>
          <w:sz w:val="22"/>
          <w:szCs w:val="22"/>
        </w:rPr>
      </w:pPr>
      <w:r w:rsidRPr="00906420">
        <w:rPr>
          <w:rFonts w:ascii="Arial" w:hAnsi="Arial" w:cs="Arial"/>
          <w:sz w:val="22"/>
          <w:szCs w:val="22"/>
        </w:rPr>
        <w:t>2. člen</w:t>
      </w:r>
    </w:p>
    <w:p w14:paraId="2BC481AF" w14:textId="77777777" w:rsidR="00BC26CA" w:rsidRDefault="00BC26CA" w:rsidP="00BC26CA">
      <w:pPr>
        <w:jc w:val="center"/>
        <w:rPr>
          <w:rFonts w:ascii="Arial" w:hAnsi="Arial" w:cs="Arial"/>
          <w:sz w:val="22"/>
          <w:szCs w:val="22"/>
        </w:rPr>
      </w:pPr>
    </w:p>
    <w:p w14:paraId="2CAFD73D" w14:textId="77777777" w:rsidR="00BC26CA" w:rsidRPr="00962AA6" w:rsidRDefault="00BC26CA" w:rsidP="00BC26CA">
      <w:pPr>
        <w:jc w:val="both"/>
        <w:rPr>
          <w:rFonts w:ascii="Arial" w:hAnsi="Arial" w:cs="Arial"/>
          <w:sz w:val="22"/>
          <w:szCs w:val="22"/>
        </w:rPr>
      </w:pPr>
      <w:r w:rsidRPr="00962AA6">
        <w:rPr>
          <w:rFonts w:ascii="Arial" w:hAnsi="Arial" w:cs="Arial"/>
          <w:sz w:val="22"/>
          <w:szCs w:val="22"/>
        </w:rPr>
        <w:t>S proračunom se zagotavljajo sredstva za financiranje nalog, ki jih v skladu z ustavo in</w:t>
      </w:r>
      <w:r>
        <w:rPr>
          <w:rFonts w:ascii="Arial" w:hAnsi="Arial" w:cs="Arial"/>
          <w:sz w:val="22"/>
          <w:szCs w:val="22"/>
        </w:rPr>
        <w:t xml:space="preserve"> </w:t>
      </w:r>
      <w:r w:rsidRPr="00962AA6">
        <w:rPr>
          <w:rFonts w:ascii="Arial" w:hAnsi="Arial" w:cs="Arial"/>
          <w:sz w:val="22"/>
          <w:szCs w:val="22"/>
        </w:rPr>
        <w:t xml:space="preserve">zakonom izvaja </w:t>
      </w:r>
      <w:r>
        <w:rPr>
          <w:rFonts w:ascii="Arial" w:hAnsi="Arial" w:cs="Arial"/>
          <w:sz w:val="22"/>
          <w:szCs w:val="22"/>
        </w:rPr>
        <w:t>Mestna občina Nova Gorica.</w:t>
      </w:r>
    </w:p>
    <w:p w14:paraId="70E10FA1" w14:textId="77777777" w:rsidR="00BC26CA" w:rsidRDefault="00BC26CA" w:rsidP="00BC26CA">
      <w:pPr>
        <w:rPr>
          <w:rFonts w:ascii="Arial" w:hAnsi="Arial" w:cs="Arial"/>
          <w:sz w:val="22"/>
          <w:szCs w:val="22"/>
        </w:rPr>
      </w:pPr>
    </w:p>
    <w:p w14:paraId="052196D7" w14:textId="77777777" w:rsidR="00BC26CA" w:rsidRDefault="00BC26CA" w:rsidP="00BC26CA">
      <w:pPr>
        <w:rPr>
          <w:rFonts w:ascii="Arial" w:hAnsi="Arial" w:cs="Arial"/>
          <w:sz w:val="22"/>
          <w:szCs w:val="22"/>
        </w:rPr>
      </w:pPr>
    </w:p>
    <w:p w14:paraId="74A4799D" w14:textId="77777777" w:rsidR="00BC26CA" w:rsidRDefault="00BC26CA" w:rsidP="00BC26CA">
      <w:pPr>
        <w:rPr>
          <w:rFonts w:ascii="Arial" w:hAnsi="Arial" w:cs="Arial"/>
          <w:sz w:val="22"/>
          <w:szCs w:val="22"/>
        </w:rPr>
      </w:pPr>
      <w:r>
        <w:rPr>
          <w:rFonts w:ascii="Arial" w:hAnsi="Arial" w:cs="Arial"/>
          <w:sz w:val="22"/>
          <w:szCs w:val="22"/>
        </w:rPr>
        <w:t>II. SPLOŠNI IN POSEBNI DEL PRORAČUNA</w:t>
      </w:r>
    </w:p>
    <w:p w14:paraId="64DA6F20" w14:textId="77777777" w:rsidR="00BC26CA" w:rsidRDefault="00BC26CA" w:rsidP="00BC26CA">
      <w:pPr>
        <w:rPr>
          <w:rFonts w:ascii="Arial" w:hAnsi="Arial" w:cs="Arial"/>
          <w:sz w:val="22"/>
          <w:szCs w:val="22"/>
        </w:rPr>
      </w:pPr>
    </w:p>
    <w:p w14:paraId="2AE5F877" w14:textId="77777777" w:rsidR="00BC26CA" w:rsidRDefault="00BC26CA" w:rsidP="00BC26CA">
      <w:pPr>
        <w:jc w:val="center"/>
        <w:rPr>
          <w:rFonts w:ascii="Arial" w:hAnsi="Arial" w:cs="Arial"/>
          <w:sz w:val="22"/>
          <w:szCs w:val="22"/>
        </w:rPr>
      </w:pPr>
      <w:r>
        <w:rPr>
          <w:rFonts w:ascii="Arial" w:hAnsi="Arial" w:cs="Arial"/>
          <w:sz w:val="22"/>
          <w:szCs w:val="22"/>
        </w:rPr>
        <w:t>3</w:t>
      </w:r>
      <w:r w:rsidRPr="00906420">
        <w:rPr>
          <w:rFonts w:ascii="Arial" w:hAnsi="Arial" w:cs="Arial"/>
          <w:sz w:val="22"/>
          <w:szCs w:val="22"/>
        </w:rPr>
        <w:t>. člen</w:t>
      </w:r>
    </w:p>
    <w:p w14:paraId="5379BEE7" w14:textId="77777777" w:rsidR="00BC26CA" w:rsidRPr="00906420" w:rsidRDefault="00BC26CA" w:rsidP="00BC26CA">
      <w:pPr>
        <w:rPr>
          <w:rFonts w:ascii="Arial" w:hAnsi="Arial" w:cs="Arial"/>
          <w:sz w:val="22"/>
          <w:szCs w:val="22"/>
        </w:rPr>
      </w:pPr>
    </w:p>
    <w:p w14:paraId="009D7D50"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V splošnem delu proračuna so prejemki in izdatki proračuna Mestne občine Nova Gorica izkazani v bilanci prihodkov in odhodkov, v računu finančnih terjatev in naložb ter v računu financiranja.</w:t>
      </w:r>
    </w:p>
    <w:p w14:paraId="34DD0DED" w14:textId="77777777" w:rsidR="00BC26CA" w:rsidRDefault="00BC26CA" w:rsidP="00BC26CA">
      <w:pPr>
        <w:pStyle w:val="Telobesedila"/>
        <w:ind w:left="426" w:hanging="426"/>
        <w:jc w:val="both"/>
        <w:rPr>
          <w:rFonts w:ascii="Arial" w:hAnsi="Arial" w:cs="Arial"/>
          <w:b w:val="0"/>
          <w:sz w:val="22"/>
          <w:szCs w:val="22"/>
        </w:rPr>
      </w:pPr>
    </w:p>
    <w:p w14:paraId="1F6C08DB"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 xml:space="preserve">Splošni del  proračuna se na ravni podskupin kontov določa v naslednjih zneskih: </w:t>
      </w:r>
    </w:p>
    <w:p w14:paraId="2F7213DF" w14:textId="77777777" w:rsidR="004C6B9C" w:rsidRDefault="004C6B9C" w:rsidP="004C6B9C">
      <w:pPr>
        <w:pStyle w:val="Odstavekseznama"/>
        <w:rPr>
          <w:rFonts w:cs="Arial"/>
          <w:b/>
          <w:sz w:val="22"/>
          <w:szCs w:val="22"/>
        </w:rPr>
      </w:pPr>
    </w:p>
    <w:tbl>
      <w:tblPr>
        <w:tblW w:w="9084" w:type="dxa"/>
        <w:tblCellMar>
          <w:left w:w="70" w:type="dxa"/>
          <w:right w:w="70" w:type="dxa"/>
        </w:tblCellMar>
        <w:tblLook w:val="04A0" w:firstRow="1" w:lastRow="0" w:firstColumn="1" w:lastColumn="0" w:noHBand="0" w:noVBand="1"/>
      </w:tblPr>
      <w:tblGrid>
        <w:gridCol w:w="7938"/>
        <w:gridCol w:w="1146"/>
      </w:tblGrid>
      <w:tr w:rsidR="004C6B9C" w:rsidRPr="004C6B9C" w14:paraId="70F37D39" w14:textId="77777777" w:rsidTr="004C6B9C">
        <w:trPr>
          <w:trHeight w:val="300"/>
        </w:trPr>
        <w:tc>
          <w:tcPr>
            <w:tcW w:w="7938" w:type="dxa"/>
            <w:tcBorders>
              <w:top w:val="nil"/>
              <w:left w:val="nil"/>
              <w:bottom w:val="nil"/>
              <w:right w:val="nil"/>
            </w:tcBorders>
            <w:shd w:val="clear" w:color="auto" w:fill="auto"/>
            <w:noWrap/>
            <w:vAlign w:val="bottom"/>
            <w:hideMark/>
          </w:tcPr>
          <w:p w14:paraId="42730BEB" w14:textId="77777777" w:rsidR="004C6B9C" w:rsidRPr="004C6B9C" w:rsidRDefault="004C6B9C">
            <w:pPr>
              <w:rPr>
                <w:rFonts w:ascii="Arial" w:hAnsi="Arial" w:cs="Arial"/>
                <w:sz w:val="20"/>
                <w:szCs w:val="20"/>
              </w:rPr>
            </w:pPr>
          </w:p>
        </w:tc>
        <w:tc>
          <w:tcPr>
            <w:tcW w:w="1146" w:type="dxa"/>
            <w:tcBorders>
              <w:top w:val="nil"/>
              <w:left w:val="nil"/>
              <w:bottom w:val="nil"/>
              <w:right w:val="nil"/>
            </w:tcBorders>
            <w:shd w:val="clear" w:color="auto" w:fill="auto"/>
            <w:noWrap/>
            <w:vAlign w:val="bottom"/>
            <w:hideMark/>
          </w:tcPr>
          <w:p w14:paraId="529D2078"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v EUR</w:t>
            </w:r>
          </w:p>
        </w:tc>
      </w:tr>
      <w:tr w:rsidR="004C6B9C" w:rsidRPr="004C6B9C" w14:paraId="1430939A" w14:textId="77777777" w:rsidTr="004C6B9C">
        <w:trPr>
          <w:trHeight w:val="300"/>
        </w:trPr>
        <w:tc>
          <w:tcPr>
            <w:tcW w:w="7938" w:type="dxa"/>
            <w:tcBorders>
              <w:top w:val="nil"/>
              <w:left w:val="nil"/>
              <w:bottom w:val="nil"/>
              <w:right w:val="nil"/>
            </w:tcBorders>
            <w:shd w:val="clear" w:color="auto" w:fill="auto"/>
            <w:noWrap/>
            <w:vAlign w:val="bottom"/>
            <w:hideMark/>
          </w:tcPr>
          <w:p w14:paraId="4817E78C" w14:textId="77777777" w:rsidR="004C6B9C" w:rsidRPr="004C6B9C" w:rsidRDefault="004C6B9C">
            <w:pPr>
              <w:jc w:val="right"/>
              <w:rPr>
                <w:rFonts w:ascii="Arial" w:hAnsi="Arial" w:cs="Arial"/>
                <w:color w:val="000000"/>
                <w:sz w:val="20"/>
                <w:szCs w:val="20"/>
              </w:rPr>
            </w:pPr>
          </w:p>
        </w:tc>
        <w:tc>
          <w:tcPr>
            <w:tcW w:w="1146" w:type="dxa"/>
            <w:tcBorders>
              <w:top w:val="nil"/>
              <w:left w:val="nil"/>
              <w:bottom w:val="nil"/>
              <w:right w:val="nil"/>
            </w:tcBorders>
            <w:shd w:val="clear" w:color="auto" w:fill="auto"/>
            <w:noWrap/>
            <w:vAlign w:val="bottom"/>
            <w:hideMark/>
          </w:tcPr>
          <w:p w14:paraId="581AB8CE" w14:textId="77777777" w:rsidR="004C6B9C" w:rsidRPr="004C6B9C" w:rsidRDefault="004C6B9C">
            <w:pPr>
              <w:jc w:val="right"/>
              <w:rPr>
                <w:rFonts w:ascii="Arial" w:hAnsi="Arial" w:cs="Arial"/>
                <w:b/>
                <w:bCs/>
                <w:color w:val="000000"/>
                <w:sz w:val="20"/>
                <w:szCs w:val="20"/>
              </w:rPr>
            </w:pPr>
            <w:r w:rsidRPr="004C6B9C">
              <w:rPr>
                <w:rFonts w:ascii="Arial" w:hAnsi="Arial" w:cs="Arial"/>
                <w:b/>
                <w:bCs/>
                <w:color w:val="000000"/>
                <w:sz w:val="20"/>
                <w:szCs w:val="20"/>
              </w:rPr>
              <w:t>Proračun</w:t>
            </w:r>
          </w:p>
        </w:tc>
      </w:tr>
      <w:tr w:rsidR="004C6B9C" w:rsidRPr="004C6B9C" w14:paraId="075E6EE4" w14:textId="77777777" w:rsidTr="004C6B9C">
        <w:trPr>
          <w:trHeight w:val="300"/>
        </w:trPr>
        <w:tc>
          <w:tcPr>
            <w:tcW w:w="7938" w:type="dxa"/>
            <w:tcBorders>
              <w:top w:val="nil"/>
              <w:left w:val="nil"/>
              <w:bottom w:val="nil"/>
              <w:right w:val="nil"/>
            </w:tcBorders>
            <w:shd w:val="clear" w:color="auto" w:fill="auto"/>
            <w:noWrap/>
            <w:vAlign w:val="bottom"/>
            <w:hideMark/>
          </w:tcPr>
          <w:p w14:paraId="269B297A" w14:textId="77777777" w:rsidR="004C6B9C" w:rsidRPr="004C6B9C" w:rsidRDefault="004C6B9C">
            <w:pPr>
              <w:rPr>
                <w:rFonts w:ascii="Arial" w:hAnsi="Arial" w:cs="Arial"/>
                <w:b/>
                <w:bCs/>
                <w:color w:val="000000"/>
                <w:sz w:val="20"/>
                <w:szCs w:val="20"/>
              </w:rPr>
            </w:pPr>
            <w:r w:rsidRPr="004C6B9C">
              <w:rPr>
                <w:rFonts w:ascii="Arial" w:hAnsi="Arial" w:cs="Arial"/>
                <w:b/>
                <w:bCs/>
                <w:color w:val="000000"/>
                <w:sz w:val="20"/>
                <w:szCs w:val="20"/>
              </w:rPr>
              <w:t>I. SPLOŠNI DEL PRORAČUNA</w:t>
            </w:r>
          </w:p>
        </w:tc>
        <w:tc>
          <w:tcPr>
            <w:tcW w:w="1146" w:type="dxa"/>
            <w:tcBorders>
              <w:top w:val="nil"/>
              <w:left w:val="nil"/>
              <w:bottom w:val="nil"/>
              <w:right w:val="nil"/>
            </w:tcBorders>
            <w:shd w:val="clear" w:color="auto" w:fill="auto"/>
            <w:noWrap/>
            <w:vAlign w:val="bottom"/>
            <w:hideMark/>
          </w:tcPr>
          <w:p w14:paraId="2992FF72" w14:textId="77777777" w:rsidR="004C6B9C" w:rsidRPr="004C6B9C" w:rsidRDefault="004C6B9C">
            <w:pPr>
              <w:jc w:val="right"/>
              <w:rPr>
                <w:rFonts w:ascii="Arial" w:hAnsi="Arial" w:cs="Arial"/>
                <w:b/>
                <w:bCs/>
                <w:color w:val="000000"/>
                <w:sz w:val="20"/>
                <w:szCs w:val="20"/>
              </w:rPr>
            </w:pPr>
            <w:r w:rsidRPr="004C6B9C">
              <w:rPr>
                <w:rFonts w:ascii="Arial" w:hAnsi="Arial" w:cs="Arial"/>
                <w:b/>
                <w:bCs/>
                <w:color w:val="000000"/>
                <w:sz w:val="20"/>
                <w:szCs w:val="20"/>
              </w:rPr>
              <w:t>2025</w:t>
            </w:r>
          </w:p>
        </w:tc>
      </w:tr>
      <w:tr w:rsidR="004C6B9C" w:rsidRPr="004C6B9C" w14:paraId="02BB2285" w14:textId="77777777" w:rsidTr="004C6B9C">
        <w:trPr>
          <w:trHeight w:val="300"/>
        </w:trPr>
        <w:tc>
          <w:tcPr>
            <w:tcW w:w="90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D0D654" w14:textId="77777777" w:rsidR="004C6B9C" w:rsidRPr="004C6B9C" w:rsidRDefault="004C6B9C">
            <w:pPr>
              <w:rPr>
                <w:rFonts w:ascii="Arial" w:hAnsi="Arial" w:cs="Arial"/>
                <w:b/>
                <w:bCs/>
                <w:i/>
                <w:iCs/>
                <w:color w:val="000000"/>
                <w:sz w:val="20"/>
                <w:szCs w:val="20"/>
              </w:rPr>
            </w:pPr>
            <w:r w:rsidRPr="004C6B9C">
              <w:rPr>
                <w:rFonts w:ascii="Arial" w:hAnsi="Arial" w:cs="Arial"/>
                <w:b/>
                <w:bCs/>
                <w:i/>
                <w:iCs/>
                <w:color w:val="000000"/>
                <w:sz w:val="20"/>
                <w:szCs w:val="20"/>
              </w:rPr>
              <w:t>A. BILANCA PRIHODKOV IN ODHODKOV</w:t>
            </w:r>
          </w:p>
        </w:tc>
      </w:tr>
      <w:tr w:rsidR="004C6B9C" w:rsidRPr="004C6B9C" w14:paraId="0FF3D259" w14:textId="77777777" w:rsidTr="004C6B9C">
        <w:trPr>
          <w:trHeight w:val="300"/>
        </w:trPr>
        <w:tc>
          <w:tcPr>
            <w:tcW w:w="7938" w:type="dxa"/>
            <w:tcBorders>
              <w:top w:val="nil"/>
              <w:left w:val="nil"/>
              <w:bottom w:val="nil"/>
              <w:right w:val="nil"/>
            </w:tcBorders>
            <w:shd w:val="clear" w:color="auto" w:fill="auto"/>
            <w:vAlign w:val="center"/>
            <w:hideMark/>
          </w:tcPr>
          <w:p w14:paraId="6027FF2A"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I. SKUPAJ PRIHODKI (70+71+72+73+74+78)</w:t>
            </w:r>
          </w:p>
        </w:tc>
        <w:tc>
          <w:tcPr>
            <w:tcW w:w="1146" w:type="dxa"/>
            <w:tcBorders>
              <w:top w:val="nil"/>
              <w:left w:val="nil"/>
              <w:bottom w:val="nil"/>
              <w:right w:val="nil"/>
            </w:tcBorders>
            <w:shd w:val="clear" w:color="auto" w:fill="auto"/>
            <w:vAlign w:val="center"/>
            <w:hideMark/>
          </w:tcPr>
          <w:p w14:paraId="7974C699"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49.011.324</w:t>
            </w:r>
          </w:p>
        </w:tc>
      </w:tr>
      <w:tr w:rsidR="004C6B9C" w:rsidRPr="004C6B9C" w14:paraId="0B077EDF" w14:textId="77777777" w:rsidTr="004C6B9C">
        <w:trPr>
          <w:trHeight w:val="300"/>
        </w:trPr>
        <w:tc>
          <w:tcPr>
            <w:tcW w:w="7938" w:type="dxa"/>
            <w:tcBorders>
              <w:top w:val="nil"/>
              <w:left w:val="nil"/>
              <w:bottom w:val="nil"/>
              <w:right w:val="nil"/>
            </w:tcBorders>
            <w:shd w:val="clear" w:color="auto" w:fill="auto"/>
            <w:vAlign w:val="center"/>
            <w:hideMark/>
          </w:tcPr>
          <w:p w14:paraId="17D95010" w14:textId="77777777" w:rsidR="004C6B9C" w:rsidRPr="004C6B9C" w:rsidRDefault="004C6B9C">
            <w:pPr>
              <w:ind w:firstLineChars="200" w:firstLine="402"/>
              <w:rPr>
                <w:rFonts w:ascii="Arial" w:hAnsi="Arial" w:cs="Arial"/>
                <w:b/>
                <w:bCs/>
                <w:color w:val="000000"/>
                <w:sz w:val="20"/>
                <w:szCs w:val="20"/>
                <w:u w:val="single"/>
              </w:rPr>
            </w:pPr>
            <w:r w:rsidRPr="004C6B9C">
              <w:rPr>
                <w:rFonts w:ascii="Arial" w:hAnsi="Arial" w:cs="Arial"/>
                <w:b/>
                <w:bCs/>
                <w:color w:val="000000"/>
                <w:sz w:val="20"/>
                <w:szCs w:val="20"/>
                <w:u w:val="single"/>
              </w:rPr>
              <w:t>TEKOČI PRIHODKI (70+71)</w:t>
            </w:r>
          </w:p>
        </w:tc>
        <w:tc>
          <w:tcPr>
            <w:tcW w:w="1146" w:type="dxa"/>
            <w:tcBorders>
              <w:top w:val="nil"/>
              <w:left w:val="nil"/>
              <w:bottom w:val="nil"/>
              <w:right w:val="nil"/>
            </w:tcBorders>
            <w:shd w:val="clear" w:color="auto" w:fill="auto"/>
            <w:vAlign w:val="center"/>
            <w:hideMark/>
          </w:tcPr>
          <w:p w14:paraId="06E14457"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38.507.989</w:t>
            </w:r>
          </w:p>
        </w:tc>
      </w:tr>
      <w:tr w:rsidR="004C6B9C" w:rsidRPr="004C6B9C" w14:paraId="6CD37E51" w14:textId="77777777" w:rsidTr="004C6B9C">
        <w:trPr>
          <w:trHeight w:val="300"/>
        </w:trPr>
        <w:tc>
          <w:tcPr>
            <w:tcW w:w="7938" w:type="dxa"/>
            <w:tcBorders>
              <w:top w:val="nil"/>
              <w:left w:val="nil"/>
              <w:bottom w:val="nil"/>
              <w:right w:val="nil"/>
            </w:tcBorders>
            <w:shd w:val="clear" w:color="auto" w:fill="auto"/>
            <w:vAlign w:val="center"/>
            <w:hideMark/>
          </w:tcPr>
          <w:p w14:paraId="399AEC81"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70 DAVČNI PRIHODKI</w:t>
            </w:r>
          </w:p>
        </w:tc>
        <w:tc>
          <w:tcPr>
            <w:tcW w:w="1146" w:type="dxa"/>
            <w:tcBorders>
              <w:top w:val="nil"/>
              <w:left w:val="nil"/>
              <w:bottom w:val="nil"/>
              <w:right w:val="nil"/>
            </w:tcBorders>
            <w:shd w:val="clear" w:color="auto" w:fill="auto"/>
            <w:vAlign w:val="center"/>
            <w:hideMark/>
          </w:tcPr>
          <w:p w14:paraId="076FF33F"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26.363.357</w:t>
            </w:r>
          </w:p>
        </w:tc>
      </w:tr>
      <w:tr w:rsidR="004C6B9C" w:rsidRPr="004C6B9C" w14:paraId="3E441F96" w14:textId="77777777" w:rsidTr="004C6B9C">
        <w:trPr>
          <w:trHeight w:val="300"/>
        </w:trPr>
        <w:tc>
          <w:tcPr>
            <w:tcW w:w="7938" w:type="dxa"/>
            <w:tcBorders>
              <w:top w:val="nil"/>
              <w:left w:val="nil"/>
              <w:bottom w:val="nil"/>
              <w:right w:val="nil"/>
            </w:tcBorders>
            <w:shd w:val="clear" w:color="auto" w:fill="auto"/>
            <w:vAlign w:val="center"/>
            <w:hideMark/>
          </w:tcPr>
          <w:p w14:paraId="08A1DFBE"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lastRenderedPageBreak/>
              <w:t>700 Davki na dohodek in dobiček</w:t>
            </w:r>
          </w:p>
        </w:tc>
        <w:tc>
          <w:tcPr>
            <w:tcW w:w="1146" w:type="dxa"/>
            <w:tcBorders>
              <w:top w:val="nil"/>
              <w:left w:val="nil"/>
              <w:bottom w:val="nil"/>
              <w:right w:val="nil"/>
            </w:tcBorders>
            <w:shd w:val="clear" w:color="auto" w:fill="auto"/>
            <w:vAlign w:val="center"/>
            <w:hideMark/>
          </w:tcPr>
          <w:p w14:paraId="4511284E"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21.486.757</w:t>
            </w:r>
          </w:p>
        </w:tc>
      </w:tr>
      <w:tr w:rsidR="004C6B9C" w:rsidRPr="004C6B9C" w14:paraId="2127D2C7" w14:textId="77777777" w:rsidTr="004C6B9C">
        <w:trPr>
          <w:trHeight w:val="300"/>
        </w:trPr>
        <w:tc>
          <w:tcPr>
            <w:tcW w:w="7938" w:type="dxa"/>
            <w:tcBorders>
              <w:top w:val="nil"/>
              <w:left w:val="nil"/>
              <w:bottom w:val="nil"/>
              <w:right w:val="nil"/>
            </w:tcBorders>
            <w:shd w:val="clear" w:color="auto" w:fill="auto"/>
            <w:vAlign w:val="center"/>
            <w:hideMark/>
          </w:tcPr>
          <w:p w14:paraId="567CA2DE"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703 Davki na premoženje</w:t>
            </w:r>
          </w:p>
        </w:tc>
        <w:tc>
          <w:tcPr>
            <w:tcW w:w="1146" w:type="dxa"/>
            <w:tcBorders>
              <w:top w:val="nil"/>
              <w:left w:val="nil"/>
              <w:bottom w:val="nil"/>
              <w:right w:val="nil"/>
            </w:tcBorders>
            <w:shd w:val="clear" w:color="auto" w:fill="auto"/>
            <w:vAlign w:val="center"/>
            <w:hideMark/>
          </w:tcPr>
          <w:p w14:paraId="068115A3"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3.986.600</w:t>
            </w:r>
          </w:p>
        </w:tc>
      </w:tr>
      <w:tr w:rsidR="004C6B9C" w:rsidRPr="004C6B9C" w14:paraId="6C20BA49" w14:textId="77777777" w:rsidTr="004C6B9C">
        <w:trPr>
          <w:trHeight w:val="300"/>
        </w:trPr>
        <w:tc>
          <w:tcPr>
            <w:tcW w:w="7938" w:type="dxa"/>
            <w:tcBorders>
              <w:top w:val="nil"/>
              <w:left w:val="nil"/>
              <w:bottom w:val="nil"/>
              <w:right w:val="nil"/>
            </w:tcBorders>
            <w:shd w:val="clear" w:color="auto" w:fill="auto"/>
            <w:vAlign w:val="center"/>
            <w:hideMark/>
          </w:tcPr>
          <w:p w14:paraId="0FCDD77D"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704 Domači davki na blago in storitve</w:t>
            </w:r>
          </w:p>
        </w:tc>
        <w:tc>
          <w:tcPr>
            <w:tcW w:w="1146" w:type="dxa"/>
            <w:tcBorders>
              <w:top w:val="nil"/>
              <w:left w:val="nil"/>
              <w:bottom w:val="nil"/>
              <w:right w:val="nil"/>
            </w:tcBorders>
            <w:shd w:val="clear" w:color="auto" w:fill="auto"/>
            <w:vAlign w:val="center"/>
            <w:hideMark/>
          </w:tcPr>
          <w:p w14:paraId="66D09CEA"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890.000</w:t>
            </w:r>
          </w:p>
        </w:tc>
      </w:tr>
      <w:tr w:rsidR="004C6B9C" w:rsidRPr="004C6B9C" w14:paraId="0187C59F" w14:textId="77777777" w:rsidTr="004C6B9C">
        <w:trPr>
          <w:trHeight w:val="300"/>
        </w:trPr>
        <w:tc>
          <w:tcPr>
            <w:tcW w:w="7938" w:type="dxa"/>
            <w:tcBorders>
              <w:top w:val="nil"/>
              <w:left w:val="nil"/>
              <w:bottom w:val="nil"/>
              <w:right w:val="nil"/>
            </w:tcBorders>
            <w:shd w:val="clear" w:color="auto" w:fill="auto"/>
            <w:vAlign w:val="center"/>
            <w:hideMark/>
          </w:tcPr>
          <w:p w14:paraId="3E977755"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71 NEDAVČNI PRIHODKI</w:t>
            </w:r>
          </w:p>
        </w:tc>
        <w:tc>
          <w:tcPr>
            <w:tcW w:w="1146" w:type="dxa"/>
            <w:tcBorders>
              <w:top w:val="nil"/>
              <w:left w:val="nil"/>
              <w:bottom w:val="nil"/>
              <w:right w:val="nil"/>
            </w:tcBorders>
            <w:shd w:val="clear" w:color="auto" w:fill="auto"/>
            <w:vAlign w:val="center"/>
            <w:hideMark/>
          </w:tcPr>
          <w:p w14:paraId="53C9D89C"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12.144.632</w:t>
            </w:r>
          </w:p>
        </w:tc>
      </w:tr>
      <w:tr w:rsidR="004C6B9C" w:rsidRPr="004C6B9C" w14:paraId="7046FF53" w14:textId="77777777" w:rsidTr="004C6B9C">
        <w:trPr>
          <w:trHeight w:val="300"/>
        </w:trPr>
        <w:tc>
          <w:tcPr>
            <w:tcW w:w="7938" w:type="dxa"/>
            <w:tcBorders>
              <w:top w:val="nil"/>
              <w:left w:val="nil"/>
              <w:bottom w:val="nil"/>
              <w:right w:val="nil"/>
            </w:tcBorders>
            <w:shd w:val="clear" w:color="auto" w:fill="auto"/>
            <w:vAlign w:val="center"/>
            <w:hideMark/>
          </w:tcPr>
          <w:p w14:paraId="50B51C48"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710 Udeležba na dobičku in dohodki od premoženja</w:t>
            </w:r>
          </w:p>
        </w:tc>
        <w:tc>
          <w:tcPr>
            <w:tcW w:w="1146" w:type="dxa"/>
            <w:tcBorders>
              <w:top w:val="nil"/>
              <w:left w:val="nil"/>
              <w:bottom w:val="nil"/>
              <w:right w:val="nil"/>
            </w:tcBorders>
            <w:shd w:val="clear" w:color="auto" w:fill="auto"/>
            <w:vAlign w:val="center"/>
            <w:hideMark/>
          </w:tcPr>
          <w:p w14:paraId="4F0AE6D9"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9.355.192</w:t>
            </w:r>
          </w:p>
        </w:tc>
      </w:tr>
      <w:tr w:rsidR="004C6B9C" w:rsidRPr="004C6B9C" w14:paraId="47771D65" w14:textId="77777777" w:rsidTr="004C6B9C">
        <w:trPr>
          <w:trHeight w:val="300"/>
        </w:trPr>
        <w:tc>
          <w:tcPr>
            <w:tcW w:w="7938" w:type="dxa"/>
            <w:tcBorders>
              <w:top w:val="nil"/>
              <w:left w:val="nil"/>
              <w:bottom w:val="nil"/>
              <w:right w:val="nil"/>
            </w:tcBorders>
            <w:shd w:val="clear" w:color="auto" w:fill="auto"/>
            <w:vAlign w:val="center"/>
            <w:hideMark/>
          </w:tcPr>
          <w:p w14:paraId="6EBE13F4"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711 Takse in pristojbine</w:t>
            </w:r>
          </w:p>
        </w:tc>
        <w:tc>
          <w:tcPr>
            <w:tcW w:w="1146" w:type="dxa"/>
            <w:tcBorders>
              <w:top w:val="nil"/>
              <w:left w:val="nil"/>
              <w:bottom w:val="nil"/>
              <w:right w:val="nil"/>
            </w:tcBorders>
            <w:shd w:val="clear" w:color="auto" w:fill="auto"/>
            <w:vAlign w:val="center"/>
            <w:hideMark/>
          </w:tcPr>
          <w:p w14:paraId="0D105AC6"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33.000</w:t>
            </w:r>
          </w:p>
        </w:tc>
      </w:tr>
      <w:tr w:rsidR="004C6B9C" w:rsidRPr="004C6B9C" w14:paraId="0983F314" w14:textId="77777777" w:rsidTr="004C6B9C">
        <w:trPr>
          <w:trHeight w:val="300"/>
        </w:trPr>
        <w:tc>
          <w:tcPr>
            <w:tcW w:w="7938" w:type="dxa"/>
            <w:tcBorders>
              <w:top w:val="nil"/>
              <w:left w:val="nil"/>
              <w:bottom w:val="nil"/>
              <w:right w:val="nil"/>
            </w:tcBorders>
            <w:shd w:val="clear" w:color="auto" w:fill="auto"/>
            <w:vAlign w:val="center"/>
            <w:hideMark/>
          </w:tcPr>
          <w:p w14:paraId="3FAF7FC3"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712 Globe in druge denarne kazni</w:t>
            </w:r>
          </w:p>
        </w:tc>
        <w:tc>
          <w:tcPr>
            <w:tcW w:w="1146" w:type="dxa"/>
            <w:tcBorders>
              <w:top w:val="nil"/>
              <w:left w:val="nil"/>
              <w:bottom w:val="nil"/>
              <w:right w:val="nil"/>
            </w:tcBorders>
            <w:shd w:val="clear" w:color="auto" w:fill="auto"/>
            <w:vAlign w:val="center"/>
            <w:hideMark/>
          </w:tcPr>
          <w:p w14:paraId="4AC52E09"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54.900</w:t>
            </w:r>
          </w:p>
        </w:tc>
      </w:tr>
      <w:tr w:rsidR="004C6B9C" w:rsidRPr="004C6B9C" w14:paraId="3C98541E" w14:textId="77777777" w:rsidTr="004C6B9C">
        <w:trPr>
          <w:trHeight w:val="300"/>
        </w:trPr>
        <w:tc>
          <w:tcPr>
            <w:tcW w:w="7938" w:type="dxa"/>
            <w:tcBorders>
              <w:top w:val="nil"/>
              <w:left w:val="nil"/>
              <w:bottom w:val="nil"/>
              <w:right w:val="nil"/>
            </w:tcBorders>
            <w:shd w:val="clear" w:color="auto" w:fill="auto"/>
            <w:vAlign w:val="center"/>
            <w:hideMark/>
          </w:tcPr>
          <w:p w14:paraId="2610F7A5"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713 Prihodki od prodaje blaga in storitev</w:t>
            </w:r>
          </w:p>
        </w:tc>
        <w:tc>
          <w:tcPr>
            <w:tcW w:w="1146" w:type="dxa"/>
            <w:tcBorders>
              <w:top w:val="nil"/>
              <w:left w:val="nil"/>
              <w:bottom w:val="nil"/>
              <w:right w:val="nil"/>
            </w:tcBorders>
            <w:shd w:val="clear" w:color="auto" w:fill="auto"/>
            <w:vAlign w:val="center"/>
            <w:hideMark/>
          </w:tcPr>
          <w:p w14:paraId="73F94350"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635.600</w:t>
            </w:r>
          </w:p>
        </w:tc>
      </w:tr>
      <w:tr w:rsidR="004C6B9C" w:rsidRPr="004C6B9C" w14:paraId="12B5CA6B" w14:textId="77777777" w:rsidTr="004C6B9C">
        <w:trPr>
          <w:trHeight w:val="300"/>
        </w:trPr>
        <w:tc>
          <w:tcPr>
            <w:tcW w:w="7938" w:type="dxa"/>
            <w:tcBorders>
              <w:top w:val="nil"/>
              <w:left w:val="nil"/>
              <w:bottom w:val="nil"/>
              <w:right w:val="nil"/>
            </w:tcBorders>
            <w:shd w:val="clear" w:color="auto" w:fill="auto"/>
            <w:vAlign w:val="center"/>
            <w:hideMark/>
          </w:tcPr>
          <w:p w14:paraId="3ADFC6B6"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714 Drugi nedavčni prihodki</w:t>
            </w:r>
          </w:p>
        </w:tc>
        <w:tc>
          <w:tcPr>
            <w:tcW w:w="1146" w:type="dxa"/>
            <w:tcBorders>
              <w:top w:val="nil"/>
              <w:left w:val="nil"/>
              <w:bottom w:val="nil"/>
              <w:right w:val="nil"/>
            </w:tcBorders>
            <w:shd w:val="clear" w:color="auto" w:fill="auto"/>
            <w:vAlign w:val="center"/>
            <w:hideMark/>
          </w:tcPr>
          <w:p w14:paraId="35D6F65B"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2.065.940</w:t>
            </w:r>
          </w:p>
        </w:tc>
      </w:tr>
      <w:tr w:rsidR="004C6B9C" w:rsidRPr="004C6B9C" w14:paraId="24BB457C" w14:textId="77777777" w:rsidTr="004C6B9C">
        <w:trPr>
          <w:trHeight w:val="300"/>
        </w:trPr>
        <w:tc>
          <w:tcPr>
            <w:tcW w:w="7938" w:type="dxa"/>
            <w:tcBorders>
              <w:top w:val="nil"/>
              <w:left w:val="nil"/>
              <w:bottom w:val="nil"/>
              <w:right w:val="nil"/>
            </w:tcBorders>
            <w:shd w:val="clear" w:color="auto" w:fill="auto"/>
            <w:vAlign w:val="center"/>
            <w:hideMark/>
          </w:tcPr>
          <w:p w14:paraId="632317AD"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72 KAPITALSKI PRIHODKI</w:t>
            </w:r>
          </w:p>
        </w:tc>
        <w:tc>
          <w:tcPr>
            <w:tcW w:w="1146" w:type="dxa"/>
            <w:tcBorders>
              <w:top w:val="nil"/>
              <w:left w:val="nil"/>
              <w:bottom w:val="nil"/>
              <w:right w:val="nil"/>
            </w:tcBorders>
            <w:shd w:val="clear" w:color="auto" w:fill="auto"/>
            <w:vAlign w:val="center"/>
            <w:hideMark/>
          </w:tcPr>
          <w:p w14:paraId="54503983"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1.150.000</w:t>
            </w:r>
          </w:p>
        </w:tc>
      </w:tr>
      <w:tr w:rsidR="004C6B9C" w:rsidRPr="004C6B9C" w14:paraId="7D1926B9" w14:textId="77777777" w:rsidTr="004C6B9C">
        <w:trPr>
          <w:trHeight w:val="300"/>
        </w:trPr>
        <w:tc>
          <w:tcPr>
            <w:tcW w:w="7938" w:type="dxa"/>
            <w:tcBorders>
              <w:top w:val="nil"/>
              <w:left w:val="nil"/>
              <w:bottom w:val="nil"/>
              <w:right w:val="nil"/>
            </w:tcBorders>
            <w:shd w:val="clear" w:color="auto" w:fill="auto"/>
            <w:vAlign w:val="center"/>
            <w:hideMark/>
          </w:tcPr>
          <w:p w14:paraId="3F65794B"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720 Prihodki od prodaje osnovnih sredstev</w:t>
            </w:r>
          </w:p>
        </w:tc>
        <w:tc>
          <w:tcPr>
            <w:tcW w:w="1146" w:type="dxa"/>
            <w:tcBorders>
              <w:top w:val="nil"/>
              <w:left w:val="nil"/>
              <w:bottom w:val="nil"/>
              <w:right w:val="nil"/>
            </w:tcBorders>
            <w:shd w:val="clear" w:color="auto" w:fill="auto"/>
            <w:vAlign w:val="center"/>
            <w:hideMark/>
          </w:tcPr>
          <w:p w14:paraId="32EB0485"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1.000.000</w:t>
            </w:r>
          </w:p>
        </w:tc>
      </w:tr>
      <w:tr w:rsidR="004C6B9C" w:rsidRPr="004C6B9C" w14:paraId="44610E64" w14:textId="77777777" w:rsidTr="004C6B9C">
        <w:trPr>
          <w:trHeight w:val="300"/>
        </w:trPr>
        <w:tc>
          <w:tcPr>
            <w:tcW w:w="7938" w:type="dxa"/>
            <w:tcBorders>
              <w:top w:val="nil"/>
              <w:left w:val="nil"/>
              <w:bottom w:val="nil"/>
              <w:right w:val="nil"/>
            </w:tcBorders>
            <w:shd w:val="clear" w:color="auto" w:fill="auto"/>
            <w:vAlign w:val="center"/>
            <w:hideMark/>
          </w:tcPr>
          <w:p w14:paraId="48EF8131"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722 Prihodki od prodaje zemljišč in neopredmetenih sredstev</w:t>
            </w:r>
          </w:p>
        </w:tc>
        <w:tc>
          <w:tcPr>
            <w:tcW w:w="1146" w:type="dxa"/>
            <w:tcBorders>
              <w:top w:val="nil"/>
              <w:left w:val="nil"/>
              <w:bottom w:val="nil"/>
              <w:right w:val="nil"/>
            </w:tcBorders>
            <w:shd w:val="clear" w:color="auto" w:fill="auto"/>
            <w:vAlign w:val="center"/>
            <w:hideMark/>
          </w:tcPr>
          <w:p w14:paraId="273C038D"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150.000</w:t>
            </w:r>
          </w:p>
        </w:tc>
      </w:tr>
      <w:tr w:rsidR="004C6B9C" w:rsidRPr="004C6B9C" w14:paraId="03C3BBFB" w14:textId="77777777" w:rsidTr="004C6B9C">
        <w:trPr>
          <w:trHeight w:val="300"/>
        </w:trPr>
        <w:tc>
          <w:tcPr>
            <w:tcW w:w="7938" w:type="dxa"/>
            <w:tcBorders>
              <w:top w:val="nil"/>
              <w:left w:val="nil"/>
              <w:bottom w:val="nil"/>
              <w:right w:val="nil"/>
            </w:tcBorders>
            <w:shd w:val="clear" w:color="auto" w:fill="auto"/>
            <w:vAlign w:val="center"/>
            <w:hideMark/>
          </w:tcPr>
          <w:p w14:paraId="5A71E7D2"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73 PREJETE DONACIJE</w:t>
            </w:r>
          </w:p>
        </w:tc>
        <w:tc>
          <w:tcPr>
            <w:tcW w:w="1146" w:type="dxa"/>
            <w:tcBorders>
              <w:top w:val="nil"/>
              <w:left w:val="nil"/>
              <w:bottom w:val="nil"/>
              <w:right w:val="nil"/>
            </w:tcBorders>
            <w:shd w:val="clear" w:color="auto" w:fill="auto"/>
            <w:vAlign w:val="center"/>
            <w:hideMark/>
          </w:tcPr>
          <w:p w14:paraId="5ED746CB"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13.400</w:t>
            </w:r>
          </w:p>
        </w:tc>
      </w:tr>
      <w:tr w:rsidR="004C6B9C" w:rsidRPr="004C6B9C" w14:paraId="4B52043D" w14:textId="77777777" w:rsidTr="004C6B9C">
        <w:trPr>
          <w:trHeight w:val="300"/>
        </w:trPr>
        <w:tc>
          <w:tcPr>
            <w:tcW w:w="7938" w:type="dxa"/>
            <w:tcBorders>
              <w:top w:val="nil"/>
              <w:left w:val="nil"/>
              <w:bottom w:val="nil"/>
              <w:right w:val="nil"/>
            </w:tcBorders>
            <w:shd w:val="clear" w:color="auto" w:fill="auto"/>
            <w:vAlign w:val="center"/>
            <w:hideMark/>
          </w:tcPr>
          <w:p w14:paraId="070F44AF"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730 Prejete donacije iz domačih virov</w:t>
            </w:r>
          </w:p>
        </w:tc>
        <w:tc>
          <w:tcPr>
            <w:tcW w:w="1146" w:type="dxa"/>
            <w:tcBorders>
              <w:top w:val="nil"/>
              <w:left w:val="nil"/>
              <w:bottom w:val="nil"/>
              <w:right w:val="nil"/>
            </w:tcBorders>
            <w:shd w:val="clear" w:color="auto" w:fill="auto"/>
            <w:vAlign w:val="center"/>
            <w:hideMark/>
          </w:tcPr>
          <w:p w14:paraId="6FCA9F66"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13.400</w:t>
            </w:r>
          </w:p>
        </w:tc>
      </w:tr>
      <w:tr w:rsidR="004C6B9C" w:rsidRPr="004C6B9C" w14:paraId="39DB8332" w14:textId="77777777" w:rsidTr="004C6B9C">
        <w:trPr>
          <w:trHeight w:val="300"/>
        </w:trPr>
        <w:tc>
          <w:tcPr>
            <w:tcW w:w="7938" w:type="dxa"/>
            <w:tcBorders>
              <w:top w:val="nil"/>
              <w:left w:val="nil"/>
              <w:bottom w:val="nil"/>
              <w:right w:val="nil"/>
            </w:tcBorders>
            <w:shd w:val="clear" w:color="auto" w:fill="auto"/>
            <w:vAlign w:val="center"/>
            <w:hideMark/>
          </w:tcPr>
          <w:p w14:paraId="24797F7D"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74 TRANSFERNI PRIHODKI</w:t>
            </w:r>
          </w:p>
        </w:tc>
        <w:tc>
          <w:tcPr>
            <w:tcW w:w="1146" w:type="dxa"/>
            <w:tcBorders>
              <w:top w:val="nil"/>
              <w:left w:val="nil"/>
              <w:bottom w:val="nil"/>
              <w:right w:val="nil"/>
            </w:tcBorders>
            <w:shd w:val="clear" w:color="auto" w:fill="auto"/>
            <w:vAlign w:val="center"/>
            <w:hideMark/>
          </w:tcPr>
          <w:p w14:paraId="641CA464"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9.120.653</w:t>
            </w:r>
          </w:p>
        </w:tc>
      </w:tr>
      <w:tr w:rsidR="004C6B9C" w:rsidRPr="004C6B9C" w14:paraId="35698A2A" w14:textId="77777777" w:rsidTr="004C6B9C">
        <w:trPr>
          <w:trHeight w:val="300"/>
        </w:trPr>
        <w:tc>
          <w:tcPr>
            <w:tcW w:w="7938" w:type="dxa"/>
            <w:tcBorders>
              <w:top w:val="nil"/>
              <w:left w:val="nil"/>
              <w:bottom w:val="nil"/>
              <w:right w:val="nil"/>
            </w:tcBorders>
            <w:shd w:val="clear" w:color="auto" w:fill="auto"/>
            <w:vAlign w:val="center"/>
            <w:hideMark/>
          </w:tcPr>
          <w:p w14:paraId="3544DA19"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740 Transferni prihodki iz drugih javnofinančnih institucij</w:t>
            </w:r>
          </w:p>
        </w:tc>
        <w:tc>
          <w:tcPr>
            <w:tcW w:w="1146" w:type="dxa"/>
            <w:tcBorders>
              <w:top w:val="nil"/>
              <w:left w:val="nil"/>
              <w:bottom w:val="nil"/>
              <w:right w:val="nil"/>
            </w:tcBorders>
            <w:shd w:val="clear" w:color="auto" w:fill="auto"/>
            <w:vAlign w:val="center"/>
            <w:hideMark/>
          </w:tcPr>
          <w:p w14:paraId="2D6FCF1E"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6.564.471</w:t>
            </w:r>
          </w:p>
        </w:tc>
      </w:tr>
      <w:tr w:rsidR="004C6B9C" w:rsidRPr="004C6B9C" w14:paraId="19ED0A09" w14:textId="77777777" w:rsidTr="004C6B9C">
        <w:trPr>
          <w:trHeight w:val="510"/>
        </w:trPr>
        <w:tc>
          <w:tcPr>
            <w:tcW w:w="7938" w:type="dxa"/>
            <w:tcBorders>
              <w:top w:val="nil"/>
              <w:left w:val="nil"/>
              <w:bottom w:val="nil"/>
              <w:right w:val="nil"/>
            </w:tcBorders>
            <w:shd w:val="clear" w:color="auto" w:fill="auto"/>
            <w:vAlign w:val="center"/>
            <w:hideMark/>
          </w:tcPr>
          <w:p w14:paraId="2CE6460D"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741 Prejeta sredstva iz državnega proračuna iz sredstev proračuna Evropske unije in iz drugih držav</w:t>
            </w:r>
          </w:p>
        </w:tc>
        <w:tc>
          <w:tcPr>
            <w:tcW w:w="1146" w:type="dxa"/>
            <w:tcBorders>
              <w:top w:val="nil"/>
              <w:left w:val="nil"/>
              <w:bottom w:val="nil"/>
              <w:right w:val="nil"/>
            </w:tcBorders>
            <w:shd w:val="clear" w:color="auto" w:fill="auto"/>
            <w:vAlign w:val="center"/>
            <w:hideMark/>
          </w:tcPr>
          <w:p w14:paraId="191A1D91"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2.556.182</w:t>
            </w:r>
          </w:p>
        </w:tc>
      </w:tr>
      <w:tr w:rsidR="004C6B9C" w:rsidRPr="004C6B9C" w14:paraId="41287A76" w14:textId="77777777" w:rsidTr="004C6B9C">
        <w:trPr>
          <w:trHeight w:val="300"/>
        </w:trPr>
        <w:tc>
          <w:tcPr>
            <w:tcW w:w="7938" w:type="dxa"/>
            <w:tcBorders>
              <w:top w:val="nil"/>
              <w:left w:val="nil"/>
              <w:bottom w:val="nil"/>
              <w:right w:val="nil"/>
            </w:tcBorders>
            <w:shd w:val="clear" w:color="auto" w:fill="auto"/>
            <w:vAlign w:val="center"/>
            <w:hideMark/>
          </w:tcPr>
          <w:p w14:paraId="35A6C440"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 xml:space="preserve">78 PREJETA SREDSTVA IZ EVROPSKE UNIJE IN IZ DRUGIH </w:t>
            </w:r>
          </w:p>
        </w:tc>
        <w:tc>
          <w:tcPr>
            <w:tcW w:w="1146" w:type="dxa"/>
            <w:vMerge w:val="restart"/>
            <w:tcBorders>
              <w:top w:val="nil"/>
              <w:left w:val="nil"/>
              <w:bottom w:val="nil"/>
              <w:right w:val="nil"/>
            </w:tcBorders>
            <w:shd w:val="clear" w:color="auto" w:fill="auto"/>
            <w:vAlign w:val="center"/>
            <w:hideMark/>
          </w:tcPr>
          <w:p w14:paraId="59C3A1F1"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219.282</w:t>
            </w:r>
          </w:p>
        </w:tc>
      </w:tr>
      <w:tr w:rsidR="004C6B9C" w:rsidRPr="004C6B9C" w14:paraId="607701FA" w14:textId="77777777" w:rsidTr="004C6B9C">
        <w:trPr>
          <w:trHeight w:val="300"/>
        </w:trPr>
        <w:tc>
          <w:tcPr>
            <w:tcW w:w="7938" w:type="dxa"/>
            <w:tcBorders>
              <w:top w:val="nil"/>
              <w:left w:val="nil"/>
              <w:bottom w:val="nil"/>
              <w:right w:val="nil"/>
            </w:tcBorders>
            <w:shd w:val="clear" w:color="auto" w:fill="auto"/>
            <w:vAlign w:val="center"/>
            <w:hideMark/>
          </w:tcPr>
          <w:p w14:paraId="48EEC786" w14:textId="77777777" w:rsidR="004C6B9C" w:rsidRPr="004C6B9C" w:rsidRDefault="004C6B9C">
            <w:pPr>
              <w:ind w:firstLineChars="200" w:firstLine="402"/>
              <w:rPr>
                <w:rFonts w:ascii="Arial" w:hAnsi="Arial" w:cs="Arial"/>
                <w:b/>
                <w:bCs/>
                <w:color w:val="000000"/>
                <w:sz w:val="20"/>
                <w:szCs w:val="20"/>
                <w:u w:val="single"/>
              </w:rPr>
            </w:pPr>
            <w:r w:rsidRPr="004C6B9C">
              <w:rPr>
                <w:rFonts w:ascii="Arial" w:hAnsi="Arial" w:cs="Arial"/>
                <w:b/>
                <w:bCs/>
                <w:color w:val="000000"/>
                <w:sz w:val="20"/>
                <w:szCs w:val="20"/>
                <w:u w:val="single"/>
              </w:rPr>
              <w:t>DRŽAV</w:t>
            </w:r>
          </w:p>
        </w:tc>
        <w:tc>
          <w:tcPr>
            <w:tcW w:w="1146" w:type="dxa"/>
            <w:vMerge/>
            <w:tcBorders>
              <w:top w:val="nil"/>
              <w:left w:val="nil"/>
              <w:bottom w:val="nil"/>
              <w:right w:val="nil"/>
            </w:tcBorders>
            <w:vAlign w:val="center"/>
            <w:hideMark/>
          </w:tcPr>
          <w:p w14:paraId="0B694489" w14:textId="77777777" w:rsidR="004C6B9C" w:rsidRPr="004C6B9C" w:rsidRDefault="004C6B9C">
            <w:pPr>
              <w:rPr>
                <w:rFonts w:ascii="Arial" w:hAnsi="Arial" w:cs="Arial"/>
                <w:b/>
                <w:bCs/>
                <w:color w:val="000000"/>
                <w:sz w:val="20"/>
                <w:szCs w:val="20"/>
                <w:u w:val="single"/>
              </w:rPr>
            </w:pPr>
          </w:p>
        </w:tc>
      </w:tr>
      <w:tr w:rsidR="004C6B9C" w:rsidRPr="004C6B9C" w14:paraId="00DC7287" w14:textId="77777777" w:rsidTr="004C6B9C">
        <w:trPr>
          <w:trHeight w:val="300"/>
        </w:trPr>
        <w:tc>
          <w:tcPr>
            <w:tcW w:w="7938" w:type="dxa"/>
            <w:tcBorders>
              <w:top w:val="nil"/>
              <w:left w:val="nil"/>
              <w:bottom w:val="nil"/>
              <w:right w:val="nil"/>
            </w:tcBorders>
            <w:shd w:val="clear" w:color="auto" w:fill="auto"/>
            <w:vAlign w:val="center"/>
            <w:hideMark/>
          </w:tcPr>
          <w:p w14:paraId="5093B53A"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787 Prejeta sredstva od drugih evropskih institucij in iz drugih držav</w:t>
            </w:r>
          </w:p>
        </w:tc>
        <w:tc>
          <w:tcPr>
            <w:tcW w:w="1146" w:type="dxa"/>
            <w:tcBorders>
              <w:top w:val="nil"/>
              <w:left w:val="nil"/>
              <w:bottom w:val="nil"/>
              <w:right w:val="nil"/>
            </w:tcBorders>
            <w:shd w:val="clear" w:color="auto" w:fill="auto"/>
            <w:vAlign w:val="center"/>
            <w:hideMark/>
          </w:tcPr>
          <w:p w14:paraId="4D9C5101"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219.282</w:t>
            </w:r>
          </w:p>
        </w:tc>
      </w:tr>
      <w:tr w:rsidR="004C6B9C" w:rsidRPr="004C6B9C" w14:paraId="6BD24783" w14:textId="77777777" w:rsidTr="004C6B9C">
        <w:trPr>
          <w:trHeight w:val="300"/>
        </w:trPr>
        <w:tc>
          <w:tcPr>
            <w:tcW w:w="7938" w:type="dxa"/>
            <w:tcBorders>
              <w:top w:val="nil"/>
              <w:left w:val="nil"/>
              <w:bottom w:val="nil"/>
              <w:right w:val="nil"/>
            </w:tcBorders>
            <w:shd w:val="clear" w:color="auto" w:fill="auto"/>
            <w:noWrap/>
            <w:vAlign w:val="bottom"/>
            <w:hideMark/>
          </w:tcPr>
          <w:p w14:paraId="24224C62" w14:textId="77777777" w:rsidR="004C6B9C" w:rsidRPr="004C6B9C" w:rsidRDefault="004C6B9C">
            <w:pPr>
              <w:jc w:val="right"/>
              <w:rPr>
                <w:rFonts w:ascii="Arial" w:hAnsi="Arial" w:cs="Arial"/>
                <w:color w:val="000000"/>
                <w:sz w:val="20"/>
                <w:szCs w:val="20"/>
              </w:rPr>
            </w:pPr>
          </w:p>
        </w:tc>
        <w:tc>
          <w:tcPr>
            <w:tcW w:w="1146" w:type="dxa"/>
            <w:tcBorders>
              <w:top w:val="nil"/>
              <w:left w:val="nil"/>
              <w:bottom w:val="nil"/>
              <w:right w:val="nil"/>
            </w:tcBorders>
            <w:shd w:val="clear" w:color="auto" w:fill="auto"/>
            <w:noWrap/>
            <w:vAlign w:val="bottom"/>
            <w:hideMark/>
          </w:tcPr>
          <w:p w14:paraId="52D90CF0" w14:textId="77777777" w:rsidR="004C6B9C" w:rsidRPr="004C6B9C" w:rsidRDefault="004C6B9C">
            <w:pPr>
              <w:rPr>
                <w:rFonts w:ascii="Arial" w:hAnsi="Arial" w:cs="Arial"/>
                <w:sz w:val="20"/>
                <w:szCs w:val="20"/>
              </w:rPr>
            </w:pPr>
          </w:p>
        </w:tc>
      </w:tr>
      <w:tr w:rsidR="004C6B9C" w:rsidRPr="004C6B9C" w14:paraId="1A44492E" w14:textId="77777777" w:rsidTr="004C6B9C">
        <w:trPr>
          <w:trHeight w:val="300"/>
        </w:trPr>
        <w:tc>
          <w:tcPr>
            <w:tcW w:w="7938" w:type="dxa"/>
            <w:tcBorders>
              <w:top w:val="nil"/>
              <w:left w:val="nil"/>
              <w:bottom w:val="nil"/>
              <w:right w:val="nil"/>
            </w:tcBorders>
            <w:shd w:val="clear" w:color="auto" w:fill="auto"/>
            <w:vAlign w:val="center"/>
            <w:hideMark/>
          </w:tcPr>
          <w:p w14:paraId="7D0E5988"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II. SKUPAJ ODHODKI (40+41+42+43+45)</w:t>
            </w:r>
          </w:p>
        </w:tc>
        <w:tc>
          <w:tcPr>
            <w:tcW w:w="1146" w:type="dxa"/>
            <w:tcBorders>
              <w:top w:val="nil"/>
              <w:left w:val="nil"/>
              <w:bottom w:val="nil"/>
              <w:right w:val="nil"/>
            </w:tcBorders>
            <w:shd w:val="clear" w:color="auto" w:fill="auto"/>
            <w:vAlign w:val="center"/>
            <w:hideMark/>
          </w:tcPr>
          <w:p w14:paraId="2A8DBACE" w14:textId="77777777" w:rsidR="004C6B9C" w:rsidRPr="004C6B9C" w:rsidRDefault="004C6B9C">
            <w:pPr>
              <w:jc w:val="both"/>
              <w:rPr>
                <w:rFonts w:ascii="Arial" w:hAnsi="Arial" w:cs="Arial"/>
                <w:b/>
                <w:bCs/>
                <w:color w:val="000000"/>
                <w:sz w:val="20"/>
                <w:szCs w:val="20"/>
                <w:u w:val="single"/>
              </w:rPr>
            </w:pPr>
            <w:r w:rsidRPr="004C6B9C">
              <w:rPr>
                <w:rFonts w:ascii="Arial" w:hAnsi="Arial" w:cs="Arial"/>
                <w:b/>
                <w:bCs/>
                <w:color w:val="000000"/>
                <w:sz w:val="20"/>
                <w:szCs w:val="20"/>
                <w:u w:val="single"/>
              </w:rPr>
              <w:t>47.589.088</w:t>
            </w:r>
          </w:p>
        </w:tc>
      </w:tr>
      <w:tr w:rsidR="004C6B9C" w:rsidRPr="004C6B9C" w14:paraId="1A7A94ED" w14:textId="77777777" w:rsidTr="004C6B9C">
        <w:trPr>
          <w:trHeight w:val="300"/>
        </w:trPr>
        <w:tc>
          <w:tcPr>
            <w:tcW w:w="7938" w:type="dxa"/>
            <w:tcBorders>
              <w:top w:val="nil"/>
              <w:left w:val="nil"/>
              <w:bottom w:val="nil"/>
              <w:right w:val="nil"/>
            </w:tcBorders>
            <w:shd w:val="clear" w:color="auto" w:fill="auto"/>
            <w:vAlign w:val="center"/>
            <w:hideMark/>
          </w:tcPr>
          <w:p w14:paraId="48B8231B"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40 TEKOČI ODHODKI</w:t>
            </w:r>
          </w:p>
        </w:tc>
        <w:tc>
          <w:tcPr>
            <w:tcW w:w="1146" w:type="dxa"/>
            <w:tcBorders>
              <w:top w:val="nil"/>
              <w:left w:val="nil"/>
              <w:bottom w:val="nil"/>
              <w:right w:val="nil"/>
            </w:tcBorders>
            <w:shd w:val="clear" w:color="auto" w:fill="auto"/>
            <w:vAlign w:val="center"/>
            <w:hideMark/>
          </w:tcPr>
          <w:p w14:paraId="5B27A1E4"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12.715.559</w:t>
            </w:r>
          </w:p>
        </w:tc>
      </w:tr>
      <w:tr w:rsidR="004C6B9C" w:rsidRPr="004C6B9C" w14:paraId="436CE033" w14:textId="77777777" w:rsidTr="004C6B9C">
        <w:trPr>
          <w:trHeight w:val="300"/>
        </w:trPr>
        <w:tc>
          <w:tcPr>
            <w:tcW w:w="7938" w:type="dxa"/>
            <w:tcBorders>
              <w:top w:val="nil"/>
              <w:left w:val="nil"/>
              <w:bottom w:val="nil"/>
              <w:right w:val="nil"/>
            </w:tcBorders>
            <w:shd w:val="clear" w:color="auto" w:fill="auto"/>
            <w:vAlign w:val="center"/>
            <w:hideMark/>
          </w:tcPr>
          <w:p w14:paraId="6BB00D8E"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400 Plače in drugi izdatki zaposlenim</w:t>
            </w:r>
          </w:p>
        </w:tc>
        <w:tc>
          <w:tcPr>
            <w:tcW w:w="1146" w:type="dxa"/>
            <w:tcBorders>
              <w:top w:val="nil"/>
              <w:left w:val="nil"/>
              <w:bottom w:val="nil"/>
              <w:right w:val="nil"/>
            </w:tcBorders>
            <w:shd w:val="clear" w:color="auto" w:fill="auto"/>
            <w:vAlign w:val="center"/>
            <w:hideMark/>
          </w:tcPr>
          <w:p w14:paraId="5C04E909"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3.598.240</w:t>
            </w:r>
          </w:p>
        </w:tc>
      </w:tr>
      <w:tr w:rsidR="004C6B9C" w:rsidRPr="004C6B9C" w14:paraId="03692A0D" w14:textId="77777777" w:rsidTr="004C6B9C">
        <w:trPr>
          <w:trHeight w:val="300"/>
        </w:trPr>
        <w:tc>
          <w:tcPr>
            <w:tcW w:w="7938" w:type="dxa"/>
            <w:tcBorders>
              <w:top w:val="nil"/>
              <w:left w:val="nil"/>
              <w:bottom w:val="nil"/>
              <w:right w:val="nil"/>
            </w:tcBorders>
            <w:shd w:val="clear" w:color="auto" w:fill="auto"/>
            <w:vAlign w:val="center"/>
            <w:hideMark/>
          </w:tcPr>
          <w:p w14:paraId="42E1EDE0"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401 Prispevki delodajalcev za socialno varnost</w:t>
            </w:r>
          </w:p>
        </w:tc>
        <w:tc>
          <w:tcPr>
            <w:tcW w:w="1146" w:type="dxa"/>
            <w:tcBorders>
              <w:top w:val="nil"/>
              <w:left w:val="nil"/>
              <w:bottom w:val="nil"/>
              <w:right w:val="nil"/>
            </w:tcBorders>
            <w:shd w:val="clear" w:color="auto" w:fill="auto"/>
            <w:vAlign w:val="center"/>
            <w:hideMark/>
          </w:tcPr>
          <w:p w14:paraId="706F930C"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540.757</w:t>
            </w:r>
          </w:p>
        </w:tc>
      </w:tr>
      <w:tr w:rsidR="004C6B9C" w:rsidRPr="004C6B9C" w14:paraId="3457F3D0" w14:textId="77777777" w:rsidTr="004C6B9C">
        <w:trPr>
          <w:trHeight w:val="300"/>
        </w:trPr>
        <w:tc>
          <w:tcPr>
            <w:tcW w:w="7938" w:type="dxa"/>
            <w:tcBorders>
              <w:top w:val="nil"/>
              <w:left w:val="nil"/>
              <w:bottom w:val="nil"/>
              <w:right w:val="nil"/>
            </w:tcBorders>
            <w:shd w:val="clear" w:color="auto" w:fill="auto"/>
            <w:vAlign w:val="center"/>
            <w:hideMark/>
          </w:tcPr>
          <w:p w14:paraId="747EDD68"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402 Izdatki za blago in storitve</w:t>
            </w:r>
          </w:p>
        </w:tc>
        <w:tc>
          <w:tcPr>
            <w:tcW w:w="1146" w:type="dxa"/>
            <w:tcBorders>
              <w:top w:val="nil"/>
              <w:left w:val="nil"/>
              <w:bottom w:val="nil"/>
              <w:right w:val="nil"/>
            </w:tcBorders>
            <w:shd w:val="clear" w:color="auto" w:fill="auto"/>
            <w:vAlign w:val="center"/>
            <w:hideMark/>
          </w:tcPr>
          <w:p w14:paraId="4200D0D3"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7.526.562</w:t>
            </w:r>
          </w:p>
        </w:tc>
      </w:tr>
      <w:tr w:rsidR="004C6B9C" w:rsidRPr="004C6B9C" w14:paraId="7C1B5E18" w14:textId="77777777" w:rsidTr="004C6B9C">
        <w:trPr>
          <w:trHeight w:val="300"/>
        </w:trPr>
        <w:tc>
          <w:tcPr>
            <w:tcW w:w="7938" w:type="dxa"/>
            <w:tcBorders>
              <w:top w:val="nil"/>
              <w:left w:val="nil"/>
              <w:bottom w:val="nil"/>
              <w:right w:val="nil"/>
            </w:tcBorders>
            <w:shd w:val="clear" w:color="auto" w:fill="auto"/>
            <w:vAlign w:val="center"/>
            <w:hideMark/>
          </w:tcPr>
          <w:p w14:paraId="2D313F24"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403 Plačila domačih obresti</w:t>
            </w:r>
          </w:p>
        </w:tc>
        <w:tc>
          <w:tcPr>
            <w:tcW w:w="1146" w:type="dxa"/>
            <w:tcBorders>
              <w:top w:val="nil"/>
              <w:left w:val="nil"/>
              <w:bottom w:val="nil"/>
              <w:right w:val="nil"/>
            </w:tcBorders>
            <w:shd w:val="clear" w:color="auto" w:fill="auto"/>
            <w:vAlign w:val="center"/>
            <w:hideMark/>
          </w:tcPr>
          <w:p w14:paraId="555013FB"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950.000</w:t>
            </w:r>
          </w:p>
        </w:tc>
      </w:tr>
      <w:tr w:rsidR="004C6B9C" w:rsidRPr="004C6B9C" w14:paraId="6E6BF1CA" w14:textId="77777777" w:rsidTr="004C6B9C">
        <w:trPr>
          <w:trHeight w:val="300"/>
        </w:trPr>
        <w:tc>
          <w:tcPr>
            <w:tcW w:w="7938" w:type="dxa"/>
            <w:tcBorders>
              <w:top w:val="nil"/>
              <w:left w:val="nil"/>
              <w:bottom w:val="nil"/>
              <w:right w:val="nil"/>
            </w:tcBorders>
            <w:shd w:val="clear" w:color="auto" w:fill="auto"/>
            <w:vAlign w:val="center"/>
            <w:hideMark/>
          </w:tcPr>
          <w:p w14:paraId="40F5BDB9"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409 Rezerve</w:t>
            </w:r>
          </w:p>
        </w:tc>
        <w:tc>
          <w:tcPr>
            <w:tcW w:w="1146" w:type="dxa"/>
            <w:tcBorders>
              <w:top w:val="nil"/>
              <w:left w:val="nil"/>
              <w:bottom w:val="nil"/>
              <w:right w:val="nil"/>
            </w:tcBorders>
            <w:shd w:val="clear" w:color="auto" w:fill="auto"/>
            <w:vAlign w:val="center"/>
            <w:hideMark/>
          </w:tcPr>
          <w:p w14:paraId="2E7C378D"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100.000</w:t>
            </w:r>
          </w:p>
        </w:tc>
      </w:tr>
      <w:tr w:rsidR="004C6B9C" w:rsidRPr="004C6B9C" w14:paraId="29BA8E3A" w14:textId="77777777" w:rsidTr="004C6B9C">
        <w:trPr>
          <w:trHeight w:val="300"/>
        </w:trPr>
        <w:tc>
          <w:tcPr>
            <w:tcW w:w="7938" w:type="dxa"/>
            <w:tcBorders>
              <w:top w:val="nil"/>
              <w:left w:val="nil"/>
              <w:bottom w:val="nil"/>
              <w:right w:val="nil"/>
            </w:tcBorders>
            <w:shd w:val="clear" w:color="auto" w:fill="auto"/>
            <w:vAlign w:val="center"/>
            <w:hideMark/>
          </w:tcPr>
          <w:p w14:paraId="3E27BCDB"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41 TEKOČI TRANSFERI</w:t>
            </w:r>
          </w:p>
        </w:tc>
        <w:tc>
          <w:tcPr>
            <w:tcW w:w="1146" w:type="dxa"/>
            <w:tcBorders>
              <w:top w:val="nil"/>
              <w:left w:val="nil"/>
              <w:bottom w:val="nil"/>
              <w:right w:val="nil"/>
            </w:tcBorders>
            <w:shd w:val="clear" w:color="auto" w:fill="auto"/>
            <w:vAlign w:val="center"/>
            <w:hideMark/>
          </w:tcPr>
          <w:p w14:paraId="1584FBBF"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19.473.139</w:t>
            </w:r>
          </w:p>
        </w:tc>
      </w:tr>
      <w:tr w:rsidR="004C6B9C" w:rsidRPr="004C6B9C" w14:paraId="619D1E85" w14:textId="77777777" w:rsidTr="004C6B9C">
        <w:trPr>
          <w:trHeight w:val="300"/>
        </w:trPr>
        <w:tc>
          <w:tcPr>
            <w:tcW w:w="7938" w:type="dxa"/>
            <w:tcBorders>
              <w:top w:val="nil"/>
              <w:left w:val="nil"/>
              <w:bottom w:val="nil"/>
              <w:right w:val="nil"/>
            </w:tcBorders>
            <w:shd w:val="clear" w:color="auto" w:fill="auto"/>
            <w:vAlign w:val="center"/>
            <w:hideMark/>
          </w:tcPr>
          <w:p w14:paraId="74EF179E"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410 Subvencije</w:t>
            </w:r>
          </w:p>
        </w:tc>
        <w:tc>
          <w:tcPr>
            <w:tcW w:w="1146" w:type="dxa"/>
            <w:tcBorders>
              <w:top w:val="nil"/>
              <w:left w:val="nil"/>
              <w:bottom w:val="nil"/>
              <w:right w:val="nil"/>
            </w:tcBorders>
            <w:shd w:val="clear" w:color="auto" w:fill="auto"/>
            <w:vAlign w:val="center"/>
            <w:hideMark/>
          </w:tcPr>
          <w:p w14:paraId="1369EC5B"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339.000</w:t>
            </w:r>
          </w:p>
        </w:tc>
      </w:tr>
      <w:tr w:rsidR="004C6B9C" w:rsidRPr="004C6B9C" w14:paraId="3756C0B8" w14:textId="77777777" w:rsidTr="004C6B9C">
        <w:trPr>
          <w:trHeight w:val="300"/>
        </w:trPr>
        <w:tc>
          <w:tcPr>
            <w:tcW w:w="7938" w:type="dxa"/>
            <w:tcBorders>
              <w:top w:val="nil"/>
              <w:left w:val="nil"/>
              <w:bottom w:val="nil"/>
              <w:right w:val="nil"/>
            </w:tcBorders>
            <w:shd w:val="clear" w:color="auto" w:fill="auto"/>
            <w:vAlign w:val="center"/>
            <w:hideMark/>
          </w:tcPr>
          <w:p w14:paraId="63A8CEBF"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411 Transferi posameznikom in gospodinjstvom</w:t>
            </w:r>
          </w:p>
        </w:tc>
        <w:tc>
          <w:tcPr>
            <w:tcW w:w="1146" w:type="dxa"/>
            <w:tcBorders>
              <w:top w:val="nil"/>
              <w:left w:val="nil"/>
              <w:bottom w:val="nil"/>
              <w:right w:val="nil"/>
            </w:tcBorders>
            <w:shd w:val="clear" w:color="auto" w:fill="auto"/>
            <w:vAlign w:val="center"/>
            <w:hideMark/>
          </w:tcPr>
          <w:p w14:paraId="5E106DF2"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7.809.780</w:t>
            </w:r>
          </w:p>
        </w:tc>
      </w:tr>
      <w:tr w:rsidR="004C6B9C" w:rsidRPr="004C6B9C" w14:paraId="0D5E4057" w14:textId="77777777" w:rsidTr="004C6B9C">
        <w:trPr>
          <w:trHeight w:val="300"/>
        </w:trPr>
        <w:tc>
          <w:tcPr>
            <w:tcW w:w="7938" w:type="dxa"/>
            <w:tcBorders>
              <w:top w:val="nil"/>
              <w:left w:val="nil"/>
              <w:bottom w:val="nil"/>
              <w:right w:val="nil"/>
            </w:tcBorders>
            <w:shd w:val="clear" w:color="auto" w:fill="auto"/>
            <w:vAlign w:val="center"/>
            <w:hideMark/>
          </w:tcPr>
          <w:p w14:paraId="162C2A96"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412 Transferi nepridobitnim organizacijam in ustanovam</w:t>
            </w:r>
          </w:p>
        </w:tc>
        <w:tc>
          <w:tcPr>
            <w:tcW w:w="1146" w:type="dxa"/>
            <w:tcBorders>
              <w:top w:val="nil"/>
              <w:left w:val="nil"/>
              <w:bottom w:val="nil"/>
              <w:right w:val="nil"/>
            </w:tcBorders>
            <w:shd w:val="clear" w:color="auto" w:fill="auto"/>
            <w:vAlign w:val="center"/>
            <w:hideMark/>
          </w:tcPr>
          <w:p w14:paraId="376A8ADE"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1.263.564</w:t>
            </w:r>
          </w:p>
        </w:tc>
      </w:tr>
      <w:tr w:rsidR="004C6B9C" w:rsidRPr="004C6B9C" w14:paraId="37D485B6" w14:textId="77777777" w:rsidTr="004C6B9C">
        <w:trPr>
          <w:trHeight w:val="300"/>
        </w:trPr>
        <w:tc>
          <w:tcPr>
            <w:tcW w:w="7938" w:type="dxa"/>
            <w:tcBorders>
              <w:top w:val="nil"/>
              <w:left w:val="nil"/>
              <w:bottom w:val="nil"/>
              <w:right w:val="nil"/>
            </w:tcBorders>
            <w:shd w:val="clear" w:color="auto" w:fill="auto"/>
            <w:vAlign w:val="center"/>
            <w:hideMark/>
          </w:tcPr>
          <w:p w14:paraId="73D70D56"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413 Drugi tekoči domači transferi</w:t>
            </w:r>
          </w:p>
        </w:tc>
        <w:tc>
          <w:tcPr>
            <w:tcW w:w="1146" w:type="dxa"/>
            <w:tcBorders>
              <w:top w:val="nil"/>
              <w:left w:val="nil"/>
              <w:bottom w:val="nil"/>
              <w:right w:val="nil"/>
            </w:tcBorders>
            <w:shd w:val="clear" w:color="auto" w:fill="auto"/>
            <w:vAlign w:val="center"/>
            <w:hideMark/>
          </w:tcPr>
          <w:p w14:paraId="1C27A43D"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9.993.795</w:t>
            </w:r>
          </w:p>
        </w:tc>
      </w:tr>
      <w:tr w:rsidR="004C6B9C" w:rsidRPr="004C6B9C" w14:paraId="3880B46C" w14:textId="77777777" w:rsidTr="004C6B9C">
        <w:trPr>
          <w:trHeight w:val="300"/>
        </w:trPr>
        <w:tc>
          <w:tcPr>
            <w:tcW w:w="7938" w:type="dxa"/>
            <w:tcBorders>
              <w:top w:val="nil"/>
              <w:left w:val="nil"/>
              <w:bottom w:val="nil"/>
              <w:right w:val="nil"/>
            </w:tcBorders>
            <w:shd w:val="clear" w:color="auto" w:fill="auto"/>
            <w:vAlign w:val="center"/>
            <w:hideMark/>
          </w:tcPr>
          <w:p w14:paraId="6F1A70E1"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414 Tekoči transferi v tujino</w:t>
            </w:r>
          </w:p>
        </w:tc>
        <w:tc>
          <w:tcPr>
            <w:tcW w:w="1146" w:type="dxa"/>
            <w:tcBorders>
              <w:top w:val="nil"/>
              <w:left w:val="nil"/>
              <w:bottom w:val="nil"/>
              <w:right w:val="nil"/>
            </w:tcBorders>
            <w:shd w:val="clear" w:color="auto" w:fill="auto"/>
            <w:vAlign w:val="center"/>
            <w:hideMark/>
          </w:tcPr>
          <w:p w14:paraId="646958CE"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67.000</w:t>
            </w:r>
          </w:p>
        </w:tc>
      </w:tr>
      <w:tr w:rsidR="004C6B9C" w:rsidRPr="004C6B9C" w14:paraId="5A36811E" w14:textId="77777777" w:rsidTr="004C6B9C">
        <w:trPr>
          <w:trHeight w:val="300"/>
        </w:trPr>
        <w:tc>
          <w:tcPr>
            <w:tcW w:w="7938" w:type="dxa"/>
            <w:tcBorders>
              <w:top w:val="nil"/>
              <w:left w:val="nil"/>
              <w:bottom w:val="nil"/>
              <w:right w:val="nil"/>
            </w:tcBorders>
            <w:shd w:val="clear" w:color="auto" w:fill="auto"/>
            <w:vAlign w:val="center"/>
            <w:hideMark/>
          </w:tcPr>
          <w:p w14:paraId="3C96680E"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42 INVESTICIJSKI ODHODKI</w:t>
            </w:r>
          </w:p>
        </w:tc>
        <w:tc>
          <w:tcPr>
            <w:tcW w:w="1146" w:type="dxa"/>
            <w:tcBorders>
              <w:top w:val="nil"/>
              <w:left w:val="nil"/>
              <w:bottom w:val="nil"/>
              <w:right w:val="nil"/>
            </w:tcBorders>
            <w:shd w:val="clear" w:color="auto" w:fill="auto"/>
            <w:vAlign w:val="center"/>
            <w:hideMark/>
          </w:tcPr>
          <w:p w14:paraId="7122AC3D"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13.923.790</w:t>
            </w:r>
          </w:p>
        </w:tc>
      </w:tr>
      <w:tr w:rsidR="004C6B9C" w:rsidRPr="004C6B9C" w14:paraId="4C6C34CB" w14:textId="77777777" w:rsidTr="004C6B9C">
        <w:trPr>
          <w:trHeight w:val="300"/>
        </w:trPr>
        <w:tc>
          <w:tcPr>
            <w:tcW w:w="7938" w:type="dxa"/>
            <w:tcBorders>
              <w:top w:val="nil"/>
              <w:left w:val="nil"/>
              <w:bottom w:val="nil"/>
              <w:right w:val="nil"/>
            </w:tcBorders>
            <w:shd w:val="clear" w:color="auto" w:fill="auto"/>
            <w:vAlign w:val="center"/>
            <w:hideMark/>
          </w:tcPr>
          <w:p w14:paraId="78043788"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420 Nakup in gradnja osnovnih sredstev</w:t>
            </w:r>
          </w:p>
        </w:tc>
        <w:tc>
          <w:tcPr>
            <w:tcW w:w="1146" w:type="dxa"/>
            <w:tcBorders>
              <w:top w:val="nil"/>
              <w:left w:val="nil"/>
              <w:bottom w:val="nil"/>
              <w:right w:val="nil"/>
            </w:tcBorders>
            <w:shd w:val="clear" w:color="auto" w:fill="auto"/>
            <w:vAlign w:val="center"/>
            <w:hideMark/>
          </w:tcPr>
          <w:p w14:paraId="54D3623A"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13.923.790</w:t>
            </w:r>
          </w:p>
        </w:tc>
      </w:tr>
      <w:tr w:rsidR="004C6B9C" w:rsidRPr="004C6B9C" w14:paraId="645D6736" w14:textId="77777777" w:rsidTr="004C6B9C">
        <w:trPr>
          <w:trHeight w:val="300"/>
        </w:trPr>
        <w:tc>
          <w:tcPr>
            <w:tcW w:w="7938" w:type="dxa"/>
            <w:tcBorders>
              <w:top w:val="nil"/>
              <w:left w:val="nil"/>
              <w:bottom w:val="nil"/>
              <w:right w:val="nil"/>
            </w:tcBorders>
            <w:shd w:val="clear" w:color="auto" w:fill="auto"/>
            <w:vAlign w:val="center"/>
            <w:hideMark/>
          </w:tcPr>
          <w:p w14:paraId="6E3234E6"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43 INVESTICIJSKI TRANSFERI</w:t>
            </w:r>
          </w:p>
        </w:tc>
        <w:tc>
          <w:tcPr>
            <w:tcW w:w="1146" w:type="dxa"/>
            <w:tcBorders>
              <w:top w:val="nil"/>
              <w:left w:val="nil"/>
              <w:bottom w:val="nil"/>
              <w:right w:val="nil"/>
            </w:tcBorders>
            <w:shd w:val="clear" w:color="auto" w:fill="auto"/>
            <w:vAlign w:val="center"/>
            <w:hideMark/>
          </w:tcPr>
          <w:p w14:paraId="17243DA3"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1.476.600</w:t>
            </w:r>
          </w:p>
        </w:tc>
      </w:tr>
      <w:tr w:rsidR="004C6B9C" w:rsidRPr="004C6B9C" w14:paraId="49E86406" w14:textId="77777777" w:rsidTr="004C6B9C">
        <w:trPr>
          <w:trHeight w:val="300"/>
        </w:trPr>
        <w:tc>
          <w:tcPr>
            <w:tcW w:w="7938" w:type="dxa"/>
            <w:tcBorders>
              <w:top w:val="nil"/>
              <w:left w:val="nil"/>
              <w:bottom w:val="nil"/>
              <w:right w:val="nil"/>
            </w:tcBorders>
            <w:shd w:val="clear" w:color="auto" w:fill="auto"/>
            <w:vAlign w:val="center"/>
            <w:hideMark/>
          </w:tcPr>
          <w:p w14:paraId="6E4D6A04"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431 Investicijski transferi pravnim in fizičnim osebam, ki niso proračunski uporabniki</w:t>
            </w:r>
          </w:p>
        </w:tc>
        <w:tc>
          <w:tcPr>
            <w:tcW w:w="1146" w:type="dxa"/>
            <w:tcBorders>
              <w:top w:val="nil"/>
              <w:left w:val="nil"/>
              <w:bottom w:val="nil"/>
              <w:right w:val="nil"/>
            </w:tcBorders>
            <w:shd w:val="clear" w:color="auto" w:fill="auto"/>
            <w:vAlign w:val="center"/>
            <w:hideMark/>
          </w:tcPr>
          <w:p w14:paraId="2AE90EC5"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724.000</w:t>
            </w:r>
          </w:p>
        </w:tc>
      </w:tr>
      <w:tr w:rsidR="004C6B9C" w:rsidRPr="004C6B9C" w14:paraId="0B0017AB" w14:textId="77777777" w:rsidTr="004C6B9C">
        <w:trPr>
          <w:trHeight w:val="300"/>
        </w:trPr>
        <w:tc>
          <w:tcPr>
            <w:tcW w:w="7938" w:type="dxa"/>
            <w:tcBorders>
              <w:top w:val="nil"/>
              <w:left w:val="nil"/>
              <w:bottom w:val="nil"/>
              <w:right w:val="nil"/>
            </w:tcBorders>
            <w:shd w:val="clear" w:color="auto" w:fill="auto"/>
            <w:vAlign w:val="center"/>
            <w:hideMark/>
          </w:tcPr>
          <w:p w14:paraId="73520674"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432 Investicijski transferi proračunskim uporabnikom</w:t>
            </w:r>
          </w:p>
        </w:tc>
        <w:tc>
          <w:tcPr>
            <w:tcW w:w="1146" w:type="dxa"/>
            <w:tcBorders>
              <w:top w:val="nil"/>
              <w:left w:val="nil"/>
              <w:bottom w:val="nil"/>
              <w:right w:val="nil"/>
            </w:tcBorders>
            <w:shd w:val="clear" w:color="auto" w:fill="auto"/>
            <w:vAlign w:val="center"/>
            <w:hideMark/>
          </w:tcPr>
          <w:p w14:paraId="2CCE8CE6"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752.600</w:t>
            </w:r>
          </w:p>
        </w:tc>
      </w:tr>
      <w:tr w:rsidR="004C6B9C" w:rsidRPr="004C6B9C" w14:paraId="1A712BC6" w14:textId="77777777" w:rsidTr="004C6B9C">
        <w:trPr>
          <w:trHeight w:val="300"/>
        </w:trPr>
        <w:tc>
          <w:tcPr>
            <w:tcW w:w="7938" w:type="dxa"/>
            <w:tcBorders>
              <w:top w:val="nil"/>
              <w:left w:val="nil"/>
              <w:bottom w:val="nil"/>
              <w:right w:val="nil"/>
            </w:tcBorders>
            <w:shd w:val="clear" w:color="auto" w:fill="auto"/>
            <w:noWrap/>
            <w:vAlign w:val="center"/>
            <w:hideMark/>
          </w:tcPr>
          <w:p w14:paraId="1D98B2DF" w14:textId="77777777" w:rsidR="004C6B9C" w:rsidRPr="004C6B9C" w:rsidRDefault="004C6B9C">
            <w:pPr>
              <w:jc w:val="right"/>
              <w:rPr>
                <w:rFonts w:ascii="Arial" w:hAnsi="Arial" w:cs="Arial"/>
                <w:color w:val="000000"/>
                <w:sz w:val="20"/>
                <w:szCs w:val="20"/>
              </w:rPr>
            </w:pPr>
          </w:p>
        </w:tc>
        <w:tc>
          <w:tcPr>
            <w:tcW w:w="1146" w:type="dxa"/>
            <w:tcBorders>
              <w:top w:val="nil"/>
              <w:left w:val="nil"/>
              <w:bottom w:val="nil"/>
              <w:right w:val="nil"/>
            </w:tcBorders>
            <w:shd w:val="clear" w:color="auto" w:fill="auto"/>
            <w:noWrap/>
            <w:vAlign w:val="bottom"/>
            <w:hideMark/>
          </w:tcPr>
          <w:p w14:paraId="0612CDE3" w14:textId="77777777" w:rsidR="004C6B9C" w:rsidRPr="004C6B9C" w:rsidRDefault="004C6B9C">
            <w:pPr>
              <w:rPr>
                <w:rFonts w:ascii="Arial" w:hAnsi="Arial" w:cs="Arial"/>
                <w:sz w:val="20"/>
                <w:szCs w:val="20"/>
              </w:rPr>
            </w:pPr>
          </w:p>
        </w:tc>
      </w:tr>
      <w:tr w:rsidR="004C6B9C" w:rsidRPr="004C6B9C" w14:paraId="07B0DA53" w14:textId="77777777" w:rsidTr="004C6B9C">
        <w:trPr>
          <w:trHeight w:val="300"/>
        </w:trPr>
        <w:tc>
          <w:tcPr>
            <w:tcW w:w="7938" w:type="dxa"/>
            <w:tcBorders>
              <w:top w:val="nil"/>
              <w:left w:val="nil"/>
              <w:bottom w:val="nil"/>
              <w:right w:val="nil"/>
            </w:tcBorders>
            <w:shd w:val="clear" w:color="auto" w:fill="auto"/>
            <w:vAlign w:val="center"/>
            <w:hideMark/>
          </w:tcPr>
          <w:p w14:paraId="02A90826"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III. PRORAČUNSKI PRESEŽEK (PRORAČUNSKI PRIMANJKLJAJ)</w:t>
            </w:r>
          </w:p>
        </w:tc>
        <w:tc>
          <w:tcPr>
            <w:tcW w:w="1146" w:type="dxa"/>
            <w:tcBorders>
              <w:top w:val="nil"/>
              <w:left w:val="nil"/>
              <w:bottom w:val="nil"/>
              <w:right w:val="nil"/>
            </w:tcBorders>
            <w:shd w:val="clear" w:color="auto" w:fill="auto"/>
            <w:vAlign w:val="center"/>
            <w:hideMark/>
          </w:tcPr>
          <w:p w14:paraId="29AA5CA4"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1.422.236</w:t>
            </w:r>
          </w:p>
        </w:tc>
      </w:tr>
      <w:tr w:rsidR="004C6B9C" w:rsidRPr="004C6B9C" w14:paraId="43B2D18F" w14:textId="77777777" w:rsidTr="004C6B9C">
        <w:trPr>
          <w:trHeight w:val="300"/>
        </w:trPr>
        <w:tc>
          <w:tcPr>
            <w:tcW w:w="7938" w:type="dxa"/>
            <w:tcBorders>
              <w:top w:val="nil"/>
              <w:left w:val="nil"/>
              <w:bottom w:val="nil"/>
              <w:right w:val="nil"/>
            </w:tcBorders>
            <w:shd w:val="clear" w:color="auto" w:fill="auto"/>
            <w:vAlign w:val="center"/>
            <w:hideMark/>
          </w:tcPr>
          <w:p w14:paraId="26B444FF" w14:textId="77777777" w:rsidR="004C6B9C" w:rsidRPr="004C6B9C" w:rsidRDefault="004C6B9C">
            <w:pPr>
              <w:rPr>
                <w:rFonts w:ascii="Arial" w:hAnsi="Arial" w:cs="Arial"/>
                <w:b/>
                <w:bCs/>
                <w:color w:val="000000"/>
                <w:sz w:val="20"/>
                <w:szCs w:val="20"/>
              </w:rPr>
            </w:pPr>
            <w:r w:rsidRPr="004C6B9C">
              <w:rPr>
                <w:rFonts w:ascii="Arial" w:hAnsi="Arial" w:cs="Arial"/>
                <w:b/>
                <w:bCs/>
                <w:color w:val="000000"/>
                <w:sz w:val="20"/>
                <w:szCs w:val="20"/>
              </w:rPr>
              <w:t xml:space="preserve">     (I. - II.)    </w:t>
            </w:r>
            <w:r w:rsidRPr="004C6B9C">
              <w:rPr>
                <w:rFonts w:ascii="Arial" w:hAnsi="Arial" w:cs="Arial"/>
                <w:color w:val="000000"/>
                <w:sz w:val="20"/>
                <w:szCs w:val="20"/>
              </w:rPr>
              <w:t xml:space="preserve">  (Skupaj prihodki minus skupaj odhodki)</w:t>
            </w:r>
          </w:p>
        </w:tc>
        <w:tc>
          <w:tcPr>
            <w:tcW w:w="1146" w:type="dxa"/>
            <w:tcBorders>
              <w:top w:val="nil"/>
              <w:left w:val="nil"/>
              <w:bottom w:val="nil"/>
              <w:right w:val="nil"/>
            </w:tcBorders>
            <w:shd w:val="clear" w:color="auto" w:fill="auto"/>
            <w:vAlign w:val="center"/>
            <w:hideMark/>
          </w:tcPr>
          <w:p w14:paraId="6CC7AFDE" w14:textId="77777777" w:rsidR="004C6B9C" w:rsidRPr="004C6B9C" w:rsidRDefault="004C6B9C">
            <w:pPr>
              <w:rPr>
                <w:rFonts w:ascii="Arial" w:hAnsi="Arial" w:cs="Arial"/>
                <w:b/>
                <w:bCs/>
                <w:color w:val="000000"/>
                <w:sz w:val="20"/>
                <w:szCs w:val="20"/>
              </w:rPr>
            </w:pPr>
          </w:p>
        </w:tc>
      </w:tr>
      <w:tr w:rsidR="004C6B9C" w:rsidRPr="004C6B9C" w14:paraId="5B37DBB7" w14:textId="77777777" w:rsidTr="004C6B9C">
        <w:trPr>
          <w:trHeight w:val="300"/>
        </w:trPr>
        <w:tc>
          <w:tcPr>
            <w:tcW w:w="7938" w:type="dxa"/>
            <w:tcBorders>
              <w:top w:val="nil"/>
              <w:left w:val="nil"/>
              <w:bottom w:val="nil"/>
              <w:right w:val="nil"/>
            </w:tcBorders>
            <w:shd w:val="clear" w:color="auto" w:fill="auto"/>
            <w:vAlign w:val="center"/>
            <w:hideMark/>
          </w:tcPr>
          <w:p w14:paraId="3E1E22CE" w14:textId="77777777" w:rsidR="004C6B9C" w:rsidRPr="004C6B9C" w:rsidRDefault="004C6B9C">
            <w:pPr>
              <w:jc w:val="right"/>
              <w:rPr>
                <w:rFonts w:ascii="Arial" w:hAnsi="Arial" w:cs="Arial"/>
                <w:sz w:val="20"/>
                <w:szCs w:val="20"/>
              </w:rPr>
            </w:pPr>
          </w:p>
        </w:tc>
        <w:tc>
          <w:tcPr>
            <w:tcW w:w="1146" w:type="dxa"/>
            <w:tcBorders>
              <w:top w:val="nil"/>
              <w:left w:val="nil"/>
              <w:bottom w:val="nil"/>
              <w:right w:val="nil"/>
            </w:tcBorders>
            <w:shd w:val="clear" w:color="auto" w:fill="auto"/>
            <w:vAlign w:val="center"/>
            <w:hideMark/>
          </w:tcPr>
          <w:p w14:paraId="252A1A18" w14:textId="77777777" w:rsidR="004C6B9C" w:rsidRPr="004C6B9C" w:rsidRDefault="004C6B9C">
            <w:pPr>
              <w:rPr>
                <w:rFonts w:ascii="Arial" w:hAnsi="Arial" w:cs="Arial"/>
                <w:sz w:val="20"/>
                <w:szCs w:val="20"/>
              </w:rPr>
            </w:pPr>
          </w:p>
        </w:tc>
      </w:tr>
      <w:tr w:rsidR="004C6B9C" w:rsidRPr="004C6B9C" w14:paraId="59847277" w14:textId="77777777" w:rsidTr="004C6B9C">
        <w:trPr>
          <w:trHeight w:val="300"/>
        </w:trPr>
        <w:tc>
          <w:tcPr>
            <w:tcW w:w="7938" w:type="dxa"/>
            <w:tcBorders>
              <w:top w:val="nil"/>
              <w:left w:val="nil"/>
              <w:bottom w:val="nil"/>
              <w:right w:val="nil"/>
            </w:tcBorders>
            <w:shd w:val="clear" w:color="auto" w:fill="auto"/>
            <w:vAlign w:val="center"/>
            <w:hideMark/>
          </w:tcPr>
          <w:p w14:paraId="08F4E2E3"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III/1. PRIMARNI PRESEŽEK (PRIMANJKLJAJ)</w:t>
            </w:r>
          </w:p>
        </w:tc>
        <w:tc>
          <w:tcPr>
            <w:tcW w:w="1146" w:type="dxa"/>
            <w:tcBorders>
              <w:top w:val="nil"/>
              <w:left w:val="nil"/>
              <w:bottom w:val="nil"/>
              <w:right w:val="nil"/>
            </w:tcBorders>
            <w:shd w:val="clear" w:color="auto" w:fill="auto"/>
            <w:vAlign w:val="center"/>
            <w:hideMark/>
          </w:tcPr>
          <w:p w14:paraId="35B0C50E"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2.275.536</w:t>
            </w:r>
          </w:p>
        </w:tc>
      </w:tr>
      <w:tr w:rsidR="004C6B9C" w:rsidRPr="004C6B9C" w14:paraId="74B6F7FB" w14:textId="77777777" w:rsidTr="004C6B9C">
        <w:trPr>
          <w:trHeight w:val="300"/>
        </w:trPr>
        <w:tc>
          <w:tcPr>
            <w:tcW w:w="7938" w:type="dxa"/>
            <w:tcBorders>
              <w:top w:val="nil"/>
              <w:left w:val="nil"/>
              <w:bottom w:val="nil"/>
              <w:right w:val="nil"/>
            </w:tcBorders>
            <w:shd w:val="clear" w:color="auto" w:fill="auto"/>
            <w:vAlign w:val="center"/>
            <w:hideMark/>
          </w:tcPr>
          <w:p w14:paraId="49282AE7" w14:textId="77777777" w:rsidR="004C6B9C" w:rsidRPr="004C6B9C" w:rsidRDefault="004C6B9C">
            <w:pPr>
              <w:rPr>
                <w:rFonts w:ascii="Arial" w:hAnsi="Arial" w:cs="Arial"/>
                <w:b/>
                <w:bCs/>
                <w:color w:val="000000"/>
                <w:sz w:val="20"/>
                <w:szCs w:val="20"/>
              </w:rPr>
            </w:pPr>
            <w:r w:rsidRPr="004C6B9C">
              <w:rPr>
                <w:rFonts w:ascii="Arial" w:hAnsi="Arial" w:cs="Arial"/>
                <w:b/>
                <w:bCs/>
                <w:color w:val="000000"/>
                <w:sz w:val="20"/>
                <w:szCs w:val="20"/>
              </w:rPr>
              <w:t xml:space="preserve">     (I. - 7102) - ( II. - 403 - 404)</w:t>
            </w:r>
          </w:p>
        </w:tc>
        <w:tc>
          <w:tcPr>
            <w:tcW w:w="1146" w:type="dxa"/>
            <w:tcBorders>
              <w:top w:val="nil"/>
              <w:left w:val="nil"/>
              <w:bottom w:val="nil"/>
              <w:right w:val="nil"/>
            </w:tcBorders>
            <w:shd w:val="clear" w:color="auto" w:fill="auto"/>
            <w:vAlign w:val="center"/>
            <w:hideMark/>
          </w:tcPr>
          <w:p w14:paraId="2502BA6F" w14:textId="77777777" w:rsidR="004C6B9C" w:rsidRPr="004C6B9C" w:rsidRDefault="004C6B9C">
            <w:pPr>
              <w:rPr>
                <w:rFonts w:ascii="Arial" w:hAnsi="Arial" w:cs="Arial"/>
                <w:b/>
                <w:bCs/>
                <w:color w:val="000000"/>
                <w:sz w:val="20"/>
                <w:szCs w:val="20"/>
              </w:rPr>
            </w:pPr>
          </w:p>
        </w:tc>
      </w:tr>
      <w:tr w:rsidR="004C6B9C" w:rsidRPr="004C6B9C" w14:paraId="75385624" w14:textId="77777777" w:rsidTr="004C6B9C">
        <w:trPr>
          <w:trHeight w:val="300"/>
        </w:trPr>
        <w:tc>
          <w:tcPr>
            <w:tcW w:w="7938" w:type="dxa"/>
            <w:tcBorders>
              <w:top w:val="nil"/>
              <w:left w:val="nil"/>
              <w:bottom w:val="nil"/>
              <w:right w:val="nil"/>
            </w:tcBorders>
            <w:shd w:val="clear" w:color="auto" w:fill="auto"/>
            <w:vAlign w:val="center"/>
            <w:hideMark/>
          </w:tcPr>
          <w:p w14:paraId="2A545936" w14:textId="77777777" w:rsidR="004C6B9C" w:rsidRPr="004C6B9C" w:rsidRDefault="004C6B9C">
            <w:pPr>
              <w:rPr>
                <w:rFonts w:ascii="Arial" w:hAnsi="Arial" w:cs="Arial"/>
                <w:color w:val="000000"/>
                <w:sz w:val="20"/>
                <w:szCs w:val="20"/>
              </w:rPr>
            </w:pPr>
            <w:r w:rsidRPr="004C6B9C">
              <w:rPr>
                <w:rFonts w:ascii="Arial" w:hAnsi="Arial" w:cs="Arial"/>
                <w:color w:val="000000"/>
                <w:sz w:val="20"/>
                <w:szCs w:val="20"/>
              </w:rPr>
              <w:lastRenderedPageBreak/>
              <w:t xml:space="preserve">     (Skupaj prihodki brez prihodkov od obresti minus skupaj odhodki brez plačil obresti)</w:t>
            </w:r>
          </w:p>
        </w:tc>
        <w:tc>
          <w:tcPr>
            <w:tcW w:w="1146" w:type="dxa"/>
            <w:tcBorders>
              <w:top w:val="nil"/>
              <w:left w:val="nil"/>
              <w:bottom w:val="nil"/>
              <w:right w:val="nil"/>
            </w:tcBorders>
            <w:shd w:val="clear" w:color="auto" w:fill="auto"/>
            <w:vAlign w:val="center"/>
            <w:hideMark/>
          </w:tcPr>
          <w:p w14:paraId="00EF3E5E" w14:textId="77777777" w:rsidR="004C6B9C" w:rsidRPr="004C6B9C" w:rsidRDefault="004C6B9C">
            <w:pPr>
              <w:rPr>
                <w:rFonts w:ascii="Arial" w:hAnsi="Arial" w:cs="Arial"/>
                <w:color w:val="000000"/>
                <w:sz w:val="20"/>
                <w:szCs w:val="20"/>
              </w:rPr>
            </w:pPr>
          </w:p>
        </w:tc>
      </w:tr>
      <w:tr w:rsidR="004C6B9C" w:rsidRPr="004C6B9C" w14:paraId="60089752" w14:textId="77777777" w:rsidTr="004C6B9C">
        <w:trPr>
          <w:trHeight w:val="300"/>
        </w:trPr>
        <w:tc>
          <w:tcPr>
            <w:tcW w:w="7938" w:type="dxa"/>
            <w:tcBorders>
              <w:top w:val="nil"/>
              <w:left w:val="nil"/>
              <w:bottom w:val="nil"/>
              <w:right w:val="nil"/>
            </w:tcBorders>
            <w:shd w:val="clear" w:color="auto" w:fill="auto"/>
            <w:vAlign w:val="center"/>
            <w:hideMark/>
          </w:tcPr>
          <w:p w14:paraId="0D4D938D" w14:textId="77777777" w:rsidR="004C6B9C" w:rsidRPr="004C6B9C" w:rsidRDefault="004C6B9C">
            <w:pPr>
              <w:jc w:val="right"/>
              <w:rPr>
                <w:rFonts w:ascii="Arial" w:hAnsi="Arial" w:cs="Arial"/>
                <w:sz w:val="20"/>
                <w:szCs w:val="20"/>
              </w:rPr>
            </w:pPr>
          </w:p>
        </w:tc>
        <w:tc>
          <w:tcPr>
            <w:tcW w:w="1146" w:type="dxa"/>
            <w:tcBorders>
              <w:top w:val="nil"/>
              <w:left w:val="nil"/>
              <w:bottom w:val="nil"/>
              <w:right w:val="nil"/>
            </w:tcBorders>
            <w:shd w:val="clear" w:color="auto" w:fill="auto"/>
            <w:vAlign w:val="center"/>
            <w:hideMark/>
          </w:tcPr>
          <w:p w14:paraId="74223999" w14:textId="77777777" w:rsidR="004C6B9C" w:rsidRPr="004C6B9C" w:rsidRDefault="004C6B9C">
            <w:pPr>
              <w:rPr>
                <w:rFonts w:ascii="Arial" w:hAnsi="Arial" w:cs="Arial"/>
                <w:sz w:val="20"/>
                <w:szCs w:val="20"/>
              </w:rPr>
            </w:pPr>
          </w:p>
        </w:tc>
      </w:tr>
      <w:tr w:rsidR="004C6B9C" w:rsidRPr="004C6B9C" w14:paraId="71215648" w14:textId="77777777" w:rsidTr="004C6B9C">
        <w:trPr>
          <w:trHeight w:val="300"/>
        </w:trPr>
        <w:tc>
          <w:tcPr>
            <w:tcW w:w="7938" w:type="dxa"/>
            <w:tcBorders>
              <w:top w:val="nil"/>
              <w:left w:val="nil"/>
              <w:bottom w:val="nil"/>
              <w:right w:val="nil"/>
            </w:tcBorders>
            <w:shd w:val="clear" w:color="auto" w:fill="auto"/>
            <w:vAlign w:val="center"/>
            <w:hideMark/>
          </w:tcPr>
          <w:p w14:paraId="44A1FEA1"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III/2. TEKOČI PRESEŽEK   (PRIMANJKLJAJ)</w:t>
            </w:r>
          </w:p>
        </w:tc>
        <w:tc>
          <w:tcPr>
            <w:tcW w:w="1146" w:type="dxa"/>
            <w:tcBorders>
              <w:top w:val="nil"/>
              <w:left w:val="nil"/>
              <w:bottom w:val="nil"/>
              <w:right w:val="nil"/>
            </w:tcBorders>
            <w:shd w:val="clear" w:color="auto" w:fill="auto"/>
            <w:vAlign w:val="center"/>
            <w:hideMark/>
          </w:tcPr>
          <w:p w14:paraId="15B2382A"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6.319.291</w:t>
            </w:r>
          </w:p>
        </w:tc>
      </w:tr>
      <w:tr w:rsidR="004C6B9C" w:rsidRPr="004C6B9C" w14:paraId="50C0EC0E" w14:textId="77777777" w:rsidTr="004C6B9C">
        <w:trPr>
          <w:trHeight w:val="300"/>
        </w:trPr>
        <w:tc>
          <w:tcPr>
            <w:tcW w:w="7938" w:type="dxa"/>
            <w:tcBorders>
              <w:top w:val="nil"/>
              <w:left w:val="nil"/>
              <w:bottom w:val="nil"/>
              <w:right w:val="nil"/>
            </w:tcBorders>
            <w:shd w:val="clear" w:color="auto" w:fill="auto"/>
            <w:noWrap/>
            <w:vAlign w:val="center"/>
            <w:hideMark/>
          </w:tcPr>
          <w:p w14:paraId="26F7FCBF" w14:textId="77777777" w:rsidR="004C6B9C" w:rsidRPr="004C6B9C" w:rsidRDefault="004C6B9C">
            <w:pPr>
              <w:rPr>
                <w:rFonts w:ascii="Arial" w:hAnsi="Arial" w:cs="Arial"/>
                <w:b/>
                <w:bCs/>
                <w:color w:val="000000"/>
                <w:sz w:val="20"/>
                <w:szCs w:val="20"/>
              </w:rPr>
            </w:pPr>
            <w:r w:rsidRPr="004C6B9C">
              <w:rPr>
                <w:rFonts w:ascii="Arial" w:hAnsi="Arial" w:cs="Arial"/>
                <w:b/>
                <w:bCs/>
                <w:color w:val="000000"/>
                <w:sz w:val="20"/>
                <w:szCs w:val="20"/>
              </w:rPr>
              <w:t xml:space="preserve">     (70 + 71) - (40 + 41)     </w:t>
            </w:r>
            <w:r w:rsidRPr="004C6B9C">
              <w:rPr>
                <w:rFonts w:ascii="Arial" w:hAnsi="Arial" w:cs="Arial"/>
                <w:color w:val="000000"/>
                <w:sz w:val="20"/>
                <w:szCs w:val="20"/>
              </w:rPr>
              <w:t xml:space="preserve"> (Tekoči prihodki minus tekoči odhodki in tekoči transferi)</w:t>
            </w:r>
          </w:p>
        </w:tc>
        <w:tc>
          <w:tcPr>
            <w:tcW w:w="1146" w:type="dxa"/>
            <w:tcBorders>
              <w:top w:val="nil"/>
              <w:left w:val="nil"/>
              <w:bottom w:val="nil"/>
              <w:right w:val="nil"/>
            </w:tcBorders>
            <w:shd w:val="clear" w:color="auto" w:fill="auto"/>
            <w:noWrap/>
            <w:vAlign w:val="bottom"/>
            <w:hideMark/>
          </w:tcPr>
          <w:p w14:paraId="12A7F724" w14:textId="77777777" w:rsidR="004C6B9C" w:rsidRPr="004C6B9C" w:rsidRDefault="004C6B9C">
            <w:pPr>
              <w:rPr>
                <w:rFonts w:ascii="Arial" w:hAnsi="Arial" w:cs="Arial"/>
                <w:b/>
                <w:bCs/>
                <w:color w:val="000000"/>
                <w:sz w:val="20"/>
                <w:szCs w:val="20"/>
              </w:rPr>
            </w:pPr>
          </w:p>
        </w:tc>
      </w:tr>
      <w:tr w:rsidR="004C6B9C" w:rsidRPr="004C6B9C" w14:paraId="4BBCBFAE" w14:textId="77777777" w:rsidTr="004C6B9C">
        <w:trPr>
          <w:trHeight w:val="300"/>
        </w:trPr>
        <w:tc>
          <w:tcPr>
            <w:tcW w:w="7938" w:type="dxa"/>
            <w:tcBorders>
              <w:top w:val="nil"/>
              <w:left w:val="nil"/>
              <w:bottom w:val="nil"/>
              <w:right w:val="nil"/>
            </w:tcBorders>
            <w:shd w:val="clear" w:color="auto" w:fill="auto"/>
            <w:noWrap/>
            <w:vAlign w:val="center"/>
            <w:hideMark/>
          </w:tcPr>
          <w:p w14:paraId="142CB5F9" w14:textId="77777777" w:rsidR="004C6B9C" w:rsidRPr="004C6B9C" w:rsidRDefault="004C6B9C">
            <w:pPr>
              <w:jc w:val="right"/>
              <w:rPr>
                <w:rFonts w:ascii="Arial" w:hAnsi="Arial" w:cs="Arial"/>
                <w:sz w:val="20"/>
                <w:szCs w:val="20"/>
              </w:rPr>
            </w:pPr>
          </w:p>
        </w:tc>
        <w:tc>
          <w:tcPr>
            <w:tcW w:w="1146" w:type="dxa"/>
            <w:tcBorders>
              <w:top w:val="nil"/>
              <w:left w:val="nil"/>
              <w:bottom w:val="nil"/>
              <w:right w:val="nil"/>
            </w:tcBorders>
            <w:shd w:val="clear" w:color="auto" w:fill="auto"/>
            <w:noWrap/>
            <w:vAlign w:val="bottom"/>
            <w:hideMark/>
          </w:tcPr>
          <w:p w14:paraId="124DBF9E" w14:textId="77777777" w:rsidR="004C6B9C" w:rsidRPr="004C6B9C" w:rsidRDefault="004C6B9C">
            <w:pPr>
              <w:rPr>
                <w:rFonts w:ascii="Arial" w:hAnsi="Arial" w:cs="Arial"/>
                <w:sz w:val="20"/>
                <w:szCs w:val="20"/>
              </w:rPr>
            </w:pPr>
          </w:p>
        </w:tc>
      </w:tr>
      <w:tr w:rsidR="004C6B9C" w:rsidRPr="004C6B9C" w14:paraId="0E5F8DE0" w14:textId="77777777" w:rsidTr="004C6B9C">
        <w:trPr>
          <w:trHeight w:val="300"/>
        </w:trPr>
        <w:tc>
          <w:tcPr>
            <w:tcW w:w="90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12414B" w14:textId="77777777" w:rsidR="004C6B9C" w:rsidRPr="004C6B9C" w:rsidRDefault="004C6B9C">
            <w:pPr>
              <w:rPr>
                <w:rFonts w:ascii="Arial" w:hAnsi="Arial" w:cs="Arial"/>
                <w:b/>
                <w:bCs/>
                <w:i/>
                <w:iCs/>
                <w:color w:val="000000"/>
                <w:sz w:val="20"/>
                <w:szCs w:val="20"/>
              </w:rPr>
            </w:pPr>
            <w:r w:rsidRPr="004C6B9C">
              <w:rPr>
                <w:rFonts w:ascii="Arial" w:hAnsi="Arial" w:cs="Arial"/>
                <w:b/>
                <w:bCs/>
                <w:i/>
                <w:iCs/>
                <w:color w:val="000000"/>
                <w:sz w:val="20"/>
                <w:szCs w:val="20"/>
              </w:rPr>
              <w:t>B. RAČUN FINANČNIH TERJATEV IN NALOŽB</w:t>
            </w:r>
          </w:p>
        </w:tc>
      </w:tr>
      <w:tr w:rsidR="004C6B9C" w:rsidRPr="004C6B9C" w14:paraId="46D7289F" w14:textId="77777777" w:rsidTr="004C6B9C">
        <w:trPr>
          <w:trHeight w:val="300"/>
        </w:trPr>
        <w:tc>
          <w:tcPr>
            <w:tcW w:w="7938" w:type="dxa"/>
            <w:tcBorders>
              <w:top w:val="nil"/>
              <w:left w:val="nil"/>
              <w:bottom w:val="nil"/>
              <w:right w:val="nil"/>
            </w:tcBorders>
            <w:shd w:val="clear" w:color="auto" w:fill="auto"/>
            <w:vAlign w:val="center"/>
            <w:hideMark/>
          </w:tcPr>
          <w:p w14:paraId="02D283A0"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 xml:space="preserve">IV. PREJETA VRAČILA DANIH POSOJIL IN PRODAJA </w:t>
            </w:r>
          </w:p>
        </w:tc>
        <w:tc>
          <w:tcPr>
            <w:tcW w:w="1146" w:type="dxa"/>
            <w:tcBorders>
              <w:top w:val="nil"/>
              <w:left w:val="nil"/>
              <w:bottom w:val="nil"/>
              <w:right w:val="nil"/>
            </w:tcBorders>
            <w:shd w:val="clear" w:color="auto" w:fill="auto"/>
            <w:vAlign w:val="center"/>
            <w:hideMark/>
          </w:tcPr>
          <w:p w14:paraId="61103BE8"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0</w:t>
            </w:r>
          </w:p>
        </w:tc>
      </w:tr>
      <w:tr w:rsidR="004C6B9C" w:rsidRPr="004C6B9C" w14:paraId="7805AC0D" w14:textId="77777777" w:rsidTr="004C6B9C">
        <w:trPr>
          <w:trHeight w:val="300"/>
        </w:trPr>
        <w:tc>
          <w:tcPr>
            <w:tcW w:w="7938" w:type="dxa"/>
            <w:tcBorders>
              <w:top w:val="nil"/>
              <w:left w:val="nil"/>
              <w:bottom w:val="nil"/>
              <w:right w:val="nil"/>
            </w:tcBorders>
            <w:shd w:val="clear" w:color="auto" w:fill="auto"/>
            <w:vAlign w:val="center"/>
            <w:hideMark/>
          </w:tcPr>
          <w:p w14:paraId="473E3779"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KAPITALSKIH DELEŽEV (750+751+752)</w:t>
            </w:r>
          </w:p>
        </w:tc>
        <w:tc>
          <w:tcPr>
            <w:tcW w:w="1146" w:type="dxa"/>
            <w:tcBorders>
              <w:top w:val="nil"/>
              <w:left w:val="nil"/>
              <w:bottom w:val="nil"/>
              <w:right w:val="nil"/>
            </w:tcBorders>
            <w:shd w:val="clear" w:color="auto" w:fill="auto"/>
            <w:vAlign w:val="center"/>
            <w:hideMark/>
          </w:tcPr>
          <w:p w14:paraId="38E30362" w14:textId="77777777" w:rsidR="004C6B9C" w:rsidRPr="004C6B9C" w:rsidRDefault="004C6B9C">
            <w:pPr>
              <w:rPr>
                <w:rFonts w:ascii="Arial" w:hAnsi="Arial" w:cs="Arial"/>
                <w:b/>
                <w:bCs/>
                <w:color w:val="000000"/>
                <w:sz w:val="20"/>
                <w:szCs w:val="20"/>
                <w:u w:val="single"/>
              </w:rPr>
            </w:pPr>
          </w:p>
        </w:tc>
      </w:tr>
      <w:tr w:rsidR="004C6B9C" w:rsidRPr="004C6B9C" w14:paraId="1BFC151C" w14:textId="77777777" w:rsidTr="004C6B9C">
        <w:trPr>
          <w:trHeight w:val="300"/>
        </w:trPr>
        <w:tc>
          <w:tcPr>
            <w:tcW w:w="7938" w:type="dxa"/>
            <w:tcBorders>
              <w:top w:val="nil"/>
              <w:left w:val="nil"/>
              <w:bottom w:val="nil"/>
              <w:right w:val="nil"/>
            </w:tcBorders>
            <w:shd w:val="clear" w:color="auto" w:fill="auto"/>
            <w:vAlign w:val="center"/>
            <w:hideMark/>
          </w:tcPr>
          <w:p w14:paraId="0CA66CAE"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 xml:space="preserve">75 PREJETA VRAČILA DANIH POSOJIL IN PRODAJA </w:t>
            </w:r>
          </w:p>
        </w:tc>
        <w:tc>
          <w:tcPr>
            <w:tcW w:w="1146" w:type="dxa"/>
            <w:tcBorders>
              <w:top w:val="nil"/>
              <w:left w:val="nil"/>
              <w:bottom w:val="nil"/>
              <w:right w:val="nil"/>
            </w:tcBorders>
            <w:shd w:val="clear" w:color="auto" w:fill="auto"/>
            <w:vAlign w:val="center"/>
            <w:hideMark/>
          </w:tcPr>
          <w:p w14:paraId="67A40FB9"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0</w:t>
            </w:r>
          </w:p>
        </w:tc>
      </w:tr>
      <w:tr w:rsidR="004C6B9C" w:rsidRPr="004C6B9C" w14:paraId="69A1B297" w14:textId="77777777" w:rsidTr="004C6B9C">
        <w:trPr>
          <w:trHeight w:val="300"/>
        </w:trPr>
        <w:tc>
          <w:tcPr>
            <w:tcW w:w="7938" w:type="dxa"/>
            <w:tcBorders>
              <w:top w:val="nil"/>
              <w:left w:val="nil"/>
              <w:bottom w:val="nil"/>
              <w:right w:val="nil"/>
            </w:tcBorders>
            <w:shd w:val="clear" w:color="auto" w:fill="auto"/>
            <w:vAlign w:val="center"/>
            <w:hideMark/>
          </w:tcPr>
          <w:p w14:paraId="30C2920A" w14:textId="77777777" w:rsidR="004C6B9C" w:rsidRPr="004C6B9C" w:rsidRDefault="004C6B9C">
            <w:pPr>
              <w:ind w:firstLineChars="200" w:firstLine="402"/>
              <w:rPr>
                <w:rFonts w:ascii="Arial" w:hAnsi="Arial" w:cs="Arial"/>
                <w:b/>
                <w:bCs/>
                <w:color w:val="000000"/>
                <w:sz w:val="20"/>
                <w:szCs w:val="20"/>
                <w:u w:val="single"/>
              </w:rPr>
            </w:pPr>
            <w:r w:rsidRPr="004C6B9C">
              <w:rPr>
                <w:rFonts w:ascii="Arial" w:hAnsi="Arial" w:cs="Arial"/>
                <w:b/>
                <w:bCs/>
                <w:color w:val="000000"/>
                <w:sz w:val="20"/>
                <w:szCs w:val="20"/>
                <w:u w:val="single"/>
              </w:rPr>
              <w:t>KAPITALSKIH DELEŽEV</w:t>
            </w:r>
          </w:p>
        </w:tc>
        <w:tc>
          <w:tcPr>
            <w:tcW w:w="1146" w:type="dxa"/>
            <w:tcBorders>
              <w:top w:val="nil"/>
              <w:left w:val="nil"/>
              <w:bottom w:val="nil"/>
              <w:right w:val="nil"/>
            </w:tcBorders>
            <w:shd w:val="clear" w:color="auto" w:fill="auto"/>
            <w:vAlign w:val="center"/>
            <w:hideMark/>
          </w:tcPr>
          <w:p w14:paraId="33694C52" w14:textId="77777777" w:rsidR="004C6B9C" w:rsidRPr="004C6B9C" w:rsidRDefault="004C6B9C">
            <w:pPr>
              <w:ind w:firstLineChars="200" w:firstLine="402"/>
              <w:rPr>
                <w:rFonts w:ascii="Arial" w:hAnsi="Arial" w:cs="Arial"/>
                <w:b/>
                <w:bCs/>
                <w:color w:val="000000"/>
                <w:sz w:val="20"/>
                <w:szCs w:val="20"/>
                <w:u w:val="single"/>
              </w:rPr>
            </w:pPr>
          </w:p>
        </w:tc>
      </w:tr>
      <w:tr w:rsidR="004C6B9C" w:rsidRPr="004C6B9C" w14:paraId="03E03E8B" w14:textId="77777777" w:rsidTr="004C6B9C">
        <w:trPr>
          <w:trHeight w:val="300"/>
        </w:trPr>
        <w:tc>
          <w:tcPr>
            <w:tcW w:w="7938" w:type="dxa"/>
            <w:tcBorders>
              <w:top w:val="nil"/>
              <w:left w:val="nil"/>
              <w:bottom w:val="nil"/>
              <w:right w:val="nil"/>
            </w:tcBorders>
            <w:shd w:val="clear" w:color="auto" w:fill="auto"/>
            <w:vAlign w:val="center"/>
            <w:hideMark/>
          </w:tcPr>
          <w:p w14:paraId="7B4D2BA9"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750 Prejeta vračila danih posojil</w:t>
            </w:r>
          </w:p>
        </w:tc>
        <w:tc>
          <w:tcPr>
            <w:tcW w:w="1146" w:type="dxa"/>
            <w:tcBorders>
              <w:top w:val="nil"/>
              <w:left w:val="nil"/>
              <w:bottom w:val="nil"/>
              <w:right w:val="nil"/>
            </w:tcBorders>
            <w:shd w:val="clear" w:color="auto" w:fill="auto"/>
            <w:vAlign w:val="center"/>
            <w:hideMark/>
          </w:tcPr>
          <w:p w14:paraId="5A90E64F"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0</w:t>
            </w:r>
          </w:p>
        </w:tc>
      </w:tr>
      <w:tr w:rsidR="004C6B9C" w:rsidRPr="004C6B9C" w14:paraId="1E28444C" w14:textId="77777777" w:rsidTr="004C6B9C">
        <w:trPr>
          <w:trHeight w:val="300"/>
        </w:trPr>
        <w:tc>
          <w:tcPr>
            <w:tcW w:w="7938" w:type="dxa"/>
            <w:tcBorders>
              <w:top w:val="nil"/>
              <w:left w:val="nil"/>
              <w:bottom w:val="nil"/>
              <w:right w:val="nil"/>
            </w:tcBorders>
            <w:shd w:val="clear" w:color="auto" w:fill="auto"/>
            <w:vAlign w:val="center"/>
            <w:hideMark/>
          </w:tcPr>
          <w:p w14:paraId="4CCC05CE"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 xml:space="preserve">VI. PREJETA MINUS DANA POSOJILA IN </w:t>
            </w:r>
          </w:p>
        </w:tc>
        <w:tc>
          <w:tcPr>
            <w:tcW w:w="1146" w:type="dxa"/>
            <w:tcBorders>
              <w:top w:val="nil"/>
              <w:left w:val="nil"/>
              <w:bottom w:val="nil"/>
              <w:right w:val="nil"/>
            </w:tcBorders>
            <w:shd w:val="clear" w:color="auto" w:fill="auto"/>
            <w:vAlign w:val="center"/>
            <w:hideMark/>
          </w:tcPr>
          <w:p w14:paraId="4A07893A"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0</w:t>
            </w:r>
          </w:p>
        </w:tc>
      </w:tr>
      <w:tr w:rsidR="004C6B9C" w:rsidRPr="004C6B9C" w14:paraId="353B43B9" w14:textId="77777777" w:rsidTr="004C6B9C">
        <w:trPr>
          <w:trHeight w:val="300"/>
        </w:trPr>
        <w:tc>
          <w:tcPr>
            <w:tcW w:w="7938" w:type="dxa"/>
            <w:tcBorders>
              <w:top w:val="nil"/>
              <w:left w:val="nil"/>
              <w:bottom w:val="nil"/>
              <w:right w:val="nil"/>
            </w:tcBorders>
            <w:shd w:val="clear" w:color="auto" w:fill="auto"/>
            <w:vAlign w:val="center"/>
            <w:hideMark/>
          </w:tcPr>
          <w:p w14:paraId="09D0E35E"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SPREMEMBE KAPITALSKIH DELEŽEV (IV. - V.)</w:t>
            </w:r>
          </w:p>
        </w:tc>
        <w:tc>
          <w:tcPr>
            <w:tcW w:w="1146" w:type="dxa"/>
            <w:tcBorders>
              <w:top w:val="nil"/>
              <w:left w:val="nil"/>
              <w:bottom w:val="nil"/>
              <w:right w:val="nil"/>
            </w:tcBorders>
            <w:shd w:val="clear" w:color="auto" w:fill="auto"/>
            <w:vAlign w:val="center"/>
            <w:hideMark/>
          </w:tcPr>
          <w:p w14:paraId="2DAF32C4" w14:textId="77777777" w:rsidR="004C6B9C" w:rsidRPr="004C6B9C" w:rsidRDefault="004C6B9C">
            <w:pPr>
              <w:rPr>
                <w:rFonts w:ascii="Arial" w:hAnsi="Arial" w:cs="Arial"/>
                <w:b/>
                <w:bCs/>
                <w:color w:val="000000"/>
                <w:sz w:val="20"/>
                <w:szCs w:val="20"/>
                <w:u w:val="single"/>
              </w:rPr>
            </w:pPr>
          </w:p>
        </w:tc>
      </w:tr>
      <w:tr w:rsidR="004C6B9C" w:rsidRPr="004C6B9C" w14:paraId="092CCE10" w14:textId="77777777" w:rsidTr="004C6B9C">
        <w:trPr>
          <w:trHeight w:val="300"/>
        </w:trPr>
        <w:tc>
          <w:tcPr>
            <w:tcW w:w="7938" w:type="dxa"/>
            <w:tcBorders>
              <w:top w:val="nil"/>
              <w:left w:val="nil"/>
              <w:bottom w:val="nil"/>
              <w:right w:val="nil"/>
            </w:tcBorders>
            <w:shd w:val="clear" w:color="auto" w:fill="auto"/>
            <w:noWrap/>
            <w:vAlign w:val="center"/>
            <w:hideMark/>
          </w:tcPr>
          <w:p w14:paraId="3DA1E4BA" w14:textId="77777777" w:rsidR="004C6B9C" w:rsidRPr="004C6B9C" w:rsidRDefault="004C6B9C">
            <w:pPr>
              <w:jc w:val="right"/>
              <w:rPr>
                <w:rFonts w:ascii="Arial" w:hAnsi="Arial" w:cs="Arial"/>
                <w:sz w:val="20"/>
                <w:szCs w:val="20"/>
              </w:rPr>
            </w:pPr>
          </w:p>
        </w:tc>
        <w:tc>
          <w:tcPr>
            <w:tcW w:w="1146" w:type="dxa"/>
            <w:tcBorders>
              <w:top w:val="nil"/>
              <w:left w:val="nil"/>
              <w:bottom w:val="nil"/>
              <w:right w:val="nil"/>
            </w:tcBorders>
            <w:shd w:val="clear" w:color="auto" w:fill="auto"/>
            <w:noWrap/>
            <w:vAlign w:val="bottom"/>
            <w:hideMark/>
          </w:tcPr>
          <w:p w14:paraId="06D08938" w14:textId="77777777" w:rsidR="004C6B9C" w:rsidRPr="004C6B9C" w:rsidRDefault="004C6B9C">
            <w:pPr>
              <w:rPr>
                <w:rFonts w:ascii="Arial" w:hAnsi="Arial" w:cs="Arial"/>
                <w:sz w:val="20"/>
                <w:szCs w:val="20"/>
              </w:rPr>
            </w:pPr>
          </w:p>
        </w:tc>
      </w:tr>
      <w:tr w:rsidR="004C6B9C" w:rsidRPr="004C6B9C" w14:paraId="27937B4C" w14:textId="77777777" w:rsidTr="004C6B9C">
        <w:trPr>
          <w:trHeight w:val="300"/>
        </w:trPr>
        <w:tc>
          <w:tcPr>
            <w:tcW w:w="90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E9EF71" w14:textId="77777777" w:rsidR="004C6B9C" w:rsidRPr="004C6B9C" w:rsidRDefault="004C6B9C">
            <w:pPr>
              <w:rPr>
                <w:rFonts w:ascii="Arial" w:hAnsi="Arial" w:cs="Arial"/>
                <w:b/>
                <w:bCs/>
                <w:i/>
                <w:iCs/>
                <w:color w:val="000000"/>
                <w:sz w:val="20"/>
                <w:szCs w:val="20"/>
              </w:rPr>
            </w:pPr>
            <w:r w:rsidRPr="004C6B9C">
              <w:rPr>
                <w:rFonts w:ascii="Arial" w:hAnsi="Arial" w:cs="Arial"/>
                <w:b/>
                <w:bCs/>
                <w:i/>
                <w:iCs/>
                <w:color w:val="000000"/>
                <w:sz w:val="20"/>
                <w:szCs w:val="20"/>
              </w:rPr>
              <w:t>C.  RAČUN FINANCIRANJA</w:t>
            </w:r>
          </w:p>
        </w:tc>
      </w:tr>
      <w:tr w:rsidR="004C6B9C" w:rsidRPr="004C6B9C" w14:paraId="00191EDB" w14:textId="77777777" w:rsidTr="004C6B9C">
        <w:trPr>
          <w:trHeight w:val="300"/>
        </w:trPr>
        <w:tc>
          <w:tcPr>
            <w:tcW w:w="7938" w:type="dxa"/>
            <w:tcBorders>
              <w:top w:val="nil"/>
              <w:left w:val="nil"/>
              <w:bottom w:val="nil"/>
              <w:right w:val="nil"/>
            </w:tcBorders>
            <w:shd w:val="clear" w:color="auto" w:fill="auto"/>
            <w:vAlign w:val="center"/>
            <w:hideMark/>
          </w:tcPr>
          <w:p w14:paraId="5FEDE3C1"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VII. ZADOLŽEVANJE (500+501)</w:t>
            </w:r>
          </w:p>
        </w:tc>
        <w:tc>
          <w:tcPr>
            <w:tcW w:w="1146" w:type="dxa"/>
            <w:tcBorders>
              <w:top w:val="nil"/>
              <w:left w:val="nil"/>
              <w:bottom w:val="nil"/>
              <w:right w:val="nil"/>
            </w:tcBorders>
            <w:shd w:val="clear" w:color="auto" w:fill="auto"/>
            <w:vAlign w:val="center"/>
            <w:hideMark/>
          </w:tcPr>
          <w:p w14:paraId="44475873"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990.000</w:t>
            </w:r>
          </w:p>
        </w:tc>
      </w:tr>
      <w:tr w:rsidR="004C6B9C" w:rsidRPr="004C6B9C" w14:paraId="01180BF7" w14:textId="77777777" w:rsidTr="004C6B9C">
        <w:trPr>
          <w:trHeight w:val="300"/>
        </w:trPr>
        <w:tc>
          <w:tcPr>
            <w:tcW w:w="7938" w:type="dxa"/>
            <w:tcBorders>
              <w:top w:val="nil"/>
              <w:left w:val="nil"/>
              <w:bottom w:val="nil"/>
              <w:right w:val="nil"/>
            </w:tcBorders>
            <w:shd w:val="clear" w:color="auto" w:fill="auto"/>
            <w:vAlign w:val="center"/>
            <w:hideMark/>
          </w:tcPr>
          <w:p w14:paraId="5EC15A53"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50 ZADOLŽEVANJE</w:t>
            </w:r>
          </w:p>
        </w:tc>
        <w:tc>
          <w:tcPr>
            <w:tcW w:w="1146" w:type="dxa"/>
            <w:tcBorders>
              <w:top w:val="nil"/>
              <w:left w:val="nil"/>
              <w:bottom w:val="nil"/>
              <w:right w:val="nil"/>
            </w:tcBorders>
            <w:shd w:val="clear" w:color="auto" w:fill="auto"/>
            <w:vAlign w:val="center"/>
            <w:hideMark/>
          </w:tcPr>
          <w:p w14:paraId="3AB306C8"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990.000</w:t>
            </w:r>
          </w:p>
        </w:tc>
      </w:tr>
      <w:tr w:rsidR="004C6B9C" w:rsidRPr="004C6B9C" w14:paraId="7151709A" w14:textId="77777777" w:rsidTr="004C6B9C">
        <w:trPr>
          <w:trHeight w:val="300"/>
        </w:trPr>
        <w:tc>
          <w:tcPr>
            <w:tcW w:w="7938" w:type="dxa"/>
            <w:tcBorders>
              <w:top w:val="nil"/>
              <w:left w:val="nil"/>
              <w:bottom w:val="nil"/>
              <w:right w:val="nil"/>
            </w:tcBorders>
            <w:shd w:val="clear" w:color="auto" w:fill="auto"/>
            <w:vAlign w:val="center"/>
            <w:hideMark/>
          </w:tcPr>
          <w:p w14:paraId="128FA606"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500 Domače zadolževanje</w:t>
            </w:r>
          </w:p>
        </w:tc>
        <w:tc>
          <w:tcPr>
            <w:tcW w:w="1146" w:type="dxa"/>
            <w:tcBorders>
              <w:top w:val="nil"/>
              <w:left w:val="nil"/>
              <w:bottom w:val="nil"/>
              <w:right w:val="nil"/>
            </w:tcBorders>
            <w:shd w:val="clear" w:color="auto" w:fill="auto"/>
            <w:vAlign w:val="center"/>
            <w:hideMark/>
          </w:tcPr>
          <w:p w14:paraId="2BE0FCDD"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990.000</w:t>
            </w:r>
          </w:p>
        </w:tc>
      </w:tr>
      <w:tr w:rsidR="004C6B9C" w:rsidRPr="004C6B9C" w14:paraId="0737A358" w14:textId="77777777" w:rsidTr="004C6B9C">
        <w:trPr>
          <w:trHeight w:val="300"/>
        </w:trPr>
        <w:tc>
          <w:tcPr>
            <w:tcW w:w="7938" w:type="dxa"/>
            <w:tcBorders>
              <w:top w:val="nil"/>
              <w:left w:val="nil"/>
              <w:bottom w:val="nil"/>
              <w:right w:val="nil"/>
            </w:tcBorders>
            <w:shd w:val="clear" w:color="auto" w:fill="auto"/>
            <w:vAlign w:val="center"/>
            <w:hideMark/>
          </w:tcPr>
          <w:p w14:paraId="5C59C2FC"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VIII. ODPLAČILA DOLGA (550+551)</w:t>
            </w:r>
          </w:p>
        </w:tc>
        <w:tc>
          <w:tcPr>
            <w:tcW w:w="1146" w:type="dxa"/>
            <w:tcBorders>
              <w:top w:val="nil"/>
              <w:left w:val="nil"/>
              <w:bottom w:val="nil"/>
              <w:right w:val="nil"/>
            </w:tcBorders>
            <w:shd w:val="clear" w:color="auto" w:fill="auto"/>
            <w:vAlign w:val="center"/>
            <w:hideMark/>
          </w:tcPr>
          <w:p w14:paraId="7A9A2984"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2.412.236</w:t>
            </w:r>
          </w:p>
        </w:tc>
      </w:tr>
      <w:tr w:rsidR="004C6B9C" w:rsidRPr="004C6B9C" w14:paraId="6175D2F8" w14:textId="77777777" w:rsidTr="004C6B9C">
        <w:trPr>
          <w:trHeight w:val="300"/>
        </w:trPr>
        <w:tc>
          <w:tcPr>
            <w:tcW w:w="7938" w:type="dxa"/>
            <w:tcBorders>
              <w:top w:val="nil"/>
              <w:left w:val="nil"/>
              <w:bottom w:val="nil"/>
              <w:right w:val="nil"/>
            </w:tcBorders>
            <w:shd w:val="clear" w:color="auto" w:fill="auto"/>
            <w:vAlign w:val="center"/>
            <w:hideMark/>
          </w:tcPr>
          <w:p w14:paraId="7C821A24"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55 ODPLAČILA DOLGA</w:t>
            </w:r>
          </w:p>
        </w:tc>
        <w:tc>
          <w:tcPr>
            <w:tcW w:w="1146" w:type="dxa"/>
            <w:tcBorders>
              <w:top w:val="nil"/>
              <w:left w:val="nil"/>
              <w:bottom w:val="nil"/>
              <w:right w:val="nil"/>
            </w:tcBorders>
            <w:shd w:val="clear" w:color="auto" w:fill="auto"/>
            <w:vAlign w:val="center"/>
            <w:hideMark/>
          </w:tcPr>
          <w:p w14:paraId="2631D99B"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2.412.236</w:t>
            </w:r>
          </w:p>
        </w:tc>
      </w:tr>
      <w:tr w:rsidR="004C6B9C" w:rsidRPr="004C6B9C" w14:paraId="7DB5BD52" w14:textId="77777777" w:rsidTr="004C6B9C">
        <w:trPr>
          <w:trHeight w:val="300"/>
        </w:trPr>
        <w:tc>
          <w:tcPr>
            <w:tcW w:w="7938" w:type="dxa"/>
            <w:tcBorders>
              <w:top w:val="nil"/>
              <w:left w:val="nil"/>
              <w:bottom w:val="nil"/>
              <w:right w:val="nil"/>
            </w:tcBorders>
            <w:shd w:val="clear" w:color="auto" w:fill="auto"/>
            <w:vAlign w:val="center"/>
            <w:hideMark/>
          </w:tcPr>
          <w:p w14:paraId="002B4EC3" w14:textId="77777777" w:rsidR="004C6B9C" w:rsidRPr="004C6B9C" w:rsidRDefault="004C6B9C" w:rsidP="005A7D4C">
            <w:pPr>
              <w:ind w:left="209"/>
              <w:rPr>
                <w:rFonts w:ascii="Arial" w:hAnsi="Arial" w:cs="Arial"/>
                <w:color w:val="000000"/>
                <w:sz w:val="20"/>
                <w:szCs w:val="20"/>
              </w:rPr>
            </w:pPr>
            <w:r w:rsidRPr="004C6B9C">
              <w:rPr>
                <w:rFonts w:ascii="Arial" w:hAnsi="Arial" w:cs="Arial"/>
                <w:color w:val="000000"/>
                <w:sz w:val="20"/>
                <w:szCs w:val="20"/>
              </w:rPr>
              <w:t>550 Odplačila domačega dolga</w:t>
            </w:r>
          </w:p>
        </w:tc>
        <w:tc>
          <w:tcPr>
            <w:tcW w:w="1146" w:type="dxa"/>
            <w:tcBorders>
              <w:top w:val="nil"/>
              <w:left w:val="nil"/>
              <w:bottom w:val="nil"/>
              <w:right w:val="nil"/>
            </w:tcBorders>
            <w:shd w:val="clear" w:color="auto" w:fill="auto"/>
            <w:vAlign w:val="center"/>
            <w:hideMark/>
          </w:tcPr>
          <w:p w14:paraId="18793A14" w14:textId="77777777" w:rsidR="004C6B9C" w:rsidRPr="004C6B9C" w:rsidRDefault="004C6B9C">
            <w:pPr>
              <w:jc w:val="right"/>
              <w:rPr>
                <w:rFonts w:ascii="Arial" w:hAnsi="Arial" w:cs="Arial"/>
                <w:color w:val="000000"/>
                <w:sz w:val="20"/>
                <w:szCs w:val="20"/>
              </w:rPr>
            </w:pPr>
            <w:r w:rsidRPr="004C6B9C">
              <w:rPr>
                <w:rFonts w:ascii="Arial" w:hAnsi="Arial" w:cs="Arial"/>
                <w:color w:val="000000"/>
                <w:sz w:val="20"/>
                <w:szCs w:val="20"/>
              </w:rPr>
              <w:t>2.412.236</w:t>
            </w:r>
          </w:p>
        </w:tc>
      </w:tr>
      <w:tr w:rsidR="004C6B9C" w:rsidRPr="004C6B9C" w14:paraId="2FC407BE" w14:textId="77777777" w:rsidTr="004C6B9C">
        <w:trPr>
          <w:trHeight w:val="300"/>
        </w:trPr>
        <w:tc>
          <w:tcPr>
            <w:tcW w:w="7938" w:type="dxa"/>
            <w:tcBorders>
              <w:top w:val="nil"/>
              <w:left w:val="nil"/>
              <w:bottom w:val="nil"/>
              <w:right w:val="nil"/>
            </w:tcBorders>
            <w:shd w:val="clear" w:color="auto" w:fill="auto"/>
            <w:vAlign w:val="center"/>
            <w:hideMark/>
          </w:tcPr>
          <w:p w14:paraId="402CF9DE" w14:textId="77777777" w:rsidR="004C6B9C" w:rsidRPr="004C6B9C" w:rsidRDefault="004C6B9C">
            <w:pPr>
              <w:jc w:val="right"/>
              <w:rPr>
                <w:rFonts w:ascii="Arial" w:hAnsi="Arial" w:cs="Arial"/>
                <w:color w:val="000000"/>
                <w:sz w:val="20"/>
                <w:szCs w:val="20"/>
              </w:rPr>
            </w:pPr>
          </w:p>
        </w:tc>
        <w:tc>
          <w:tcPr>
            <w:tcW w:w="1146" w:type="dxa"/>
            <w:tcBorders>
              <w:top w:val="nil"/>
              <w:left w:val="nil"/>
              <w:bottom w:val="nil"/>
              <w:right w:val="nil"/>
            </w:tcBorders>
            <w:shd w:val="clear" w:color="auto" w:fill="auto"/>
            <w:vAlign w:val="center"/>
            <w:hideMark/>
          </w:tcPr>
          <w:p w14:paraId="187A881A" w14:textId="77777777" w:rsidR="004C6B9C" w:rsidRPr="004C6B9C" w:rsidRDefault="004C6B9C">
            <w:pPr>
              <w:rPr>
                <w:rFonts w:ascii="Arial" w:hAnsi="Arial" w:cs="Arial"/>
                <w:sz w:val="20"/>
                <w:szCs w:val="20"/>
              </w:rPr>
            </w:pPr>
          </w:p>
        </w:tc>
      </w:tr>
      <w:tr w:rsidR="004C6B9C" w:rsidRPr="004C6B9C" w14:paraId="645E22A9" w14:textId="77777777" w:rsidTr="004C6B9C">
        <w:trPr>
          <w:trHeight w:val="300"/>
        </w:trPr>
        <w:tc>
          <w:tcPr>
            <w:tcW w:w="7938" w:type="dxa"/>
            <w:tcBorders>
              <w:top w:val="nil"/>
              <w:left w:val="nil"/>
              <w:bottom w:val="nil"/>
              <w:right w:val="nil"/>
            </w:tcBorders>
            <w:shd w:val="clear" w:color="auto" w:fill="auto"/>
            <w:vAlign w:val="center"/>
            <w:hideMark/>
          </w:tcPr>
          <w:p w14:paraId="0E69C3A4"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 xml:space="preserve">IX. SPREMEMBA STANJA SREDSTEV NA RAČUNU </w:t>
            </w:r>
          </w:p>
        </w:tc>
        <w:tc>
          <w:tcPr>
            <w:tcW w:w="1146" w:type="dxa"/>
            <w:tcBorders>
              <w:top w:val="nil"/>
              <w:left w:val="nil"/>
              <w:bottom w:val="nil"/>
              <w:right w:val="nil"/>
            </w:tcBorders>
            <w:shd w:val="clear" w:color="auto" w:fill="auto"/>
            <w:vAlign w:val="center"/>
            <w:hideMark/>
          </w:tcPr>
          <w:p w14:paraId="0A83263A"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0</w:t>
            </w:r>
          </w:p>
        </w:tc>
      </w:tr>
      <w:tr w:rsidR="004C6B9C" w:rsidRPr="004C6B9C" w14:paraId="61B32D59" w14:textId="77777777" w:rsidTr="004C6B9C">
        <w:trPr>
          <w:trHeight w:val="300"/>
        </w:trPr>
        <w:tc>
          <w:tcPr>
            <w:tcW w:w="7938" w:type="dxa"/>
            <w:tcBorders>
              <w:top w:val="nil"/>
              <w:left w:val="nil"/>
              <w:bottom w:val="nil"/>
              <w:right w:val="nil"/>
            </w:tcBorders>
            <w:shd w:val="clear" w:color="auto" w:fill="auto"/>
            <w:vAlign w:val="center"/>
            <w:hideMark/>
          </w:tcPr>
          <w:p w14:paraId="0A6491F4"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(I.+IV.+VII.-II.-V.-VIII.)</w:t>
            </w:r>
          </w:p>
        </w:tc>
        <w:tc>
          <w:tcPr>
            <w:tcW w:w="1146" w:type="dxa"/>
            <w:tcBorders>
              <w:top w:val="nil"/>
              <w:left w:val="nil"/>
              <w:bottom w:val="nil"/>
              <w:right w:val="nil"/>
            </w:tcBorders>
            <w:shd w:val="clear" w:color="auto" w:fill="auto"/>
            <w:vAlign w:val="center"/>
            <w:hideMark/>
          </w:tcPr>
          <w:p w14:paraId="4F3FE7F9" w14:textId="77777777" w:rsidR="004C6B9C" w:rsidRPr="004C6B9C" w:rsidRDefault="004C6B9C">
            <w:pPr>
              <w:rPr>
                <w:rFonts w:ascii="Arial" w:hAnsi="Arial" w:cs="Arial"/>
                <w:b/>
                <w:bCs/>
                <w:color w:val="000000"/>
                <w:sz w:val="20"/>
                <w:szCs w:val="20"/>
                <w:u w:val="single"/>
              </w:rPr>
            </w:pPr>
          </w:p>
        </w:tc>
      </w:tr>
      <w:tr w:rsidR="004C6B9C" w:rsidRPr="004C6B9C" w14:paraId="67A4972C" w14:textId="77777777" w:rsidTr="004C6B9C">
        <w:trPr>
          <w:trHeight w:val="300"/>
        </w:trPr>
        <w:tc>
          <w:tcPr>
            <w:tcW w:w="7938" w:type="dxa"/>
            <w:tcBorders>
              <w:top w:val="nil"/>
              <w:left w:val="nil"/>
              <w:bottom w:val="nil"/>
              <w:right w:val="nil"/>
            </w:tcBorders>
            <w:shd w:val="clear" w:color="auto" w:fill="auto"/>
            <w:vAlign w:val="center"/>
            <w:hideMark/>
          </w:tcPr>
          <w:p w14:paraId="31DF8CC5"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X. NETO ZADOLŽEVANJE (VII.-VIII.)</w:t>
            </w:r>
          </w:p>
        </w:tc>
        <w:tc>
          <w:tcPr>
            <w:tcW w:w="1146" w:type="dxa"/>
            <w:tcBorders>
              <w:top w:val="nil"/>
              <w:left w:val="nil"/>
              <w:bottom w:val="nil"/>
              <w:right w:val="nil"/>
            </w:tcBorders>
            <w:shd w:val="clear" w:color="auto" w:fill="auto"/>
            <w:vAlign w:val="center"/>
            <w:hideMark/>
          </w:tcPr>
          <w:p w14:paraId="68282872"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-1.422.236</w:t>
            </w:r>
          </w:p>
        </w:tc>
      </w:tr>
      <w:tr w:rsidR="004C6B9C" w:rsidRPr="004C6B9C" w14:paraId="2D1ECE40" w14:textId="77777777" w:rsidTr="004C6B9C">
        <w:trPr>
          <w:trHeight w:val="300"/>
        </w:trPr>
        <w:tc>
          <w:tcPr>
            <w:tcW w:w="7938" w:type="dxa"/>
            <w:tcBorders>
              <w:top w:val="nil"/>
              <w:left w:val="nil"/>
              <w:bottom w:val="nil"/>
              <w:right w:val="nil"/>
            </w:tcBorders>
            <w:shd w:val="clear" w:color="auto" w:fill="auto"/>
            <w:vAlign w:val="center"/>
            <w:hideMark/>
          </w:tcPr>
          <w:p w14:paraId="30485332"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XI. NETO FINANCIRANJE (VI.+X.-IX.)</w:t>
            </w:r>
          </w:p>
        </w:tc>
        <w:tc>
          <w:tcPr>
            <w:tcW w:w="1146" w:type="dxa"/>
            <w:tcBorders>
              <w:top w:val="nil"/>
              <w:left w:val="nil"/>
              <w:bottom w:val="nil"/>
              <w:right w:val="nil"/>
            </w:tcBorders>
            <w:shd w:val="clear" w:color="auto" w:fill="auto"/>
            <w:vAlign w:val="center"/>
            <w:hideMark/>
          </w:tcPr>
          <w:p w14:paraId="61AC6154"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-1.422.236</w:t>
            </w:r>
          </w:p>
        </w:tc>
      </w:tr>
      <w:tr w:rsidR="004C6B9C" w:rsidRPr="004C6B9C" w14:paraId="7D143F63" w14:textId="77777777" w:rsidTr="004C6B9C">
        <w:trPr>
          <w:trHeight w:val="300"/>
        </w:trPr>
        <w:tc>
          <w:tcPr>
            <w:tcW w:w="7938" w:type="dxa"/>
            <w:tcBorders>
              <w:top w:val="nil"/>
              <w:left w:val="nil"/>
              <w:bottom w:val="nil"/>
              <w:right w:val="nil"/>
            </w:tcBorders>
            <w:shd w:val="clear" w:color="auto" w:fill="auto"/>
            <w:vAlign w:val="center"/>
            <w:hideMark/>
          </w:tcPr>
          <w:p w14:paraId="11DB34F6" w14:textId="77777777" w:rsidR="004C6B9C" w:rsidRPr="004C6B9C" w:rsidRDefault="004C6B9C">
            <w:pPr>
              <w:rPr>
                <w:rFonts w:ascii="Arial" w:hAnsi="Arial" w:cs="Arial"/>
                <w:b/>
                <w:bCs/>
                <w:color w:val="000000"/>
                <w:sz w:val="20"/>
                <w:szCs w:val="20"/>
                <w:u w:val="single"/>
              </w:rPr>
            </w:pPr>
            <w:r w:rsidRPr="004C6B9C">
              <w:rPr>
                <w:rFonts w:ascii="Arial" w:hAnsi="Arial" w:cs="Arial"/>
                <w:b/>
                <w:bCs/>
                <w:color w:val="000000"/>
                <w:sz w:val="20"/>
                <w:szCs w:val="20"/>
                <w:u w:val="single"/>
              </w:rPr>
              <w:t>XII. STANJE SREDSTEV NA RAČUNIH NA DAN 31.12. PRETEKLEGA LETA</w:t>
            </w:r>
          </w:p>
        </w:tc>
        <w:tc>
          <w:tcPr>
            <w:tcW w:w="1146" w:type="dxa"/>
            <w:tcBorders>
              <w:top w:val="nil"/>
              <w:left w:val="nil"/>
              <w:bottom w:val="nil"/>
              <w:right w:val="nil"/>
            </w:tcBorders>
            <w:shd w:val="clear" w:color="auto" w:fill="auto"/>
            <w:vAlign w:val="center"/>
            <w:hideMark/>
          </w:tcPr>
          <w:p w14:paraId="218B6E54" w14:textId="77777777" w:rsidR="004C6B9C" w:rsidRPr="004C6B9C" w:rsidRDefault="004C6B9C">
            <w:pPr>
              <w:jc w:val="right"/>
              <w:rPr>
                <w:rFonts w:ascii="Arial" w:hAnsi="Arial" w:cs="Arial"/>
                <w:b/>
                <w:bCs/>
                <w:color w:val="000000"/>
                <w:sz w:val="20"/>
                <w:szCs w:val="20"/>
                <w:u w:val="single"/>
              </w:rPr>
            </w:pPr>
            <w:r w:rsidRPr="004C6B9C">
              <w:rPr>
                <w:rFonts w:ascii="Arial" w:hAnsi="Arial" w:cs="Arial"/>
                <w:b/>
                <w:bCs/>
                <w:color w:val="000000"/>
                <w:sz w:val="20"/>
                <w:szCs w:val="20"/>
                <w:u w:val="single"/>
              </w:rPr>
              <w:t>0</w:t>
            </w:r>
          </w:p>
        </w:tc>
      </w:tr>
    </w:tbl>
    <w:p w14:paraId="449F544E" w14:textId="77777777" w:rsidR="004C6B9C" w:rsidRDefault="004C6B9C" w:rsidP="004C6B9C">
      <w:pPr>
        <w:pStyle w:val="Telobesedila"/>
        <w:ind w:left="426"/>
        <w:jc w:val="both"/>
        <w:rPr>
          <w:rFonts w:ascii="Arial" w:hAnsi="Arial" w:cs="Arial"/>
          <w:b w:val="0"/>
          <w:sz w:val="22"/>
          <w:szCs w:val="22"/>
        </w:rPr>
      </w:pPr>
    </w:p>
    <w:p w14:paraId="76F18663" w14:textId="77777777" w:rsidR="00BC26CA" w:rsidRDefault="00BC26CA" w:rsidP="00BC26CA">
      <w:pPr>
        <w:pStyle w:val="Odstavekseznama"/>
        <w:ind w:left="0"/>
        <w:rPr>
          <w:rFonts w:cs="Arial"/>
          <w:b/>
          <w:sz w:val="22"/>
          <w:szCs w:val="22"/>
        </w:rPr>
      </w:pPr>
    </w:p>
    <w:p w14:paraId="40C9B6B8"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Posebni del proračuna sestavljajo finančni načrti neposrednih uporabnikov, ki so razdeljeni na naslednje programske dele: področja proračunske porabe, glavne programe in podprograme, predpisane s programsko klasifikacijo izdatkov občinskih proračunov. Podprogram je razdeljen na proračunske postavke, te pa na konte, določene s predpisanim enotnim kontnim načrtom.</w:t>
      </w:r>
    </w:p>
    <w:p w14:paraId="15738E35" w14:textId="77777777" w:rsidR="00BC26CA" w:rsidRDefault="00BC26CA" w:rsidP="00BC26CA">
      <w:pPr>
        <w:pStyle w:val="Telobesedila"/>
        <w:ind w:left="426" w:hanging="426"/>
        <w:jc w:val="both"/>
        <w:rPr>
          <w:rFonts w:ascii="Arial" w:hAnsi="Arial" w:cs="Arial"/>
          <w:b w:val="0"/>
          <w:sz w:val="22"/>
          <w:szCs w:val="22"/>
        </w:rPr>
      </w:pPr>
    </w:p>
    <w:p w14:paraId="0D23472C"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Posebni del proračuna se objavi na ravni proračunskih postavk – kontov.</w:t>
      </w:r>
    </w:p>
    <w:p w14:paraId="1D6E1424" w14:textId="77777777" w:rsidR="00BC26CA" w:rsidRPr="00906420" w:rsidRDefault="00BC26CA" w:rsidP="00BC26CA">
      <w:pPr>
        <w:pStyle w:val="Telobesedila"/>
        <w:ind w:left="426" w:hanging="426"/>
        <w:jc w:val="both"/>
        <w:rPr>
          <w:rFonts w:ascii="Arial" w:hAnsi="Arial" w:cs="Arial"/>
          <w:b w:val="0"/>
          <w:sz w:val="22"/>
          <w:szCs w:val="22"/>
        </w:rPr>
      </w:pPr>
    </w:p>
    <w:p w14:paraId="2307628D"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 xml:space="preserve">V </w:t>
      </w:r>
      <w:r w:rsidRPr="00906420">
        <w:rPr>
          <w:rFonts w:ascii="Arial" w:hAnsi="Arial" w:cs="Arial"/>
          <w:b w:val="0"/>
          <w:sz w:val="22"/>
          <w:szCs w:val="22"/>
        </w:rPr>
        <w:t>Načrt</w:t>
      </w:r>
      <w:r>
        <w:rPr>
          <w:rFonts w:ascii="Arial" w:hAnsi="Arial" w:cs="Arial"/>
          <w:b w:val="0"/>
          <w:sz w:val="22"/>
          <w:szCs w:val="22"/>
        </w:rPr>
        <w:t>u</w:t>
      </w:r>
      <w:r w:rsidRPr="00906420">
        <w:rPr>
          <w:rFonts w:ascii="Arial" w:hAnsi="Arial" w:cs="Arial"/>
          <w:b w:val="0"/>
          <w:sz w:val="22"/>
          <w:szCs w:val="22"/>
        </w:rPr>
        <w:t xml:space="preserve"> razvojnih programov </w:t>
      </w:r>
      <w:r>
        <w:rPr>
          <w:rFonts w:ascii="Arial" w:hAnsi="Arial" w:cs="Arial"/>
          <w:b w:val="0"/>
          <w:sz w:val="22"/>
          <w:szCs w:val="22"/>
        </w:rPr>
        <w:t xml:space="preserve">se prikazujejo načrtovani izdatki za programe in projekte </w:t>
      </w:r>
      <w:r w:rsidRPr="00F10CE8">
        <w:rPr>
          <w:rFonts w:ascii="Arial" w:hAnsi="Arial" w:cs="Arial"/>
          <w:b w:val="0"/>
          <w:bCs/>
          <w:sz w:val="22"/>
          <w:szCs w:val="22"/>
        </w:rPr>
        <w:t>Mestne občine Nova Gorica</w:t>
      </w:r>
      <w:r w:rsidDel="00A77318">
        <w:rPr>
          <w:rFonts w:ascii="Arial" w:hAnsi="Arial" w:cs="Arial"/>
          <w:b w:val="0"/>
          <w:sz w:val="22"/>
          <w:szCs w:val="22"/>
        </w:rPr>
        <w:t xml:space="preserve"> </w:t>
      </w:r>
      <w:r>
        <w:rPr>
          <w:rFonts w:ascii="Arial" w:hAnsi="Arial" w:cs="Arial"/>
          <w:b w:val="0"/>
          <w:sz w:val="22"/>
          <w:szCs w:val="22"/>
        </w:rPr>
        <w:t>po virih financiranja in posameznih letih za celovito izvedbo projektov oziroma programov.</w:t>
      </w:r>
    </w:p>
    <w:p w14:paraId="6D5C7AE9" w14:textId="77777777" w:rsidR="00BC26CA" w:rsidRDefault="00BC26CA" w:rsidP="00BC26CA">
      <w:pPr>
        <w:pStyle w:val="Telobesedila"/>
        <w:ind w:left="426" w:hanging="426"/>
        <w:jc w:val="both"/>
        <w:rPr>
          <w:rFonts w:ascii="Arial" w:hAnsi="Arial" w:cs="Arial"/>
          <w:b w:val="0"/>
          <w:sz w:val="22"/>
          <w:szCs w:val="22"/>
        </w:rPr>
      </w:pPr>
    </w:p>
    <w:p w14:paraId="0FE4259F" w14:textId="77777777" w:rsidR="00BC26CA" w:rsidRPr="00906420"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Stanje denarnih sredstev na računu proračuna na koncu preteklega leta je sestavni del proračuna za tekoče leto.</w:t>
      </w:r>
    </w:p>
    <w:p w14:paraId="3E840AAC" w14:textId="77777777" w:rsidR="00BC26CA" w:rsidRDefault="00BC26CA" w:rsidP="00BC26CA">
      <w:pPr>
        <w:pStyle w:val="Telobesedila"/>
        <w:jc w:val="both"/>
        <w:rPr>
          <w:rFonts w:ascii="Arial" w:hAnsi="Arial" w:cs="Arial"/>
          <w:b w:val="0"/>
          <w:sz w:val="22"/>
          <w:szCs w:val="22"/>
        </w:rPr>
      </w:pPr>
    </w:p>
    <w:p w14:paraId="6A9A2E04" w14:textId="77777777" w:rsidR="00BC26CA" w:rsidRDefault="00BC26CA" w:rsidP="00BC26CA">
      <w:pPr>
        <w:pStyle w:val="Telobesedila"/>
        <w:jc w:val="both"/>
        <w:rPr>
          <w:rFonts w:ascii="Arial" w:hAnsi="Arial" w:cs="Arial"/>
          <w:b w:val="0"/>
          <w:sz w:val="22"/>
          <w:szCs w:val="22"/>
        </w:rPr>
      </w:pPr>
    </w:p>
    <w:p w14:paraId="37E43EDF" w14:textId="77777777" w:rsidR="00BC26CA" w:rsidRDefault="00BC26CA" w:rsidP="00BC26CA">
      <w:pPr>
        <w:pStyle w:val="Telobesedila"/>
        <w:jc w:val="both"/>
        <w:rPr>
          <w:rFonts w:ascii="Arial" w:hAnsi="Arial" w:cs="Arial"/>
          <w:b w:val="0"/>
          <w:sz w:val="22"/>
          <w:szCs w:val="22"/>
        </w:rPr>
      </w:pPr>
      <w:r>
        <w:rPr>
          <w:rFonts w:ascii="Arial" w:hAnsi="Arial" w:cs="Arial"/>
          <w:b w:val="0"/>
          <w:sz w:val="22"/>
          <w:szCs w:val="22"/>
        </w:rPr>
        <w:t>III. POSTOPKI IZVRŠEVANJA PRORAČUNA</w:t>
      </w:r>
    </w:p>
    <w:p w14:paraId="4A4CCEAC" w14:textId="77777777" w:rsidR="00BC26CA" w:rsidRPr="00906420" w:rsidRDefault="00BC26CA" w:rsidP="00BC26CA">
      <w:pPr>
        <w:pStyle w:val="Telobesedila"/>
        <w:jc w:val="both"/>
        <w:rPr>
          <w:rFonts w:ascii="Arial" w:hAnsi="Arial" w:cs="Arial"/>
          <w:b w:val="0"/>
          <w:sz w:val="22"/>
          <w:szCs w:val="22"/>
        </w:rPr>
      </w:pPr>
    </w:p>
    <w:p w14:paraId="7FA17845"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4. člen</w:t>
      </w:r>
    </w:p>
    <w:p w14:paraId="708FDC76" w14:textId="77777777" w:rsidR="00BC26CA" w:rsidRPr="00906420" w:rsidRDefault="00BC26CA" w:rsidP="00BC26CA">
      <w:pPr>
        <w:pStyle w:val="Telobesedila"/>
        <w:jc w:val="both"/>
        <w:rPr>
          <w:rFonts w:ascii="Arial" w:hAnsi="Arial" w:cs="Arial"/>
          <w:b w:val="0"/>
          <w:sz w:val="22"/>
          <w:szCs w:val="22"/>
        </w:rPr>
      </w:pPr>
    </w:p>
    <w:p w14:paraId="5A097C33" w14:textId="77777777" w:rsidR="00BC26CA" w:rsidRDefault="00BC26CA" w:rsidP="00BC26CA">
      <w:pPr>
        <w:pStyle w:val="Telobesedila"/>
        <w:jc w:val="both"/>
        <w:rPr>
          <w:rFonts w:ascii="Arial" w:hAnsi="Arial" w:cs="Arial"/>
          <w:b w:val="0"/>
          <w:sz w:val="22"/>
          <w:szCs w:val="22"/>
        </w:rPr>
      </w:pPr>
      <w:r w:rsidRPr="00906420">
        <w:rPr>
          <w:rFonts w:ascii="Arial" w:hAnsi="Arial" w:cs="Arial"/>
          <w:b w:val="0"/>
          <w:sz w:val="22"/>
          <w:szCs w:val="22"/>
        </w:rPr>
        <w:lastRenderedPageBreak/>
        <w:t xml:space="preserve">Neposredni uporabniki občinskega proračuna so mestni svet, nadzorni odbor, župan, občinska uprava, </w:t>
      </w:r>
      <w:r>
        <w:rPr>
          <w:rFonts w:ascii="Arial" w:hAnsi="Arial" w:cs="Arial"/>
          <w:b w:val="0"/>
          <w:sz w:val="22"/>
          <w:szCs w:val="22"/>
        </w:rPr>
        <w:t>m</w:t>
      </w:r>
      <w:r w:rsidRPr="00906420">
        <w:rPr>
          <w:rFonts w:ascii="Arial" w:hAnsi="Arial" w:cs="Arial"/>
          <w:b w:val="0"/>
          <w:sz w:val="22"/>
          <w:szCs w:val="22"/>
        </w:rPr>
        <w:t xml:space="preserve">edobčinska uprava Mestne občine Nova Gorica, Občine Ajdovščina in Občine Brda ter krajevne skupnosti. Posredni uporabniki sredstev občinskega proračuna so javni zavodi in javni skladi, katerih ustanovitelj oz. soustanovitelj je občina. </w:t>
      </w:r>
    </w:p>
    <w:p w14:paraId="38EE8892" w14:textId="77777777" w:rsidR="00BC26CA" w:rsidRDefault="00BC26CA" w:rsidP="00BC26CA">
      <w:pPr>
        <w:pStyle w:val="Telobesedila"/>
        <w:jc w:val="both"/>
        <w:rPr>
          <w:rFonts w:ascii="Arial" w:hAnsi="Arial" w:cs="Arial"/>
          <w:b w:val="0"/>
          <w:sz w:val="22"/>
          <w:szCs w:val="22"/>
        </w:rPr>
      </w:pPr>
    </w:p>
    <w:p w14:paraId="31FA0CED"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5. člen</w:t>
      </w:r>
    </w:p>
    <w:p w14:paraId="60CEA94D" w14:textId="77777777" w:rsidR="00BC26CA" w:rsidRPr="00906420" w:rsidRDefault="00BC26CA" w:rsidP="00BC26CA">
      <w:pPr>
        <w:pStyle w:val="Telobesedila"/>
        <w:jc w:val="both"/>
        <w:rPr>
          <w:rFonts w:ascii="Arial" w:hAnsi="Arial" w:cs="Arial"/>
          <w:b w:val="0"/>
          <w:sz w:val="22"/>
          <w:szCs w:val="22"/>
        </w:rPr>
      </w:pPr>
    </w:p>
    <w:p w14:paraId="7341DA91"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Prihodki proračuna se pobirajo in vplačujejo v proračun v skladu s predpisi.</w:t>
      </w:r>
    </w:p>
    <w:p w14:paraId="406AE696" w14:textId="77777777" w:rsidR="00BC26CA" w:rsidRDefault="00BC26CA" w:rsidP="00BC26CA">
      <w:pPr>
        <w:pStyle w:val="Telobesedila"/>
        <w:ind w:left="426" w:hanging="426"/>
        <w:jc w:val="both"/>
        <w:rPr>
          <w:rFonts w:ascii="Arial" w:hAnsi="Arial" w:cs="Arial"/>
          <w:b w:val="0"/>
          <w:sz w:val="22"/>
          <w:szCs w:val="22"/>
        </w:rPr>
      </w:pPr>
    </w:p>
    <w:p w14:paraId="601CD059"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 xml:space="preserve">Prihodki, ki jih uprava ustvari s svojo dejavnostjo, so prihodek proračuna. Prihodki, ki jih krajevna skupnost ustvari s svojo dejavnostjo, so prihodek krajevne skupnosti. </w:t>
      </w:r>
    </w:p>
    <w:p w14:paraId="4C71C797" w14:textId="77777777" w:rsidR="00BC26CA" w:rsidRDefault="00BC26CA" w:rsidP="00BC26CA">
      <w:pPr>
        <w:pStyle w:val="Telobesedila"/>
        <w:ind w:left="426" w:hanging="426"/>
        <w:jc w:val="both"/>
        <w:rPr>
          <w:rFonts w:ascii="Arial" w:hAnsi="Arial" w:cs="Arial"/>
          <w:b w:val="0"/>
          <w:sz w:val="22"/>
          <w:szCs w:val="22"/>
        </w:rPr>
      </w:pPr>
    </w:p>
    <w:p w14:paraId="4402BCDA"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Prihodki proračuna so tudi donacije, ki jih Mestna občina Nova Gorica oziroma krajevne skupnosti prejmejo od domače ali tuje pravne in fizične osebe.</w:t>
      </w:r>
    </w:p>
    <w:p w14:paraId="3813DE99" w14:textId="77777777" w:rsidR="00BC26CA" w:rsidRDefault="00BC26CA" w:rsidP="00BC26CA">
      <w:pPr>
        <w:pStyle w:val="Telobesedila"/>
        <w:ind w:left="426" w:hanging="426"/>
        <w:jc w:val="both"/>
        <w:rPr>
          <w:rFonts w:ascii="Arial" w:hAnsi="Arial" w:cs="Arial"/>
          <w:b w:val="0"/>
          <w:sz w:val="22"/>
          <w:szCs w:val="22"/>
        </w:rPr>
      </w:pPr>
    </w:p>
    <w:p w14:paraId="6D4F6088"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Kupnina od prodaje finančnega in stvarnega premoženja Mestne občine Nova Gorica je prihodek proračuna.</w:t>
      </w:r>
    </w:p>
    <w:p w14:paraId="19373027" w14:textId="77777777" w:rsidR="00BC26CA" w:rsidRDefault="00BC26CA" w:rsidP="00BC26CA">
      <w:pPr>
        <w:pStyle w:val="Telobesedila"/>
        <w:ind w:left="426" w:hanging="426"/>
        <w:jc w:val="both"/>
        <w:rPr>
          <w:rFonts w:ascii="Arial" w:hAnsi="Arial" w:cs="Arial"/>
          <w:b w:val="0"/>
          <w:sz w:val="22"/>
          <w:szCs w:val="22"/>
        </w:rPr>
      </w:pPr>
    </w:p>
    <w:p w14:paraId="753F0DA0"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Kupnina, najemnina in odškodnina za občinsko stvarno premoženje se uporabi samo za gradnjo, nakup in vzdrževanje stvarnega premoženja občine.</w:t>
      </w:r>
    </w:p>
    <w:p w14:paraId="0EFA9B94" w14:textId="77777777" w:rsidR="00BC26CA" w:rsidRDefault="00BC26CA" w:rsidP="00BC26CA">
      <w:pPr>
        <w:pStyle w:val="Telobesedila"/>
        <w:ind w:left="426" w:hanging="426"/>
        <w:jc w:val="both"/>
        <w:rPr>
          <w:rFonts w:ascii="Arial" w:hAnsi="Arial" w:cs="Arial"/>
          <w:b w:val="0"/>
          <w:sz w:val="22"/>
          <w:szCs w:val="22"/>
        </w:rPr>
      </w:pPr>
    </w:p>
    <w:p w14:paraId="3F2F3856"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Načrt ravnanja s premičnim premoženjem Mestne občine Nova Gorica sprejme župan.</w:t>
      </w:r>
    </w:p>
    <w:p w14:paraId="1190FE3B" w14:textId="77777777" w:rsidR="00BC26CA" w:rsidRDefault="00BC26CA" w:rsidP="00BC26CA">
      <w:pPr>
        <w:pStyle w:val="Telobesedila"/>
        <w:ind w:left="426" w:hanging="426"/>
        <w:jc w:val="both"/>
        <w:rPr>
          <w:rFonts w:ascii="Arial" w:hAnsi="Arial" w:cs="Arial"/>
          <w:b w:val="0"/>
          <w:sz w:val="22"/>
          <w:szCs w:val="22"/>
        </w:rPr>
      </w:pPr>
    </w:p>
    <w:p w14:paraId="0275DFC0"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6. člen</w:t>
      </w:r>
    </w:p>
    <w:p w14:paraId="7F1572B5" w14:textId="77777777" w:rsidR="00BC26CA" w:rsidRPr="00906420" w:rsidRDefault="00BC26CA" w:rsidP="00BC26CA">
      <w:pPr>
        <w:pStyle w:val="Telobesedila"/>
        <w:jc w:val="both"/>
        <w:rPr>
          <w:rFonts w:ascii="Arial" w:hAnsi="Arial" w:cs="Arial"/>
          <w:b w:val="0"/>
          <w:sz w:val="22"/>
          <w:szCs w:val="22"/>
        </w:rPr>
      </w:pPr>
    </w:p>
    <w:p w14:paraId="74DE7F2A" w14:textId="77777777" w:rsidR="00BC26CA" w:rsidRPr="008667C5" w:rsidRDefault="00BC26CA" w:rsidP="00BC26CA">
      <w:pPr>
        <w:pStyle w:val="Telobesedila"/>
        <w:numPr>
          <w:ilvl w:val="0"/>
          <w:numId w:val="18"/>
        </w:numPr>
        <w:ind w:left="426" w:hanging="426"/>
        <w:jc w:val="both"/>
        <w:rPr>
          <w:rFonts w:ascii="Arial" w:hAnsi="Arial" w:cs="Arial"/>
          <w:b w:val="0"/>
          <w:sz w:val="22"/>
          <w:szCs w:val="22"/>
        </w:rPr>
      </w:pPr>
      <w:r w:rsidRPr="00906420">
        <w:rPr>
          <w:rFonts w:ascii="Arial" w:hAnsi="Arial" w:cs="Arial"/>
          <w:b w:val="0"/>
          <w:sz w:val="22"/>
          <w:szCs w:val="22"/>
        </w:rPr>
        <w:t>Proračunski uporabniki so dolžni koristiti sredstva le za namene, določene v posebnem delu proračuna in</w:t>
      </w:r>
      <w:r w:rsidRPr="008667C5">
        <w:rPr>
          <w:rFonts w:ascii="Arial" w:hAnsi="Arial" w:cs="Arial"/>
          <w:b w:val="0"/>
          <w:sz w:val="22"/>
          <w:szCs w:val="22"/>
        </w:rPr>
        <w:t xml:space="preserve"> načrtu razvojnih programov.</w:t>
      </w:r>
    </w:p>
    <w:p w14:paraId="16C1774E" w14:textId="77777777" w:rsidR="00BC26CA" w:rsidRPr="00906420" w:rsidRDefault="00BC26CA" w:rsidP="00BC26CA">
      <w:pPr>
        <w:pStyle w:val="Telobesedila"/>
        <w:ind w:left="426" w:hanging="426"/>
        <w:jc w:val="both"/>
        <w:rPr>
          <w:rFonts w:ascii="Arial" w:hAnsi="Arial" w:cs="Arial"/>
          <w:b w:val="0"/>
          <w:sz w:val="22"/>
          <w:szCs w:val="22"/>
        </w:rPr>
      </w:pPr>
    </w:p>
    <w:p w14:paraId="170AA75B" w14:textId="77777777" w:rsidR="00BC26CA" w:rsidRPr="00632394" w:rsidRDefault="00BC26CA" w:rsidP="00BC26CA">
      <w:pPr>
        <w:pStyle w:val="Telobesedila"/>
        <w:numPr>
          <w:ilvl w:val="0"/>
          <w:numId w:val="18"/>
        </w:numPr>
        <w:ind w:left="426" w:hanging="426"/>
        <w:jc w:val="both"/>
        <w:rPr>
          <w:rFonts w:ascii="Arial" w:hAnsi="Arial" w:cs="Arial"/>
          <w:b w:val="0"/>
          <w:sz w:val="22"/>
          <w:szCs w:val="22"/>
        </w:rPr>
      </w:pPr>
      <w:r w:rsidRPr="00632394">
        <w:rPr>
          <w:rFonts w:ascii="Arial" w:hAnsi="Arial" w:cs="Arial"/>
          <w:b w:val="0"/>
          <w:sz w:val="22"/>
          <w:szCs w:val="22"/>
        </w:rPr>
        <w:t xml:space="preserve">Namenski prejemki proračuna so donacije, namenski prejemki proračunskega sklada, prihodki od prodaja ali zamenjave občinskega stvarnega premoženja in odškodnine iz naslova zavarovanj, transferi iz državnega proračuna in </w:t>
      </w:r>
      <w:r>
        <w:rPr>
          <w:rFonts w:ascii="Arial" w:hAnsi="Arial" w:cs="Arial"/>
          <w:b w:val="0"/>
          <w:sz w:val="22"/>
          <w:szCs w:val="22"/>
        </w:rPr>
        <w:t>EU</w:t>
      </w:r>
      <w:r w:rsidRPr="00632394">
        <w:rPr>
          <w:rFonts w:ascii="Arial" w:hAnsi="Arial" w:cs="Arial"/>
          <w:b w:val="0"/>
          <w:sz w:val="22"/>
          <w:szCs w:val="22"/>
        </w:rPr>
        <w:t xml:space="preserve">, </w:t>
      </w:r>
      <w:proofErr w:type="spellStart"/>
      <w:r w:rsidRPr="00632394">
        <w:rPr>
          <w:rFonts w:ascii="Arial" w:hAnsi="Arial" w:cs="Arial"/>
          <w:b w:val="0"/>
          <w:sz w:val="22"/>
          <w:szCs w:val="22"/>
        </w:rPr>
        <w:t>okoljska</w:t>
      </w:r>
      <w:proofErr w:type="spellEnd"/>
      <w:r w:rsidRPr="00632394">
        <w:rPr>
          <w:rFonts w:ascii="Arial" w:hAnsi="Arial" w:cs="Arial"/>
          <w:b w:val="0"/>
          <w:sz w:val="22"/>
          <w:szCs w:val="22"/>
        </w:rPr>
        <w:t xml:space="preserve"> dajatev za onesnaževanje okolja zaradi odvajanja odpadnih voda, namenski prihodki krajevnih skupnosti, komunalni prispevek ter najemnina gospodarske javne infrastrukture iz naslova obveznih gospodarskih javnih služb</w:t>
      </w:r>
      <w:r>
        <w:rPr>
          <w:rFonts w:ascii="Arial" w:hAnsi="Arial" w:cs="Arial"/>
          <w:b w:val="0"/>
          <w:sz w:val="22"/>
          <w:szCs w:val="22"/>
        </w:rPr>
        <w:t>, turistična taksa ter koncesijska dajatev od iger na srečo.</w:t>
      </w:r>
    </w:p>
    <w:p w14:paraId="0EC3147F" w14:textId="77777777" w:rsidR="00BC26CA" w:rsidRDefault="00BC26CA" w:rsidP="00BC26CA">
      <w:pPr>
        <w:pStyle w:val="Telobesedila"/>
        <w:ind w:left="426" w:hanging="426"/>
        <w:jc w:val="both"/>
        <w:rPr>
          <w:rFonts w:ascii="Arial" w:hAnsi="Arial" w:cs="Arial"/>
          <w:b w:val="0"/>
          <w:sz w:val="22"/>
          <w:szCs w:val="22"/>
        </w:rPr>
      </w:pPr>
    </w:p>
    <w:p w14:paraId="6CF5F5B8" w14:textId="77777777" w:rsidR="00BC26CA" w:rsidRDefault="00BC26CA" w:rsidP="00BC26CA">
      <w:pPr>
        <w:pStyle w:val="Telobesedila"/>
        <w:numPr>
          <w:ilvl w:val="0"/>
          <w:numId w:val="18"/>
        </w:numPr>
        <w:ind w:left="426" w:hanging="426"/>
        <w:jc w:val="both"/>
        <w:rPr>
          <w:rFonts w:ascii="Arial" w:hAnsi="Arial" w:cs="Arial"/>
          <w:b w:val="0"/>
          <w:sz w:val="22"/>
          <w:szCs w:val="22"/>
        </w:rPr>
      </w:pPr>
      <w:r>
        <w:rPr>
          <w:rFonts w:ascii="Arial" w:hAnsi="Arial" w:cs="Arial"/>
          <w:b w:val="0"/>
          <w:sz w:val="22"/>
          <w:szCs w:val="22"/>
        </w:rPr>
        <w:t>Če so namenski prihodki vplačani v proračun v večjem obsegu, kot so načrtovani v sprejetem proračunu, proračunski uporabnik prevzema in plačuje obveznosti samo v višini načrtovanih pravic porabe v finančnem načrtu sprejetega proračuna.</w:t>
      </w:r>
    </w:p>
    <w:p w14:paraId="32E08CC7" w14:textId="77777777" w:rsidR="00BC26CA" w:rsidRDefault="00BC26CA" w:rsidP="00BC26CA">
      <w:pPr>
        <w:pStyle w:val="Telobesedila"/>
        <w:ind w:left="426" w:hanging="426"/>
        <w:jc w:val="both"/>
        <w:rPr>
          <w:rFonts w:ascii="Arial" w:hAnsi="Arial" w:cs="Arial"/>
          <w:b w:val="0"/>
          <w:sz w:val="22"/>
          <w:szCs w:val="22"/>
        </w:rPr>
      </w:pPr>
    </w:p>
    <w:p w14:paraId="6B858EB9" w14:textId="77777777" w:rsidR="00BC26CA" w:rsidRDefault="00BC26CA" w:rsidP="00BC26CA">
      <w:pPr>
        <w:pStyle w:val="Telobesedila"/>
        <w:numPr>
          <w:ilvl w:val="0"/>
          <w:numId w:val="18"/>
        </w:numPr>
        <w:ind w:left="426" w:hanging="426"/>
        <w:jc w:val="both"/>
        <w:rPr>
          <w:rFonts w:ascii="Arial" w:hAnsi="Arial" w:cs="Arial"/>
          <w:b w:val="0"/>
          <w:sz w:val="22"/>
          <w:szCs w:val="22"/>
        </w:rPr>
      </w:pPr>
      <w:r>
        <w:rPr>
          <w:rFonts w:ascii="Arial" w:hAnsi="Arial" w:cs="Arial"/>
          <w:b w:val="0"/>
          <w:sz w:val="22"/>
          <w:szCs w:val="22"/>
        </w:rPr>
        <w:t>Če so namenski prihodki vplačani v proračun v nižjem obsegu, kot so načrtovani v sprejetem proračunu, proračunski uporabnik prevzema in plačuje obveznosti samo v višini dejansko vplačanih oziroma razpoložljivih prihodkov.</w:t>
      </w:r>
    </w:p>
    <w:p w14:paraId="7DC146A4" w14:textId="77777777" w:rsidR="00BC26CA" w:rsidRDefault="00BC26CA" w:rsidP="00BC26CA">
      <w:pPr>
        <w:pStyle w:val="Telobesedila"/>
        <w:ind w:left="426" w:hanging="426"/>
        <w:jc w:val="both"/>
        <w:rPr>
          <w:rFonts w:ascii="Arial" w:hAnsi="Arial" w:cs="Arial"/>
          <w:b w:val="0"/>
          <w:sz w:val="22"/>
          <w:szCs w:val="22"/>
        </w:rPr>
      </w:pPr>
    </w:p>
    <w:p w14:paraId="7ABFF018" w14:textId="77777777" w:rsidR="00BC26CA" w:rsidRDefault="00BC26CA" w:rsidP="00BC26CA">
      <w:pPr>
        <w:pStyle w:val="Telobesedila"/>
        <w:numPr>
          <w:ilvl w:val="0"/>
          <w:numId w:val="18"/>
        </w:numPr>
        <w:ind w:left="426" w:hanging="426"/>
        <w:jc w:val="both"/>
        <w:rPr>
          <w:rFonts w:ascii="Arial" w:hAnsi="Arial" w:cs="Arial"/>
          <w:b w:val="0"/>
          <w:sz w:val="22"/>
          <w:szCs w:val="22"/>
        </w:rPr>
      </w:pPr>
      <w:r>
        <w:rPr>
          <w:rFonts w:ascii="Arial" w:hAnsi="Arial" w:cs="Arial"/>
          <w:b w:val="0"/>
          <w:sz w:val="22"/>
          <w:szCs w:val="22"/>
        </w:rPr>
        <w:t>Namenska sredstva, ki niso bila porabljena v preteklem letu, se prenesejo v proračun za tekoče leto za namen za katerega so opredeljena.</w:t>
      </w:r>
    </w:p>
    <w:p w14:paraId="306AC5ED" w14:textId="77777777" w:rsidR="00BC26CA" w:rsidRDefault="00BC26CA" w:rsidP="00BC26CA">
      <w:pPr>
        <w:pStyle w:val="Telobesedila"/>
        <w:ind w:left="426" w:hanging="426"/>
        <w:jc w:val="both"/>
        <w:rPr>
          <w:rFonts w:ascii="Arial" w:hAnsi="Arial" w:cs="Arial"/>
          <w:b w:val="0"/>
          <w:sz w:val="22"/>
          <w:szCs w:val="22"/>
        </w:rPr>
      </w:pPr>
    </w:p>
    <w:p w14:paraId="0B37DCA8" w14:textId="77777777" w:rsidR="00BC26CA" w:rsidRDefault="00BC26CA" w:rsidP="00BC26CA">
      <w:pPr>
        <w:pStyle w:val="Telobesedila"/>
        <w:jc w:val="center"/>
        <w:rPr>
          <w:rFonts w:ascii="Arial" w:hAnsi="Arial" w:cs="Arial"/>
          <w:b w:val="0"/>
          <w:sz w:val="22"/>
          <w:szCs w:val="22"/>
        </w:rPr>
      </w:pPr>
      <w:r>
        <w:rPr>
          <w:rFonts w:ascii="Arial" w:hAnsi="Arial" w:cs="Arial"/>
          <w:b w:val="0"/>
          <w:sz w:val="22"/>
          <w:szCs w:val="22"/>
        </w:rPr>
        <w:t>7. člen</w:t>
      </w:r>
    </w:p>
    <w:p w14:paraId="7918DE69" w14:textId="77777777" w:rsidR="00BC26CA" w:rsidRDefault="00BC26CA" w:rsidP="00BC26CA">
      <w:pPr>
        <w:pStyle w:val="Telobesedila"/>
        <w:jc w:val="both"/>
        <w:rPr>
          <w:rFonts w:ascii="Arial" w:hAnsi="Arial" w:cs="Arial"/>
          <w:b w:val="0"/>
          <w:sz w:val="22"/>
          <w:szCs w:val="22"/>
        </w:rPr>
      </w:pPr>
    </w:p>
    <w:p w14:paraId="4A1969FD" w14:textId="77777777" w:rsidR="00BC26CA" w:rsidRDefault="00BC26CA" w:rsidP="00BC26CA">
      <w:pPr>
        <w:pStyle w:val="Telobesedila"/>
        <w:numPr>
          <w:ilvl w:val="0"/>
          <w:numId w:val="20"/>
        </w:numPr>
        <w:ind w:left="567" w:hanging="567"/>
        <w:jc w:val="both"/>
        <w:rPr>
          <w:rFonts w:ascii="Arial" w:hAnsi="Arial" w:cs="Arial"/>
          <w:b w:val="0"/>
          <w:sz w:val="22"/>
          <w:szCs w:val="22"/>
        </w:rPr>
      </w:pPr>
      <w:r w:rsidRPr="00906420">
        <w:rPr>
          <w:rFonts w:ascii="Arial" w:hAnsi="Arial" w:cs="Arial"/>
          <w:b w:val="0"/>
          <w:sz w:val="22"/>
          <w:szCs w:val="22"/>
        </w:rPr>
        <w:t>Del predvidenih prihodkov proračuna v višini 100.000 EUR se v skladu z 42. členom Zakona o javnih financah zadrži kot splošna proračunska rezervacija.</w:t>
      </w:r>
      <w:r>
        <w:rPr>
          <w:rFonts w:ascii="Arial" w:hAnsi="Arial" w:cs="Arial"/>
          <w:b w:val="0"/>
          <w:sz w:val="22"/>
          <w:szCs w:val="22"/>
        </w:rPr>
        <w:t xml:space="preserve"> </w:t>
      </w:r>
    </w:p>
    <w:p w14:paraId="4C03F4E3" w14:textId="77777777" w:rsidR="00BC26CA" w:rsidRDefault="00BC26CA" w:rsidP="00BC26CA">
      <w:pPr>
        <w:pStyle w:val="Telobesedila"/>
        <w:ind w:left="567" w:hanging="567"/>
        <w:jc w:val="both"/>
        <w:rPr>
          <w:rFonts w:ascii="Arial" w:hAnsi="Arial" w:cs="Arial"/>
          <w:b w:val="0"/>
          <w:sz w:val="22"/>
          <w:szCs w:val="22"/>
        </w:rPr>
      </w:pPr>
    </w:p>
    <w:p w14:paraId="4ED68A78" w14:textId="77777777" w:rsidR="00BC26CA" w:rsidRDefault="00BC26CA" w:rsidP="00BC26CA">
      <w:pPr>
        <w:pStyle w:val="Telobesedila"/>
        <w:numPr>
          <w:ilvl w:val="0"/>
          <w:numId w:val="20"/>
        </w:numPr>
        <w:ind w:left="567" w:hanging="567"/>
        <w:jc w:val="both"/>
        <w:rPr>
          <w:rFonts w:ascii="Arial" w:hAnsi="Arial" w:cs="Arial"/>
          <w:b w:val="0"/>
          <w:sz w:val="22"/>
          <w:szCs w:val="22"/>
        </w:rPr>
      </w:pPr>
      <w:r w:rsidRPr="00906420">
        <w:rPr>
          <w:rFonts w:ascii="Arial" w:hAnsi="Arial" w:cs="Arial"/>
          <w:b w:val="0"/>
          <w:sz w:val="22"/>
          <w:szCs w:val="22"/>
        </w:rPr>
        <w:t>Sredstva splošne proračunske rezervacije se uporabljajo za nepredvidene namene, za katere v proračunu niso zagotovljena sredstva ali niso zagotovljena v zadostnem obsegu, ker jih ni bilo mogoče načrtovati.</w:t>
      </w:r>
    </w:p>
    <w:p w14:paraId="4CA18833" w14:textId="77777777" w:rsidR="00BC26CA" w:rsidRPr="00190BEB" w:rsidRDefault="00BC26CA" w:rsidP="00BC26CA">
      <w:pPr>
        <w:pStyle w:val="Telobesedila"/>
        <w:numPr>
          <w:ilvl w:val="0"/>
          <w:numId w:val="20"/>
        </w:numPr>
        <w:ind w:left="567" w:hanging="567"/>
        <w:jc w:val="both"/>
        <w:rPr>
          <w:rFonts w:ascii="Arial" w:hAnsi="Arial" w:cs="Arial"/>
          <w:b w:val="0"/>
          <w:sz w:val="22"/>
          <w:szCs w:val="22"/>
        </w:rPr>
      </w:pPr>
      <w:r w:rsidRPr="00190BEB">
        <w:rPr>
          <w:rFonts w:ascii="Arial" w:hAnsi="Arial" w:cs="Arial"/>
          <w:b w:val="0"/>
          <w:sz w:val="22"/>
          <w:szCs w:val="22"/>
        </w:rPr>
        <w:lastRenderedPageBreak/>
        <w:t xml:space="preserve">O uporabi sredstev splošne proračunske rezervacije odloča župan in poroča </w:t>
      </w:r>
      <w:r>
        <w:rPr>
          <w:rFonts w:ascii="Arial" w:hAnsi="Arial" w:cs="Arial"/>
          <w:b w:val="0"/>
          <w:sz w:val="22"/>
          <w:szCs w:val="22"/>
        </w:rPr>
        <w:t>m</w:t>
      </w:r>
      <w:r w:rsidRPr="00190BEB">
        <w:rPr>
          <w:rFonts w:ascii="Arial" w:hAnsi="Arial" w:cs="Arial"/>
          <w:b w:val="0"/>
          <w:sz w:val="22"/>
          <w:szCs w:val="22"/>
        </w:rPr>
        <w:t>estnemu svetu šestmesečno. Dodeljena sredstva splošne proračunske rezervacije se razporedijo v finančni načrt neposrednega uporabnika, na ustrezne proračunske postavke.</w:t>
      </w:r>
    </w:p>
    <w:p w14:paraId="6BF2DD39" w14:textId="77777777" w:rsidR="00BC26CA" w:rsidRDefault="00BC26CA" w:rsidP="00BC26CA">
      <w:pPr>
        <w:pStyle w:val="Telobesedila"/>
        <w:ind w:left="567" w:hanging="567"/>
        <w:jc w:val="both"/>
        <w:rPr>
          <w:rFonts w:ascii="Arial" w:hAnsi="Arial" w:cs="Arial"/>
          <w:b w:val="0"/>
          <w:sz w:val="22"/>
          <w:szCs w:val="22"/>
        </w:rPr>
      </w:pPr>
    </w:p>
    <w:p w14:paraId="5F1DC599" w14:textId="77777777" w:rsidR="00BC26CA" w:rsidRDefault="00BC26CA" w:rsidP="00BC26CA">
      <w:pPr>
        <w:pStyle w:val="Telobesedila"/>
        <w:jc w:val="center"/>
        <w:rPr>
          <w:rFonts w:ascii="Arial" w:hAnsi="Arial" w:cs="Arial"/>
          <w:b w:val="0"/>
          <w:sz w:val="22"/>
          <w:szCs w:val="22"/>
        </w:rPr>
      </w:pPr>
      <w:r>
        <w:rPr>
          <w:rFonts w:ascii="Arial" w:hAnsi="Arial" w:cs="Arial"/>
          <w:b w:val="0"/>
          <w:sz w:val="22"/>
          <w:szCs w:val="22"/>
        </w:rPr>
        <w:t>8. člen</w:t>
      </w:r>
    </w:p>
    <w:p w14:paraId="14325C05" w14:textId="77777777" w:rsidR="00BC26CA" w:rsidRDefault="00BC26CA" w:rsidP="00BC26CA">
      <w:pPr>
        <w:pStyle w:val="odstavek"/>
        <w:numPr>
          <w:ilvl w:val="0"/>
          <w:numId w:val="19"/>
        </w:numPr>
        <w:shd w:val="clear" w:color="auto" w:fill="FFFFFF"/>
        <w:spacing w:before="240" w:beforeAutospacing="0" w:after="0" w:afterAutospacing="0"/>
        <w:ind w:left="567" w:hanging="567"/>
        <w:jc w:val="both"/>
        <w:rPr>
          <w:rFonts w:ascii="Arial" w:hAnsi="Arial" w:cs="Arial"/>
          <w:color w:val="000000"/>
          <w:sz w:val="22"/>
          <w:szCs w:val="22"/>
        </w:rPr>
      </w:pPr>
      <w:r>
        <w:rPr>
          <w:rFonts w:ascii="Arial" w:hAnsi="Arial" w:cs="Arial"/>
          <w:color w:val="000000"/>
          <w:sz w:val="22"/>
          <w:szCs w:val="22"/>
          <w:lang w:val="x-none"/>
        </w:rPr>
        <w:t>V proračunu občine se zagotavljajo sredstva za proračunsko rezervo, ki deluje kot proračunski sklad</w:t>
      </w:r>
      <w:r>
        <w:rPr>
          <w:rFonts w:ascii="Arial" w:hAnsi="Arial" w:cs="Arial"/>
          <w:color w:val="000000"/>
          <w:sz w:val="22"/>
          <w:szCs w:val="22"/>
        </w:rPr>
        <w:t xml:space="preserve"> v skladu z </w:t>
      </w:r>
      <w:r w:rsidRPr="00176BD2">
        <w:rPr>
          <w:rFonts w:ascii="Arial" w:hAnsi="Arial" w:cs="Arial"/>
          <w:color w:val="000000"/>
          <w:sz w:val="22"/>
          <w:szCs w:val="22"/>
        </w:rPr>
        <w:t>49. členom Zakona o javnih financah</w:t>
      </w:r>
      <w:r>
        <w:rPr>
          <w:rFonts w:ascii="Arial" w:hAnsi="Arial" w:cs="Arial"/>
          <w:color w:val="000000"/>
          <w:sz w:val="22"/>
          <w:szCs w:val="22"/>
        </w:rPr>
        <w:t>.</w:t>
      </w:r>
    </w:p>
    <w:p w14:paraId="6B00F2B2" w14:textId="77777777" w:rsidR="00BC26CA" w:rsidRDefault="00BC26CA" w:rsidP="00BC26CA">
      <w:pPr>
        <w:pStyle w:val="Telobesedila"/>
        <w:ind w:left="567" w:hanging="567"/>
        <w:jc w:val="both"/>
        <w:rPr>
          <w:rFonts w:ascii="Arial" w:hAnsi="Arial" w:cs="Arial"/>
          <w:b w:val="0"/>
          <w:sz w:val="22"/>
          <w:szCs w:val="22"/>
        </w:rPr>
      </w:pPr>
    </w:p>
    <w:p w14:paraId="1E6B906D" w14:textId="2E4CD186" w:rsidR="00BC26CA" w:rsidRPr="00906420" w:rsidRDefault="00BC26CA" w:rsidP="00BC26CA">
      <w:pPr>
        <w:pStyle w:val="Telobesedila"/>
        <w:numPr>
          <w:ilvl w:val="0"/>
          <w:numId w:val="19"/>
        </w:numPr>
        <w:ind w:left="567" w:hanging="567"/>
        <w:jc w:val="both"/>
        <w:rPr>
          <w:rFonts w:ascii="Arial" w:hAnsi="Arial" w:cs="Arial"/>
          <w:b w:val="0"/>
          <w:sz w:val="22"/>
          <w:szCs w:val="22"/>
        </w:rPr>
      </w:pPr>
      <w:r w:rsidRPr="00906420">
        <w:rPr>
          <w:rFonts w:ascii="Arial" w:hAnsi="Arial" w:cs="Arial"/>
          <w:b w:val="0"/>
          <w:sz w:val="22"/>
          <w:szCs w:val="22"/>
        </w:rPr>
        <w:t>Proračunska rezerva se v letu 202</w:t>
      </w:r>
      <w:r w:rsidR="00CB462E">
        <w:rPr>
          <w:rFonts w:ascii="Arial" w:hAnsi="Arial" w:cs="Arial"/>
          <w:b w:val="0"/>
          <w:sz w:val="22"/>
          <w:szCs w:val="22"/>
        </w:rPr>
        <w:t>5</w:t>
      </w:r>
      <w:r w:rsidRPr="00906420">
        <w:rPr>
          <w:rFonts w:ascii="Arial" w:hAnsi="Arial" w:cs="Arial"/>
          <w:b w:val="0"/>
          <w:sz w:val="22"/>
          <w:szCs w:val="22"/>
        </w:rPr>
        <w:t xml:space="preserve"> oblikuje v višini</w:t>
      </w:r>
      <w:r w:rsidR="00977C0A">
        <w:rPr>
          <w:rFonts w:ascii="Arial" w:hAnsi="Arial" w:cs="Arial"/>
          <w:b w:val="0"/>
          <w:sz w:val="22"/>
          <w:szCs w:val="22"/>
        </w:rPr>
        <w:t xml:space="preserve"> </w:t>
      </w:r>
      <w:r w:rsidR="004127FC">
        <w:rPr>
          <w:rFonts w:ascii="Arial" w:hAnsi="Arial" w:cs="Arial"/>
          <w:b w:val="0"/>
          <w:sz w:val="22"/>
          <w:szCs w:val="22"/>
        </w:rPr>
        <w:t>0</w:t>
      </w:r>
      <w:r w:rsidRPr="00906420">
        <w:rPr>
          <w:rFonts w:ascii="Arial" w:hAnsi="Arial" w:cs="Arial"/>
          <w:b w:val="0"/>
          <w:sz w:val="22"/>
          <w:szCs w:val="22"/>
        </w:rPr>
        <w:t xml:space="preserve"> EUR.</w:t>
      </w:r>
    </w:p>
    <w:p w14:paraId="1F905F85" w14:textId="77777777" w:rsidR="00BC26CA" w:rsidRPr="00906420" w:rsidRDefault="00BC26CA" w:rsidP="00BC26CA">
      <w:pPr>
        <w:pStyle w:val="Telobesedila"/>
        <w:ind w:left="567" w:hanging="567"/>
        <w:jc w:val="both"/>
        <w:rPr>
          <w:rFonts w:ascii="Arial" w:hAnsi="Arial" w:cs="Arial"/>
          <w:b w:val="0"/>
          <w:sz w:val="22"/>
          <w:szCs w:val="22"/>
        </w:rPr>
      </w:pPr>
    </w:p>
    <w:p w14:paraId="00AD3475" w14:textId="77777777" w:rsidR="00BC26CA" w:rsidRPr="00906420" w:rsidRDefault="00BC26CA" w:rsidP="00BC26CA">
      <w:pPr>
        <w:pStyle w:val="Telobesedila"/>
        <w:numPr>
          <w:ilvl w:val="0"/>
          <w:numId w:val="19"/>
        </w:numPr>
        <w:ind w:left="567" w:hanging="567"/>
        <w:jc w:val="both"/>
        <w:rPr>
          <w:rFonts w:ascii="Arial" w:hAnsi="Arial" w:cs="Arial"/>
          <w:b w:val="0"/>
          <w:sz w:val="22"/>
          <w:szCs w:val="22"/>
        </w:rPr>
      </w:pPr>
      <w:r w:rsidRPr="00906420">
        <w:rPr>
          <w:rFonts w:ascii="Arial" w:hAnsi="Arial" w:cs="Arial"/>
          <w:b w:val="0"/>
          <w:sz w:val="22"/>
          <w:szCs w:val="22"/>
        </w:rPr>
        <w:t xml:space="preserve">Župan lahko na predlog </w:t>
      </w:r>
      <w:r>
        <w:rPr>
          <w:rFonts w:ascii="Arial" w:hAnsi="Arial" w:cs="Arial"/>
          <w:b w:val="0"/>
          <w:sz w:val="22"/>
          <w:szCs w:val="22"/>
        </w:rPr>
        <w:t xml:space="preserve">organa, pristojnega za finance </w:t>
      </w:r>
      <w:r w:rsidRPr="00906420">
        <w:rPr>
          <w:rFonts w:ascii="Arial" w:hAnsi="Arial" w:cs="Arial"/>
          <w:b w:val="0"/>
          <w:sz w:val="22"/>
          <w:szCs w:val="22"/>
        </w:rPr>
        <w:t xml:space="preserve">samostojno odloča o porabi do </w:t>
      </w:r>
      <w:r>
        <w:rPr>
          <w:rFonts w:ascii="Arial" w:hAnsi="Arial" w:cs="Arial"/>
          <w:b w:val="0"/>
          <w:sz w:val="22"/>
          <w:szCs w:val="22"/>
        </w:rPr>
        <w:t>3</w:t>
      </w:r>
      <w:r w:rsidRPr="00906420">
        <w:rPr>
          <w:rFonts w:ascii="Arial" w:hAnsi="Arial" w:cs="Arial"/>
          <w:b w:val="0"/>
          <w:sz w:val="22"/>
          <w:szCs w:val="22"/>
        </w:rPr>
        <w:t xml:space="preserve">0.000 EUR zbranih  razpoložljivih sredstev proračunske rezerve </w:t>
      </w:r>
      <w:r>
        <w:rPr>
          <w:rFonts w:ascii="Arial" w:hAnsi="Arial" w:cs="Arial"/>
          <w:b w:val="0"/>
          <w:sz w:val="22"/>
          <w:szCs w:val="22"/>
        </w:rPr>
        <w:t>za namene določene v 49. členu Zakona o javnih financah in o tem obvešča m</w:t>
      </w:r>
      <w:r w:rsidRPr="00906420">
        <w:rPr>
          <w:rFonts w:ascii="Arial" w:hAnsi="Arial" w:cs="Arial"/>
          <w:b w:val="0"/>
          <w:sz w:val="22"/>
          <w:szCs w:val="22"/>
        </w:rPr>
        <w:t>estni svet.</w:t>
      </w:r>
    </w:p>
    <w:p w14:paraId="0FC21664" w14:textId="77777777" w:rsidR="00BC26CA" w:rsidRPr="00906420" w:rsidRDefault="00BC26CA" w:rsidP="00BC26CA">
      <w:pPr>
        <w:pStyle w:val="Telobesedila"/>
        <w:ind w:left="567" w:hanging="567"/>
        <w:jc w:val="both"/>
        <w:rPr>
          <w:rFonts w:ascii="Arial" w:hAnsi="Arial" w:cs="Arial"/>
          <w:b w:val="0"/>
          <w:sz w:val="22"/>
          <w:szCs w:val="22"/>
        </w:rPr>
      </w:pPr>
    </w:p>
    <w:p w14:paraId="23E1C26A" w14:textId="77777777" w:rsidR="00BC26CA" w:rsidRPr="00906420" w:rsidRDefault="00BC26CA" w:rsidP="00BC26CA">
      <w:pPr>
        <w:pStyle w:val="Telobesedila"/>
        <w:numPr>
          <w:ilvl w:val="0"/>
          <w:numId w:val="19"/>
        </w:numPr>
        <w:ind w:left="567" w:hanging="567"/>
        <w:jc w:val="both"/>
        <w:rPr>
          <w:rFonts w:ascii="Arial" w:hAnsi="Arial" w:cs="Arial"/>
          <w:b w:val="0"/>
          <w:sz w:val="22"/>
          <w:szCs w:val="22"/>
        </w:rPr>
      </w:pPr>
      <w:r w:rsidRPr="00906420">
        <w:rPr>
          <w:rFonts w:ascii="Arial" w:hAnsi="Arial" w:cs="Arial"/>
          <w:b w:val="0"/>
          <w:sz w:val="22"/>
          <w:szCs w:val="22"/>
        </w:rPr>
        <w:t xml:space="preserve">V primerih porabe sredstev, ki presega višino določeno v prejšnjem odstavku, odloča </w:t>
      </w:r>
      <w:r>
        <w:rPr>
          <w:rFonts w:ascii="Arial" w:hAnsi="Arial" w:cs="Arial"/>
          <w:b w:val="0"/>
          <w:sz w:val="22"/>
          <w:szCs w:val="22"/>
        </w:rPr>
        <w:t>m</w:t>
      </w:r>
      <w:r w:rsidRPr="00906420">
        <w:rPr>
          <w:rFonts w:ascii="Arial" w:hAnsi="Arial" w:cs="Arial"/>
          <w:b w:val="0"/>
          <w:sz w:val="22"/>
          <w:szCs w:val="22"/>
        </w:rPr>
        <w:t xml:space="preserve">estni svet s posebnim odlokom. </w:t>
      </w:r>
    </w:p>
    <w:p w14:paraId="26EC1172" w14:textId="77777777" w:rsidR="00BC26CA" w:rsidRDefault="00BC26CA" w:rsidP="00BC26CA">
      <w:pPr>
        <w:pStyle w:val="odstavek"/>
        <w:shd w:val="clear" w:color="auto" w:fill="FFFFFF"/>
        <w:spacing w:before="240" w:beforeAutospacing="0" w:after="0" w:afterAutospacing="0"/>
        <w:jc w:val="center"/>
        <w:rPr>
          <w:rFonts w:ascii="Arial" w:hAnsi="Arial" w:cs="Arial"/>
          <w:color w:val="000000"/>
          <w:sz w:val="22"/>
          <w:szCs w:val="22"/>
        </w:rPr>
      </w:pPr>
      <w:r>
        <w:rPr>
          <w:rFonts w:ascii="Arial" w:hAnsi="Arial" w:cs="Arial"/>
          <w:color w:val="000000"/>
          <w:sz w:val="22"/>
          <w:szCs w:val="22"/>
        </w:rPr>
        <w:t>9. člen</w:t>
      </w:r>
    </w:p>
    <w:p w14:paraId="496615B2" w14:textId="77777777" w:rsidR="00BC26CA" w:rsidRDefault="00BC26CA" w:rsidP="00BC26CA">
      <w:pPr>
        <w:pStyle w:val="Telobesedila"/>
        <w:jc w:val="both"/>
        <w:rPr>
          <w:rFonts w:ascii="Arial" w:hAnsi="Arial" w:cs="Arial"/>
          <w:b w:val="0"/>
          <w:sz w:val="22"/>
          <w:szCs w:val="22"/>
        </w:rPr>
      </w:pPr>
    </w:p>
    <w:p w14:paraId="6C5B3699" w14:textId="77777777" w:rsidR="00BC26CA" w:rsidRPr="00062FBD" w:rsidRDefault="00BC26CA" w:rsidP="00BC26CA">
      <w:pPr>
        <w:pStyle w:val="Telobesedila"/>
        <w:numPr>
          <w:ilvl w:val="0"/>
          <w:numId w:val="21"/>
        </w:numPr>
        <w:ind w:left="567" w:hanging="567"/>
        <w:jc w:val="both"/>
        <w:rPr>
          <w:rFonts w:ascii="Arial" w:hAnsi="Arial" w:cs="Arial"/>
          <w:b w:val="0"/>
          <w:sz w:val="22"/>
          <w:szCs w:val="22"/>
        </w:rPr>
      </w:pPr>
      <w:r w:rsidRPr="00906420">
        <w:rPr>
          <w:rFonts w:ascii="Arial" w:hAnsi="Arial" w:cs="Arial"/>
          <w:b w:val="0"/>
          <w:sz w:val="22"/>
          <w:szCs w:val="22"/>
        </w:rPr>
        <w:t>Osnova za prerazporejanje pravic porabe je zadnji sprejeti proračun, spremembe proračuna ali rebalans proračuna.</w:t>
      </w:r>
    </w:p>
    <w:p w14:paraId="024A8784" w14:textId="77777777" w:rsidR="00BC26CA" w:rsidRPr="00906420" w:rsidRDefault="00BC26CA" w:rsidP="00BC26CA">
      <w:pPr>
        <w:pStyle w:val="Telobesedila"/>
        <w:ind w:left="567" w:hanging="567"/>
        <w:jc w:val="both"/>
        <w:rPr>
          <w:rFonts w:ascii="Arial" w:hAnsi="Arial" w:cs="Arial"/>
          <w:b w:val="0"/>
          <w:sz w:val="22"/>
          <w:szCs w:val="22"/>
        </w:rPr>
      </w:pPr>
    </w:p>
    <w:p w14:paraId="003D9738" w14:textId="77777777" w:rsidR="00BC26CA" w:rsidRPr="00906420" w:rsidRDefault="00BC26CA" w:rsidP="00BC26CA">
      <w:pPr>
        <w:pStyle w:val="Telobesedila"/>
        <w:numPr>
          <w:ilvl w:val="0"/>
          <w:numId w:val="21"/>
        </w:numPr>
        <w:ind w:left="567" w:hanging="567"/>
        <w:jc w:val="both"/>
        <w:rPr>
          <w:rFonts w:ascii="Arial" w:hAnsi="Arial" w:cs="Arial"/>
          <w:b w:val="0"/>
          <w:sz w:val="22"/>
          <w:szCs w:val="22"/>
        </w:rPr>
      </w:pPr>
      <w:r w:rsidRPr="00906420">
        <w:rPr>
          <w:rFonts w:ascii="Arial" w:hAnsi="Arial" w:cs="Arial"/>
          <w:b w:val="0"/>
          <w:sz w:val="22"/>
          <w:szCs w:val="22"/>
        </w:rPr>
        <w:t xml:space="preserve">Župan lahko s  sklepi prerazporedi sredstva med proračunskimi postavkami praviloma znotraj istega področja porabe pri </w:t>
      </w:r>
      <w:r>
        <w:rPr>
          <w:rFonts w:ascii="Arial" w:hAnsi="Arial" w:cs="Arial"/>
          <w:b w:val="0"/>
          <w:sz w:val="22"/>
          <w:szCs w:val="22"/>
        </w:rPr>
        <w:t xml:space="preserve">neposrednih </w:t>
      </w:r>
      <w:r w:rsidRPr="00906420">
        <w:rPr>
          <w:rFonts w:ascii="Arial" w:hAnsi="Arial" w:cs="Arial"/>
          <w:b w:val="0"/>
          <w:sz w:val="22"/>
          <w:szCs w:val="22"/>
        </w:rPr>
        <w:t>proračunskih uporabnikih mestni svet, nadzorni odbor, župan</w:t>
      </w:r>
      <w:r>
        <w:rPr>
          <w:rFonts w:ascii="Arial" w:hAnsi="Arial" w:cs="Arial"/>
          <w:b w:val="0"/>
          <w:sz w:val="22"/>
          <w:szCs w:val="22"/>
        </w:rPr>
        <w:t>,</w:t>
      </w:r>
      <w:r w:rsidRPr="00906420">
        <w:rPr>
          <w:rFonts w:ascii="Arial" w:hAnsi="Arial" w:cs="Arial"/>
          <w:b w:val="0"/>
          <w:sz w:val="22"/>
          <w:szCs w:val="22"/>
        </w:rPr>
        <w:t xml:space="preserve"> občinska uprava</w:t>
      </w:r>
      <w:r>
        <w:rPr>
          <w:rFonts w:ascii="Arial" w:hAnsi="Arial" w:cs="Arial"/>
          <w:b w:val="0"/>
          <w:sz w:val="22"/>
          <w:szCs w:val="22"/>
        </w:rPr>
        <w:t xml:space="preserve"> in M</w:t>
      </w:r>
      <w:r w:rsidRPr="00906420">
        <w:rPr>
          <w:rFonts w:ascii="Arial" w:hAnsi="Arial" w:cs="Arial"/>
          <w:b w:val="0"/>
          <w:sz w:val="22"/>
          <w:szCs w:val="22"/>
        </w:rPr>
        <w:t>edobčinska uprava Mestne občine Nova Gorica, Občine Ajdovščina in Občine Brda</w:t>
      </w:r>
      <w:r>
        <w:rPr>
          <w:rFonts w:ascii="Arial" w:hAnsi="Arial" w:cs="Arial"/>
          <w:b w:val="0"/>
          <w:sz w:val="22"/>
          <w:szCs w:val="22"/>
        </w:rPr>
        <w:t>.</w:t>
      </w:r>
    </w:p>
    <w:p w14:paraId="55DEDEAA" w14:textId="77777777" w:rsidR="00BC26CA" w:rsidRPr="00906420" w:rsidRDefault="00BC26CA" w:rsidP="00BC26CA">
      <w:pPr>
        <w:pStyle w:val="Telobesedila"/>
        <w:ind w:left="567" w:hanging="567"/>
        <w:jc w:val="both"/>
        <w:rPr>
          <w:rFonts w:ascii="Arial" w:hAnsi="Arial" w:cs="Arial"/>
          <w:b w:val="0"/>
          <w:sz w:val="22"/>
          <w:szCs w:val="22"/>
        </w:rPr>
      </w:pPr>
    </w:p>
    <w:p w14:paraId="62110DBF" w14:textId="77777777" w:rsidR="00BC26CA" w:rsidRDefault="00BC26CA" w:rsidP="00BC26CA">
      <w:pPr>
        <w:pStyle w:val="Telobesedila"/>
        <w:numPr>
          <w:ilvl w:val="0"/>
          <w:numId w:val="21"/>
        </w:numPr>
        <w:ind w:left="567" w:hanging="567"/>
        <w:jc w:val="both"/>
        <w:rPr>
          <w:rFonts w:ascii="Arial" w:hAnsi="Arial" w:cs="Arial"/>
          <w:b w:val="0"/>
          <w:sz w:val="22"/>
          <w:szCs w:val="22"/>
        </w:rPr>
      </w:pPr>
      <w:r>
        <w:rPr>
          <w:rFonts w:ascii="Arial" w:hAnsi="Arial" w:cs="Arial"/>
          <w:b w:val="0"/>
          <w:sz w:val="22"/>
          <w:szCs w:val="22"/>
        </w:rPr>
        <w:t>Zmanjšanje proračunske postavke ne sme preseči 20 % vrednosti celotne postavke.</w:t>
      </w:r>
    </w:p>
    <w:p w14:paraId="43493AD8" w14:textId="77777777" w:rsidR="00BC26CA" w:rsidRDefault="00BC26CA" w:rsidP="00BC26CA">
      <w:pPr>
        <w:pStyle w:val="Telobesedila"/>
        <w:ind w:left="567" w:hanging="567"/>
        <w:jc w:val="both"/>
        <w:rPr>
          <w:rFonts w:ascii="Arial" w:hAnsi="Arial" w:cs="Arial"/>
          <w:b w:val="0"/>
          <w:sz w:val="22"/>
          <w:szCs w:val="22"/>
        </w:rPr>
      </w:pPr>
    </w:p>
    <w:p w14:paraId="6B633DDE" w14:textId="77777777" w:rsidR="00BC26CA" w:rsidRPr="00906420" w:rsidRDefault="00BC26CA" w:rsidP="00BC26CA">
      <w:pPr>
        <w:pStyle w:val="Telobesedila"/>
        <w:numPr>
          <w:ilvl w:val="0"/>
          <w:numId w:val="21"/>
        </w:numPr>
        <w:ind w:left="567" w:hanging="567"/>
        <w:jc w:val="both"/>
        <w:rPr>
          <w:rFonts w:ascii="Arial" w:hAnsi="Arial" w:cs="Arial"/>
          <w:b w:val="0"/>
          <w:sz w:val="22"/>
          <w:szCs w:val="22"/>
        </w:rPr>
      </w:pPr>
      <w:r>
        <w:rPr>
          <w:rFonts w:ascii="Arial" w:hAnsi="Arial" w:cs="Arial"/>
          <w:b w:val="0"/>
          <w:sz w:val="22"/>
          <w:szCs w:val="22"/>
        </w:rPr>
        <w:t xml:space="preserve">Proračunski uporabnik lahko samostojno razporeja proračunska sredstva med konti v okviru iste proračunske postavke v sistemu </w:t>
      </w:r>
      <w:proofErr w:type="spellStart"/>
      <w:r>
        <w:rPr>
          <w:rFonts w:ascii="Arial" w:hAnsi="Arial" w:cs="Arial"/>
          <w:b w:val="0"/>
          <w:sz w:val="22"/>
          <w:szCs w:val="22"/>
        </w:rPr>
        <w:t>Cadis</w:t>
      </w:r>
      <w:proofErr w:type="spellEnd"/>
      <w:r>
        <w:rPr>
          <w:rFonts w:ascii="Arial" w:hAnsi="Arial" w:cs="Arial"/>
          <w:b w:val="0"/>
          <w:sz w:val="22"/>
          <w:szCs w:val="22"/>
        </w:rPr>
        <w:t>. S soglasjem finančno računovodske službe se odpre nov konto za izdatke, ki jih pri planiranju proračuna ni bilo mogoče predvideti ali se je med letom izkazalo, da konto ne ustreza ekonomskemu namenu porabe. Sredstva se znotraj proračunske postavke prerazporedijo na nov konto.</w:t>
      </w:r>
    </w:p>
    <w:p w14:paraId="59495FD7" w14:textId="77777777" w:rsidR="00BC26CA" w:rsidRDefault="00BC26CA" w:rsidP="00BC26CA">
      <w:pPr>
        <w:pStyle w:val="Telobesedila"/>
        <w:ind w:left="567" w:hanging="567"/>
        <w:jc w:val="both"/>
        <w:rPr>
          <w:rFonts w:ascii="Arial" w:hAnsi="Arial" w:cs="Arial"/>
          <w:b w:val="0"/>
          <w:sz w:val="22"/>
          <w:szCs w:val="22"/>
        </w:rPr>
      </w:pPr>
    </w:p>
    <w:p w14:paraId="5142216A" w14:textId="5D0B1409" w:rsidR="00BC26CA" w:rsidRDefault="00BC26CA" w:rsidP="00E97703">
      <w:pPr>
        <w:pStyle w:val="Telobesedila"/>
        <w:numPr>
          <w:ilvl w:val="0"/>
          <w:numId w:val="21"/>
        </w:numPr>
        <w:ind w:left="567" w:hanging="567"/>
        <w:jc w:val="both"/>
        <w:rPr>
          <w:rFonts w:ascii="Arial" w:hAnsi="Arial" w:cs="Arial"/>
          <w:b w:val="0"/>
          <w:sz w:val="22"/>
          <w:szCs w:val="22"/>
        </w:rPr>
      </w:pPr>
      <w:r>
        <w:rPr>
          <w:rFonts w:ascii="Arial" w:hAnsi="Arial" w:cs="Arial"/>
          <w:b w:val="0"/>
          <w:sz w:val="22"/>
          <w:szCs w:val="22"/>
        </w:rPr>
        <w:t>Ne glede na določbo prejšnjega odstavka prerazporeditve niso dovoljene</w:t>
      </w:r>
      <w:r w:rsidR="00E97703">
        <w:rPr>
          <w:rFonts w:ascii="Arial" w:hAnsi="Arial" w:cs="Arial"/>
          <w:b w:val="0"/>
          <w:sz w:val="22"/>
          <w:szCs w:val="22"/>
        </w:rPr>
        <w:t xml:space="preserve"> </w:t>
      </w:r>
      <w:r w:rsidRPr="00E97703">
        <w:rPr>
          <w:rFonts w:ascii="Arial" w:hAnsi="Arial" w:cs="Arial"/>
          <w:b w:val="0"/>
          <w:sz w:val="22"/>
          <w:szCs w:val="22"/>
        </w:rPr>
        <w:t>iz postavk drugih namenskih sredstev.</w:t>
      </w:r>
    </w:p>
    <w:p w14:paraId="674128DD" w14:textId="77777777" w:rsidR="00E97703" w:rsidRDefault="00E97703" w:rsidP="00E97703">
      <w:pPr>
        <w:pStyle w:val="Odstavekseznama"/>
        <w:rPr>
          <w:rFonts w:cs="Arial"/>
          <w:b/>
          <w:sz w:val="22"/>
          <w:szCs w:val="22"/>
        </w:rPr>
      </w:pPr>
    </w:p>
    <w:p w14:paraId="13ED87A4" w14:textId="20FFE3A3" w:rsidR="00E97703" w:rsidRPr="00077D2D" w:rsidRDefault="00E97703" w:rsidP="00E97703">
      <w:pPr>
        <w:pStyle w:val="Telobesedila"/>
        <w:numPr>
          <w:ilvl w:val="0"/>
          <w:numId w:val="21"/>
        </w:numPr>
        <w:ind w:left="567" w:hanging="567"/>
        <w:jc w:val="both"/>
        <w:rPr>
          <w:rFonts w:ascii="Arial" w:hAnsi="Arial" w:cs="Arial"/>
          <w:b w:val="0"/>
          <w:sz w:val="22"/>
          <w:szCs w:val="22"/>
        </w:rPr>
      </w:pPr>
      <w:r>
        <w:rPr>
          <w:rFonts w:ascii="Arial" w:hAnsi="Arial" w:cs="Arial"/>
          <w:b w:val="0"/>
          <w:sz w:val="22"/>
          <w:szCs w:val="22"/>
        </w:rPr>
        <w:t>Župan s polletnim poročilom o izvrševanju proračuna in z zaključnim računom proračuna poroča mestnemu svetu o prerazporeditvah pravic porabe sredstev med proračunskimi postavkami in v bilancah proračuna prikaže veljavni proračun za leto 2025.</w:t>
      </w:r>
    </w:p>
    <w:p w14:paraId="7108B419" w14:textId="77777777" w:rsidR="00BC26CA" w:rsidRDefault="00BC26CA" w:rsidP="00BC26CA">
      <w:pPr>
        <w:pStyle w:val="odstavek"/>
        <w:shd w:val="clear" w:color="auto" w:fill="FFFFFF"/>
        <w:spacing w:before="240" w:beforeAutospacing="0" w:after="0" w:afterAutospacing="0"/>
        <w:jc w:val="center"/>
        <w:rPr>
          <w:rFonts w:ascii="Arial" w:hAnsi="Arial" w:cs="Arial"/>
          <w:color w:val="000000"/>
          <w:sz w:val="22"/>
          <w:szCs w:val="22"/>
        </w:rPr>
      </w:pPr>
      <w:r>
        <w:rPr>
          <w:rFonts w:ascii="Arial" w:hAnsi="Arial" w:cs="Arial"/>
          <w:color w:val="000000"/>
          <w:sz w:val="22"/>
          <w:szCs w:val="22"/>
        </w:rPr>
        <w:t>10. člen</w:t>
      </w:r>
    </w:p>
    <w:p w14:paraId="75F2260E" w14:textId="77777777" w:rsidR="00BC26CA" w:rsidRDefault="00BC26CA" w:rsidP="00BC26CA">
      <w:pPr>
        <w:pStyle w:val="Telobesedila"/>
        <w:jc w:val="both"/>
        <w:rPr>
          <w:rFonts w:ascii="Arial" w:hAnsi="Arial" w:cs="Arial"/>
          <w:b w:val="0"/>
          <w:sz w:val="22"/>
          <w:szCs w:val="22"/>
        </w:rPr>
      </w:pPr>
    </w:p>
    <w:p w14:paraId="65AAD468" w14:textId="77777777" w:rsidR="00BC26CA" w:rsidRPr="0098687D" w:rsidRDefault="00BC26CA" w:rsidP="00BC26CA">
      <w:pPr>
        <w:pStyle w:val="Telobesedila"/>
        <w:jc w:val="both"/>
        <w:rPr>
          <w:rFonts w:ascii="Arial" w:hAnsi="Arial" w:cs="Arial"/>
          <w:b w:val="0"/>
          <w:sz w:val="22"/>
          <w:szCs w:val="22"/>
        </w:rPr>
      </w:pPr>
      <w:r>
        <w:rPr>
          <w:rFonts w:ascii="Arial" w:hAnsi="Arial" w:cs="Arial"/>
          <w:b w:val="0"/>
          <w:sz w:val="22"/>
          <w:szCs w:val="22"/>
        </w:rPr>
        <w:t>Sredstva proračuna se smejo uporabljati le za namene, ki so določeni s proračunom, ko so opravljena vsa predhodna predpisana dejanja in pridobljena dokumentacija, dovoljenja in druga predpisana pravna podlaga.</w:t>
      </w:r>
    </w:p>
    <w:p w14:paraId="65A37438" w14:textId="77777777" w:rsidR="00BC26CA" w:rsidRDefault="00BC26CA" w:rsidP="00BC26CA">
      <w:pPr>
        <w:pStyle w:val="odstavek"/>
        <w:shd w:val="clear" w:color="auto" w:fill="FFFFFF"/>
        <w:spacing w:before="240" w:beforeAutospacing="0" w:after="0" w:afterAutospacing="0"/>
        <w:jc w:val="center"/>
        <w:rPr>
          <w:rFonts w:ascii="Arial" w:hAnsi="Arial" w:cs="Arial"/>
          <w:color w:val="000000"/>
          <w:sz w:val="22"/>
          <w:szCs w:val="22"/>
        </w:rPr>
      </w:pPr>
      <w:r>
        <w:rPr>
          <w:rFonts w:ascii="Arial" w:hAnsi="Arial" w:cs="Arial"/>
          <w:color w:val="000000"/>
          <w:sz w:val="22"/>
          <w:szCs w:val="22"/>
        </w:rPr>
        <w:t>11. člen</w:t>
      </w:r>
    </w:p>
    <w:p w14:paraId="4AAE6B66" w14:textId="77777777" w:rsidR="00BC26CA" w:rsidRPr="00906420" w:rsidRDefault="00BC26CA" w:rsidP="00BC26CA">
      <w:pPr>
        <w:pStyle w:val="Telobesedila"/>
        <w:jc w:val="both"/>
        <w:rPr>
          <w:rFonts w:ascii="Arial" w:hAnsi="Arial" w:cs="Arial"/>
          <w:b w:val="0"/>
          <w:sz w:val="22"/>
          <w:szCs w:val="22"/>
        </w:rPr>
      </w:pPr>
    </w:p>
    <w:p w14:paraId="205B06D7" w14:textId="72757ED1" w:rsidR="00BC26CA" w:rsidRDefault="00BC26CA" w:rsidP="00BC26CA">
      <w:pPr>
        <w:pStyle w:val="Telobesedila"/>
        <w:jc w:val="both"/>
        <w:rPr>
          <w:rFonts w:ascii="Arial" w:hAnsi="Arial" w:cs="Arial"/>
          <w:b w:val="0"/>
          <w:sz w:val="22"/>
          <w:szCs w:val="22"/>
        </w:rPr>
      </w:pPr>
      <w:r w:rsidRPr="00906420">
        <w:rPr>
          <w:rFonts w:ascii="Arial" w:hAnsi="Arial" w:cs="Arial"/>
          <w:b w:val="0"/>
          <w:sz w:val="22"/>
          <w:szCs w:val="22"/>
        </w:rPr>
        <w:t xml:space="preserve">Predsedniki krajevnih skupnosti lahko s pisnimi sklepi prerazporedijo sredstva med postavkami znotraj posamične krajevne skupnosti – neposrednega uporabnika proračuna z zaporedno številko od  21 do 39. </w:t>
      </w:r>
      <w:r>
        <w:rPr>
          <w:rFonts w:ascii="Arial" w:hAnsi="Arial" w:cs="Arial"/>
          <w:b w:val="0"/>
          <w:sz w:val="22"/>
          <w:szCs w:val="22"/>
        </w:rPr>
        <w:t>Zmanjšanje proračunske postavke ne sme preseči 20 % vrednosti celotne postavke.</w:t>
      </w:r>
    </w:p>
    <w:p w14:paraId="3EB16775" w14:textId="77777777" w:rsidR="00BC26CA" w:rsidRPr="0003404A" w:rsidRDefault="00BC26CA" w:rsidP="00BC26CA">
      <w:pPr>
        <w:pStyle w:val="Telobesedila"/>
        <w:jc w:val="center"/>
        <w:rPr>
          <w:rFonts w:ascii="Arial" w:hAnsi="Arial" w:cs="Arial"/>
          <w:b w:val="0"/>
          <w:sz w:val="22"/>
          <w:szCs w:val="22"/>
        </w:rPr>
      </w:pPr>
      <w:r w:rsidRPr="0003404A">
        <w:rPr>
          <w:rFonts w:ascii="Arial" w:hAnsi="Arial" w:cs="Arial"/>
          <w:b w:val="0"/>
          <w:sz w:val="22"/>
          <w:szCs w:val="22"/>
        </w:rPr>
        <w:lastRenderedPageBreak/>
        <w:t>1</w:t>
      </w:r>
      <w:r>
        <w:rPr>
          <w:rFonts w:ascii="Arial" w:hAnsi="Arial" w:cs="Arial"/>
          <w:b w:val="0"/>
          <w:sz w:val="22"/>
          <w:szCs w:val="22"/>
        </w:rPr>
        <w:t>2</w:t>
      </w:r>
      <w:r w:rsidRPr="0003404A">
        <w:rPr>
          <w:rFonts w:ascii="Arial" w:hAnsi="Arial" w:cs="Arial"/>
          <w:b w:val="0"/>
          <w:sz w:val="22"/>
          <w:szCs w:val="22"/>
        </w:rPr>
        <w:t>. člen</w:t>
      </w:r>
    </w:p>
    <w:p w14:paraId="36DADA75" w14:textId="77777777" w:rsidR="00BC26CA" w:rsidRPr="0003404A" w:rsidRDefault="00BC26CA" w:rsidP="00BC26CA">
      <w:pPr>
        <w:pStyle w:val="Telobesedila"/>
        <w:jc w:val="both"/>
        <w:rPr>
          <w:rFonts w:ascii="Arial" w:hAnsi="Arial" w:cs="Arial"/>
          <w:b w:val="0"/>
          <w:color w:val="FF0000"/>
          <w:sz w:val="22"/>
          <w:szCs w:val="22"/>
        </w:rPr>
      </w:pPr>
    </w:p>
    <w:p w14:paraId="04FB8403" w14:textId="77777777" w:rsidR="00BC26CA" w:rsidRDefault="00BC26CA" w:rsidP="00BC26CA">
      <w:pPr>
        <w:pStyle w:val="Telobesedila"/>
        <w:numPr>
          <w:ilvl w:val="0"/>
          <w:numId w:val="22"/>
        </w:numPr>
        <w:ind w:left="567" w:hanging="567"/>
        <w:jc w:val="both"/>
        <w:rPr>
          <w:rFonts w:ascii="Arial" w:hAnsi="Arial" w:cs="Arial"/>
          <w:b w:val="0"/>
          <w:sz w:val="22"/>
          <w:szCs w:val="22"/>
        </w:rPr>
      </w:pPr>
      <w:r w:rsidRPr="00906420">
        <w:rPr>
          <w:rFonts w:ascii="Arial" w:hAnsi="Arial" w:cs="Arial"/>
          <w:b w:val="0"/>
          <w:sz w:val="22"/>
          <w:szCs w:val="22"/>
        </w:rPr>
        <w:t xml:space="preserve">Proračunski uporabniki lahko prevzemajo obveznosti </w:t>
      </w:r>
      <w:r>
        <w:rPr>
          <w:rFonts w:ascii="Arial" w:hAnsi="Arial" w:cs="Arial"/>
          <w:b w:val="0"/>
          <w:sz w:val="22"/>
          <w:szCs w:val="22"/>
        </w:rPr>
        <w:t>le v okviru sredstev, ki so v proračunu predvidena za posamezne namene.</w:t>
      </w:r>
    </w:p>
    <w:p w14:paraId="400421D5" w14:textId="77777777" w:rsidR="00BC26CA" w:rsidRDefault="00BC26CA" w:rsidP="00BC26CA">
      <w:pPr>
        <w:pStyle w:val="Telobesedila"/>
        <w:ind w:left="567" w:hanging="567"/>
        <w:jc w:val="both"/>
        <w:rPr>
          <w:rFonts w:ascii="Arial" w:hAnsi="Arial" w:cs="Arial"/>
          <w:b w:val="0"/>
          <w:sz w:val="22"/>
          <w:szCs w:val="22"/>
        </w:rPr>
      </w:pPr>
    </w:p>
    <w:p w14:paraId="7992D1CD" w14:textId="77777777" w:rsidR="00BC26CA" w:rsidRDefault="00BC26CA" w:rsidP="00BC26CA">
      <w:pPr>
        <w:pStyle w:val="Telobesedila"/>
        <w:numPr>
          <w:ilvl w:val="0"/>
          <w:numId w:val="22"/>
        </w:numPr>
        <w:ind w:left="567" w:hanging="567"/>
        <w:jc w:val="both"/>
        <w:rPr>
          <w:rFonts w:ascii="Arial" w:hAnsi="Arial" w:cs="Arial"/>
          <w:b w:val="0"/>
          <w:sz w:val="22"/>
          <w:szCs w:val="22"/>
        </w:rPr>
      </w:pPr>
      <w:r>
        <w:rPr>
          <w:rFonts w:ascii="Arial" w:hAnsi="Arial" w:cs="Arial"/>
          <w:b w:val="0"/>
          <w:sz w:val="22"/>
          <w:szCs w:val="22"/>
        </w:rPr>
        <w:t>Subvencije se dodeljuje za točno določene namene, pod vnaprej določenimi pogoji in na podlagi pravil s področja dodeljevanja državnih pomoči.</w:t>
      </w:r>
    </w:p>
    <w:p w14:paraId="1087951E" w14:textId="77777777" w:rsidR="00BC26CA" w:rsidRDefault="00BC26CA" w:rsidP="00BC26CA">
      <w:pPr>
        <w:pStyle w:val="Telobesedila"/>
        <w:ind w:left="567" w:hanging="567"/>
        <w:jc w:val="both"/>
        <w:rPr>
          <w:rFonts w:ascii="Arial" w:hAnsi="Arial" w:cs="Arial"/>
          <w:b w:val="0"/>
          <w:sz w:val="22"/>
          <w:szCs w:val="22"/>
        </w:rPr>
      </w:pPr>
    </w:p>
    <w:p w14:paraId="3C706C40" w14:textId="77777777" w:rsidR="00BC26CA" w:rsidRDefault="00BC26CA" w:rsidP="00BC26CA">
      <w:pPr>
        <w:pStyle w:val="Telobesedila"/>
        <w:numPr>
          <w:ilvl w:val="0"/>
          <w:numId w:val="22"/>
        </w:numPr>
        <w:ind w:left="567" w:hanging="567"/>
        <w:jc w:val="both"/>
        <w:rPr>
          <w:rFonts w:ascii="Arial" w:hAnsi="Arial" w:cs="Arial"/>
          <w:b w:val="0"/>
          <w:sz w:val="22"/>
          <w:szCs w:val="22"/>
        </w:rPr>
      </w:pPr>
      <w:r>
        <w:rPr>
          <w:rFonts w:ascii="Arial" w:hAnsi="Arial" w:cs="Arial"/>
          <w:b w:val="0"/>
          <w:sz w:val="22"/>
          <w:szCs w:val="22"/>
        </w:rPr>
        <w:t>Proračunski uporabniki zagotovijo sredstva za obveznosti iz preteklih let, ki niso predvidena v proračunu za tekoče leto, v okviru sredstev proračuna tekočega leta.</w:t>
      </w:r>
    </w:p>
    <w:p w14:paraId="3FF5B09C" w14:textId="77777777" w:rsidR="00BC26CA" w:rsidRDefault="00BC26CA" w:rsidP="00BC26CA">
      <w:pPr>
        <w:pStyle w:val="Telobesedila"/>
        <w:jc w:val="both"/>
        <w:rPr>
          <w:rFonts w:ascii="Arial" w:hAnsi="Arial" w:cs="Arial"/>
          <w:b w:val="0"/>
          <w:sz w:val="22"/>
          <w:szCs w:val="22"/>
        </w:rPr>
      </w:pPr>
    </w:p>
    <w:p w14:paraId="4F8536F3" w14:textId="77777777" w:rsidR="00BC26CA" w:rsidRDefault="00BC26CA" w:rsidP="00BC26CA">
      <w:pPr>
        <w:pStyle w:val="Telobesedila"/>
        <w:jc w:val="center"/>
        <w:rPr>
          <w:rFonts w:ascii="Arial" w:hAnsi="Arial" w:cs="Arial"/>
          <w:b w:val="0"/>
          <w:sz w:val="22"/>
          <w:szCs w:val="22"/>
        </w:rPr>
      </w:pPr>
      <w:r>
        <w:rPr>
          <w:rFonts w:ascii="Arial" w:hAnsi="Arial" w:cs="Arial"/>
          <w:b w:val="0"/>
          <w:sz w:val="22"/>
          <w:szCs w:val="22"/>
        </w:rPr>
        <w:t>13. člen</w:t>
      </w:r>
    </w:p>
    <w:p w14:paraId="4499DFCB" w14:textId="77777777" w:rsidR="00BC26CA" w:rsidRDefault="00BC26CA" w:rsidP="00BC26CA">
      <w:pPr>
        <w:pStyle w:val="Telobesedila"/>
        <w:jc w:val="both"/>
        <w:rPr>
          <w:rFonts w:ascii="Arial" w:hAnsi="Arial" w:cs="Arial"/>
          <w:b w:val="0"/>
          <w:sz w:val="22"/>
          <w:szCs w:val="22"/>
        </w:rPr>
      </w:pPr>
    </w:p>
    <w:p w14:paraId="5E2B4E94" w14:textId="77777777" w:rsidR="00BC26CA" w:rsidRDefault="00BC26CA" w:rsidP="00BC26CA">
      <w:pPr>
        <w:pStyle w:val="Telobesedila"/>
        <w:numPr>
          <w:ilvl w:val="0"/>
          <w:numId w:val="23"/>
        </w:numPr>
        <w:ind w:left="567" w:hanging="567"/>
        <w:jc w:val="both"/>
        <w:rPr>
          <w:rFonts w:ascii="Arial" w:hAnsi="Arial" w:cs="Arial"/>
          <w:b w:val="0"/>
          <w:sz w:val="22"/>
          <w:szCs w:val="22"/>
        </w:rPr>
      </w:pPr>
      <w:r>
        <w:rPr>
          <w:rFonts w:ascii="Arial" w:hAnsi="Arial" w:cs="Arial"/>
          <w:b w:val="0"/>
          <w:sz w:val="22"/>
          <w:szCs w:val="22"/>
        </w:rPr>
        <w:t xml:space="preserve">Za izvrševanje proračuna je odgovoren župan. </w:t>
      </w:r>
    </w:p>
    <w:p w14:paraId="3E7269D2" w14:textId="77777777" w:rsidR="00BC26CA" w:rsidRDefault="00BC26CA" w:rsidP="00BC26CA">
      <w:pPr>
        <w:pStyle w:val="Telobesedila"/>
        <w:ind w:left="567" w:hanging="567"/>
        <w:jc w:val="both"/>
        <w:rPr>
          <w:rFonts w:ascii="Arial" w:hAnsi="Arial" w:cs="Arial"/>
          <w:b w:val="0"/>
          <w:sz w:val="22"/>
          <w:szCs w:val="22"/>
        </w:rPr>
      </w:pPr>
    </w:p>
    <w:p w14:paraId="46525FE6" w14:textId="77777777" w:rsidR="00BC26CA" w:rsidRPr="00906420" w:rsidRDefault="00BC26CA" w:rsidP="00BC26CA">
      <w:pPr>
        <w:pStyle w:val="Telobesedila"/>
        <w:numPr>
          <w:ilvl w:val="0"/>
          <w:numId w:val="23"/>
        </w:numPr>
        <w:ind w:left="567" w:hanging="567"/>
        <w:jc w:val="both"/>
        <w:rPr>
          <w:rFonts w:ascii="Arial" w:hAnsi="Arial" w:cs="Arial"/>
          <w:b w:val="0"/>
          <w:sz w:val="22"/>
          <w:szCs w:val="22"/>
        </w:rPr>
      </w:pPr>
      <w:r w:rsidRPr="00906420">
        <w:rPr>
          <w:rFonts w:ascii="Arial" w:hAnsi="Arial" w:cs="Arial"/>
          <w:b w:val="0"/>
          <w:sz w:val="22"/>
          <w:szCs w:val="22"/>
        </w:rPr>
        <w:t xml:space="preserve">Župan lahko za izvrševanje proračuna pooblasti tudi druge </w:t>
      </w:r>
      <w:r>
        <w:rPr>
          <w:rFonts w:ascii="Arial" w:hAnsi="Arial" w:cs="Arial"/>
          <w:b w:val="0"/>
          <w:sz w:val="22"/>
          <w:szCs w:val="22"/>
        </w:rPr>
        <w:t>zaposlene osebe</w:t>
      </w:r>
      <w:r w:rsidRPr="00906420">
        <w:rPr>
          <w:rFonts w:ascii="Arial" w:hAnsi="Arial" w:cs="Arial"/>
          <w:b w:val="0"/>
          <w:sz w:val="22"/>
          <w:szCs w:val="22"/>
        </w:rPr>
        <w:t>.</w:t>
      </w:r>
    </w:p>
    <w:p w14:paraId="6135E6C0" w14:textId="77777777" w:rsidR="00BC26CA" w:rsidRPr="00906420" w:rsidRDefault="00BC26CA" w:rsidP="00BC26CA">
      <w:pPr>
        <w:pStyle w:val="Telobesedila"/>
        <w:ind w:left="567" w:hanging="567"/>
        <w:jc w:val="both"/>
        <w:rPr>
          <w:rFonts w:ascii="Arial" w:hAnsi="Arial" w:cs="Arial"/>
          <w:b w:val="0"/>
          <w:sz w:val="22"/>
          <w:szCs w:val="22"/>
        </w:rPr>
      </w:pPr>
    </w:p>
    <w:p w14:paraId="6BE238AD" w14:textId="77777777" w:rsidR="00BC26CA" w:rsidRPr="00906420" w:rsidRDefault="00BC26CA" w:rsidP="00BC26CA">
      <w:pPr>
        <w:pStyle w:val="Telobesedila"/>
        <w:numPr>
          <w:ilvl w:val="0"/>
          <w:numId w:val="23"/>
        </w:numPr>
        <w:ind w:left="567" w:hanging="567"/>
        <w:jc w:val="both"/>
        <w:rPr>
          <w:rFonts w:ascii="Arial" w:hAnsi="Arial" w:cs="Arial"/>
          <w:b w:val="0"/>
          <w:sz w:val="22"/>
          <w:szCs w:val="22"/>
        </w:rPr>
      </w:pPr>
      <w:r w:rsidRPr="00906420">
        <w:rPr>
          <w:rFonts w:ascii="Arial" w:hAnsi="Arial" w:cs="Arial"/>
          <w:b w:val="0"/>
          <w:sz w:val="22"/>
          <w:szCs w:val="22"/>
        </w:rPr>
        <w:t>Za izvrševanje finančnega načrta krajevne skupnosti je odgovoren svet krajevne skupnosti ali predsednik sveta, če ga za to pooblasti svet krajevne skupnosti.</w:t>
      </w:r>
    </w:p>
    <w:p w14:paraId="60A53863" w14:textId="77777777" w:rsidR="00BC26CA" w:rsidRPr="00906420" w:rsidRDefault="00BC26CA" w:rsidP="00BC26CA">
      <w:pPr>
        <w:pStyle w:val="Telobesedila"/>
        <w:ind w:left="567" w:hanging="567"/>
        <w:jc w:val="both"/>
        <w:rPr>
          <w:rFonts w:ascii="Arial" w:hAnsi="Arial" w:cs="Arial"/>
          <w:b w:val="0"/>
          <w:sz w:val="22"/>
          <w:szCs w:val="22"/>
        </w:rPr>
      </w:pPr>
    </w:p>
    <w:p w14:paraId="3D710B67" w14:textId="77777777" w:rsidR="00BC26CA" w:rsidRPr="00906420" w:rsidRDefault="00BC26CA" w:rsidP="00BC26CA">
      <w:pPr>
        <w:pStyle w:val="Telobesedila"/>
        <w:numPr>
          <w:ilvl w:val="0"/>
          <w:numId w:val="23"/>
        </w:numPr>
        <w:ind w:left="567" w:hanging="567"/>
        <w:rPr>
          <w:rFonts w:ascii="Arial" w:hAnsi="Arial" w:cs="Arial"/>
          <w:b w:val="0"/>
          <w:sz w:val="22"/>
          <w:szCs w:val="22"/>
        </w:rPr>
      </w:pPr>
      <w:r w:rsidRPr="00906420">
        <w:rPr>
          <w:rFonts w:ascii="Arial" w:hAnsi="Arial" w:cs="Arial"/>
          <w:b w:val="0"/>
          <w:sz w:val="22"/>
          <w:szCs w:val="22"/>
        </w:rPr>
        <w:t>Krajevne skupnosti so dolžne pred sklenitvijo posameznega pravnega posla pridobiti pisno soglasje župana, v nasprotnem primeru je pravni posel ničen.</w:t>
      </w:r>
    </w:p>
    <w:p w14:paraId="34CF354D" w14:textId="77777777" w:rsidR="00BC26CA" w:rsidRPr="00906420" w:rsidRDefault="00BC26CA" w:rsidP="00BC26CA">
      <w:pPr>
        <w:pStyle w:val="Telobesedila"/>
        <w:ind w:left="567" w:hanging="567"/>
        <w:rPr>
          <w:rFonts w:ascii="Arial" w:hAnsi="Arial" w:cs="Arial"/>
          <w:b w:val="0"/>
          <w:sz w:val="22"/>
          <w:szCs w:val="22"/>
        </w:rPr>
      </w:pPr>
    </w:p>
    <w:p w14:paraId="0C3C9E5F" w14:textId="77777777" w:rsidR="00BC26CA" w:rsidRDefault="00BC26CA" w:rsidP="00BC26CA">
      <w:pPr>
        <w:pStyle w:val="Telobesedila"/>
        <w:numPr>
          <w:ilvl w:val="0"/>
          <w:numId w:val="23"/>
        </w:numPr>
        <w:ind w:left="567" w:hanging="567"/>
        <w:jc w:val="both"/>
        <w:rPr>
          <w:rFonts w:ascii="Arial" w:hAnsi="Arial" w:cs="Arial"/>
          <w:b w:val="0"/>
          <w:sz w:val="22"/>
          <w:szCs w:val="22"/>
        </w:rPr>
      </w:pPr>
      <w:r w:rsidRPr="00906420">
        <w:rPr>
          <w:rFonts w:ascii="Arial" w:hAnsi="Arial" w:cs="Arial"/>
          <w:b w:val="0"/>
          <w:sz w:val="22"/>
          <w:szCs w:val="22"/>
        </w:rPr>
        <w:t>Soglasje župana ni potrebno za sklenitev:</w:t>
      </w:r>
    </w:p>
    <w:p w14:paraId="0C945C5C" w14:textId="77777777" w:rsidR="00BC26CA" w:rsidRPr="00906420" w:rsidRDefault="00BC26CA" w:rsidP="00BC26CA">
      <w:pPr>
        <w:pStyle w:val="Telobesedila"/>
        <w:ind w:left="567" w:hanging="567"/>
        <w:jc w:val="both"/>
        <w:rPr>
          <w:rFonts w:ascii="Arial" w:hAnsi="Arial" w:cs="Arial"/>
          <w:b w:val="0"/>
          <w:sz w:val="22"/>
          <w:szCs w:val="22"/>
        </w:rPr>
      </w:pPr>
    </w:p>
    <w:p w14:paraId="32A7F197"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za nabavo blaga in storitev, katerih vrednost je nižja od</w:t>
      </w:r>
      <w:r>
        <w:rPr>
          <w:rFonts w:ascii="Arial" w:hAnsi="Arial" w:cs="Arial"/>
          <w:b w:val="0"/>
          <w:sz w:val="22"/>
          <w:szCs w:val="22"/>
        </w:rPr>
        <w:t xml:space="preserve"> 40.000</w:t>
      </w:r>
      <w:r w:rsidRPr="00906420">
        <w:rPr>
          <w:rFonts w:ascii="Arial" w:hAnsi="Arial" w:cs="Arial"/>
          <w:b w:val="0"/>
          <w:sz w:val="22"/>
          <w:szCs w:val="22"/>
        </w:rPr>
        <w:t xml:space="preserve"> EUR;</w:t>
      </w:r>
    </w:p>
    <w:p w14:paraId="6FEC0239"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za gradnje, rekonstrukcije in adaptacije, katerih vrednost je nižja od</w:t>
      </w:r>
      <w:r>
        <w:rPr>
          <w:rFonts w:ascii="Arial" w:hAnsi="Arial" w:cs="Arial"/>
          <w:b w:val="0"/>
          <w:sz w:val="22"/>
          <w:szCs w:val="22"/>
        </w:rPr>
        <w:t xml:space="preserve"> 80.000 </w:t>
      </w:r>
      <w:r w:rsidRPr="00906420">
        <w:rPr>
          <w:rFonts w:ascii="Arial" w:hAnsi="Arial" w:cs="Arial"/>
          <w:b w:val="0"/>
          <w:sz w:val="22"/>
          <w:szCs w:val="22"/>
        </w:rPr>
        <w:t>,00 EUR;</w:t>
      </w:r>
    </w:p>
    <w:p w14:paraId="4C1E32C7"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v katere je občina vključena kot sofinancer oz. pogodbena stranka;</w:t>
      </w:r>
    </w:p>
    <w:p w14:paraId="3D8ECFB0"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s katerimi krajevne skupnosti oddajajo nepremičnine in premičnine v občasno rabo;</w:t>
      </w:r>
    </w:p>
    <w:p w14:paraId="2AC27326"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s katerimi krajevne skupnosti v okviru izvajanja pokopališke dejavnosti oddajajo grobove v najem;</w:t>
      </w:r>
    </w:p>
    <w:p w14:paraId="00C834FA"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na podlagi katerih krajevne skupnosti zgolj pridobivajo sredstva kot npr. donacije, sponzorstva.</w:t>
      </w:r>
    </w:p>
    <w:p w14:paraId="1BA508D4" w14:textId="77777777" w:rsidR="00BC26CA" w:rsidRPr="00906420" w:rsidRDefault="00BC26CA" w:rsidP="00BC26CA">
      <w:pPr>
        <w:pStyle w:val="Telobesedila"/>
        <w:ind w:left="709" w:hanging="142"/>
        <w:jc w:val="both"/>
        <w:rPr>
          <w:rFonts w:ascii="Arial" w:hAnsi="Arial" w:cs="Arial"/>
          <w:b w:val="0"/>
          <w:sz w:val="22"/>
          <w:szCs w:val="22"/>
        </w:rPr>
      </w:pPr>
    </w:p>
    <w:p w14:paraId="255074BA" w14:textId="77777777" w:rsidR="00BC26CA" w:rsidRPr="00906420" w:rsidRDefault="00BC26CA" w:rsidP="00BC26CA">
      <w:pPr>
        <w:pStyle w:val="Telobesedila"/>
        <w:jc w:val="center"/>
        <w:rPr>
          <w:rFonts w:ascii="Arial" w:hAnsi="Arial" w:cs="Arial"/>
          <w:b w:val="0"/>
          <w:sz w:val="22"/>
          <w:szCs w:val="22"/>
        </w:rPr>
      </w:pPr>
      <w:r>
        <w:rPr>
          <w:rFonts w:ascii="Arial" w:hAnsi="Arial" w:cs="Arial"/>
          <w:b w:val="0"/>
          <w:sz w:val="22"/>
          <w:szCs w:val="22"/>
        </w:rPr>
        <w:t>14</w:t>
      </w:r>
      <w:r w:rsidRPr="00906420">
        <w:rPr>
          <w:rFonts w:ascii="Arial" w:hAnsi="Arial" w:cs="Arial"/>
          <w:b w:val="0"/>
          <w:sz w:val="22"/>
          <w:szCs w:val="22"/>
        </w:rPr>
        <w:t>. člen</w:t>
      </w:r>
    </w:p>
    <w:p w14:paraId="1A9ABC08" w14:textId="77777777" w:rsidR="00BC26CA" w:rsidRPr="00906420" w:rsidRDefault="00BC26CA" w:rsidP="00BC26CA">
      <w:pPr>
        <w:pStyle w:val="Telobesedila"/>
        <w:jc w:val="both"/>
        <w:rPr>
          <w:rFonts w:ascii="Arial" w:hAnsi="Arial" w:cs="Arial"/>
          <w:b w:val="0"/>
          <w:sz w:val="22"/>
          <w:szCs w:val="22"/>
        </w:rPr>
      </w:pPr>
    </w:p>
    <w:p w14:paraId="3D2C406E" w14:textId="47407491" w:rsidR="00BC26CA" w:rsidRDefault="00BC26CA" w:rsidP="00BC26CA">
      <w:pPr>
        <w:pStyle w:val="Telobesedila"/>
        <w:numPr>
          <w:ilvl w:val="0"/>
          <w:numId w:val="35"/>
        </w:numPr>
        <w:ind w:left="426" w:hanging="426"/>
        <w:jc w:val="both"/>
        <w:rPr>
          <w:rFonts w:ascii="Arial" w:hAnsi="Arial" w:cs="Arial"/>
          <w:b w:val="0"/>
          <w:sz w:val="22"/>
          <w:szCs w:val="22"/>
        </w:rPr>
      </w:pPr>
      <w:r>
        <w:rPr>
          <w:rFonts w:ascii="Arial" w:hAnsi="Arial" w:cs="Arial"/>
          <w:b w:val="0"/>
          <w:sz w:val="22"/>
          <w:szCs w:val="22"/>
        </w:rPr>
        <w:t>Neposredni proračunski uporabnik lahko v tekočem letu za investicijske odhodke in investicijske transfere razpiše javno naročilo za celotno vrednost projekta, ki je vključen v načrt razvojnih programov, če so zanj načrtovane pravice porabe na postavkah sprejetega proračuna. Neposredni proračunski uporabnik lahko v letu 202</w:t>
      </w:r>
      <w:r w:rsidR="00CB462E">
        <w:rPr>
          <w:rFonts w:ascii="Arial" w:hAnsi="Arial" w:cs="Arial"/>
          <w:b w:val="0"/>
          <w:sz w:val="22"/>
          <w:szCs w:val="22"/>
        </w:rPr>
        <w:t>5</w:t>
      </w:r>
      <w:r>
        <w:rPr>
          <w:rFonts w:ascii="Arial" w:hAnsi="Arial" w:cs="Arial"/>
          <w:b w:val="0"/>
          <w:sz w:val="22"/>
          <w:szCs w:val="22"/>
        </w:rPr>
        <w:t xml:space="preserve"> sklene pogodbo, katerih obveznosti zapadejo v plačilo v naslednjih letih največ do skupne višine 50 % predvidenih sredstev v sprejetem načrtu razvojnih programov, če ima načrtovane pravice porabe v tekočem proračunskem letu. </w:t>
      </w:r>
    </w:p>
    <w:p w14:paraId="65B0A306" w14:textId="77777777" w:rsidR="00BC26CA" w:rsidRDefault="00BC26CA" w:rsidP="00BC26CA">
      <w:pPr>
        <w:pStyle w:val="Telobesedila"/>
        <w:ind w:left="426" w:hanging="426"/>
        <w:jc w:val="both"/>
        <w:rPr>
          <w:rFonts w:ascii="Arial" w:hAnsi="Arial" w:cs="Arial"/>
          <w:b w:val="0"/>
          <w:sz w:val="22"/>
          <w:szCs w:val="22"/>
        </w:rPr>
      </w:pPr>
    </w:p>
    <w:p w14:paraId="446B0448" w14:textId="77777777" w:rsidR="00BC26CA" w:rsidRDefault="00BC26CA" w:rsidP="00BC26CA">
      <w:pPr>
        <w:pStyle w:val="Telobesedila"/>
        <w:numPr>
          <w:ilvl w:val="0"/>
          <w:numId w:val="35"/>
        </w:numPr>
        <w:ind w:left="426" w:hanging="426"/>
        <w:jc w:val="both"/>
        <w:rPr>
          <w:rFonts w:ascii="Arial" w:hAnsi="Arial" w:cs="Arial"/>
          <w:b w:val="0"/>
          <w:sz w:val="22"/>
          <w:szCs w:val="22"/>
        </w:rPr>
      </w:pPr>
      <w:bookmarkStart w:id="0" w:name="_Hlk126218682"/>
      <w:r>
        <w:rPr>
          <w:rFonts w:ascii="Arial" w:hAnsi="Arial" w:cs="Arial"/>
          <w:b w:val="0"/>
          <w:sz w:val="22"/>
          <w:szCs w:val="22"/>
        </w:rPr>
        <w:t>Omejitve iz prejšnjega odstavka ne veljajo za izvedbo projektov, ki se financirajo iz sredstev EU, in sicer do višine vrednosti projekta.</w:t>
      </w:r>
    </w:p>
    <w:bookmarkEnd w:id="0"/>
    <w:p w14:paraId="58901599" w14:textId="77777777" w:rsidR="00BC26CA" w:rsidRDefault="00BC26CA" w:rsidP="00BC26CA">
      <w:pPr>
        <w:pStyle w:val="Telobesedila"/>
        <w:ind w:left="426" w:hanging="426"/>
        <w:jc w:val="both"/>
        <w:rPr>
          <w:rFonts w:ascii="Arial" w:hAnsi="Arial" w:cs="Arial"/>
          <w:b w:val="0"/>
          <w:sz w:val="22"/>
          <w:szCs w:val="22"/>
        </w:rPr>
      </w:pPr>
    </w:p>
    <w:p w14:paraId="2A996773" w14:textId="6AA04DD6" w:rsidR="00BC26CA" w:rsidRDefault="00BC26CA" w:rsidP="00BC26CA">
      <w:pPr>
        <w:pStyle w:val="Telobesedila"/>
        <w:numPr>
          <w:ilvl w:val="0"/>
          <w:numId w:val="35"/>
        </w:numPr>
        <w:ind w:left="426" w:hanging="426"/>
        <w:jc w:val="both"/>
        <w:rPr>
          <w:rFonts w:ascii="Arial" w:hAnsi="Arial" w:cs="Arial"/>
          <w:b w:val="0"/>
          <w:sz w:val="22"/>
          <w:szCs w:val="22"/>
        </w:rPr>
      </w:pPr>
      <w:r>
        <w:rPr>
          <w:rFonts w:ascii="Arial" w:hAnsi="Arial" w:cs="Arial"/>
          <w:b w:val="0"/>
          <w:sz w:val="22"/>
          <w:szCs w:val="22"/>
        </w:rPr>
        <w:t>Skupni obseg prevzetih obveznosti v letu 202</w:t>
      </w:r>
      <w:r w:rsidR="00851AB9">
        <w:rPr>
          <w:rFonts w:ascii="Arial" w:hAnsi="Arial" w:cs="Arial"/>
          <w:b w:val="0"/>
          <w:sz w:val="22"/>
          <w:szCs w:val="22"/>
        </w:rPr>
        <w:t>5</w:t>
      </w:r>
      <w:r>
        <w:rPr>
          <w:rFonts w:ascii="Arial" w:hAnsi="Arial" w:cs="Arial"/>
          <w:b w:val="0"/>
          <w:sz w:val="22"/>
          <w:szCs w:val="22"/>
        </w:rPr>
        <w:t>, ki bodo zapadle v plačilo v prihodnjih letih za blago in storitve ter za tekoče transfere, ne sme presegati 25 % pravic porabe v veljavnem finančnem načrtu posameznega neposrednega proračunskega uporabnika.</w:t>
      </w:r>
    </w:p>
    <w:p w14:paraId="5A226A96" w14:textId="77777777" w:rsidR="00BC26CA" w:rsidRDefault="00BC26CA" w:rsidP="00BC26CA">
      <w:pPr>
        <w:pStyle w:val="Telobesedila"/>
        <w:ind w:left="426" w:hanging="426"/>
        <w:jc w:val="both"/>
        <w:rPr>
          <w:rFonts w:ascii="Arial" w:hAnsi="Arial" w:cs="Arial"/>
          <w:sz w:val="24"/>
          <w:szCs w:val="24"/>
        </w:rPr>
      </w:pPr>
    </w:p>
    <w:p w14:paraId="755FE517" w14:textId="77777777" w:rsidR="00BC26CA" w:rsidRDefault="00BC26CA" w:rsidP="00BC26CA">
      <w:pPr>
        <w:pStyle w:val="Telobesedila"/>
        <w:numPr>
          <w:ilvl w:val="0"/>
          <w:numId w:val="35"/>
        </w:numPr>
        <w:ind w:left="426" w:hanging="426"/>
        <w:jc w:val="both"/>
        <w:rPr>
          <w:rFonts w:ascii="Arial" w:hAnsi="Arial" w:cs="Arial"/>
          <w:b w:val="0"/>
          <w:sz w:val="22"/>
          <w:szCs w:val="22"/>
        </w:rPr>
      </w:pPr>
      <w:r>
        <w:rPr>
          <w:rFonts w:ascii="Arial" w:hAnsi="Arial" w:cs="Arial"/>
          <w:b w:val="0"/>
          <w:sz w:val="22"/>
          <w:szCs w:val="22"/>
        </w:rPr>
        <w:lastRenderedPageBreak/>
        <w:t>Omejitve iz  prejšnjega odstavka ne veljajo za najem prostorov in opreme, dobavo elektrike, telefona, vode, komunalnih storitev, računalniških storitev in drugih storitev, potrebnih za operativno delovanje neposrednih uporabnikov ter prevoze šoloobveznih otrok.</w:t>
      </w:r>
    </w:p>
    <w:p w14:paraId="7AE49312" w14:textId="77777777" w:rsidR="00BC26CA" w:rsidRDefault="00BC26CA" w:rsidP="00BC26CA">
      <w:pPr>
        <w:pStyle w:val="Telobesedila"/>
        <w:ind w:left="426" w:hanging="426"/>
        <w:jc w:val="both"/>
        <w:rPr>
          <w:rFonts w:ascii="Arial" w:hAnsi="Arial" w:cs="Arial"/>
          <w:b w:val="0"/>
          <w:sz w:val="22"/>
          <w:szCs w:val="22"/>
        </w:rPr>
      </w:pPr>
    </w:p>
    <w:p w14:paraId="2DEB1326" w14:textId="77777777" w:rsidR="00BC26CA" w:rsidRDefault="00BC26CA" w:rsidP="00BC26CA">
      <w:pPr>
        <w:pStyle w:val="Telobesedila"/>
        <w:numPr>
          <w:ilvl w:val="0"/>
          <w:numId w:val="35"/>
        </w:numPr>
        <w:ind w:left="426" w:hanging="426"/>
        <w:jc w:val="both"/>
        <w:rPr>
          <w:rFonts w:ascii="Arial" w:hAnsi="Arial" w:cs="Arial"/>
          <w:b w:val="0"/>
          <w:sz w:val="22"/>
          <w:szCs w:val="22"/>
        </w:rPr>
      </w:pPr>
      <w:r>
        <w:rPr>
          <w:rFonts w:ascii="Arial" w:hAnsi="Arial" w:cs="Arial"/>
          <w:b w:val="0"/>
          <w:sz w:val="22"/>
          <w:szCs w:val="22"/>
        </w:rPr>
        <w:t>Prevzete obveznosti se načrtujejo v finančnem načrtu neposrednega proračunskega uporabnika in načrtu razvojnih programov.</w:t>
      </w:r>
    </w:p>
    <w:p w14:paraId="2E4A6B27" w14:textId="77777777" w:rsidR="00BC26CA" w:rsidRDefault="00BC26CA" w:rsidP="00BC26CA">
      <w:pPr>
        <w:pStyle w:val="Telobesedila"/>
        <w:ind w:left="567" w:hanging="567"/>
        <w:jc w:val="both"/>
        <w:rPr>
          <w:rFonts w:ascii="Arial" w:hAnsi="Arial" w:cs="Arial"/>
          <w:b w:val="0"/>
          <w:sz w:val="22"/>
          <w:szCs w:val="22"/>
        </w:rPr>
      </w:pPr>
    </w:p>
    <w:p w14:paraId="77FD828B" w14:textId="77777777" w:rsidR="00BC26CA" w:rsidRDefault="00BC26CA" w:rsidP="00BC26CA">
      <w:pPr>
        <w:pStyle w:val="Telobesedila"/>
        <w:jc w:val="center"/>
        <w:rPr>
          <w:rFonts w:ascii="Arial" w:hAnsi="Arial" w:cs="Arial"/>
          <w:b w:val="0"/>
          <w:color w:val="000000"/>
          <w:sz w:val="22"/>
          <w:szCs w:val="22"/>
        </w:rPr>
      </w:pPr>
      <w:bookmarkStart w:id="1" w:name="_Hlk126155897"/>
      <w:r w:rsidRPr="0074155B">
        <w:rPr>
          <w:rFonts w:ascii="Arial" w:hAnsi="Arial" w:cs="Arial"/>
          <w:b w:val="0"/>
          <w:color w:val="000000"/>
          <w:sz w:val="22"/>
          <w:szCs w:val="22"/>
        </w:rPr>
        <w:t>15. člen</w:t>
      </w:r>
    </w:p>
    <w:p w14:paraId="5386045C" w14:textId="77777777" w:rsidR="00BC26CA" w:rsidRDefault="00BC26CA" w:rsidP="00BC26CA">
      <w:pPr>
        <w:pStyle w:val="Telobesedila"/>
        <w:jc w:val="center"/>
        <w:rPr>
          <w:rFonts w:ascii="Arial" w:hAnsi="Arial" w:cs="Arial"/>
          <w:b w:val="0"/>
          <w:color w:val="000000"/>
          <w:sz w:val="22"/>
          <w:szCs w:val="22"/>
        </w:rPr>
      </w:pPr>
    </w:p>
    <w:p w14:paraId="57620C9F" w14:textId="77777777" w:rsidR="00BC26CA" w:rsidRDefault="00BC26CA" w:rsidP="00BC26CA">
      <w:pPr>
        <w:pStyle w:val="Telobesedila"/>
        <w:numPr>
          <w:ilvl w:val="0"/>
          <w:numId w:val="32"/>
        </w:numPr>
        <w:ind w:left="426" w:hanging="426"/>
        <w:jc w:val="both"/>
        <w:rPr>
          <w:rFonts w:ascii="Arial" w:hAnsi="Arial" w:cs="Arial"/>
          <w:b w:val="0"/>
          <w:sz w:val="22"/>
          <w:szCs w:val="22"/>
        </w:rPr>
      </w:pPr>
      <w:r>
        <w:rPr>
          <w:rFonts w:ascii="Arial" w:hAnsi="Arial" w:cs="Arial"/>
          <w:b w:val="0"/>
          <w:bCs/>
          <w:sz w:val="22"/>
          <w:szCs w:val="22"/>
        </w:rPr>
        <w:t>Neposredni proračunski uporabnik vodi evidenco projektov iz veljavnega načrta razvojih programov.</w:t>
      </w:r>
    </w:p>
    <w:p w14:paraId="678B0960"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5BF38B01" w14:textId="77777777" w:rsidR="00BC26CA" w:rsidRDefault="00BC26CA" w:rsidP="00BC26CA">
      <w:pPr>
        <w:pStyle w:val="Telobesedila"/>
        <w:numPr>
          <w:ilvl w:val="0"/>
          <w:numId w:val="32"/>
        </w:numPr>
        <w:ind w:left="426" w:hanging="426"/>
        <w:jc w:val="both"/>
        <w:rPr>
          <w:rFonts w:ascii="Arial" w:hAnsi="Arial" w:cs="Arial"/>
          <w:b w:val="0"/>
          <w:bCs/>
          <w:sz w:val="22"/>
          <w:szCs w:val="22"/>
        </w:rPr>
      </w:pPr>
      <w:r>
        <w:rPr>
          <w:rFonts w:ascii="Arial" w:hAnsi="Arial" w:cs="Arial"/>
          <w:b w:val="0"/>
          <w:bCs/>
          <w:sz w:val="22"/>
          <w:szCs w:val="22"/>
        </w:rPr>
        <w:t>Spremembe veljavnega načrta razvojnih programov so uvrstitev projektov v načrt razvojnih programov in druge spremembe projektov že vključenih v veljavni načrt razvojnih programov.</w:t>
      </w:r>
    </w:p>
    <w:p w14:paraId="29288B1E"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136DCB01" w14:textId="77777777" w:rsidR="00BC26CA" w:rsidRPr="00DA2E94" w:rsidRDefault="00BC26CA" w:rsidP="00BC26CA">
      <w:pPr>
        <w:pStyle w:val="Telobesedila"/>
        <w:numPr>
          <w:ilvl w:val="0"/>
          <w:numId w:val="32"/>
        </w:numPr>
        <w:ind w:left="426" w:hanging="426"/>
        <w:jc w:val="both"/>
        <w:rPr>
          <w:rFonts w:ascii="Arial" w:eastAsia="Calibri" w:hAnsi="Arial" w:cs="Arial"/>
          <w:b w:val="0"/>
          <w:bCs/>
          <w:sz w:val="22"/>
          <w:szCs w:val="22"/>
        </w:rPr>
      </w:pPr>
      <w:r w:rsidRPr="00DA2E94">
        <w:rPr>
          <w:rFonts w:ascii="Arial" w:hAnsi="Arial" w:cs="Arial"/>
          <w:b w:val="0"/>
          <w:bCs/>
          <w:sz w:val="22"/>
          <w:szCs w:val="22"/>
        </w:rPr>
        <w:t xml:space="preserve">Temeljni dokument za uvrstitev projekta v načrt razvojnih programov je dokument identifikacije investicijskega projekta, izdelan skladno z Uredbo o enotni metodologiji za pripravo in obravnavo investicijske dokumentacije na področju javnih financ (Uradni list RS, št. 60/06, 54/10 in 27/16). Izhodiščna vrednost se lahko spremeni na podlagi s sklepom potrjene predinvesticijske zasnove, investicijskega programa ali njegove </w:t>
      </w:r>
      <w:proofErr w:type="spellStart"/>
      <w:r w:rsidRPr="00DA2E94">
        <w:rPr>
          <w:rFonts w:ascii="Arial" w:hAnsi="Arial" w:cs="Arial"/>
          <w:b w:val="0"/>
          <w:bCs/>
          <w:sz w:val="22"/>
          <w:szCs w:val="22"/>
        </w:rPr>
        <w:t>novelacije</w:t>
      </w:r>
      <w:proofErr w:type="spellEnd"/>
      <w:r w:rsidRPr="00DA2E94">
        <w:rPr>
          <w:rFonts w:ascii="Arial" w:hAnsi="Arial" w:cs="Arial"/>
          <w:b w:val="0"/>
          <w:bCs/>
          <w:sz w:val="22"/>
          <w:szCs w:val="22"/>
        </w:rPr>
        <w:t xml:space="preserve">. </w:t>
      </w:r>
    </w:p>
    <w:p w14:paraId="76119550" w14:textId="77777777" w:rsidR="00BC26CA" w:rsidRPr="00DA2E94" w:rsidRDefault="00BC26CA" w:rsidP="00BC26CA">
      <w:pPr>
        <w:pStyle w:val="Odstavekseznama"/>
        <w:rPr>
          <w:rFonts w:eastAsia="Calibri" w:cs="Arial"/>
          <w:b/>
          <w:bCs/>
          <w:sz w:val="22"/>
          <w:szCs w:val="22"/>
        </w:rPr>
      </w:pPr>
    </w:p>
    <w:p w14:paraId="1B9A27DC" w14:textId="77777777" w:rsidR="00BC26CA" w:rsidRPr="00E8165F" w:rsidRDefault="00BC26CA" w:rsidP="00BC26CA">
      <w:pPr>
        <w:pStyle w:val="Telobesedila"/>
        <w:numPr>
          <w:ilvl w:val="0"/>
          <w:numId w:val="32"/>
        </w:numPr>
        <w:ind w:left="426" w:hanging="426"/>
        <w:jc w:val="both"/>
        <w:rPr>
          <w:rFonts w:ascii="Arial" w:hAnsi="Arial" w:cs="Arial"/>
          <w:b w:val="0"/>
          <w:bCs/>
          <w:sz w:val="22"/>
          <w:szCs w:val="22"/>
        </w:rPr>
      </w:pPr>
      <w:r w:rsidRPr="00E8165F">
        <w:rPr>
          <w:rFonts w:ascii="Arial" w:hAnsi="Arial" w:cs="Arial"/>
          <w:b w:val="0"/>
          <w:bCs/>
          <w:sz w:val="22"/>
          <w:szCs w:val="22"/>
        </w:rPr>
        <w:t>Novi projekti se uvrstijo v načrt razvojnih programov, če investicijsko dokumentacijo potrdi mestni svet.</w:t>
      </w:r>
    </w:p>
    <w:p w14:paraId="03F7D7E6"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56225624" w14:textId="77777777" w:rsidR="00BC26CA" w:rsidRDefault="00BC26CA" w:rsidP="00BC26CA">
      <w:pPr>
        <w:pStyle w:val="Telobesedila"/>
        <w:numPr>
          <w:ilvl w:val="0"/>
          <w:numId w:val="32"/>
        </w:numPr>
        <w:ind w:left="426" w:hanging="426"/>
        <w:jc w:val="both"/>
        <w:rPr>
          <w:rFonts w:ascii="Arial" w:hAnsi="Arial" w:cs="Arial"/>
          <w:b w:val="0"/>
          <w:bCs/>
          <w:sz w:val="22"/>
          <w:szCs w:val="22"/>
        </w:rPr>
      </w:pPr>
      <w:r>
        <w:rPr>
          <w:rFonts w:ascii="Arial" w:hAnsi="Arial" w:cs="Arial"/>
          <w:b w:val="0"/>
          <w:bCs/>
          <w:sz w:val="22"/>
          <w:szCs w:val="22"/>
        </w:rPr>
        <w:t>Župan lahko v postopku izvrševanja proračuna:</w:t>
      </w:r>
    </w:p>
    <w:p w14:paraId="7E4F76C5" w14:textId="77777777" w:rsidR="00BC26CA" w:rsidRDefault="00BC26CA" w:rsidP="00BC26CA">
      <w:pPr>
        <w:pStyle w:val="Telobesedila"/>
        <w:numPr>
          <w:ilvl w:val="0"/>
          <w:numId w:val="30"/>
        </w:numPr>
        <w:ind w:left="993" w:hanging="284"/>
        <w:jc w:val="both"/>
        <w:rPr>
          <w:rFonts w:ascii="Arial" w:hAnsi="Arial" w:cs="Arial"/>
          <w:b w:val="0"/>
          <w:bCs/>
          <w:sz w:val="22"/>
          <w:szCs w:val="22"/>
        </w:rPr>
      </w:pPr>
      <w:r>
        <w:rPr>
          <w:rFonts w:ascii="Arial" w:hAnsi="Arial" w:cs="Arial"/>
          <w:b w:val="0"/>
          <w:bCs/>
          <w:sz w:val="22"/>
          <w:szCs w:val="22"/>
        </w:rPr>
        <w:t>posamezen projekt v načrtu razvojnih programov ukine, v kolikor bi se izkazalo, da projekt ni uresničljiv ali da ga ni mogoče izvesti,</w:t>
      </w:r>
    </w:p>
    <w:p w14:paraId="498C5FA6" w14:textId="77777777" w:rsidR="00BC26CA" w:rsidRDefault="00BC26CA" w:rsidP="00BC26CA">
      <w:pPr>
        <w:pStyle w:val="Telobesedila"/>
        <w:numPr>
          <w:ilvl w:val="0"/>
          <w:numId w:val="30"/>
        </w:numPr>
        <w:ind w:left="993" w:hanging="284"/>
        <w:jc w:val="both"/>
        <w:rPr>
          <w:rFonts w:ascii="Arial" w:hAnsi="Arial" w:cs="Arial"/>
          <w:b w:val="0"/>
          <w:bCs/>
          <w:sz w:val="22"/>
          <w:szCs w:val="22"/>
        </w:rPr>
      </w:pPr>
      <w:r>
        <w:rPr>
          <w:rFonts w:ascii="Arial" w:hAnsi="Arial" w:cs="Arial"/>
          <w:b w:val="0"/>
          <w:bCs/>
          <w:sz w:val="22"/>
          <w:szCs w:val="22"/>
        </w:rPr>
        <w:t>spremeni vrednost, vire in dinamiko financiranja v okviru posameznega projekta na podlagi pripravljenega Poročila o izvajanju projekta, če skupna vrednost projekta ne presega 20 % izhodiščne vrednosti,</w:t>
      </w:r>
    </w:p>
    <w:p w14:paraId="293E355A" w14:textId="77777777" w:rsidR="00BC26CA" w:rsidRPr="00B557FA" w:rsidRDefault="00BC26CA" w:rsidP="00BC26CA">
      <w:pPr>
        <w:pStyle w:val="Telobesedila"/>
        <w:numPr>
          <w:ilvl w:val="0"/>
          <w:numId w:val="30"/>
        </w:numPr>
        <w:ind w:left="993" w:hanging="284"/>
        <w:jc w:val="both"/>
        <w:rPr>
          <w:rFonts w:ascii="Arial" w:hAnsi="Arial" w:cs="Arial"/>
          <w:b w:val="0"/>
          <w:bCs/>
          <w:sz w:val="22"/>
          <w:szCs w:val="22"/>
        </w:rPr>
      </w:pPr>
      <w:r w:rsidRPr="00BD1C5F">
        <w:rPr>
          <w:rFonts w:ascii="Arial" w:hAnsi="Arial" w:cs="Arial"/>
          <w:b w:val="0"/>
          <w:bCs/>
          <w:sz w:val="22"/>
          <w:szCs w:val="22"/>
        </w:rPr>
        <w:t>doda nov projekt v načrt razvojnih programov, ki je sofinanciran iz državnega proračuna oziroma evropskih sredstev</w:t>
      </w:r>
      <w:r>
        <w:rPr>
          <w:rFonts w:ascii="Arial" w:hAnsi="Arial" w:cs="Arial"/>
          <w:b w:val="0"/>
          <w:bCs/>
          <w:sz w:val="22"/>
          <w:szCs w:val="22"/>
        </w:rPr>
        <w:t>.</w:t>
      </w:r>
    </w:p>
    <w:p w14:paraId="52919390"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35D6DB4C" w14:textId="77777777" w:rsidR="00BC26CA" w:rsidRDefault="00BC26CA" w:rsidP="00BC26CA">
      <w:pPr>
        <w:pStyle w:val="Telobesedila"/>
        <w:numPr>
          <w:ilvl w:val="0"/>
          <w:numId w:val="32"/>
        </w:numPr>
        <w:ind w:left="426" w:hanging="426"/>
        <w:jc w:val="both"/>
        <w:rPr>
          <w:rFonts w:ascii="Arial" w:hAnsi="Arial" w:cs="Arial"/>
          <w:b w:val="0"/>
          <w:bCs/>
          <w:sz w:val="22"/>
          <w:szCs w:val="22"/>
        </w:rPr>
      </w:pPr>
      <w:r>
        <w:rPr>
          <w:rFonts w:ascii="Arial" w:hAnsi="Arial" w:cs="Arial"/>
          <w:b w:val="0"/>
          <w:bCs/>
          <w:sz w:val="22"/>
          <w:szCs w:val="22"/>
        </w:rPr>
        <w:t xml:space="preserve">Proračunski uporabnik lahko samostojno razporedi sredstva med </w:t>
      </w:r>
      <w:proofErr w:type="spellStart"/>
      <w:r>
        <w:rPr>
          <w:rFonts w:ascii="Arial" w:hAnsi="Arial" w:cs="Arial"/>
          <w:b w:val="0"/>
          <w:bCs/>
          <w:sz w:val="22"/>
          <w:szCs w:val="22"/>
        </w:rPr>
        <w:t>podkonti</w:t>
      </w:r>
      <w:proofErr w:type="spellEnd"/>
      <w:r>
        <w:rPr>
          <w:rFonts w:ascii="Arial" w:hAnsi="Arial" w:cs="Arial"/>
          <w:b w:val="0"/>
          <w:bCs/>
          <w:sz w:val="22"/>
          <w:szCs w:val="22"/>
        </w:rPr>
        <w:t xml:space="preserve"> v okviru istega projekta v načrtu razvojih programov. V primeru prerazporejanja sredstev med posameznimi projekti v veljavnem načrtu razvojnih programov odloča župan.</w:t>
      </w:r>
    </w:p>
    <w:p w14:paraId="0EA7C03D"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54869E87" w14:textId="77777777" w:rsidR="00BC26CA" w:rsidRDefault="00BC26CA" w:rsidP="00BC26CA">
      <w:pPr>
        <w:pStyle w:val="Telobesedila"/>
        <w:numPr>
          <w:ilvl w:val="0"/>
          <w:numId w:val="32"/>
        </w:numPr>
        <w:ind w:left="426" w:hanging="426"/>
        <w:jc w:val="both"/>
        <w:rPr>
          <w:rFonts w:ascii="Arial" w:hAnsi="Arial" w:cs="Arial"/>
          <w:b w:val="0"/>
          <w:bCs/>
          <w:sz w:val="22"/>
          <w:szCs w:val="22"/>
        </w:rPr>
      </w:pPr>
      <w:r>
        <w:rPr>
          <w:rFonts w:ascii="Arial" w:hAnsi="Arial" w:cs="Arial"/>
          <w:b w:val="0"/>
          <w:bCs/>
          <w:sz w:val="22"/>
          <w:szCs w:val="22"/>
        </w:rPr>
        <w:t>Posamezni projekt v veljavnem načrtu razvojnih programov, katerega zaključek financiranja se zaradi še ne zapadlih obveznosti iz predhodnega leta prestavi tekoče proračunsko leto, se vključi v proračun tekoče leta ter uvrsti v načrt razvojnih programov po uveljavitvi proračuna.</w:t>
      </w:r>
    </w:p>
    <w:p w14:paraId="4B7C8DFD" w14:textId="77777777" w:rsidR="00BC26CA" w:rsidRDefault="00BC26CA" w:rsidP="00BC26CA">
      <w:pPr>
        <w:pStyle w:val="Odstavekseznama"/>
        <w:ind w:left="426" w:hanging="426"/>
        <w:rPr>
          <w:rFonts w:cs="Arial"/>
          <w:b/>
          <w:bCs/>
          <w:sz w:val="22"/>
          <w:szCs w:val="22"/>
        </w:rPr>
      </w:pPr>
    </w:p>
    <w:p w14:paraId="046000CD" w14:textId="77777777" w:rsidR="00BC26CA" w:rsidRPr="00147642" w:rsidRDefault="00BC26CA" w:rsidP="00BC26CA">
      <w:pPr>
        <w:pStyle w:val="Telobesedila"/>
        <w:numPr>
          <w:ilvl w:val="0"/>
          <w:numId w:val="32"/>
        </w:numPr>
        <w:ind w:left="426" w:hanging="426"/>
        <w:jc w:val="both"/>
        <w:rPr>
          <w:rFonts w:ascii="Arial" w:hAnsi="Arial" w:cs="Arial"/>
          <w:b w:val="0"/>
          <w:bCs/>
          <w:sz w:val="22"/>
          <w:szCs w:val="22"/>
        </w:rPr>
      </w:pPr>
      <w:r w:rsidRPr="00147642">
        <w:rPr>
          <w:rFonts w:ascii="Arial" w:hAnsi="Arial" w:cs="Arial"/>
          <w:b w:val="0"/>
          <w:bCs/>
          <w:sz w:val="22"/>
          <w:szCs w:val="22"/>
        </w:rPr>
        <w:t>O projektih, ki jih župan ukine ali spremeni v načrtu razvojnih programov, mora poročati mestnemu svetu ob sprejemanju prvega naslednjega proračuna, prvega rebalansa ali prve spremembe proračuna.</w:t>
      </w:r>
    </w:p>
    <w:bookmarkEnd w:id="1"/>
    <w:p w14:paraId="271898C3" w14:textId="77777777" w:rsidR="00BC26CA" w:rsidRDefault="00BC26CA" w:rsidP="00BC26CA">
      <w:pPr>
        <w:rPr>
          <w:rFonts w:ascii="Arial" w:hAnsi="Arial" w:cs="Arial"/>
          <w:b/>
          <w:sz w:val="22"/>
          <w:szCs w:val="22"/>
        </w:rPr>
      </w:pPr>
    </w:p>
    <w:p w14:paraId="7A244C92" w14:textId="77777777" w:rsidR="00BC26CA" w:rsidRDefault="00BC26CA" w:rsidP="00BC26CA">
      <w:pPr>
        <w:rPr>
          <w:rFonts w:ascii="Arial" w:hAnsi="Arial" w:cs="Arial"/>
          <w:b/>
          <w:sz w:val="22"/>
          <w:szCs w:val="22"/>
        </w:rPr>
      </w:pPr>
    </w:p>
    <w:p w14:paraId="38E615B8" w14:textId="75A94761" w:rsidR="00BC26CA" w:rsidRDefault="00BC26CA" w:rsidP="00BC26CA">
      <w:pPr>
        <w:rPr>
          <w:rFonts w:ascii="Arial" w:hAnsi="Arial" w:cs="Arial"/>
          <w:bCs/>
          <w:sz w:val="22"/>
          <w:szCs w:val="22"/>
        </w:rPr>
      </w:pPr>
      <w:r w:rsidRPr="00681283">
        <w:rPr>
          <w:rFonts w:ascii="Arial" w:hAnsi="Arial" w:cs="Arial"/>
          <w:bCs/>
          <w:sz w:val="22"/>
          <w:szCs w:val="22"/>
        </w:rPr>
        <w:t>III. ODPIS DOLGA</w:t>
      </w:r>
    </w:p>
    <w:p w14:paraId="6DDC165F" w14:textId="77777777" w:rsidR="00BC26CA" w:rsidRPr="00681283" w:rsidRDefault="00BC26CA" w:rsidP="00BC26CA">
      <w:pPr>
        <w:rPr>
          <w:rFonts w:ascii="Arial" w:hAnsi="Arial" w:cs="Arial"/>
          <w:bCs/>
          <w:sz w:val="22"/>
          <w:szCs w:val="22"/>
        </w:rPr>
      </w:pPr>
    </w:p>
    <w:p w14:paraId="2F53353F"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16. člen</w:t>
      </w:r>
    </w:p>
    <w:p w14:paraId="262E79BF" w14:textId="77777777" w:rsidR="00BC26CA" w:rsidRPr="00906420" w:rsidRDefault="00BC26CA" w:rsidP="00BC26CA">
      <w:pPr>
        <w:pStyle w:val="Telobesedila"/>
        <w:jc w:val="both"/>
        <w:rPr>
          <w:rFonts w:ascii="Arial" w:hAnsi="Arial" w:cs="Arial"/>
          <w:b w:val="0"/>
          <w:sz w:val="22"/>
          <w:szCs w:val="22"/>
        </w:rPr>
      </w:pPr>
    </w:p>
    <w:p w14:paraId="60014F47" w14:textId="5EDEC21E" w:rsidR="00BC26CA" w:rsidRDefault="00BC26CA" w:rsidP="00BC26CA">
      <w:pPr>
        <w:pStyle w:val="Telobesedila"/>
        <w:numPr>
          <w:ilvl w:val="0"/>
          <w:numId w:val="26"/>
        </w:numPr>
        <w:ind w:left="426" w:hanging="426"/>
        <w:jc w:val="both"/>
        <w:rPr>
          <w:rFonts w:ascii="Arial" w:hAnsi="Arial" w:cs="Arial"/>
          <w:b w:val="0"/>
          <w:sz w:val="22"/>
          <w:szCs w:val="22"/>
        </w:rPr>
      </w:pPr>
      <w:r w:rsidRPr="00906420">
        <w:rPr>
          <w:rFonts w:ascii="Arial" w:hAnsi="Arial" w:cs="Arial"/>
          <w:b w:val="0"/>
          <w:sz w:val="22"/>
          <w:szCs w:val="22"/>
        </w:rPr>
        <w:lastRenderedPageBreak/>
        <w:t>Če so izpolnjeni pogoji iz 77. člena Zakona o javnih financah, lahko župan v letu 202</w:t>
      </w:r>
      <w:r w:rsidR="00851AB9">
        <w:rPr>
          <w:rFonts w:ascii="Arial" w:hAnsi="Arial" w:cs="Arial"/>
          <w:b w:val="0"/>
          <w:sz w:val="22"/>
          <w:szCs w:val="22"/>
        </w:rPr>
        <w:t>5</w:t>
      </w:r>
      <w:r w:rsidRPr="00906420">
        <w:rPr>
          <w:rFonts w:ascii="Arial" w:hAnsi="Arial" w:cs="Arial"/>
          <w:b w:val="0"/>
          <w:sz w:val="22"/>
          <w:szCs w:val="22"/>
        </w:rPr>
        <w:t xml:space="preserve"> </w:t>
      </w:r>
      <w:r w:rsidRPr="00B04211">
        <w:rPr>
          <w:rFonts w:ascii="Arial" w:hAnsi="Arial" w:cs="Arial"/>
          <w:b w:val="0"/>
          <w:sz w:val="22"/>
          <w:szCs w:val="22"/>
        </w:rPr>
        <w:t xml:space="preserve">odpiše plačilo dolga posameznemu dolžniku do višine </w:t>
      </w:r>
      <w:r>
        <w:rPr>
          <w:rFonts w:ascii="Arial" w:hAnsi="Arial" w:cs="Arial"/>
          <w:b w:val="0"/>
          <w:sz w:val="22"/>
          <w:szCs w:val="22"/>
        </w:rPr>
        <w:t>1.000 EUR</w:t>
      </w:r>
      <w:r w:rsidRPr="00B04211">
        <w:rPr>
          <w:rFonts w:ascii="Arial" w:hAnsi="Arial" w:cs="Arial"/>
          <w:b w:val="0"/>
          <w:sz w:val="22"/>
          <w:szCs w:val="22"/>
        </w:rPr>
        <w:t xml:space="preserve">, vendar največ do skupne višine </w:t>
      </w:r>
      <w:r>
        <w:rPr>
          <w:rFonts w:ascii="Arial" w:hAnsi="Arial" w:cs="Arial"/>
          <w:b w:val="0"/>
          <w:sz w:val="22"/>
          <w:szCs w:val="22"/>
        </w:rPr>
        <w:t>2</w:t>
      </w:r>
      <w:r w:rsidRPr="00B04211">
        <w:rPr>
          <w:rFonts w:ascii="Arial" w:hAnsi="Arial" w:cs="Arial"/>
          <w:b w:val="0"/>
          <w:sz w:val="22"/>
          <w:szCs w:val="22"/>
        </w:rPr>
        <w:t>0.000 EUR letno</w:t>
      </w:r>
      <w:r>
        <w:rPr>
          <w:rFonts w:ascii="Arial" w:hAnsi="Arial" w:cs="Arial"/>
          <w:b w:val="0"/>
          <w:sz w:val="22"/>
          <w:szCs w:val="22"/>
        </w:rPr>
        <w:t>,</w:t>
      </w:r>
      <w:r w:rsidRPr="00B04211">
        <w:rPr>
          <w:rFonts w:ascii="Arial" w:hAnsi="Arial" w:cs="Arial"/>
          <w:b w:val="0"/>
          <w:sz w:val="22"/>
          <w:szCs w:val="22"/>
        </w:rPr>
        <w:t xml:space="preserve"> </w:t>
      </w:r>
      <w:r w:rsidRPr="00906420">
        <w:rPr>
          <w:rFonts w:ascii="Arial" w:hAnsi="Arial" w:cs="Arial"/>
          <w:b w:val="0"/>
          <w:sz w:val="22"/>
          <w:szCs w:val="22"/>
        </w:rPr>
        <w:t xml:space="preserve">če bi bili stroški postopka izterjave v nesorazmerju z višino terjatve ali če se zaradi </w:t>
      </w:r>
      <w:proofErr w:type="spellStart"/>
      <w:r w:rsidRPr="00906420">
        <w:rPr>
          <w:rFonts w:ascii="Arial" w:hAnsi="Arial" w:cs="Arial"/>
          <w:b w:val="0"/>
          <w:sz w:val="22"/>
          <w:szCs w:val="22"/>
        </w:rPr>
        <w:t>ne</w:t>
      </w:r>
      <w:r>
        <w:rPr>
          <w:rFonts w:ascii="Arial" w:hAnsi="Arial" w:cs="Arial"/>
          <w:b w:val="0"/>
          <w:sz w:val="22"/>
          <w:szCs w:val="22"/>
        </w:rPr>
        <w:t>u</w:t>
      </w:r>
      <w:r w:rsidRPr="00906420">
        <w:rPr>
          <w:rFonts w:ascii="Arial" w:hAnsi="Arial" w:cs="Arial"/>
          <w:b w:val="0"/>
          <w:sz w:val="22"/>
          <w:szCs w:val="22"/>
        </w:rPr>
        <w:t>novčljivosti</w:t>
      </w:r>
      <w:proofErr w:type="spellEnd"/>
      <w:r w:rsidRPr="00906420">
        <w:rPr>
          <w:rFonts w:ascii="Arial" w:hAnsi="Arial" w:cs="Arial"/>
          <w:b w:val="0"/>
          <w:sz w:val="22"/>
          <w:szCs w:val="22"/>
        </w:rPr>
        <w:t xml:space="preserve"> premoženja dolžnika ugotovi, da terjatve ni mogoče izterjati.</w:t>
      </w:r>
    </w:p>
    <w:p w14:paraId="2D4B4E28" w14:textId="77777777" w:rsidR="00BC26CA" w:rsidRPr="00906420" w:rsidRDefault="00BC26CA" w:rsidP="00BC26CA">
      <w:pPr>
        <w:pStyle w:val="Telobesedila"/>
        <w:ind w:left="426" w:hanging="426"/>
        <w:jc w:val="both"/>
        <w:rPr>
          <w:rFonts w:ascii="Arial" w:hAnsi="Arial" w:cs="Arial"/>
          <w:b w:val="0"/>
          <w:sz w:val="22"/>
          <w:szCs w:val="22"/>
        </w:rPr>
      </w:pPr>
    </w:p>
    <w:p w14:paraId="3D021592" w14:textId="358F1859" w:rsidR="00BC26CA" w:rsidRPr="00906420" w:rsidRDefault="00BC26CA" w:rsidP="00BC26CA">
      <w:pPr>
        <w:pStyle w:val="Telobesedila"/>
        <w:numPr>
          <w:ilvl w:val="0"/>
          <w:numId w:val="26"/>
        </w:numPr>
        <w:ind w:left="426" w:hanging="426"/>
        <w:jc w:val="both"/>
        <w:rPr>
          <w:rFonts w:ascii="Arial" w:hAnsi="Arial" w:cs="Arial"/>
          <w:b w:val="0"/>
          <w:sz w:val="22"/>
          <w:szCs w:val="22"/>
        </w:rPr>
      </w:pPr>
      <w:r w:rsidRPr="00906420">
        <w:rPr>
          <w:rFonts w:ascii="Arial" w:hAnsi="Arial" w:cs="Arial"/>
          <w:b w:val="0"/>
          <w:sz w:val="22"/>
          <w:szCs w:val="22"/>
        </w:rPr>
        <w:t>Če so izpolnjeni pogoji iz 77.</w:t>
      </w:r>
      <w:r>
        <w:rPr>
          <w:rFonts w:ascii="Arial" w:hAnsi="Arial" w:cs="Arial"/>
          <w:b w:val="0"/>
          <w:sz w:val="22"/>
          <w:szCs w:val="22"/>
        </w:rPr>
        <w:t xml:space="preserve"> </w:t>
      </w:r>
      <w:r w:rsidRPr="00906420">
        <w:rPr>
          <w:rFonts w:ascii="Arial" w:hAnsi="Arial" w:cs="Arial"/>
          <w:b w:val="0"/>
          <w:sz w:val="22"/>
          <w:szCs w:val="22"/>
        </w:rPr>
        <w:t>člena Zakona o javnih financah, lahko predsednik krajevne skupnosti v letu 202</w:t>
      </w:r>
      <w:r w:rsidR="00851AB9">
        <w:rPr>
          <w:rFonts w:ascii="Arial" w:hAnsi="Arial" w:cs="Arial"/>
          <w:b w:val="0"/>
          <w:sz w:val="22"/>
          <w:szCs w:val="22"/>
        </w:rPr>
        <w:t>5</w:t>
      </w:r>
      <w:r w:rsidRPr="00906420">
        <w:rPr>
          <w:rFonts w:ascii="Arial" w:hAnsi="Arial" w:cs="Arial"/>
          <w:b w:val="0"/>
          <w:sz w:val="22"/>
          <w:szCs w:val="22"/>
        </w:rPr>
        <w:t xml:space="preserve"> odpiše ali delno odpiše dolgove, ki jih imajo dolžniki do krajevne skupnosti, in sicer največ do skupne višine 500 EUR, če bi bili stroški postopka izterjave v nesorazmerju z višino terjatve ali če se zaradi </w:t>
      </w:r>
      <w:proofErr w:type="spellStart"/>
      <w:r w:rsidRPr="00906420">
        <w:rPr>
          <w:rFonts w:ascii="Arial" w:hAnsi="Arial" w:cs="Arial"/>
          <w:b w:val="0"/>
          <w:sz w:val="22"/>
          <w:szCs w:val="22"/>
        </w:rPr>
        <w:t>ne</w:t>
      </w:r>
      <w:r>
        <w:rPr>
          <w:rFonts w:ascii="Arial" w:hAnsi="Arial" w:cs="Arial"/>
          <w:b w:val="0"/>
          <w:sz w:val="22"/>
          <w:szCs w:val="22"/>
        </w:rPr>
        <w:t>u</w:t>
      </w:r>
      <w:r w:rsidRPr="00906420">
        <w:rPr>
          <w:rFonts w:ascii="Arial" w:hAnsi="Arial" w:cs="Arial"/>
          <w:b w:val="0"/>
          <w:sz w:val="22"/>
          <w:szCs w:val="22"/>
        </w:rPr>
        <w:t>novčljivosti</w:t>
      </w:r>
      <w:proofErr w:type="spellEnd"/>
      <w:r w:rsidRPr="00906420">
        <w:rPr>
          <w:rFonts w:ascii="Arial" w:hAnsi="Arial" w:cs="Arial"/>
          <w:b w:val="0"/>
          <w:sz w:val="22"/>
          <w:szCs w:val="22"/>
        </w:rPr>
        <w:t xml:space="preserve"> premoženja dolžnika ugotovi, da terjatve ni mogoče izterjati.</w:t>
      </w:r>
    </w:p>
    <w:p w14:paraId="14024EFE" w14:textId="77777777" w:rsidR="00BC26CA" w:rsidRPr="00906420" w:rsidRDefault="00BC26CA" w:rsidP="00BC26CA">
      <w:pPr>
        <w:pStyle w:val="Telobesedila"/>
        <w:ind w:left="426" w:hanging="426"/>
        <w:jc w:val="both"/>
        <w:rPr>
          <w:rFonts w:ascii="Arial" w:hAnsi="Arial" w:cs="Arial"/>
          <w:b w:val="0"/>
          <w:sz w:val="22"/>
          <w:szCs w:val="22"/>
        </w:rPr>
      </w:pPr>
    </w:p>
    <w:p w14:paraId="379D2EA8" w14:textId="77777777" w:rsidR="00BC26CA" w:rsidRPr="00906420" w:rsidRDefault="00BC26CA" w:rsidP="00BC26CA">
      <w:pPr>
        <w:pStyle w:val="Telobesedila"/>
        <w:numPr>
          <w:ilvl w:val="0"/>
          <w:numId w:val="26"/>
        </w:numPr>
        <w:ind w:left="426" w:hanging="426"/>
        <w:jc w:val="both"/>
        <w:rPr>
          <w:rFonts w:ascii="Arial" w:hAnsi="Arial" w:cs="Arial"/>
          <w:b w:val="0"/>
          <w:sz w:val="22"/>
          <w:szCs w:val="22"/>
        </w:rPr>
      </w:pPr>
      <w:r w:rsidRPr="00906420">
        <w:rPr>
          <w:rFonts w:ascii="Arial" w:hAnsi="Arial" w:cs="Arial"/>
          <w:b w:val="0"/>
          <w:sz w:val="22"/>
          <w:szCs w:val="22"/>
        </w:rPr>
        <w:t>Župan lahko na prošnjo dolžnika ob primernem zavarovanju in obrestovanju odloži plačilo, dovoli obročno plačilo dolga dolžnika ali spremeni predvideno dinamiko plačila dolga, če se s tem bistveno izboljšajo možnosti za plačilo dolga dolžnika, od katerega sicer ne bi bilo možno izterjati celotnega dolga.</w:t>
      </w:r>
    </w:p>
    <w:p w14:paraId="2413A858" w14:textId="77777777" w:rsidR="00BC26CA" w:rsidRPr="00906420" w:rsidRDefault="00BC26CA" w:rsidP="00BC26CA">
      <w:pPr>
        <w:pStyle w:val="Telobesedila"/>
        <w:ind w:left="426" w:hanging="426"/>
        <w:jc w:val="both"/>
        <w:rPr>
          <w:rFonts w:ascii="Arial" w:hAnsi="Arial" w:cs="Arial"/>
          <w:b w:val="0"/>
          <w:sz w:val="22"/>
          <w:szCs w:val="22"/>
        </w:rPr>
      </w:pPr>
    </w:p>
    <w:p w14:paraId="212DEC1F" w14:textId="77777777" w:rsidR="00BC26CA" w:rsidRDefault="00BC26CA" w:rsidP="00BC26CA">
      <w:pPr>
        <w:pStyle w:val="Telobesedila"/>
        <w:numPr>
          <w:ilvl w:val="0"/>
          <w:numId w:val="26"/>
        </w:numPr>
        <w:ind w:left="426" w:hanging="426"/>
        <w:jc w:val="both"/>
        <w:rPr>
          <w:rFonts w:ascii="Arial" w:hAnsi="Arial" w:cs="Arial"/>
          <w:b w:val="0"/>
          <w:sz w:val="22"/>
          <w:szCs w:val="22"/>
        </w:rPr>
      </w:pPr>
      <w:r w:rsidRPr="00906420">
        <w:rPr>
          <w:rFonts w:ascii="Arial" w:hAnsi="Arial" w:cs="Arial"/>
          <w:b w:val="0"/>
          <w:sz w:val="22"/>
          <w:szCs w:val="22"/>
        </w:rPr>
        <w:t>Kot dolgovi po tem členu se ne štejejo dolgovi do občine iz naslova obveznih dajatev.</w:t>
      </w:r>
    </w:p>
    <w:p w14:paraId="79C824EB" w14:textId="77777777" w:rsidR="00BC26CA" w:rsidRPr="00906420" w:rsidRDefault="00BC26CA" w:rsidP="00BC26CA">
      <w:pPr>
        <w:pStyle w:val="Telobesedila"/>
        <w:ind w:left="426" w:hanging="426"/>
        <w:jc w:val="both"/>
        <w:rPr>
          <w:rFonts w:ascii="Arial" w:hAnsi="Arial" w:cs="Arial"/>
          <w:b w:val="0"/>
          <w:sz w:val="22"/>
          <w:szCs w:val="22"/>
        </w:rPr>
      </w:pPr>
    </w:p>
    <w:p w14:paraId="0E3D4C67" w14:textId="77777777" w:rsidR="00BC26CA" w:rsidRDefault="00BC26CA" w:rsidP="00BC26CA">
      <w:pPr>
        <w:pStyle w:val="Telobesedila"/>
        <w:jc w:val="both"/>
        <w:rPr>
          <w:rFonts w:ascii="Arial" w:hAnsi="Arial" w:cs="Arial"/>
          <w:b w:val="0"/>
          <w:sz w:val="22"/>
          <w:szCs w:val="22"/>
        </w:rPr>
      </w:pPr>
    </w:p>
    <w:p w14:paraId="60A8B6CD" w14:textId="77777777" w:rsidR="00BC26CA" w:rsidRDefault="00BC26CA" w:rsidP="00BC26CA">
      <w:pPr>
        <w:pStyle w:val="Telobesedila"/>
        <w:jc w:val="both"/>
        <w:rPr>
          <w:rFonts w:ascii="Arial" w:hAnsi="Arial" w:cs="Arial"/>
          <w:b w:val="0"/>
          <w:sz w:val="22"/>
          <w:szCs w:val="22"/>
        </w:rPr>
      </w:pPr>
      <w:r>
        <w:rPr>
          <w:rFonts w:ascii="Arial" w:hAnsi="Arial" w:cs="Arial"/>
          <w:b w:val="0"/>
          <w:sz w:val="22"/>
          <w:szCs w:val="22"/>
        </w:rPr>
        <w:t>IV. OBSEG ZADOLŽEVANJA IN POROŠTEV OBČINE IN JAVNEGA SEKTORJA</w:t>
      </w:r>
    </w:p>
    <w:p w14:paraId="4379B6D5" w14:textId="77777777" w:rsidR="00BC26CA" w:rsidRPr="00906420" w:rsidRDefault="00BC26CA" w:rsidP="00BC26CA">
      <w:pPr>
        <w:pStyle w:val="Telobesedila"/>
        <w:jc w:val="both"/>
        <w:rPr>
          <w:rFonts w:ascii="Arial" w:hAnsi="Arial" w:cs="Arial"/>
          <w:b w:val="0"/>
          <w:sz w:val="22"/>
          <w:szCs w:val="22"/>
        </w:rPr>
      </w:pPr>
    </w:p>
    <w:p w14:paraId="2F67D37C"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17. člen</w:t>
      </w:r>
    </w:p>
    <w:p w14:paraId="3D29082D" w14:textId="77777777" w:rsidR="00BC26CA" w:rsidRPr="00906420" w:rsidRDefault="00BC26CA" w:rsidP="00BC26CA">
      <w:pPr>
        <w:pStyle w:val="Telobesedila"/>
        <w:jc w:val="both"/>
        <w:rPr>
          <w:rFonts w:ascii="Arial" w:hAnsi="Arial" w:cs="Arial"/>
          <w:b w:val="0"/>
          <w:sz w:val="22"/>
          <w:szCs w:val="22"/>
        </w:rPr>
      </w:pPr>
    </w:p>
    <w:p w14:paraId="6A2B6ECD" w14:textId="22B4AC2E" w:rsidR="00BC26CA" w:rsidRPr="00906420" w:rsidRDefault="00BC26CA" w:rsidP="00BC26CA">
      <w:pPr>
        <w:pStyle w:val="Telobesedila"/>
        <w:tabs>
          <w:tab w:val="left" w:pos="-1080"/>
          <w:tab w:val="left" w:pos="-720"/>
          <w:tab w:val="left" w:pos="0"/>
          <w:tab w:val="left" w:pos="810"/>
          <w:tab w:val="left" w:pos="1080"/>
        </w:tabs>
        <w:jc w:val="both"/>
        <w:rPr>
          <w:rFonts w:ascii="Arial" w:hAnsi="Arial" w:cs="Arial"/>
          <w:b w:val="0"/>
          <w:sz w:val="22"/>
          <w:szCs w:val="22"/>
        </w:rPr>
      </w:pPr>
      <w:r w:rsidRPr="00906420">
        <w:rPr>
          <w:rFonts w:ascii="Arial" w:hAnsi="Arial" w:cs="Arial"/>
          <w:b w:val="0"/>
          <w:sz w:val="22"/>
          <w:szCs w:val="22"/>
        </w:rPr>
        <w:t>Za kritje presežkov odhodkov nad prihodki v bilanci prihodkov in odhodkov, presežkov izdatkov nad prejemki v računu finančnih terjatev in naložb ter odplačila dolgov v računu financiranja se občina za proračun leta 202</w:t>
      </w:r>
      <w:r w:rsidR="00851AB9">
        <w:rPr>
          <w:rFonts w:ascii="Arial" w:hAnsi="Arial" w:cs="Arial"/>
          <w:b w:val="0"/>
          <w:sz w:val="22"/>
          <w:szCs w:val="22"/>
        </w:rPr>
        <w:t>5</w:t>
      </w:r>
      <w:r w:rsidRPr="00906420">
        <w:rPr>
          <w:rFonts w:ascii="Arial" w:hAnsi="Arial" w:cs="Arial"/>
          <w:b w:val="0"/>
          <w:sz w:val="22"/>
          <w:szCs w:val="22"/>
        </w:rPr>
        <w:t xml:space="preserve"> lahko zadolži do </w:t>
      </w:r>
      <w:r w:rsidRPr="003E5FAF">
        <w:rPr>
          <w:rFonts w:ascii="Arial" w:hAnsi="Arial" w:cs="Arial"/>
          <w:b w:val="0"/>
          <w:sz w:val="22"/>
          <w:szCs w:val="22"/>
        </w:rPr>
        <w:t xml:space="preserve">višine </w:t>
      </w:r>
      <w:r w:rsidR="005A73FD" w:rsidRPr="003E5FAF">
        <w:rPr>
          <w:rFonts w:ascii="Arial" w:hAnsi="Arial" w:cs="Arial"/>
          <w:b w:val="0"/>
          <w:sz w:val="22"/>
          <w:szCs w:val="22"/>
        </w:rPr>
        <w:t>1</w:t>
      </w:r>
      <w:r w:rsidRPr="003E5FAF">
        <w:rPr>
          <w:rFonts w:ascii="Arial" w:hAnsi="Arial" w:cs="Arial"/>
          <w:b w:val="0"/>
          <w:sz w:val="22"/>
          <w:szCs w:val="22"/>
        </w:rPr>
        <w:t>.</w:t>
      </w:r>
      <w:r w:rsidR="005B1116" w:rsidRPr="003E5FAF">
        <w:rPr>
          <w:rFonts w:ascii="Arial" w:hAnsi="Arial" w:cs="Arial"/>
          <w:b w:val="0"/>
          <w:sz w:val="22"/>
          <w:szCs w:val="22"/>
        </w:rPr>
        <w:t>2</w:t>
      </w:r>
      <w:r w:rsidRPr="003E5FAF">
        <w:rPr>
          <w:rFonts w:ascii="Arial" w:hAnsi="Arial" w:cs="Arial"/>
          <w:b w:val="0"/>
          <w:sz w:val="22"/>
          <w:szCs w:val="22"/>
        </w:rPr>
        <w:t>00.000 EUR.</w:t>
      </w:r>
    </w:p>
    <w:p w14:paraId="1F46A11E" w14:textId="77777777" w:rsidR="00BC26CA" w:rsidRPr="00906420" w:rsidRDefault="00BC26CA" w:rsidP="00BC26CA">
      <w:pPr>
        <w:pStyle w:val="Telobesedila"/>
        <w:jc w:val="both"/>
        <w:rPr>
          <w:rFonts w:ascii="Arial" w:hAnsi="Arial" w:cs="Arial"/>
          <w:b w:val="0"/>
          <w:sz w:val="22"/>
          <w:szCs w:val="22"/>
        </w:rPr>
      </w:pPr>
    </w:p>
    <w:p w14:paraId="739FABED"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18. člen</w:t>
      </w:r>
    </w:p>
    <w:p w14:paraId="4F938D7F" w14:textId="77777777" w:rsidR="00BC26CA" w:rsidRPr="00906420" w:rsidRDefault="00BC26CA" w:rsidP="00BC26CA">
      <w:pPr>
        <w:pStyle w:val="Telobesedila"/>
        <w:jc w:val="both"/>
        <w:rPr>
          <w:rFonts w:ascii="Arial" w:hAnsi="Arial" w:cs="Arial"/>
          <w:b w:val="0"/>
          <w:sz w:val="22"/>
          <w:szCs w:val="22"/>
        </w:rPr>
      </w:pPr>
    </w:p>
    <w:p w14:paraId="6AA81847" w14:textId="77777777" w:rsidR="00BC26CA" w:rsidRPr="00906420" w:rsidRDefault="00BC26CA" w:rsidP="00BC26CA">
      <w:pPr>
        <w:pStyle w:val="Telobesedila"/>
        <w:numPr>
          <w:ilvl w:val="0"/>
          <w:numId w:val="27"/>
        </w:numPr>
        <w:ind w:left="426" w:hanging="426"/>
        <w:rPr>
          <w:rFonts w:ascii="Arial" w:hAnsi="Arial" w:cs="Arial"/>
          <w:b w:val="0"/>
          <w:sz w:val="22"/>
          <w:szCs w:val="22"/>
        </w:rPr>
      </w:pPr>
      <w:r w:rsidRPr="00906420">
        <w:rPr>
          <w:rFonts w:ascii="Arial" w:hAnsi="Arial" w:cs="Arial"/>
          <w:b w:val="0"/>
          <w:sz w:val="22"/>
          <w:szCs w:val="22"/>
        </w:rPr>
        <w:t>Župan je pooblaščen, da odloča:</w:t>
      </w:r>
    </w:p>
    <w:p w14:paraId="4DB83F26" w14:textId="77777777" w:rsidR="00BC26CA" w:rsidRPr="00906420" w:rsidRDefault="00BC26CA" w:rsidP="00BC26CA">
      <w:pPr>
        <w:pStyle w:val="Telobesedila"/>
        <w:numPr>
          <w:ilvl w:val="0"/>
          <w:numId w:val="31"/>
        </w:numPr>
        <w:ind w:left="709" w:hanging="283"/>
        <w:jc w:val="both"/>
        <w:rPr>
          <w:rFonts w:ascii="Arial" w:hAnsi="Arial" w:cs="Arial"/>
          <w:b w:val="0"/>
          <w:sz w:val="22"/>
          <w:szCs w:val="22"/>
        </w:rPr>
      </w:pPr>
      <w:r w:rsidRPr="00906420">
        <w:rPr>
          <w:rFonts w:ascii="Arial" w:hAnsi="Arial" w:cs="Arial"/>
          <w:b w:val="0"/>
          <w:sz w:val="22"/>
          <w:szCs w:val="22"/>
        </w:rPr>
        <w:t>o kratkoročni zadolžitvi največ do 5 % sprejetega proračuna v primeru neenakomernega pritekanja prihodkov in</w:t>
      </w:r>
    </w:p>
    <w:p w14:paraId="305B691A" w14:textId="77777777" w:rsidR="00BC26CA" w:rsidRPr="00906420" w:rsidRDefault="00BC26CA" w:rsidP="00BC26CA">
      <w:pPr>
        <w:pStyle w:val="Telobesedila"/>
        <w:numPr>
          <w:ilvl w:val="0"/>
          <w:numId w:val="31"/>
        </w:numPr>
        <w:ind w:left="426" w:firstLine="0"/>
        <w:jc w:val="both"/>
        <w:rPr>
          <w:rFonts w:ascii="Arial" w:hAnsi="Arial" w:cs="Arial"/>
          <w:b w:val="0"/>
          <w:sz w:val="22"/>
          <w:szCs w:val="22"/>
        </w:rPr>
      </w:pPr>
      <w:r w:rsidRPr="00906420">
        <w:rPr>
          <w:rFonts w:ascii="Arial" w:hAnsi="Arial" w:cs="Arial"/>
          <w:b w:val="0"/>
          <w:sz w:val="22"/>
          <w:szCs w:val="22"/>
        </w:rPr>
        <w:t>o začasnem zadržanju izvrševanja proračuna skladno z zakonom.</w:t>
      </w:r>
    </w:p>
    <w:p w14:paraId="3DDBCB2F" w14:textId="77777777" w:rsidR="00BC26CA" w:rsidRPr="00906420" w:rsidRDefault="00BC26CA" w:rsidP="00BC26CA">
      <w:pPr>
        <w:pStyle w:val="Telobesedila"/>
        <w:ind w:left="426" w:hanging="426"/>
        <w:rPr>
          <w:rFonts w:ascii="Arial" w:hAnsi="Arial" w:cs="Arial"/>
          <w:b w:val="0"/>
          <w:sz w:val="22"/>
          <w:szCs w:val="22"/>
        </w:rPr>
      </w:pPr>
    </w:p>
    <w:p w14:paraId="340EA184" w14:textId="77777777" w:rsidR="00BC26CA" w:rsidRPr="00906420" w:rsidRDefault="00BC26CA" w:rsidP="00BC26CA">
      <w:pPr>
        <w:pStyle w:val="Telobesedila"/>
        <w:numPr>
          <w:ilvl w:val="0"/>
          <w:numId w:val="27"/>
        </w:numPr>
        <w:ind w:left="426" w:hanging="426"/>
        <w:jc w:val="both"/>
        <w:rPr>
          <w:rFonts w:ascii="Arial" w:hAnsi="Arial" w:cs="Arial"/>
          <w:b w:val="0"/>
          <w:sz w:val="22"/>
          <w:szCs w:val="22"/>
        </w:rPr>
      </w:pPr>
      <w:r w:rsidRPr="00906420">
        <w:rPr>
          <w:rFonts w:ascii="Arial" w:hAnsi="Arial" w:cs="Arial"/>
          <w:b w:val="0"/>
          <w:sz w:val="22"/>
          <w:szCs w:val="22"/>
        </w:rPr>
        <w:t>Za zagotavljanje likvidnosti proračuna se izjemoma lahko uporabijo tudi prosta denarna namenska sredstva.</w:t>
      </w:r>
    </w:p>
    <w:p w14:paraId="30571DD2" w14:textId="77777777" w:rsidR="00BC26CA" w:rsidRPr="00906420" w:rsidRDefault="00BC26CA" w:rsidP="00BC26CA">
      <w:pPr>
        <w:pStyle w:val="Telobesedila"/>
        <w:jc w:val="both"/>
        <w:rPr>
          <w:rFonts w:ascii="Arial" w:hAnsi="Arial" w:cs="Arial"/>
          <w:b w:val="0"/>
          <w:sz w:val="22"/>
          <w:szCs w:val="22"/>
        </w:rPr>
      </w:pPr>
    </w:p>
    <w:p w14:paraId="191FC51A"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19. člen</w:t>
      </w:r>
    </w:p>
    <w:p w14:paraId="72D938AE" w14:textId="4BB5B974" w:rsidR="00BC26CA" w:rsidRPr="00906420" w:rsidRDefault="00BC26CA" w:rsidP="00BC26CA">
      <w:pPr>
        <w:pStyle w:val="odstavek"/>
        <w:numPr>
          <w:ilvl w:val="0"/>
          <w:numId w:val="28"/>
        </w:numPr>
        <w:shd w:val="clear" w:color="auto" w:fill="FFFFFF"/>
        <w:spacing w:before="240" w:beforeAutospacing="0" w:after="0" w:afterAutospacing="0"/>
        <w:ind w:left="426" w:hanging="426"/>
        <w:contextualSpacing/>
        <w:jc w:val="both"/>
        <w:rPr>
          <w:rFonts w:ascii="Arial" w:hAnsi="Arial" w:cs="Arial"/>
          <w:sz w:val="22"/>
          <w:szCs w:val="22"/>
        </w:rPr>
      </w:pPr>
      <w:r w:rsidRPr="00906420">
        <w:rPr>
          <w:rFonts w:ascii="Arial" w:hAnsi="Arial" w:cs="Arial"/>
          <w:sz w:val="22"/>
          <w:szCs w:val="22"/>
        </w:rPr>
        <w:t>Posredni proračunski uporabniki občinskega proračuna, javni gospodarski zavodi in javna podjetja, katerih ustanoviteljica je občina ter druge pravne osebe, v katerih ima občina neposredno ali posredno prevladujoč vpliv, se lahko</w:t>
      </w:r>
      <w:r>
        <w:rPr>
          <w:rFonts w:ascii="Arial" w:hAnsi="Arial" w:cs="Arial"/>
          <w:sz w:val="22"/>
          <w:szCs w:val="22"/>
        </w:rPr>
        <w:t xml:space="preserve"> </w:t>
      </w:r>
      <w:r w:rsidRPr="00FB265A">
        <w:rPr>
          <w:rFonts w:ascii="Arial" w:hAnsi="Arial" w:cs="Arial"/>
          <w:sz w:val="22"/>
          <w:szCs w:val="22"/>
        </w:rPr>
        <w:t>v letu 202</w:t>
      </w:r>
      <w:r w:rsidR="005A73FD">
        <w:rPr>
          <w:rFonts w:ascii="Arial" w:hAnsi="Arial" w:cs="Arial"/>
          <w:sz w:val="22"/>
          <w:szCs w:val="22"/>
        </w:rPr>
        <w:t>5</w:t>
      </w:r>
      <w:r w:rsidRPr="00906420">
        <w:rPr>
          <w:rFonts w:ascii="Arial" w:hAnsi="Arial" w:cs="Arial"/>
          <w:sz w:val="22"/>
          <w:szCs w:val="22"/>
        </w:rPr>
        <w:t xml:space="preserve"> zadolžujejo</w:t>
      </w:r>
      <w:r>
        <w:rPr>
          <w:rFonts w:ascii="Arial" w:hAnsi="Arial" w:cs="Arial"/>
          <w:sz w:val="22"/>
          <w:szCs w:val="22"/>
        </w:rPr>
        <w:t xml:space="preserve"> </w:t>
      </w:r>
      <w:r w:rsidRPr="00FB265A">
        <w:rPr>
          <w:rFonts w:ascii="Arial" w:hAnsi="Arial" w:cs="Arial"/>
          <w:sz w:val="22"/>
          <w:szCs w:val="22"/>
        </w:rPr>
        <w:t xml:space="preserve">do skupne višine </w:t>
      </w:r>
      <w:r w:rsidR="00E8165F" w:rsidRPr="00E8165F">
        <w:rPr>
          <w:rFonts w:ascii="Arial" w:hAnsi="Arial" w:cs="Arial"/>
          <w:sz w:val="22"/>
          <w:szCs w:val="22"/>
        </w:rPr>
        <w:t>6</w:t>
      </w:r>
      <w:r w:rsidRPr="00E8165F">
        <w:rPr>
          <w:rFonts w:ascii="Arial" w:hAnsi="Arial" w:cs="Arial"/>
          <w:sz w:val="22"/>
          <w:szCs w:val="22"/>
        </w:rPr>
        <w:t xml:space="preserve"> mio </w:t>
      </w:r>
      <w:r w:rsidRPr="00FB265A">
        <w:rPr>
          <w:rFonts w:ascii="Arial" w:hAnsi="Arial" w:cs="Arial"/>
          <w:sz w:val="22"/>
          <w:szCs w:val="22"/>
        </w:rPr>
        <w:t xml:space="preserve">EUR in izdajajo poroštva do skupine višine glavnic 0 EUR s soglasjem občine pod pogoji, ki jih določi </w:t>
      </w:r>
      <w:r>
        <w:rPr>
          <w:rFonts w:ascii="Arial" w:hAnsi="Arial" w:cs="Arial"/>
          <w:sz w:val="22"/>
          <w:szCs w:val="22"/>
        </w:rPr>
        <w:t>m</w:t>
      </w:r>
      <w:r w:rsidRPr="00FB265A">
        <w:rPr>
          <w:rFonts w:ascii="Arial" w:hAnsi="Arial" w:cs="Arial"/>
          <w:sz w:val="22"/>
          <w:szCs w:val="22"/>
        </w:rPr>
        <w:t>estni svet in če imajo te osebe zagotovljena sredstva</w:t>
      </w:r>
      <w:r w:rsidRPr="00906420">
        <w:rPr>
          <w:rFonts w:ascii="Arial" w:hAnsi="Arial" w:cs="Arial"/>
          <w:sz w:val="22"/>
          <w:szCs w:val="22"/>
        </w:rPr>
        <w:t xml:space="preserve"> za servisiranje dolga iz </w:t>
      </w:r>
      <w:proofErr w:type="spellStart"/>
      <w:r w:rsidRPr="00906420">
        <w:rPr>
          <w:rFonts w:ascii="Arial" w:hAnsi="Arial" w:cs="Arial"/>
          <w:sz w:val="22"/>
          <w:szCs w:val="22"/>
        </w:rPr>
        <w:t>neproračunskih</w:t>
      </w:r>
      <w:proofErr w:type="spellEnd"/>
      <w:r w:rsidRPr="00906420">
        <w:rPr>
          <w:rFonts w:ascii="Arial" w:hAnsi="Arial" w:cs="Arial"/>
          <w:sz w:val="22"/>
          <w:szCs w:val="22"/>
        </w:rPr>
        <w:t xml:space="preserve"> virov. Izdana soglasja se ne štejejo v največji obseg možnega zadolževanja občine, ki je določen v zakonu, ki ureja financiranje občin.</w:t>
      </w:r>
    </w:p>
    <w:p w14:paraId="12605AEF" w14:textId="77777777" w:rsidR="00BC26CA" w:rsidRPr="00906420"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p>
    <w:p w14:paraId="158D2FB6" w14:textId="77777777" w:rsidR="00BC26CA" w:rsidRDefault="00BC26CA" w:rsidP="00BC26CA">
      <w:pPr>
        <w:pStyle w:val="odstavek"/>
        <w:numPr>
          <w:ilvl w:val="0"/>
          <w:numId w:val="28"/>
        </w:numPr>
        <w:shd w:val="clear" w:color="auto" w:fill="FFFFFF"/>
        <w:spacing w:before="240" w:beforeAutospacing="0" w:after="0" w:afterAutospacing="0"/>
        <w:ind w:left="426" w:hanging="426"/>
        <w:contextualSpacing/>
        <w:jc w:val="both"/>
        <w:rPr>
          <w:rFonts w:ascii="Arial" w:hAnsi="Arial" w:cs="Arial"/>
          <w:sz w:val="22"/>
          <w:szCs w:val="22"/>
        </w:rPr>
      </w:pPr>
      <w:r w:rsidRPr="00906420">
        <w:rPr>
          <w:rFonts w:ascii="Arial" w:hAnsi="Arial" w:cs="Arial"/>
          <w:sz w:val="22"/>
          <w:szCs w:val="22"/>
        </w:rPr>
        <w:t xml:space="preserve">Soglasje iz </w:t>
      </w:r>
      <w:r>
        <w:rPr>
          <w:rFonts w:ascii="Arial" w:hAnsi="Arial" w:cs="Arial"/>
          <w:sz w:val="22"/>
          <w:szCs w:val="22"/>
        </w:rPr>
        <w:t>prejšnjega</w:t>
      </w:r>
      <w:r w:rsidRPr="00906420">
        <w:rPr>
          <w:rFonts w:ascii="Arial" w:hAnsi="Arial" w:cs="Arial"/>
          <w:sz w:val="22"/>
          <w:szCs w:val="22"/>
        </w:rPr>
        <w:t xml:space="preserve"> odstavka tega člena izda mestni svet.</w:t>
      </w:r>
    </w:p>
    <w:p w14:paraId="646C0506" w14:textId="77777777" w:rsidR="00BC26CA" w:rsidRPr="00906420"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p>
    <w:p w14:paraId="1F09A1F4"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20. člen</w:t>
      </w:r>
    </w:p>
    <w:p w14:paraId="4F96E143" w14:textId="77777777" w:rsidR="00BC26CA" w:rsidRPr="00906420" w:rsidRDefault="00BC26CA" w:rsidP="00BC26CA">
      <w:pPr>
        <w:pStyle w:val="Telobesedila"/>
        <w:jc w:val="both"/>
        <w:rPr>
          <w:rFonts w:ascii="Arial" w:hAnsi="Arial" w:cs="Arial"/>
          <w:b w:val="0"/>
          <w:sz w:val="22"/>
          <w:szCs w:val="22"/>
        </w:rPr>
      </w:pPr>
    </w:p>
    <w:p w14:paraId="6A4C9616" w14:textId="5CC1E03B" w:rsidR="00BC26CA" w:rsidRPr="00906420" w:rsidRDefault="00BC26CA" w:rsidP="00BC26CA">
      <w:pPr>
        <w:pStyle w:val="Telobesedila"/>
        <w:jc w:val="both"/>
        <w:rPr>
          <w:rFonts w:ascii="Arial" w:hAnsi="Arial" w:cs="Arial"/>
          <w:b w:val="0"/>
          <w:sz w:val="22"/>
          <w:szCs w:val="22"/>
        </w:rPr>
      </w:pPr>
      <w:r w:rsidRPr="00906420">
        <w:rPr>
          <w:rFonts w:ascii="Arial" w:hAnsi="Arial" w:cs="Arial"/>
          <w:b w:val="0"/>
          <w:sz w:val="22"/>
          <w:szCs w:val="22"/>
        </w:rPr>
        <w:t xml:space="preserve">Obseg poroštev, ki jih Mestna občina Nova Gorica lahko na osnovi sklepa </w:t>
      </w:r>
      <w:r>
        <w:rPr>
          <w:rFonts w:ascii="Arial" w:hAnsi="Arial" w:cs="Arial"/>
          <w:b w:val="0"/>
          <w:sz w:val="22"/>
          <w:szCs w:val="22"/>
        </w:rPr>
        <w:t>m</w:t>
      </w:r>
      <w:r w:rsidRPr="00906420">
        <w:rPr>
          <w:rFonts w:ascii="Arial" w:hAnsi="Arial" w:cs="Arial"/>
          <w:b w:val="0"/>
          <w:sz w:val="22"/>
          <w:szCs w:val="22"/>
        </w:rPr>
        <w:t xml:space="preserve">estnega sveta izdaja javnim zavodom, javnim skladom in javnim podjetjem, katerih ustanovitelj oz. </w:t>
      </w:r>
      <w:r w:rsidRPr="00906420">
        <w:rPr>
          <w:rFonts w:ascii="Arial" w:hAnsi="Arial" w:cs="Arial"/>
          <w:b w:val="0"/>
          <w:sz w:val="22"/>
          <w:szCs w:val="22"/>
        </w:rPr>
        <w:lastRenderedPageBreak/>
        <w:t>soustanovitelj je, v letu 202</w:t>
      </w:r>
      <w:r w:rsidR="00EE2D21">
        <w:rPr>
          <w:rFonts w:ascii="Arial" w:hAnsi="Arial" w:cs="Arial"/>
          <w:b w:val="0"/>
          <w:sz w:val="22"/>
          <w:szCs w:val="22"/>
        </w:rPr>
        <w:t>5</w:t>
      </w:r>
      <w:r w:rsidRPr="00906420">
        <w:rPr>
          <w:rFonts w:ascii="Arial" w:hAnsi="Arial" w:cs="Arial"/>
          <w:b w:val="0"/>
          <w:sz w:val="22"/>
          <w:szCs w:val="22"/>
        </w:rPr>
        <w:t xml:space="preserve"> ne sme preseči skupne višine </w:t>
      </w:r>
      <w:r w:rsidRPr="00E8165F">
        <w:rPr>
          <w:rFonts w:ascii="Arial" w:hAnsi="Arial" w:cs="Arial"/>
          <w:b w:val="0"/>
          <w:sz w:val="22"/>
          <w:szCs w:val="22"/>
        </w:rPr>
        <w:t>1</w:t>
      </w:r>
      <w:r w:rsidR="00E8165F" w:rsidRPr="00E8165F">
        <w:rPr>
          <w:rFonts w:ascii="Arial" w:hAnsi="Arial" w:cs="Arial"/>
          <w:b w:val="0"/>
          <w:sz w:val="22"/>
          <w:szCs w:val="22"/>
        </w:rPr>
        <w:t>0</w:t>
      </w:r>
      <w:r w:rsidRPr="00E8165F">
        <w:rPr>
          <w:rFonts w:ascii="Arial" w:hAnsi="Arial" w:cs="Arial"/>
          <w:b w:val="0"/>
          <w:sz w:val="22"/>
          <w:szCs w:val="22"/>
        </w:rPr>
        <w:t xml:space="preserve">0.000 </w:t>
      </w:r>
      <w:r w:rsidRPr="00906420">
        <w:rPr>
          <w:rFonts w:ascii="Arial" w:hAnsi="Arial" w:cs="Arial"/>
          <w:b w:val="0"/>
          <w:sz w:val="22"/>
          <w:szCs w:val="22"/>
        </w:rPr>
        <w:t>EUR potencialne letne obveznosti.</w:t>
      </w:r>
    </w:p>
    <w:p w14:paraId="1726C687" w14:textId="77777777" w:rsidR="00BC26CA" w:rsidRDefault="00BC26CA" w:rsidP="00BC26CA">
      <w:pPr>
        <w:rPr>
          <w:rFonts w:cs="Arial"/>
          <w:sz w:val="22"/>
          <w:szCs w:val="22"/>
        </w:rPr>
      </w:pPr>
    </w:p>
    <w:p w14:paraId="459AD82C" w14:textId="77777777" w:rsidR="00BC26CA" w:rsidRDefault="00BC26CA" w:rsidP="00BC26CA">
      <w:pPr>
        <w:jc w:val="both"/>
        <w:rPr>
          <w:rFonts w:ascii="Arial" w:hAnsi="Arial" w:cs="Arial"/>
          <w:sz w:val="22"/>
          <w:szCs w:val="22"/>
        </w:rPr>
      </w:pPr>
      <w:r w:rsidRPr="00D17B8E">
        <w:rPr>
          <w:rFonts w:ascii="Arial" w:hAnsi="Arial" w:cs="Arial"/>
          <w:sz w:val="22"/>
          <w:szCs w:val="22"/>
        </w:rPr>
        <w:t>V. FINANCIRANJE POSREDNIH PRORAČUNSKIH UPORABNIKOV OBČINSKEGA PRORAČUNA</w:t>
      </w:r>
    </w:p>
    <w:p w14:paraId="6063F37D" w14:textId="77777777" w:rsidR="00BC26CA" w:rsidRDefault="00BC26CA" w:rsidP="00BC26CA">
      <w:pPr>
        <w:pStyle w:val="Telobesedila"/>
        <w:jc w:val="center"/>
        <w:rPr>
          <w:rFonts w:ascii="Arial" w:hAnsi="Arial" w:cs="Arial"/>
          <w:b w:val="0"/>
          <w:sz w:val="22"/>
          <w:szCs w:val="22"/>
        </w:rPr>
      </w:pPr>
    </w:p>
    <w:p w14:paraId="7580E4A3"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21. člen</w:t>
      </w:r>
    </w:p>
    <w:p w14:paraId="6CD0466F" w14:textId="4DFA7A58" w:rsidR="00BC26CA" w:rsidRPr="00906420"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bookmarkStart w:id="2" w:name="_Hlk85104242"/>
      <w:r>
        <w:rPr>
          <w:rFonts w:ascii="Arial" w:hAnsi="Arial" w:cs="Arial"/>
          <w:sz w:val="22"/>
          <w:szCs w:val="22"/>
        </w:rPr>
        <w:t xml:space="preserve">(1) </w:t>
      </w:r>
      <w:r w:rsidRPr="00906420">
        <w:rPr>
          <w:rFonts w:ascii="Arial" w:hAnsi="Arial" w:cs="Arial"/>
          <w:sz w:val="22"/>
          <w:szCs w:val="22"/>
        </w:rPr>
        <w:t xml:space="preserve">Posredni proračunski uporabniki občinskega </w:t>
      </w:r>
      <w:bookmarkEnd w:id="2"/>
      <w:r w:rsidRPr="00906420">
        <w:rPr>
          <w:rFonts w:ascii="Arial" w:hAnsi="Arial" w:cs="Arial"/>
          <w:sz w:val="22"/>
          <w:szCs w:val="22"/>
        </w:rPr>
        <w:t>proračuna so dolžni pristojnim organom občinske uprave predložiti program dela in finančni načrt za leto 202</w:t>
      </w:r>
      <w:r w:rsidR="00EE2D21">
        <w:rPr>
          <w:rFonts w:ascii="Arial" w:hAnsi="Arial" w:cs="Arial"/>
          <w:sz w:val="22"/>
          <w:szCs w:val="22"/>
        </w:rPr>
        <w:t>5</w:t>
      </w:r>
      <w:r w:rsidRPr="00906420">
        <w:rPr>
          <w:rFonts w:ascii="Arial" w:hAnsi="Arial" w:cs="Arial"/>
          <w:sz w:val="22"/>
          <w:szCs w:val="22"/>
        </w:rPr>
        <w:t xml:space="preserve"> ter poročila o realizaciji programov in o porabi sredstev po namenih za preteklo leto v skladu s predpisi</w:t>
      </w:r>
      <w:r>
        <w:rPr>
          <w:rFonts w:ascii="Arial" w:hAnsi="Arial" w:cs="Arial"/>
          <w:sz w:val="22"/>
          <w:szCs w:val="22"/>
        </w:rPr>
        <w:t xml:space="preserve">. </w:t>
      </w:r>
      <w:r w:rsidRPr="00906420">
        <w:rPr>
          <w:rFonts w:ascii="Arial" w:hAnsi="Arial" w:cs="Arial"/>
          <w:sz w:val="22"/>
          <w:szCs w:val="22"/>
        </w:rPr>
        <w:t>Posredni proračunski uporabniki, ki se pretežno financirajo iz proračuna, uskladijo svoje finančne načrte s sprejetim proračunom v 30 dneh po uveljavitvi proračuna.</w:t>
      </w:r>
    </w:p>
    <w:p w14:paraId="0D2B0F08" w14:textId="77777777" w:rsidR="00BC26CA" w:rsidRPr="00906420"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p>
    <w:p w14:paraId="47EC5F60" w14:textId="77777777" w:rsidR="00BC26CA"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r>
        <w:rPr>
          <w:rFonts w:ascii="Arial" w:hAnsi="Arial" w:cs="Arial"/>
          <w:sz w:val="22"/>
          <w:szCs w:val="22"/>
        </w:rPr>
        <w:t xml:space="preserve">(2) </w:t>
      </w:r>
      <w:r w:rsidRPr="00906420">
        <w:rPr>
          <w:rFonts w:ascii="Arial" w:hAnsi="Arial" w:cs="Arial"/>
          <w:sz w:val="22"/>
          <w:szCs w:val="22"/>
        </w:rPr>
        <w:t>Posredni proračunski uporabniki so dolžni dodatno predložiti podatke za analizo poslovanja, ki jih zahteva župan, nadzorni odbor ali za finance pristojen organ občinske uprave.</w:t>
      </w:r>
    </w:p>
    <w:p w14:paraId="2014DFBD" w14:textId="77777777" w:rsidR="005F7DF5" w:rsidRPr="00906420" w:rsidRDefault="005F7DF5"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p>
    <w:p w14:paraId="5213CBED" w14:textId="77777777" w:rsidR="00BC26CA" w:rsidRPr="00906420" w:rsidRDefault="00BC26CA" w:rsidP="00BC26CA">
      <w:pPr>
        <w:pStyle w:val="Telobesedila"/>
        <w:contextualSpacing/>
        <w:jc w:val="center"/>
        <w:rPr>
          <w:rFonts w:ascii="Arial" w:hAnsi="Arial" w:cs="Arial"/>
          <w:b w:val="0"/>
          <w:sz w:val="22"/>
          <w:szCs w:val="22"/>
        </w:rPr>
      </w:pPr>
      <w:r w:rsidRPr="00906420">
        <w:rPr>
          <w:rFonts w:ascii="Arial" w:hAnsi="Arial" w:cs="Arial"/>
          <w:b w:val="0"/>
          <w:sz w:val="22"/>
          <w:szCs w:val="22"/>
        </w:rPr>
        <w:t>22. člen</w:t>
      </w:r>
    </w:p>
    <w:p w14:paraId="5C832C12" w14:textId="77777777" w:rsidR="00BC26CA" w:rsidRPr="00906420" w:rsidRDefault="00BC26CA" w:rsidP="00BC26CA">
      <w:pPr>
        <w:pStyle w:val="odstavek"/>
        <w:shd w:val="clear" w:color="auto" w:fill="FFFFFF"/>
        <w:spacing w:before="240" w:beforeAutospacing="0" w:after="0" w:afterAutospacing="0"/>
        <w:contextualSpacing/>
        <w:jc w:val="both"/>
        <w:rPr>
          <w:rFonts w:ascii="Arial" w:hAnsi="Arial" w:cs="Arial"/>
          <w:sz w:val="22"/>
          <w:szCs w:val="22"/>
        </w:rPr>
      </w:pPr>
      <w:r w:rsidRPr="00906420">
        <w:rPr>
          <w:rFonts w:ascii="Arial" w:hAnsi="Arial" w:cs="Arial"/>
          <w:sz w:val="22"/>
          <w:szCs w:val="22"/>
        </w:rPr>
        <w:t>Za zakonito in namensko uporabo sredstev, ki so proračunskemu uporabniku oziroma prejemniku proračunskih sredstev razporejena iz proračuna, je odgovoren predstojnik organa, zavoda, javnega sklada, društva oziroma poslovodni organ prejemnika sredstev.</w:t>
      </w:r>
    </w:p>
    <w:p w14:paraId="2F3E9ABD" w14:textId="77777777" w:rsidR="00BC26CA" w:rsidRDefault="00BC26CA" w:rsidP="00BC26CA">
      <w:pPr>
        <w:pStyle w:val="Telobesedila"/>
        <w:contextualSpacing/>
        <w:jc w:val="both"/>
        <w:rPr>
          <w:rFonts w:ascii="Arial" w:hAnsi="Arial" w:cs="Arial"/>
          <w:b w:val="0"/>
          <w:sz w:val="22"/>
          <w:szCs w:val="22"/>
        </w:rPr>
      </w:pPr>
    </w:p>
    <w:p w14:paraId="0FC3033B" w14:textId="77777777" w:rsidR="00BC26CA" w:rsidRPr="00906420" w:rsidRDefault="00BC26CA" w:rsidP="00BC26CA">
      <w:pPr>
        <w:pStyle w:val="Telobesedila"/>
        <w:contextualSpacing/>
        <w:jc w:val="both"/>
        <w:rPr>
          <w:rFonts w:ascii="Arial" w:hAnsi="Arial" w:cs="Arial"/>
          <w:b w:val="0"/>
          <w:sz w:val="22"/>
          <w:szCs w:val="22"/>
        </w:rPr>
      </w:pPr>
    </w:p>
    <w:p w14:paraId="475F953F" w14:textId="77777777" w:rsidR="00BC26CA" w:rsidRPr="00906420" w:rsidRDefault="00BC26CA" w:rsidP="00BC26CA">
      <w:pPr>
        <w:pStyle w:val="Telobesedila"/>
        <w:jc w:val="both"/>
        <w:rPr>
          <w:rFonts w:ascii="Arial" w:hAnsi="Arial" w:cs="Arial"/>
          <w:b w:val="0"/>
          <w:sz w:val="22"/>
          <w:szCs w:val="22"/>
        </w:rPr>
      </w:pPr>
      <w:r>
        <w:rPr>
          <w:rFonts w:ascii="Arial" w:hAnsi="Arial" w:cs="Arial"/>
          <w:b w:val="0"/>
          <w:sz w:val="22"/>
          <w:szCs w:val="22"/>
        </w:rPr>
        <w:t xml:space="preserve">VI. </w:t>
      </w:r>
      <w:r w:rsidRPr="00906420">
        <w:rPr>
          <w:rFonts w:ascii="Arial" w:hAnsi="Arial" w:cs="Arial"/>
          <w:b w:val="0"/>
          <w:sz w:val="22"/>
          <w:szCs w:val="22"/>
        </w:rPr>
        <w:t xml:space="preserve"> KONČN</w:t>
      </w:r>
      <w:r>
        <w:rPr>
          <w:rFonts w:ascii="Arial" w:hAnsi="Arial" w:cs="Arial"/>
          <w:b w:val="0"/>
          <w:sz w:val="22"/>
          <w:szCs w:val="22"/>
        </w:rPr>
        <w:t>A</w:t>
      </w:r>
      <w:r w:rsidRPr="00906420">
        <w:rPr>
          <w:rFonts w:ascii="Arial" w:hAnsi="Arial" w:cs="Arial"/>
          <w:b w:val="0"/>
          <w:sz w:val="22"/>
          <w:szCs w:val="22"/>
        </w:rPr>
        <w:t xml:space="preserve"> DOLOČB</w:t>
      </w:r>
      <w:r>
        <w:rPr>
          <w:rFonts w:ascii="Arial" w:hAnsi="Arial" w:cs="Arial"/>
          <w:b w:val="0"/>
          <w:sz w:val="22"/>
          <w:szCs w:val="22"/>
        </w:rPr>
        <w:t>A</w:t>
      </w:r>
    </w:p>
    <w:p w14:paraId="38ED6F2C" w14:textId="77777777" w:rsidR="00BC26CA" w:rsidRPr="00906420" w:rsidRDefault="00BC26CA" w:rsidP="00BC26CA">
      <w:pPr>
        <w:pStyle w:val="Telobesedila"/>
        <w:jc w:val="both"/>
        <w:rPr>
          <w:rFonts w:ascii="Arial" w:hAnsi="Arial" w:cs="Arial"/>
          <w:b w:val="0"/>
          <w:sz w:val="22"/>
          <w:szCs w:val="22"/>
        </w:rPr>
      </w:pPr>
    </w:p>
    <w:p w14:paraId="07CECA4C"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23. člen</w:t>
      </w:r>
    </w:p>
    <w:p w14:paraId="23337AE3" w14:textId="77777777" w:rsidR="00BC26CA" w:rsidRPr="00906420" w:rsidRDefault="00BC26CA" w:rsidP="00BC26CA">
      <w:pPr>
        <w:pStyle w:val="Telobesedila"/>
        <w:jc w:val="both"/>
        <w:rPr>
          <w:rFonts w:ascii="Arial" w:hAnsi="Arial" w:cs="Arial"/>
          <w:b w:val="0"/>
          <w:sz w:val="22"/>
          <w:szCs w:val="22"/>
        </w:rPr>
      </w:pPr>
    </w:p>
    <w:p w14:paraId="08FE0F90" w14:textId="0C11C6C0" w:rsidR="00BC26CA" w:rsidRPr="00906420" w:rsidRDefault="00BC26CA" w:rsidP="00BC26CA">
      <w:pPr>
        <w:pStyle w:val="Telobesedila"/>
        <w:jc w:val="both"/>
        <w:rPr>
          <w:rFonts w:ascii="Arial" w:hAnsi="Arial" w:cs="Arial"/>
          <w:b w:val="0"/>
          <w:sz w:val="22"/>
          <w:szCs w:val="22"/>
        </w:rPr>
      </w:pPr>
      <w:r w:rsidRPr="00906420">
        <w:rPr>
          <w:rFonts w:ascii="Arial" w:hAnsi="Arial" w:cs="Arial"/>
          <w:b w:val="0"/>
          <w:sz w:val="22"/>
          <w:szCs w:val="22"/>
        </w:rPr>
        <w:t xml:space="preserve">Ta odlok začne veljati </w:t>
      </w:r>
      <w:r w:rsidR="00E05323">
        <w:rPr>
          <w:rFonts w:ascii="Arial" w:hAnsi="Arial" w:cs="Arial"/>
          <w:b w:val="0"/>
          <w:sz w:val="22"/>
          <w:szCs w:val="22"/>
        </w:rPr>
        <w:t>naslednji</w:t>
      </w:r>
      <w:r w:rsidRPr="00906420">
        <w:rPr>
          <w:rFonts w:ascii="Arial" w:hAnsi="Arial" w:cs="Arial"/>
          <w:b w:val="0"/>
          <w:sz w:val="22"/>
          <w:szCs w:val="22"/>
        </w:rPr>
        <w:t xml:space="preserve"> dan po objavi v Uradnem listu Republike Slovenije.</w:t>
      </w:r>
    </w:p>
    <w:p w14:paraId="15A7CA87" w14:textId="77777777" w:rsidR="00BC26CA" w:rsidRPr="00906420" w:rsidRDefault="00BC26CA" w:rsidP="00BC26CA">
      <w:pPr>
        <w:pStyle w:val="Telobesedila"/>
        <w:jc w:val="both"/>
        <w:rPr>
          <w:rFonts w:ascii="Arial" w:hAnsi="Arial" w:cs="Arial"/>
          <w:b w:val="0"/>
          <w:sz w:val="22"/>
          <w:szCs w:val="22"/>
        </w:rPr>
      </w:pPr>
    </w:p>
    <w:p w14:paraId="61114DE5" w14:textId="77777777" w:rsidR="00BC26CA" w:rsidRPr="00906420" w:rsidRDefault="00BC26CA" w:rsidP="00BC26CA">
      <w:pPr>
        <w:pStyle w:val="Telobesedila"/>
        <w:jc w:val="both"/>
        <w:rPr>
          <w:rFonts w:ascii="Arial" w:hAnsi="Arial" w:cs="Arial"/>
          <w:b w:val="0"/>
          <w:sz w:val="22"/>
          <w:szCs w:val="22"/>
        </w:rPr>
      </w:pPr>
      <w:r>
        <w:rPr>
          <w:rFonts w:ascii="Arial" w:hAnsi="Arial" w:cs="Arial"/>
          <w:b w:val="0"/>
          <w:sz w:val="22"/>
          <w:szCs w:val="22"/>
        </w:rPr>
        <w:t>Celoten proračun se objavi na spletnih straneh Mestne občine Nova Gorica.</w:t>
      </w:r>
    </w:p>
    <w:p w14:paraId="6FE63483" w14:textId="77777777" w:rsidR="00BC26CA" w:rsidRDefault="00BC26CA" w:rsidP="00BC26CA">
      <w:pPr>
        <w:pStyle w:val="Telobesedila"/>
        <w:tabs>
          <w:tab w:val="center" w:pos="6803"/>
        </w:tabs>
        <w:jc w:val="both"/>
        <w:rPr>
          <w:rFonts w:ascii="Arial" w:hAnsi="Arial" w:cs="Arial"/>
          <w:b w:val="0"/>
          <w:sz w:val="22"/>
          <w:szCs w:val="22"/>
        </w:rPr>
      </w:pPr>
      <w:r w:rsidRPr="00906420">
        <w:rPr>
          <w:rFonts w:ascii="Arial" w:hAnsi="Arial" w:cs="Arial"/>
          <w:b w:val="0"/>
          <w:sz w:val="22"/>
          <w:szCs w:val="22"/>
        </w:rPr>
        <w:tab/>
      </w:r>
    </w:p>
    <w:p w14:paraId="6D797C20" w14:textId="77777777" w:rsidR="00BC26CA" w:rsidRDefault="00BC26CA" w:rsidP="00BC26CA">
      <w:pPr>
        <w:pStyle w:val="Telobesedila"/>
        <w:tabs>
          <w:tab w:val="center" w:pos="6803"/>
        </w:tabs>
        <w:jc w:val="both"/>
        <w:rPr>
          <w:rFonts w:ascii="Arial" w:hAnsi="Arial" w:cs="Arial"/>
          <w:b w:val="0"/>
          <w:sz w:val="22"/>
          <w:szCs w:val="22"/>
        </w:rPr>
      </w:pPr>
    </w:p>
    <w:p w14:paraId="689BBF40" w14:textId="77777777" w:rsidR="00BC26CA" w:rsidRDefault="00BC26CA" w:rsidP="00BC26CA">
      <w:pPr>
        <w:pStyle w:val="Telobesedila"/>
        <w:tabs>
          <w:tab w:val="center" w:pos="6803"/>
        </w:tabs>
        <w:jc w:val="both"/>
        <w:rPr>
          <w:rFonts w:ascii="Arial" w:hAnsi="Arial" w:cs="Arial"/>
          <w:b w:val="0"/>
          <w:sz w:val="22"/>
          <w:szCs w:val="22"/>
        </w:rPr>
      </w:pPr>
    </w:p>
    <w:p w14:paraId="3A04DC2F" w14:textId="019523E0" w:rsidR="00BC26CA" w:rsidRPr="00906420" w:rsidRDefault="00BC26CA" w:rsidP="00BC26CA">
      <w:pPr>
        <w:pStyle w:val="Telobesedila"/>
        <w:tabs>
          <w:tab w:val="center" w:pos="6803"/>
        </w:tabs>
        <w:jc w:val="both"/>
        <w:rPr>
          <w:rFonts w:ascii="Arial" w:hAnsi="Arial" w:cs="Arial"/>
          <w:b w:val="0"/>
          <w:sz w:val="22"/>
          <w:szCs w:val="22"/>
        </w:rPr>
      </w:pPr>
      <w:r w:rsidRPr="00906420">
        <w:rPr>
          <w:rFonts w:ascii="Arial" w:hAnsi="Arial" w:cs="Arial"/>
          <w:b w:val="0"/>
          <w:sz w:val="22"/>
          <w:szCs w:val="22"/>
        </w:rPr>
        <w:t xml:space="preserve">Številka: </w:t>
      </w:r>
      <w:r>
        <w:rPr>
          <w:rFonts w:ascii="Arial" w:hAnsi="Arial" w:cs="Arial"/>
          <w:b w:val="0"/>
          <w:sz w:val="22"/>
          <w:szCs w:val="22"/>
        </w:rPr>
        <w:t>410-00</w:t>
      </w:r>
      <w:r w:rsidR="00F56A6E">
        <w:rPr>
          <w:rFonts w:ascii="Arial" w:hAnsi="Arial" w:cs="Arial"/>
          <w:b w:val="0"/>
          <w:sz w:val="22"/>
          <w:szCs w:val="22"/>
        </w:rPr>
        <w:t>15</w:t>
      </w:r>
      <w:r>
        <w:rPr>
          <w:rFonts w:ascii="Arial" w:hAnsi="Arial" w:cs="Arial"/>
          <w:b w:val="0"/>
          <w:sz w:val="22"/>
          <w:szCs w:val="22"/>
        </w:rPr>
        <w:t>/202</w:t>
      </w:r>
      <w:r w:rsidR="00F56A6E">
        <w:rPr>
          <w:rFonts w:ascii="Arial" w:hAnsi="Arial" w:cs="Arial"/>
          <w:b w:val="0"/>
          <w:sz w:val="22"/>
          <w:szCs w:val="22"/>
        </w:rPr>
        <w:t>3</w:t>
      </w:r>
      <w:r>
        <w:rPr>
          <w:rFonts w:ascii="Arial" w:hAnsi="Arial" w:cs="Arial"/>
          <w:b w:val="0"/>
          <w:sz w:val="22"/>
          <w:szCs w:val="22"/>
        </w:rPr>
        <w:t>-</w:t>
      </w:r>
    </w:p>
    <w:p w14:paraId="677FBA0F" w14:textId="518E07C3" w:rsidR="00BC26CA" w:rsidRPr="00906420" w:rsidRDefault="00BC26CA" w:rsidP="00BC26CA">
      <w:pPr>
        <w:pStyle w:val="Telobesedila"/>
        <w:tabs>
          <w:tab w:val="center" w:pos="6803"/>
        </w:tabs>
        <w:jc w:val="both"/>
        <w:rPr>
          <w:rFonts w:ascii="Arial" w:hAnsi="Arial" w:cs="Arial"/>
          <w:b w:val="0"/>
          <w:sz w:val="22"/>
          <w:szCs w:val="22"/>
        </w:rPr>
      </w:pPr>
      <w:r w:rsidRPr="00906420">
        <w:rPr>
          <w:rFonts w:ascii="Arial" w:hAnsi="Arial" w:cs="Arial"/>
          <w:b w:val="0"/>
          <w:sz w:val="22"/>
          <w:szCs w:val="22"/>
        </w:rPr>
        <w:t>Nov</w:t>
      </w:r>
      <w:r>
        <w:rPr>
          <w:rFonts w:ascii="Arial" w:hAnsi="Arial" w:cs="Arial"/>
          <w:b w:val="0"/>
          <w:sz w:val="22"/>
          <w:szCs w:val="22"/>
        </w:rPr>
        <w:t xml:space="preserve">a </w:t>
      </w:r>
      <w:r w:rsidRPr="00906420">
        <w:rPr>
          <w:rFonts w:ascii="Arial" w:hAnsi="Arial" w:cs="Arial"/>
          <w:b w:val="0"/>
          <w:sz w:val="22"/>
          <w:szCs w:val="22"/>
        </w:rPr>
        <w:t>Goric</w:t>
      </w:r>
      <w:r>
        <w:rPr>
          <w:rFonts w:ascii="Arial" w:hAnsi="Arial" w:cs="Arial"/>
          <w:b w:val="0"/>
          <w:sz w:val="22"/>
          <w:szCs w:val="22"/>
        </w:rPr>
        <w:t xml:space="preserve">a, dne </w:t>
      </w:r>
    </w:p>
    <w:p w14:paraId="2A11BA20" w14:textId="77777777" w:rsidR="00BC26CA" w:rsidRDefault="00BC26CA" w:rsidP="00BC26CA">
      <w:pPr>
        <w:pStyle w:val="Telobesedila"/>
        <w:tabs>
          <w:tab w:val="center" w:pos="6803"/>
        </w:tabs>
        <w:jc w:val="both"/>
        <w:rPr>
          <w:rFonts w:ascii="Arial" w:hAnsi="Arial" w:cs="Arial"/>
          <w:b w:val="0"/>
          <w:sz w:val="22"/>
          <w:szCs w:val="22"/>
        </w:rPr>
      </w:pPr>
      <w:r w:rsidRPr="00906420">
        <w:rPr>
          <w:rFonts w:ascii="Arial" w:hAnsi="Arial" w:cs="Arial"/>
          <w:b w:val="0"/>
          <w:sz w:val="22"/>
          <w:szCs w:val="22"/>
        </w:rPr>
        <w:tab/>
      </w:r>
      <w:r>
        <w:rPr>
          <w:rFonts w:ascii="Arial" w:hAnsi="Arial" w:cs="Arial"/>
          <w:b w:val="0"/>
          <w:sz w:val="22"/>
          <w:szCs w:val="22"/>
        </w:rPr>
        <w:t xml:space="preserve">    Samo Turel</w:t>
      </w:r>
    </w:p>
    <w:p w14:paraId="051E2DF4" w14:textId="657A7656" w:rsidR="00BC26CA" w:rsidRPr="00906420" w:rsidRDefault="00BC26CA" w:rsidP="00BC26CA">
      <w:pPr>
        <w:pStyle w:val="Telobesedila"/>
        <w:tabs>
          <w:tab w:val="center" w:pos="6803"/>
        </w:tabs>
        <w:jc w:val="both"/>
        <w:rPr>
          <w:rFonts w:ascii="Arial" w:hAnsi="Arial" w:cs="Arial"/>
          <w:b w:val="0"/>
          <w:sz w:val="22"/>
          <w:szCs w:val="22"/>
        </w:rPr>
        <w:sectPr w:rsidR="00BC26CA" w:rsidRPr="00906420" w:rsidSect="00C818CE">
          <w:footerReference w:type="even" r:id="rId27"/>
          <w:footerReference w:type="default" r:id="rId28"/>
          <w:headerReference w:type="first" r:id="rId29"/>
          <w:footerReference w:type="first" r:id="rId30"/>
          <w:pgSz w:w="11906" w:h="16838" w:code="9"/>
          <w:pgMar w:top="1418" w:right="1418" w:bottom="1418" w:left="1440" w:header="709" w:footer="709" w:gutter="0"/>
          <w:pgNumType w:start="1"/>
          <w:cols w:space="708"/>
          <w:titlePg/>
          <w:docGrid w:linePitch="360"/>
        </w:sectPr>
      </w:pPr>
      <w:r>
        <w:rPr>
          <w:rFonts w:ascii="Arial" w:hAnsi="Arial" w:cs="Arial"/>
          <w:b w:val="0"/>
          <w:sz w:val="22"/>
          <w:szCs w:val="22"/>
        </w:rPr>
        <w:tab/>
        <w:t xml:space="preserve">     ŽUPA</w:t>
      </w:r>
      <w:r w:rsidR="00F8551B">
        <w:rPr>
          <w:rFonts w:ascii="Arial" w:hAnsi="Arial" w:cs="Arial"/>
          <w:b w:val="0"/>
          <w:sz w:val="22"/>
          <w:szCs w:val="22"/>
        </w:rPr>
        <w:t>N</w:t>
      </w:r>
    </w:p>
    <w:p w14:paraId="64B491FC" w14:textId="2F50BB56" w:rsidR="00667A8C" w:rsidRDefault="00611435" w:rsidP="00667A8C">
      <w:pPr>
        <w:tabs>
          <w:tab w:val="left" w:pos="2550"/>
        </w:tabs>
        <w:rPr>
          <w:rFonts w:ascii="Arial" w:hAnsi="Arial" w:cs="Arial"/>
          <w:noProof/>
          <w:sz w:val="22"/>
          <w:szCs w:val="22"/>
        </w:rPr>
      </w:pPr>
      <w:r>
        <w:rPr>
          <w:rFonts w:ascii="Arial" w:hAnsi="Arial" w:cs="Arial"/>
          <w:noProof/>
          <w:sz w:val="22"/>
          <w:szCs w:val="22"/>
        </w:rPr>
        <w:lastRenderedPageBreak/>
        <w:t>Številka: 410-</w:t>
      </w:r>
      <w:r w:rsidR="00F56A6E">
        <w:rPr>
          <w:rFonts w:ascii="Arial" w:hAnsi="Arial" w:cs="Arial"/>
          <w:noProof/>
          <w:sz w:val="22"/>
          <w:szCs w:val="22"/>
        </w:rPr>
        <w:t>0015/2023-</w:t>
      </w:r>
      <w:r w:rsidR="00740818">
        <w:rPr>
          <w:rFonts w:ascii="Arial" w:hAnsi="Arial" w:cs="Arial"/>
          <w:noProof/>
          <w:sz w:val="22"/>
          <w:szCs w:val="22"/>
        </w:rPr>
        <w:t>5</w:t>
      </w:r>
    </w:p>
    <w:p w14:paraId="0A5BA1E8" w14:textId="34560067" w:rsidR="00611435" w:rsidRDefault="00611435" w:rsidP="00667A8C">
      <w:pPr>
        <w:tabs>
          <w:tab w:val="left" w:pos="2550"/>
        </w:tabs>
        <w:rPr>
          <w:rFonts w:ascii="Arial" w:hAnsi="Arial" w:cs="Arial"/>
          <w:noProof/>
          <w:sz w:val="22"/>
          <w:szCs w:val="22"/>
        </w:rPr>
      </w:pPr>
      <w:r>
        <w:rPr>
          <w:rFonts w:ascii="Arial" w:hAnsi="Arial" w:cs="Arial"/>
          <w:noProof/>
          <w:sz w:val="22"/>
          <w:szCs w:val="22"/>
        </w:rPr>
        <w:t>Nova Gorica,</w:t>
      </w:r>
      <w:r w:rsidR="00F56A6E">
        <w:rPr>
          <w:rFonts w:ascii="Arial" w:hAnsi="Arial" w:cs="Arial"/>
          <w:noProof/>
          <w:sz w:val="22"/>
          <w:szCs w:val="22"/>
        </w:rPr>
        <w:t xml:space="preserve"> </w:t>
      </w:r>
      <w:r w:rsidR="00417BAA">
        <w:rPr>
          <w:rFonts w:ascii="Arial" w:hAnsi="Arial" w:cs="Arial"/>
          <w:noProof/>
          <w:sz w:val="22"/>
          <w:szCs w:val="22"/>
        </w:rPr>
        <w:t xml:space="preserve">dne </w:t>
      </w:r>
      <w:r w:rsidR="00F8551B">
        <w:rPr>
          <w:rFonts w:ascii="Arial" w:hAnsi="Arial" w:cs="Arial"/>
          <w:noProof/>
          <w:sz w:val="22"/>
          <w:szCs w:val="22"/>
        </w:rPr>
        <w:t>8.</w:t>
      </w:r>
      <w:r w:rsidR="00417BAA">
        <w:rPr>
          <w:rFonts w:ascii="Arial" w:hAnsi="Arial" w:cs="Arial"/>
          <w:noProof/>
          <w:sz w:val="22"/>
          <w:szCs w:val="22"/>
        </w:rPr>
        <w:t xml:space="preserve"> novembra </w:t>
      </w:r>
      <w:r w:rsidR="00F8551B">
        <w:rPr>
          <w:rFonts w:ascii="Arial" w:hAnsi="Arial" w:cs="Arial"/>
          <w:noProof/>
          <w:sz w:val="22"/>
          <w:szCs w:val="22"/>
        </w:rPr>
        <w:t>2023</w:t>
      </w:r>
      <w:r>
        <w:rPr>
          <w:rFonts w:ascii="Arial" w:hAnsi="Arial" w:cs="Arial"/>
          <w:noProof/>
          <w:sz w:val="22"/>
          <w:szCs w:val="22"/>
        </w:rPr>
        <w:t xml:space="preserve"> </w:t>
      </w:r>
    </w:p>
    <w:p w14:paraId="4968CC59" w14:textId="49A319B9" w:rsidR="00667A8C" w:rsidRDefault="00667A8C" w:rsidP="00667A8C">
      <w:pPr>
        <w:tabs>
          <w:tab w:val="left" w:pos="2550"/>
        </w:tabs>
        <w:rPr>
          <w:rFonts w:ascii="Arial" w:hAnsi="Arial" w:cs="Arial"/>
          <w:noProof/>
          <w:sz w:val="22"/>
          <w:szCs w:val="22"/>
        </w:rPr>
      </w:pPr>
    </w:p>
    <w:p w14:paraId="111E9E29" w14:textId="5B6EF487" w:rsidR="00667A8C" w:rsidRDefault="00667A8C" w:rsidP="00667A8C">
      <w:pPr>
        <w:tabs>
          <w:tab w:val="left" w:pos="2550"/>
        </w:tabs>
        <w:rPr>
          <w:rFonts w:ascii="Arial" w:hAnsi="Arial" w:cs="Arial"/>
          <w:noProof/>
          <w:sz w:val="22"/>
          <w:szCs w:val="22"/>
        </w:rPr>
      </w:pPr>
    </w:p>
    <w:p w14:paraId="4522C579" w14:textId="27873C2A" w:rsidR="00611435" w:rsidRPr="00417BAA" w:rsidRDefault="00611435" w:rsidP="00611435">
      <w:pPr>
        <w:jc w:val="center"/>
        <w:rPr>
          <w:rFonts w:ascii="Arial" w:hAnsi="Arial" w:cs="Arial"/>
          <w:bCs/>
          <w:sz w:val="22"/>
          <w:szCs w:val="22"/>
        </w:rPr>
      </w:pPr>
      <w:r w:rsidRPr="00417BAA">
        <w:rPr>
          <w:rFonts w:ascii="Arial" w:hAnsi="Arial" w:cs="Arial"/>
          <w:bCs/>
          <w:sz w:val="22"/>
          <w:szCs w:val="22"/>
        </w:rPr>
        <w:t>O</w:t>
      </w:r>
      <w:r w:rsidR="00417BAA">
        <w:rPr>
          <w:rFonts w:ascii="Arial" w:hAnsi="Arial" w:cs="Arial"/>
          <w:bCs/>
          <w:sz w:val="22"/>
          <w:szCs w:val="22"/>
        </w:rPr>
        <w:t xml:space="preserve"> </w:t>
      </w:r>
      <w:r w:rsidRPr="00417BAA">
        <w:rPr>
          <w:rFonts w:ascii="Arial" w:hAnsi="Arial" w:cs="Arial"/>
          <w:bCs/>
          <w:sz w:val="22"/>
          <w:szCs w:val="22"/>
        </w:rPr>
        <w:t>B</w:t>
      </w:r>
      <w:r w:rsidR="00417BAA">
        <w:rPr>
          <w:rFonts w:ascii="Arial" w:hAnsi="Arial" w:cs="Arial"/>
          <w:bCs/>
          <w:sz w:val="22"/>
          <w:szCs w:val="22"/>
        </w:rPr>
        <w:t xml:space="preserve"> </w:t>
      </w:r>
      <w:r w:rsidRPr="00417BAA">
        <w:rPr>
          <w:rFonts w:ascii="Arial" w:hAnsi="Arial" w:cs="Arial"/>
          <w:bCs/>
          <w:sz w:val="22"/>
          <w:szCs w:val="22"/>
        </w:rPr>
        <w:t>R</w:t>
      </w:r>
      <w:r w:rsidR="00417BAA">
        <w:rPr>
          <w:rFonts w:ascii="Arial" w:hAnsi="Arial" w:cs="Arial"/>
          <w:bCs/>
          <w:sz w:val="22"/>
          <w:szCs w:val="22"/>
        </w:rPr>
        <w:t xml:space="preserve"> </w:t>
      </w:r>
      <w:r w:rsidRPr="00417BAA">
        <w:rPr>
          <w:rFonts w:ascii="Arial" w:hAnsi="Arial" w:cs="Arial"/>
          <w:bCs/>
          <w:sz w:val="22"/>
          <w:szCs w:val="22"/>
        </w:rPr>
        <w:t>A</w:t>
      </w:r>
      <w:r w:rsidR="00417BAA">
        <w:rPr>
          <w:rFonts w:ascii="Arial" w:hAnsi="Arial" w:cs="Arial"/>
          <w:bCs/>
          <w:sz w:val="22"/>
          <w:szCs w:val="22"/>
        </w:rPr>
        <w:t xml:space="preserve"> </w:t>
      </w:r>
      <w:r w:rsidRPr="00417BAA">
        <w:rPr>
          <w:rFonts w:ascii="Arial" w:hAnsi="Arial" w:cs="Arial"/>
          <w:bCs/>
          <w:sz w:val="22"/>
          <w:szCs w:val="22"/>
        </w:rPr>
        <w:t>Z</w:t>
      </w:r>
      <w:r w:rsidR="00417BAA">
        <w:rPr>
          <w:rFonts w:ascii="Arial" w:hAnsi="Arial" w:cs="Arial"/>
          <w:bCs/>
          <w:sz w:val="22"/>
          <w:szCs w:val="22"/>
        </w:rPr>
        <w:t xml:space="preserve"> </w:t>
      </w:r>
      <w:r w:rsidR="00FF6747" w:rsidRPr="00417BAA">
        <w:rPr>
          <w:rFonts w:ascii="Arial" w:hAnsi="Arial" w:cs="Arial"/>
          <w:bCs/>
          <w:sz w:val="22"/>
          <w:szCs w:val="22"/>
        </w:rPr>
        <w:t>L</w:t>
      </w:r>
      <w:r w:rsidR="00417BAA">
        <w:rPr>
          <w:rFonts w:ascii="Arial" w:hAnsi="Arial" w:cs="Arial"/>
          <w:bCs/>
          <w:sz w:val="22"/>
          <w:szCs w:val="22"/>
        </w:rPr>
        <w:t xml:space="preserve"> </w:t>
      </w:r>
      <w:r w:rsidRPr="00417BAA">
        <w:rPr>
          <w:rFonts w:ascii="Arial" w:hAnsi="Arial" w:cs="Arial"/>
          <w:bCs/>
          <w:sz w:val="22"/>
          <w:szCs w:val="22"/>
        </w:rPr>
        <w:t>O</w:t>
      </w:r>
      <w:r w:rsidR="00417BAA">
        <w:rPr>
          <w:rFonts w:ascii="Arial" w:hAnsi="Arial" w:cs="Arial"/>
          <w:bCs/>
          <w:sz w:val="22"/>
          <w:szCs w:val="22"/>
        </w:rPr>
        <w:t xml:space="preserve"> </w:t>
      </w:r>
      <w:r w:rsidRPr="00417BAA">
        <w:rPr>
          <w:rFonts w:ascii="Arial" w:hAnsi="Arial" w:cs="Arial"/>
          <w:bCs/>
          <w:sz w:val="22"/>
          <w:szCs w:val="22"/>
        </w:rPr>
        <w:t>Ž</w:t>
      </w:r>
      <w:r w:rsidR="00417BAA">
        <w:rPr>
          <w:rFonts w:ascii="Arial" w:hAnsi="Arial" w:cs="Arial"/>
          <w:bCs/>
          <w:sz w:val="22"/>
          <w:szCs w:val="22"/>
        </w:rPr>
        <w:t xml:space="preserve"> </w:t>
      </w:r>
      <w:r w:rsidRPr="00417BAA">
        <w:rPr>
          <w:rFonts w:ascii="Arial" w:hAnsi="Arial" w:cs="Arial"/>
          <w:bCs/>
          <w:sz w:val="22"/>
          <w:szCs w:val="22"/>
        </w:rPr>
        <w:t>I</w:t>
      </w:r>
      <w:r w:rsidR="00417BAA">
        <w:rPr>
          <w:rFonts w:ascii="Arial" w:hAnsi="Arial" w:cs="Arial"/>
          <w:bCs/>
          <w:sz w:val="22"/>
          <w:szCs w:val="22"/>
        </w:rPr>
        <w:t xml:space="preserve"> </w:t>
      </w:r>
      <w:r w:rsidRPr="00417BAA">
        <w:rPr>
          <w:rFonts w:ascii="Arial" w:hAnsi="Arial" w:cs="Arial"/>
          <w:bCs/>
          <w:sz w:val="22"/>
          <w:szCs w:val="22"/>
        </w:rPr>
        <w:t>T</w:t>
      </w:r>
      <w:r w:rsidR="00417BAA">
        <w:rPr>
          <w:rFonts w:ascii="Arial" w:hAnsi="Arial" w:cs="Arial"/>
          <w:bCs/>
          <w:sz w:val="22"/>
          <w:szCs w:val="22"/>
        </w:rPr>
        <w:t xml:space="preserve"> </w:t>
      </w:r>
      <w:r w:rsidRPr="00417BAA">
        <w:rPr>
          <w:rFonts w:ascii="Arial" w:hAnsi="Arial" w:cs="Arial"/>
          <w:bCs/>
          <w:sz w:val="22"/>
          <w:szCs w:val="22"/>
        </w:rPr>
        <w:t>E</w:t>
      </w:r>
      <w:r w:rsidR="00417BAA">
        <w:rPr>
          <w:rFonts w:ascii="Arial" w:hAnsi="Arial" w:cs="Arial"/>
          <w:bCs/>
          <w:sz w:val="22"/>
          <w:szCs w:val="22"/>
        </w:rPr>
        <w:t xml:space="preserve"> </w:t>
      </w:r>
      <w:r w:rsidRPr="00417BAA">
        <w:rPr>
          <w:rFonts w:ascii="Arial" w:hAnsi="Arial" w:cs="Arial"/>
          <w:bCs/>
          <w:sz w:val="22"/>
          <w:szCs w:val="22"/>
        </w:rPr>
        <w:t>V</w:t>
      </w:r>
    </w:p>
    <w:p w14:paraId="5B395DA1" w14:textId="77777777" w:rsidR="00E67F8A" w:rsidRPr="00550E36" w:rsidRDefault="00E67F8A" w:rsidP="00E67F8A">
      <w:pPr>
        <w:pStyle w:val="Naslov1"/>
        <w:rPr>
          <w:sz w:val="22"/>
          <w:szCs w:val="22"/>
        </w:rPr>
      </w:pPr>
      <w:r w:rsidRPr="00550E36">
        <w:rPr>
          <w:sz w:val="22"/>
          <w:szCs w:val="22"/>
        </w:rPr>
        <w:t>POVZETEK</w:t>
      </w:r>
    </w:p>
    <w:p w14:paraId="235F7FB2" w14:textId="77777777" w:rsidR="007141BC" w:rsidRDefault="007141BC" w:rsidP="007141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Proračun Mestne občine Nova Gorica za leto 2025 predvideva ključne odhodke za potrebe same izvedbe projekta EPK 2025, začetek rekonstrukcije stare stavbe Glasbene šole, začetek gradnje javne kanalizacije na Gradišču nad Prvačino, ki je vezan na uspešno prijavo sofinanciranja s strani države, začetek izvedbe prizidka 4. učilnic OŠ Šempas, nadaljevanje z investicijo v izgradnjo malih sončnih elektrarn na strehah javnih stavb, ki so v lasti MONG oz. KS, nakup električnih avtobusov in vzpostavitev novih mestnih linij, ureditev parka ob Bevkovem spomeniku itd.</w:t>
      </w:r>
      <w:r>
        <w:rPr>
          <w:rStyle w:val="eop"/>
          <w:rFonts w:ascii="Arial" w:hAnsi="Arial" w:cs="Arial"/>
          <w:color w:val="000000"/>
          <w:sz w:val="22"/>
          <w:szCs w:val="22"/>
        </w:rPr>
        <w:t> </w:t>
      </w:r>
    </w:p>
    <w:p w14:paraId="21B2A529" w14:textId="77777777" w:rsidR="007141BC" w:rsidRDefault="007141BC" w:rsidP="007141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Proračun za leto 2025 bo vsekakor septembra 2024 potreboval določene korekcije, saj ga bo potrebno uskladiti s pridobljenimi sredstvi iz javnih razpisov in realizacijo samih projektov v letu 2024.</w:t>
      </w:r>
      <w:r>
        <w:rPr>
          <w:rStyle w:val="eop"/>
          <w:rFonts w:ascii="Arial" w:hAnsi="Arial" w:cs="Arial"/>
          <w:color w:val="000000"/>
          <w:sz w:val="22"/>
          <w:szCs w:val="22"/>
        </w:rPr>
        <w:t> </w:t>
      </w:r>
    </w:p>
    <w:p w14:paraId="5D76D309" w14:textId="77777777" w:rsidR="007141BC" w:rsidRDefault="007141BC" w:rsidP="007141BC">
      <w:pPr>
        <w:autoSpaceDE w:val="0"/>
        <w:autoSpaceDN w:val="0"/>
        <w:jc w:val="both"/>
        <w:rPr>
          <w:rFonts w:ascii="Arial" w:hAnsi="Arial" w:cs="Arial"/>
          <w:color w:val="000000"/>
          <w:sz w:val="22"/>
          <w:szCs w:val="22"/>
        </w:rPr>
      </w:pPr>
    </w:p>
    <w:p w14:paraId="328AE280" w14:textId="77777777" w:rsidR="007141BC" w:rsidRPr="00A2610C" w:rsidRDefault="007141BC" w:rsidP="007141BC">
      <w:pPr>
        <w:autoSpaceDE w:val="0"/>
        <w:autoSpaceDN w:val="0"/>
        <w:jc w:val="both"/>
        <w:rPr>
          <w:rFonts w:ascii="Arial" w:hAnsi="Arial" w:cs="Arial"/>
          <w:b/>
          <w:bCs/>
          <w:color w:val="000000"/>
          <w:sz w:val="22"/>
          <w:szCs w:val="22"/>
        </w:rPr>
      </w:pPr>
      <w:r w:rsidRPr="00A2610C">
        <w:rPr>
          <w:rFonts w:ascii="Arial" w:hAnsi="Arial" w:cs="Arial"/>
          <w:b/>
          <w:bCs/>
          <w:color w:val="000000"/>
          <w:sz w:val="22"/>
          <w:szCs w:val="22"/>
        </w:rPr>
        <w:t>Evropska prestolnica kulture</w:t>
      </w:r>
    </w:p>
    <w:p w14:paraId="1520275D" w14:textId="77777777" w:rsidR="007141BC" w:rsidRPr="00FA119F" w:rsidRDefault="007141BC" w:rsidP="007141BC">
      <w:pPr>
        <w:jc w:val="both"/>
        <w:rPr>
          <w:rFonts w:ascii="Arial" w:hAnsi="Arial" w:cs="Arial"/>
          <w:sz w:val="22"/>
          <w:szCs w:val="22"/>
        </w:rPr>
      </w:pPr>
      <w:r w:rsidRPr="019C4539">
        <w:rPr>
          <w:rFonts w:ascii="Arial" w:hAnsi="Arial" w:cs="Arial"/>
          <w:sz w:val="22"/>
          <w:szCs w:val="22"/>
        </w:rPr>
        <w:t xml:space="preserve">V sklopu Evropske prestolnice kulture se v letu 2024 in v začetku leta 2025 načrtuje več infrastrukturnih intervencij. Skupna ocenjena vrednost znaša 8,3 mio EUR. Za projekt Trg Evrope je dokumentacija za izvedbo gradnje v zaključni fazi. Izbor izvajalca je predviden do začetka leta 2024. Za izvedbo rekonstrukcije trga je predvidenih 8 mesecev. Za Super 8 in EPIC se pridobivajo mnenja in pripravlja dokumentacija za pridobitev gradbenega dovoljenja. Obnova/rekonstrukcija objektov je predvidena v drugem, tretjem in četrtem kvartalu leta 2024. V sklopu proračunskih postavk vezanih na EPK je vključena še »Podporna infrastruktura v </w:t>
      </w:r>
      <w:proofErr w:type="spellStart"/>
      <w:r w:rsidRPr="019C4539">
        <w:rPr>
          <w:rFonts w:ascii="Arial" w:hAnsi="Arial" w:cs="Arial"/>
          <w:sz w:val="22"/>
          <w:szCs w:val="22"/>
        </w:rPr>
        <w:t>Rafutskem</w:t>
      </w:r>
      <w:proofErr w:type="spellEnd"/>
      <w:r w:rsidRPr="019C4539">
        <w:rPr>
          <w:rFonts w:ascii="Arial" w:hAnsi="Arial" w:cs="Arial"/>
          <w:sz w:val="22"/>
          <w:szCs w:val="22"/>
        </w:rPr>
        <w:t xml:space="preserve"> parku« ter igrišča v urbanem zelenem pasu ob meji.</w:t>
      </w:r>
    </w:p>
    <w:p w14:paraId="0D92CC9E" w14:textId="77777777" w:rsidR="007141BC" w:rsidRPr="00FA119F" w:rsidRDefault="007141BC" w:rsidP="007141BC">
      <w:pPr>
        <w:jc w:val="both"/>
        <w:rPr>
          <w:rFonts w:ascii="Arial" w:hAnsi="Arial" w:cs="Arial"/>
          <w:sz w:val="22"/>
          <w:szCs w:val="22"/>
        </w:rPr>
      </w:pPr>
      <w:r w:rsidRPr="019C4539">
        <w:rPr>
          <w:rFonts w:ascii="Arial" w:hAnsi="Arial" w:cs="Arial"/>
          <w:sz w:val="22"/>
          <w:szCs w:val="22"/>
        </w:rPr>
        <w:t>Vrednost celotne intervencije, ki je sofinancirana s CTN sredstev se v primerjavi s predhodno oceno vrednosti zmanjšuje, zaradi omejevanja posegov in racionalizacije s tem, da so lastni viri v okvirih optimalnega deleža, ki jih financiranje zahteva.</w:t>
      </w:r>
    </w:p>
    <w:p w14:paraId="53C074DB" w14:textId="77777777" w:rsidR="007141BC" w:rsidRDefault="007141BC" w:rsidP="007141BC">
      <w:pPr>
        <w:jc w:val="both"/>
        <w:rPr>
          <w:rFonts w:ascii="Arial" w:hAnsi="Arial" w:cs="Arial"/>
          <w:sz w:val="22"/>
          <w:szCs w:val="22"/>
        </w:rPr>
      </w:pPr>
    </w:p>
    <w:p w14:paraId="194FDCE3" w14:textId="77777777" w:rsidR="007141BC" w:rsidRPr="00A2610C" w:rsidRDefault="007141BC" w:rsidP="007141BC">
      <w:pPr>
        <w:jc w:val="both"/>
        <w:rPr>
          <w:rFonts w:ascii="Arial" w:hAnsi="Arial" w:cs="Arial"/>
          <w:b/>
          <w:bCs/>
          <w:sz w:val="22"/>
          <w:szCs w:val="22"/>
        </w:rPr>
      </w:pPr>
      <w:r w:rsidRPr="00A2610C">
        <w:rPr>
          <w:rFonts w:ascii="Arial" w:hAnsi="Arial" w:cs="Arial"/>
          <w:b/>
          <w:bCs/>
          <w:sz w:val="22"/>
          <w:szCs w:val="22"/>
        </w:rPr>
        <w:t>Parkirna politika</w:t>
      </w:r>
    </w:p>
    <w:p w14:paraId="27D9B673" w14:textId="77777777" w:rsidR="007141BC" w:rsidRPr="00A2610C" w:rsidRDefault="007141BC" w:rsidP="007141BC">
      <w:pPr>
        <w:jc w:val="both"/>
        <w:rPr>
          <w:rFonts w:ascii="Arial" w:hAnsi="Arial" w:cs="Arial"/>
          <w:sz w:val="22"/>
          <w:szCs w:val="22"/>
        </w:rPr>
      </w:pPr>
      <w:r w:rsidRPr="019C4539">
        <w:rPr>
          <w:rFonts w:ascii="Arial" w:hAnsi="Arial" w:cs="Arial"/>
          <w:sz w:val="22"/>
          <w:szCs w:val="22"/>
        </w:rPr>
        <w:t>MONG je ostala edina mestna občina z neurejenim parkiranjem, poleg tega pa je med mesti v evropskem vrhu i po številu avtomobilov na prebivalca. V ta namen se načrtuje v prvi polovici leta 2024 izvedba načrta parkirne politike. Za uvedbo prenovljenega sistema upravljanja s parkirnimi mesti je predhodno potrebno izvesti ustrezne ukrepe in zagotoviti pogoje za samo izvedbo: strokovne podlage in ureditev parkirišč, digitalna in druga oprema za upravljanje in nadzor nad parkiranjem, za kar se v letu 2024 načrtuje 407.000 EUR. S tem se bo prispevalo k boljši dostopnosti mestnega središča, uravnoteženemu prometnemu načinu in višji kakovosti bivanja.</w:t>
      </w:r>
    </w:p>
    <w:p w14:paraId="66392647" w14:textId="77777777" w:rsidR="007141BC" w:rsidRDefault="007141BC" w:rsidP="007141BC">
      <w:pPr>
        <w:jc w:val="both"/>
        <w:rPr>
          <w:rFonts w:ascii="Arial" w:hAnsi="Arial" w:cs="Arial"/>
          <w:sz w:val="22"/>
          <w:szCs w:val="22"/>
        </w:rPr>
      </w:pPr>
    </w:p>
    <w:p w14:paraId="397E5D17" w14:textId="77777777" w:rsidR="007141BC" w:rsidRPr="00A2610C" w:rsidRDefault="007141BC" w:rsidP="007141BC">
      <w:pPr>
        <w:jc w:val="both"/>
        <w:rPr>
          <w:rFonts w:ascii="Arial" w:hAnsi="Arial" w:cs="Arial"/>
          <w:b/>
          <w:bCs/>
          <w:sz w:val="22"/>
          <w:szCs w:val="22"/>
        </w:rPr>
      </w:pPr>
      <w:r w:rsidRPr="00A2610C">
        <w:rPr>
          <w:rFonts w:ascii="Arial" w:hAnsi="Arial" w:cs="Arial"/>
          <w:b/>
          <w:bCs/>
          <w:sz w:val="22"/>
          <w:szCs w:val="22"/>
        </w:rPr>
        <w:t>Zeleni preboj občine</w:t>
      </w:r>
    </w:p>
    <w:p w14:paraId="3FC61964" w14:textId="77777777" w:rsidR="007141BC" w:rsidRDefault="007141BC" w:rsidP="007141BC">
      <w:pPr>
        <w:jc w:val="both"/>
        <w:rPr>
          <w:rFonts w:ascii="Arial" w:hAnsi="Arial" w:cs="Arial"/>
          <w:sz w:val="22"/>
          <w:szCs w:val="22"/>
        </w:rPr>
      </w:pPr>
      <w:r w:rsidRPr="019C4539">
        <w:rPr>
          <w:rFonts w:ascii="Arial" w:hAnsi="Arial" w:cs="Arial"/>
          <w:sz w:val="22"/>
          <w:szCs w:val="22"/>
        </w:rPr>
        <w:t>Svetovni trend gre v smeri zelenega preboja držav, občin, mest in krajev. Temu trendu sledi tudi MONG predvsem na dveh področjih, in sicer: postavitev malih in večjih sončnih elektrarn ter nakup električnih avtobusov. Za oba omenjena večja projekta se bomo v letu 2024 prijavili na javne razpise Ministrstva za okolje, podnebje in energijo (sončne elektrarne) in EKO sklada (električni avtobusi). Prav tako bomo v letu 2024 izpeljali ustrezno javno naročilo za postavitev večje sončne elektrarne na odlagališču v Stari Gori, ki bi imela cca. 5 MW moči. Veliko pozornosti bomo namenili tudi postavitvi večjega števila električnih polnilnic tako za avtomobile kot tudi za električna kolesa.</w:t>
      </w:r>
    </w:p>
    <w:p w14:paraId="2DC8E998" w14:textId="77777777" w:rsidR="007141BC" w:rsidRDefault="007141BC" w:rsidP="007141BC">
      <w:pPr>
        <w:jc w:val="both"/>
        <w:rPr>
          <w:rFonts w:ascii="Arial" w:hAnsi="Arial" w:cs="Arial"/>
          <w:sz w:val="22"/>
          <w:szCs w:val="22"/>
        </w:rPr>
      </w:pPr>
    </w:p>
    <w:p w14:paraId="0FB64503" w14:textId="77777777" w:rsidR="007141BC" w:rsidRPr="00A2610C" w:rsidRDefault="007141BC" w:rsidP="007141BC">
      <w:pPr>
        <w:autoSpaceDE w:val="0"/>
        <w:autoSpaceDN w:val="0"/>
        <w:jc w:val="both"/>
        <w:rPr>
          <w:rFonts w:ascii="Arial" w:hAnsi="Arial" w:cs="Arial"/>
          <w:b/>
          <w:bCs/>
          <w:color w:val="000000"/>
          <w:sz w:val="22"/>
          <w:szCs w:val="22"/>
        </w:rPr>
      </w:pPr>
      <w:r w:rsidRPr="00A2610C">
        <w:rPr>
          <w:rFonts w:ascii="Arial" w:hAnsi="Arial" w:cs="Arial"/>
          <w:b/>
          <w:bCs/>
          <w:color w:val="000000"/>
          <w:sz w:val="22"/>
          <w:szCs w:val="22"/>
        </w:rPr>
        <w:lastRenderedPageBreak/>
        <w:t>Prostorsko načrtovanje – nov začetek razvoja občine</w:t>
      </w:r>
    </w:p>
    <w:p w14:paraId="5E8240EE" w14:textId="77777777" w:rsidR="007141BC" w:rsidRPr="00A2610C" w:rsidRDefault="007141BC" w:rsidP="007141BC">
      <w:pPr>
        <w:jc w:val="both"/>
        <w:rPr>
          <w:rFonts w:ascii="Arial" w:hAnsi="Arial" w:cs="Arial"/>
          <w:sz w:val="22"/>
          <w:szCs w:val="22"/>
        </w:rPr>
      </w:pPr>
      <w:r w:rsidRPr="019C4539">
        <w:rPr>
          <w:rFonts w:ascii="Arial" w:hAnsi="Arial" w:cs="Arial"/>
          <w:sz w:val="22"/>
          <w:szCs w:val="22"/>
        </w:rPr>
        <w:t xml:space="preserve">Za področje prostorskega načrtovanja bo v letih 2024 in 2025 namenjenih 590.500 EUR, in sicer za nadaljevanje in pričetek novih postopkov priprave prostorskih aktov: postopek sprememb in dopolnitev  OPN številka 7, postopek sprememb in dopolnitev  OPN številka 9, pričetek priprave strokovnih podlag za postopek priprave prostorskega akta v skladu z ZUreP-3, pričetek postopka priprave OPPN Poslovna cona Meblo, OPPN </w:t>
      </w:r>
      <w:proofErr w:type="spellStart"/>
      <w:r w:rsidRPr="019C4539">
        <w:rPr>
          <w:rFonts w:ascii="Arial" w:hAnsi="Arial" w:cs="Arial"/>
          <w:sz w:val="22"/>
          <w:szCs w:val="22"/>
        </w:rPr>
        <w:t>Ščedne</w:t>
      </w:r>
      <w:proofErr w:type="spellEnd"/>
      <w:r w:rsidRPr="019C4539">
        <w:rPr>
          <w:rFonts w:ascii="Arial" w:hAnsi="Arial" w:cs="Arial"/>
          <w:sz w:val="22"/>
          <w:szCs w:val="22"/>
        </w:rPr>
        <w:t xml:space="preserve">, OPPN Poslovna cona Prvačina, priprava strokovnih podlag za območje športnega parka na Ajševici, za območje Science </w:t>
      </w:r>
      <w:proofErr w:type="spellStart"/>
      <w:r w:rsidRPr="019C4539">
        <w:rPr>
          <w:rFonts w:ascii="Arial" w:hAnsi="Arial" w:cs="Arial"/>
          <w:sz w:val="22"/>
          <w:szCs w:val="22"/>
        </w:rPr>
        <w:t>city</w:t>
      </w:r>
      <w:proofErr w:type="spellEnd"/>
      <w:r w:rsidRPr="019C4539">
        <w:rPr>
          <w:rFonts w:ascii="Arial" w:hAnsi="Arial" w:cs="Arial"/>
          <w:sz w:val="22"/>
          <w:szCs w:val="22"/>
        </w:rPr>
        <w:t xml:space="preserve"> v Solkanu in drugih nalog.</w:t>
      </w:r>
    </w:p>
    <w:p w14:paraId="4601D72F" w14:textId="77777777" w:rsidR="007141BC" w:rsidRPr="00A2610C" w:rsidRDefault="007141BC" w:rsidP="007141BC">
      <w:pPr>
        <w:jc w:val="both"/>
        <w:rPr>
          <w:rFonts w:ascii="Arial" w:hAnsi="Arial" w:cs="Arial"/>
          <w:sz w:val="22"/>
          <w:szCs w:val="22"/>
        </w:rPr>
      </w:pPr>
      <w:r w:rsidRPr="019C4539">
        <w:rPr>
          <w:rFonts w:ascii="Arial" w:hAnsi="Arial" w:cs="Arial"/>
          <w:sz w:val="22"/>
          <w:szCs w:val="22"/>
        </w:rPr>
        <w:t xml:space="preserve">Za področje trajnostnega urejanja prometa bo v dveh letih namenjenih 325.000 EUR za potrebe načrtovanja prometnih ureditev na ravni idejnih zasnov za izboljšanje prometne varnosti, izdelavi izvedbene dokumentacije za izvedbo manjših ukrepov prometne varnosti s prednostno obravnavo šolskih poti in za </w:t>
      </w:r>
      <w:proofErr w:type="spellStart"/>
      <w:r w:rsidRPr="019C4539">
        <w:rPr>
          <w:rFonts w:ascii="Arial" w:hAnsi="Arial" w:cs="Arial"/>
          <w:sz w:val="22"/>
          <w:szCs w:val="22"/>
        </w:rPr>
        <w:t>novelacijo</w:t>
      </w:r>
      <w:proofErr w:type="spellEnd"/>
      <w:r w:rsidRPr="019C4539">
        <w:rPr>
          <w:rFonts w:ascii="Arial" w:hAnsi="Arial" w:cs="Arial"/>
          <w:sz w:val="22"/>
          <w:szCs w:val="22"/>
        </w:rPr>
        <w:t xml:space="preserve"> celostne prometne strategije. </w:t>
      </w:r>
    </w:p>
    <w:p w14:paraId="4FA8EF0E" w14:textId="77777777" w:rsidR="007141BC" w:rsidRDefault="007141BC" w:rsidP="007141BC">
      <w:pPr>
        <w:jc w:val="both"/>
        <w:rPr>
          <w:rFonts w:ascii="Arial" w:hAnsi="Arial" w:cs="Arial"/>
          <w:sz w:val="22"/>
          <w:szCs w:val="22"/>
        </w:rPr>
      </w:pPr>
    </w:p>
    <w:p w14:paraId="1EE7C2C8" w14:textId="77777777" w:rsidR="007141BC" w:rsidRPr="00F52B00" w:rsidRDefault="007141BC" w:rsidP="007141BC">
      <w:pPr>
        <w:jc w:val="both"/>
        <w:rPr>
          <w:rFonts w:ascii="Arial" w:hAnsi="Arial" w:cs="Arial"/>
          <w:b/>
          <w:bCs/>
          <w:sz w:val="22"/>
          <w:szCs w:val="22"/>
        </w:rPr>
      </w:pPr>
      <w:r w:rsidRPr="00F52B00">
        <w:rPr>
          <w:rFonts w:ascii="Arial" w:hAnsi="Arial" w:cs="Arial"/>
          <w:b/>
          <w:bCs/>
          <w:sz w:val="22"/>
          <w:szCs w:val="22"/>
        </w:rPr>
        <w:t>Gospodarstvo – ključen dejavnik razvoja občine</w:t>
      </w:r>
    </w:p>
    <w:p w14:paraId="3C282C34" w14:textId="77777777" w:rsidR="007141BC" w:rsidRPr="00572529" w:rsidRDefault="007141BC" w:rsidP="007141BC">
      <w:pPr>
        <w:jc w:val="both"/>
        <w:rPr>
          <w:rFonts w:ascii="Arial" w:hAnsi="Arial" w:cs="Arial"/>
          <w:color w:val="000000"/>
          <w:sz w:val="22"/>
          <w:szCs w:val="22"/>
        </w:rPr>
      </w:pPr>
      <w:r w:rsidRPr="019C4539">
        <w:rPr>
          <w:rFonts w:ascii="Arial" w:hAnsi="Arial" w:cs="Arial"/>
          <w:color w:val="000000" w:themeColor="text1"/>
          <w:sz w:val="22"/>
          <w:szCs w:val="22"/>
        </w:rPr>
        <w:t xml:space="preserve">V letu 2024 in 2025  v okviru ukrepov za spodbujanje podjetništva in razvoja  inovativnega gospodarstva </w:t>
      </w:r>
      <w:r w:rsidRPr="019C4539">
        <w:rPr>
          <w:rFonts w:ascii="Arial" w:hAnsi="Arial" w:cs="Arial"/>
          <w:sz w:val="22"/>
          <w:szCs w:val="22"/>
        </w:rPr>
        <w:t xml:space="preserve">ponovno </w:t>
      </w:r>
      <w:r w:rsidRPr="019C4539">
        <w:rPr>
          <w:rFonts w:ascii="Arial" w:hAnsi="Arial" w:cs="Arial"/>
          <w:color w:val="000000" w:themeColor="text1"/>
          <w:sz w:val="22"/>
          <w:szCs w:val="22"/>
        </w:rPr>
        <w:t>uvajamo ukrep  "Zagon novih inovativnih podjetij",  skladno s kateri</w:t>
      </w:r>
      <w:r w:rsidRPr="019C4539">
        <w:rPr>
          <w:rFonts w:ascii="Arial" w:hAnsi="Arial" w:cs="Arial"/>
          <w:sz w:val="22"/>
          <w:szCs w:val="22"/>
        </w:rPr>
        <w:t>m</w:t>
      </w:r>
      <w:r w:rsidRPr="019C4539">
        <w:rPr>
          <w:rFonts w:ascii="Arial" w:hAnsi="Arial" w:cs="Arial"/>
          <w:color w:val="000000" w:themeColor="text1"/>
          <w:sz w:val="22"/>
          <w:szCs w:val="22"/>
        </w:rPr>
        <w:t xml:space="preserve"> bomo prek javnega razpisa dodeljevali finančne spodbude za  nakup raziskovalne  opreme, sofinancirali pa bomo tudi stroške  najemnine za poslovne prostore, stroške promocijskih aktivnosti novo nastalega podjetja  ter tudi stroške dela zaposlenega osebja v podjetju.</w:t>
      </w:r>
    </w:p>
    <w:p w14:paraId="6C348D8C" w14:textId="77777777" w:rsidR="007141BC" w:rsidRDefault="007141BC" w:rsidP="007141BC">
      <w:pPr>
        <w:jc w:val="both"/>
        <w:rPr>
          <w:rFonts w:ascii="Arial" w:eastAsiaTheme="minorEastAsia" w:hAnsi="Arial" w:cs="Arial"/>
          <w:sz w:val="22"/>
          <w:szCs w:val="22"/>
        </w:rPr>
      </w:pPr>
      <w:r w:rsidRPr="019C4539">
        <w:rPr>
          <w:rFonts w:ascii="Arial" w:eastAsiaTheme="minorEastAsia" w:hAnsi="Arial" w:cs="Arial"/>
          <w:sz w:val="22"/>
          <w:szCs w:val="22"/>
        </w:rPr>
        <w:t xml:space="preserve">Aktivno bomo začeli delati na prostorskih aktih za vzpostavitev Science </w:t>
      </w:r>
      <w:proofErr w:type="spellStart"/>
      <w:r w:rsidRPr="019C4539">
        <w:rPr>
          <w:rFonts w:ascii="Arial" w:eastAsiaTheme="minorEastAsia" w:hAnsi="Arial" w:cs="Arial"/>
          <w:sz w:val="22"/>
          <w:szCs w:val="22"/>
        </w:rPr>
        <w:t>city</w:t>
      </w:r>
      <w:proofErr w:type="spellEnd"/>
      <w:r w:rsidRPr="019C4539">
        <w:rPr>
          <w:rFonts w:ascii="Arial" w:eastAsiaTheme="minorEastAsia" w:hAnsi="Arial" w:cs="Arial"/>
          <w:sz w:val="22"/>
          <w:szCs w:val="22"/>
        </w:rPr>
        <w:t xml:space="preserve"> Solkan (na območju trenutne SIA), nadaljevali na področju OPPN Poslovna cona Prvačina ter začeli s postopkom OPPN Poslovna cona Meblo, ki bo omogočala prenovljen razvoj gospodarstva na tem območju.</w:t>
      </w:r>
    </w:p>
    <w:p w14:paraId="372718B7" w14:textId="77777777" w:rsidR="007141BC" w:rsidRPr="00572529" w:rsidRDefault="007141BC" w:rsidP="007141BC">
      <w:pPr>
        <w:jc w:val="both"/>
        <w:rPr>
          <w:rFonts w:ascii="Arial" w:eastAsiaTheme="minorEastAsia" w:hAnsi="Arial" w:cs="Arial"/>
          <w:sz w:val="22"/>
          <w:szCs w:val="22"/>
        </w:rPr>
      </w:pPr>
      <w:r w:rsidRPr="019C4539">
        <w:rPr>
          <w:rFonts w:ascii="Arial" w:eastAsiaTheme="minorEastAsia" w:hAnsi="Arial" w:cs="Arial"/>
          <w:sz w:val="22"/>
          <w:szCs w:val="22"/>
        </w:rPr>
        <w:t>MONG je začela razvijati idejo, za katero smo prepričani, da se bo v kratkem tudi uresničila, in to je, da MONG postane center podjetništva mladih.</w:t>
      </w:r>
    </w:p>
    <w:p w14:paraId="71EBEAD6" w14:textId="77777777" w:rsidR="007141BC" w:rsidRDefault="007141BC" w:rsidP="007141BC">
      <w:pPr>
        <w:autoSpaceDE w:val="0"/>
        <w:autoSpaceDN w:val="0"/>
        <w:jc w:val="both"/>
        <w:rPr>
          <w:rFonts w:ascii="Arial" w:hAnsi="Arial" w:cs="Arial"/>
          <w:color w:val="000000"/>
          <w:sz w:val="22"/>
          <w:szCs w:val="22"/>
        </w:rPr>
      </w:pPr>
    </w:p>
    <w:p w14:paraId="029D0317" w14:textId="77777777" w:rsidR="007141BC" w:rsidRPr="00572529" w:rsidRDefault="007141BC" w:rsidP="007141BC">
      <w:pPr>
        <w:autoSpaceDE w:val="0"/>
        <w:autoSpaceDN w:val="0"/>
        <w:jc w:val="both"/>
        <w:rPr>
          <w:rFonts w:ascii="Arial" w:hAnsi="Arial" w:cs="Arial"/>
          <w:b/>
          <w:bCs/>
          <w:color w:val="000000"/>
          <w:sz w:val="22"/>
          <w:szCs w:val="22"/>
        </w:rPr>
      </w:pPr>
      <w:r w:rsidRPr="00572529">
        <w:rPr>
          <w:rFonts w:ascii="Arial" w:hAnsi="Arial" w:cs="Arial"/>
          <w:b/>
          <w:bCs/>
          <w:color w:val="000000"/>
          <w:sz w:val="22"/>
          <w:szCs w:val="22"/>
        </w:rPr>
        <w:t>Participacija občanov za zelene projekte</w:t>
      </w:r>
    </w:p>
    <w:p w14:paraId="5C8C39D5" w14:textId="77777777" w:rsidR="007141BC" w:rsidRDefault="007141BC" w:rsidP="007141BC">
      <w:pPr>
        <w:autoSpaceDE w:val="0"/>
        <w:autoSpaceDN w:val="0"/>
        <w:jc w:val="both"/>
        <w:rPr>
          <w:rFonts w:ascii="Arial" w:hAnsi="Arial" w:cs="Arial"/>
          <w:color w:val="000000"/>
          <w:sz w:val="22"/>
          <w:szCs w:val="22"/>
        </w:rPr>
      </w:pPr>
      <w:r w:rsidRPr="019C4539">
        <w:rPr>
          <w:rFonts w:ascii="Arial" w:hAnsi="Arial" w:cs="Arial"/>
          <w:color w:val="000000" w:themeColor="text1"/>
          <w:sz w:val="22"/>
          <w:szCs w:val="22"/>
        </w:rPr>
        <w:t>V sklopu že dobro sprejetega projekta »Participativni proračun« s strani občanov in krajanov bomo v dobrih dveh letih namenili 600.000 EUR, kar je največ, odkar se je ta projekt vpeljal tudi v MONG. Sam projekt bomo nadgradili v smeri, da bomo prvenstveno podprli projekte občanov, ki bodo ciljno zeleno usmerjeni ter del sredstev namenili samo predlogom, ki jih bodo podali mlajši občani (predvidoma od 15 do 29 let).</w:t>
      </w:r>
    </w:p>
    <w:p w14:paraId="0A938E3B" w14:textId="77777777" w:rsidR="007141BC" w:rsidRDefault="007141BC" w:rsidP="007141BC">
      <w:pPr>
        <w:autoSpaceDE w:val="0"/>
        <w:autoSpaceDN w:val="0"/>
        <w:jc w:val="both"/>
        <w:rPr>
          <w:rFonts w:ascii="Arial" w:hAnsi="Arial" w:cs="Arial"/>
          <w:color w:val="000000"/>
          <w:sz w:val="22"/>
          <w:szCs w:val="22"/>
        </w:rPr>
      </w:pPr>
    </w:p>
    <w:p w14:paraId="59C41C7D" w14:textId="77777777" w:rsidR="007141BC" w:rsidRPr="00572529" w:rsidRDefault="007141BC" w:rsidP="007141BC">
      <w:pPr>
        <w:autoSpaceDE w:val="0"/>
        <w:autoSpaceDN w:val="0"/>
        <w:jc w:val="both"/>
        <w:rPr>
          <w:rFonts w:ascii="Arial" w:hAnsi="Arial" w:cs="Arial"/>
          <w:b/>
          <w:bCs/>
          <w:color w:val="000000"/>
          <w:sz w:val="22"/>
          <w:szCs w:val="22"/>
        </w:rPr>
      </w:pPr>
      <w:r w:rsidRPr="00572529">
        <w:rPr>
          <w:rFonts w:ascii="Arial" w:hAnsi="Arial" w:cs="Arial"/>
          <w:b/>
          <w:bCs/>
          <w:color w:val="000000"/>
          <w:sz w:val="22"/>
          <w:szCs w:val="22"/>
        </w:rPr>
        <w:t>Šolstvo – na mladih svet stoji</w:t>
      </w:r>
    </w:p>
    <w:p w14:paraId="5385C3F2" w14:textId="77777777" w:rsidR="007141BC" w:rsidRDefault="007141BC" w:rsidP="007141BC">
      <w:pPr>
        <w:autoSpaceDE w:val="0"/>
        <w:autoSpaceDN w:val="0"/>
        <w:jc w:val="both"/>
        <w:rPr>
          <w:rFonts w:ascii="Arial" w:hAnsi="Arial" w:cs="Arial"/>
          <w:color w:val="000000"/>
          <w:sz w:val="22"/>
          <w:szCs w:val="22"/>
        </w:rPr>
      </w:pPr>
      <w:r w:rsidRPr="019C4539">
        <w:rPr>
          <w:rFonts w:ascii="Arial" w:hAnsi="Arial" w:cs="Arial"/>
          <w:color w:val="000000" w:themeColor="text1"/>
          <w:sz w:val="22"/>
          <w:szCs w:val="22"/>
        </w:rPr>
        <w:t xml:space="preserve">Že vrsto let MONG vlaga velika finančna sredstva v investicije tako na nivoju osnovnega šolstva kot vrtcev. V letu 2024 bomo zaključili drugo fazo nadgradnje OŠ Čepovan, zaključila se bo investicija v prenovo telovadnice OŠ </w:t>
      </w:r>
      <w:proofErr w:type="spellStart"/>
      <w:r w:rsidRPr="019C4539">
        <w:rPr>
          <w:rFonts w:ascii="Arial" w:hAnsi="Arial" w:cs="Arial"/>
          <w:color w:val="000000" w:themeColor="text1"/>
          <w:sz w:val="22"/>
          <w:szCs w:val="22"/>
        </w:rPr>
        <w:t>Kozara</w:t>
      </w:r>
      <w:proofErr w:type="spellEnd"/>
      <w:r w:rsidRPr="019C4539">
        <w:rPr>
          <w:rFonts w:ascii="Arial" w:hAnsi="Arial" w:cs="Arial"/>
          <w:color w:val="000000" w:themeColor="text1"/>
          <w:sz w:val="22"/>
          <w:szCs w:val="22"/>
        </w:rPr>
        <w:t>. Za začetek investicije v rekonstrukcijo in prizidavo OŠ Solkan bomo v tem letu pridobili ustrezno dokumentacijo, investicija pa naj bi se začela leta 2025. Prav tako to velja za OŠ Šempas, za katero pa že imam pridobljena vsa ustrezna dovoljenja za začetek prizidave 4 učilnic. V kolikor bomo pridobil dodatna sredstva ali iz proračuna ali preko javnih razpisov bo prva investicija v enoto vrtca Mojca (jaslični oddelek) v Novi Gorici.</w:t>
      </w:r>
    </w:p>
    <w:p w14:paraId="4DBB0144" w14:textId="77777777" w:rsidR="007141BC" w:rsidRDefault="007141BC" w:rsidP="007141BC">
      <w:pPr>
        <w:autoSpaceDE w:val="0"/>
        <w:autoSpaceDN w:val="0"/>
        <w:jc w:val="both"/>
        <w:rPr>
          <w:rFonts w:ascii="Arial" w:hAnsi="Arial" w:cs="Arial"/>
          <w:color w:val="000000"/>
          <w:sz w:val="22"/>
          <w:szCs w:val="22"/>
        </w:rPr>
      </w:pPr>
    </w:p>
    <w:p w14:paraId="1A2C6C31" w14:textId="77777777" w:rsidR="007141BC" w:rsidRPr="00B01FA7" w:rsidRDefault="007141BC" w:rsidP="007141BC">
      <w:pPr>
        <w:autoSpaceDE w:val="0"/>
        <w:autoSpaceDN w:val="0"/>
        <w:jc w:val="both"/>
        <w:rPr>
          <w:rFonts w:ascii="Arial" w:hAnsi="Arial" w:cs="Arial"/>
          <w:b/>
          <w:bCs/>
          <w:color w:val="000000"/>
          <w:sz w:val="22"/>
          <w:szCs w:val="22"/>
        </w:rPr>
      </w:pPr>
      <w:r w:rsidRPr="00B01FA7">
        <w:rPr>
          <w:rFonts w:ascii="Arial" w:hAnsi="Arial" w:cs="Arial"/>
          <w:b/>
          <w:bCs/>
          <w:color w:val="000000"/>
          <w:sz w:val="22"/>
          <w:szCs w:val="22"/>
        </w:rPr>
        <w:t>Krajevne skupnosti – srce razvoja podeželja</w:t>
      </w:r>
    </w:p>
    <w:p w14:paraId="353F4927" w14:textId="77777777" w:rsidR="007141BC" w:rsidRDefault="007141BC" w:rsidP="007141BC">
      <w:pPr>
        <w:jc w:val="both"/>
        <w:rPr>
          <w:rFonts w:ascii="Arial" w:hAnsi="Arial" w:cs="Arial"/>
          <w:sz w:val="22"/>
          <w:szCs w:val="22"/>
        </w:rPr>
      </w:pPr>
      <w:r w:rsidRPr="019C4539">
        <w:rPr>
          <w:rFonts w:ascii="Arial" w:hAnsi="Arial" w:cs="Arial"/>
          <w:sz w:val="22"/>
          <w:szCs w:val="22"/>
        </w:rPr>
        <w:t>V letu 2024 in 2025 bodo imele krajevne skupnosti v MONG za delovanje na razpolago skupaj 913.066 EUR sredstev, in sicer 73.560 EUR lastnih sredstev ter 839.506 EUR proračunskih sredstev. Za investicije pa se bo iz lastnih sredstev namenilo 346.843 EUR, iz proračuna občine pa 269.800 EUR, skupaj torej za obe leti 616.643 EUR sredstev.  Kot vedno se nameni tudi sredstva, poleg lastnih tudi iz proračuna, za vzdrževanje krajevnih poti  in prireditve. Odpira se nova proračunska postavka Upravljanje in vzdrževanje objektov za rekreacijo, ki bo namenjena zavarovanju, plačilu tekočih stroškov ter vzdrževanju, ki so jih nekatere krajevne skupnosti pridobile v upravljanje od MONG. Za obe leti se nameni iz proračuna sredstva v višini 84.460 EUR.</w:t>
      </w:r>
    </w:p>
    <w:p w14:paraId="31FC45E3" w14:textId="77777777" w:rsidR="007141BC" w:rsidRPr="00B01FA7" w:rsidRDefault="007141BC" w:rsidP="007141BC">
      <w:pPr>
        <w:autoSpaceDE w:val="0"/>
        <w:autoSpaceDN w:val="0"/>
        <w:jc w:val="both"/>
        <w:rPr>
          <w:rFonts w:ascii="Arial" w:hAnsi="Arial" w:cs="Arial"/>
          <w:b/>
          <w:bCs/>
          <w:color w:val="000000"/>
          <w:sz w:val="22"/>
          <w:szCs w:val="22"/>
        </w:rPr>
      </w:pPr>
      <w:r w:rsidRPr="00B01FA7">
        <w:rPr>
          <w:rFonts w:ascii="Arial" w:hAnsi="Arial" w:cs="Arial"/>
          <w:b/>
          <w:bCs/>
          <w:sz w:val="22"/>
          <w:szCs w:val="22"/>
        </w:rPr>
        <w:lastRenderedPageBreak/>
        <w:t>Cestna infrastruktura</w:t>
      </w:r>
    </w:p>
    <w:p w14:paraId="3611ED0F" w14:textId="77777777" w:rsidR="007141BC" w:rsidRDefault="007141BC" w:rsidP="007141BC">
      <w:pPr>
        <w:autoSpaceDE w:val="0"/>
        <w:autoSpaceDN w:val="0"/>
        <w:jc w:val="both"/>
        <w:rPr>
          <w:rFonts w:ascii="Arial" w:hAnsi="Arial" w:cs="Arial"/>
          <w:color w:val="000000"/>
          <w:sz w:val="22"/>
          <w:szCs w:val="22"/>
        </w:rPr>
      </w:pPr>
      <w:r w:rsidRPr="019C4539">
        <w:rPr>
          <w:rFonts w:ascii="Arial" w:hAnsi="Arial" w:cs="Arial"/>
          <w:color w:val="000000" w:themeColor="text1"/>
          <w:sz w:val="22"/>
          <w:szCs w:val="22"/>
        </w:rPr>
        <w:t xml:space="preserve">Kljub temu, da MONG veliko sredstev vlaga v kolesarske povezave, bomo določena finančna sredstva namenili tudi ureditvam cestnih površin. Na vseh odsekih, kjer se bo urejala komunalna infrastruktura, bo MONG istočasno poskrbela tudi za sanacijo zgornjega ustroja samega cestišča. Večji cestni posegi se predvidevajo na območju Branika (varna pot v šolo ter območje bivše kmetijske zadruge), na območju Trnovsko-Banjške planote, kjer bi izpostavili križišče in avtobusno obračališče v Grgarju, na območju Šempasa (pešpot Osek – Šempas) ter manjša vzdrževalna dela po celotni občini. </w:t>
      </w:r>
    </w:p>
    <w:p w14:paraId="68C018E3" w14:textId="77777777" w:rsidR="007141BC" w:rsidRDefault="007141BC" w:rsidP="007141BC">
      <w:pPr>
        <w:jc w:val="both"/>
        <w:rPr>
          <w:rFonts w:ascii="Arial" w:hAnsi="Arial" w:cs="Arial"/>
          <w:color w:val="000000" w:themeColor="text1"/>
          <w:sz w:val="22"/>
          <w:szCs w:val="22"/>
        </w:rPr>
      </w:pPr>
    </w:p>
    <w:p w14:paraId="2C879E66" w14:textId="77777777" w:rsidR="007141BC" w:rsidRDefault="007141BC" w:rsidP="007141BC">
      <w:pPr>
        <w:autoSpaceDE w:val="0"/>
        <w:autoSpaceDN w:val="0"/>
        <w:jc w:val="both"/>
        <w:rPr>
          <w:rFonts w:ascii="Arial" w:hAnsi="Arial" w:cs="Arial"/>
          <w:b/>
          <w:bCs/>
          <w:sz w:val="22"/>
          <w:szCs w:val="22"/>
        </w:rPr>
      </w:pPr>
      <w:r w:rsidRPr="019C4539">
        <w:rPr>
          <w:rFonts w:ascii="Arial" w:hAnsi="Arial" w:cs="Arial"/>
          <w:b/>
          <w:bCs/>
          <w:sz w:val="22"/>
          <w:szCs w:val="22"/>
        </w:rPr>
        <w:t>Zavod za turizem – nove naloge, nov zagon</w:t>
      </w:r>
    </w:p>
    <w:p w14:paraId="69D4720A" w14:textId="77777777" w:rsidR="007141BC" w:rsidRDefault="007141BC" w:rsidP="007141BC">
      <w:pPr>
        <w:autoSpaceDE w:val="0"/>
        <w:autoSpaceDN w:val="0"/>
        <w:jc w:val="both"/>
        <w:rPr>
          <w:rFonts w:ascii="Arial" w:eastAsia="Arial" w:hAnsi="Arial" w:cs="Arial"/>
          <w:sz w:val="22"/>
          <w:szCs w:val="22"/>
        </w:rPr>
      </w:pPr>
      <w:r w:rsidRPr="019C4539">
        <w:rPr>
          <w:rFonts w:ascii="Arial" w:eastAsia="Arial" w:hAnsi="Arial" w:cs="Arial"/>
          <w:sz w:val="22"/>
          <w:szCs w:val="22"/>
        </w:rPr>
        <w:t xml:space="preserve">V letu 2024 in 2025 bo imel Zavod za turizem Nova Gorica za delovanje več kot 1.000.000 EUR. Večja sprememba v proračunu za leto 2024 in 2025 je povišanje sredstev namenjenih za izvedbo dogodkov, ki imajo večji turistični potencial, z namenom večjega turističnega obiska domačih in tujih gostov, oziroma za podaljšanje dobe bivanja v destinaciji, povečanja prihodov dnevnih gostov, povišanje porabe ali kot dodatna ponudba obstoječi ponudbi v destinaciji. Vključeni so tudi tisti dogodki, ki imajo potencial sinergije za boljše turistične učinke, tako v smislu povezovanja med ponudniki kot ponujanja novih paketov interdisciplinarnih vsebin. Ta obseg vključuje predvsem turistično zanimive dogodke povezane z </w:t>
      </w:r>
      <w:proofErr w:type="spellStart"/>
      <w:r w:rsidRPr="019C4539">
        <w:rPr>
          <w:rFonts w:ascii="Arial" w:eastAsia="Arial" w:hAnsi="Arial" w:cs="Arial"/>
          <w:sz w:val="22"/>
          <w:szCs w:val="22"/>
        </w:rPr>
        <w:t>enogastronomijo</w:t>
      </w:r>
      <w:proofErr w:type="spellEnd"/>
      <w:r w:rsidRPr="019C4539">
        <w:rPr>
          <w:rFonts w:ascii="Arial" w:eastAsia="Arial" w:hAnsi="Arial" w:cs="Arial"/>
          <w:sz w:val="22"/>
          <w:szCs w:val="22"/>
        </w:rPr>
        <w:t xml:space="preserve"> in počitniškim obdobjem (poletno in novoletno dogajanje).</w:t>
      </w:r>
    </w:p>
    <w:p w14:paraId="42C9C906" w14:textId="77777777" w:rsidR="00E67F8A" w:rsidRPr="00550E36" w:rsidRDefault="00E67F8A" w:rsidP="00E67F8A">
      <w:pPr>
        <w:autoSpaceDE w:val="0"/>
        <w:autoSpaceDN w:val="0"/>
        <w:adjustRightInd w:val="0"/>
        <w:jc w:val="both"/>
        <w:rPr>
          <w:rFonts w:ascii="Arial" w:hAnsi="Arial" w:cs="Arial"/>
          <w:color w:val="FF0000"/>
          <w:sz w:val="22"/>
          <w:szCs w:val="22"/>
        </w:rPr>
      </w:pPr>
    </w:p>
    <w:p w14:paraId="23EF6EBC" w14:textId="77777777" w:rsidR="005C3AF2" w:rsidRPr="00250685" w:rsidRDefault="005C3AF2" w:rsidP="005C3AF2">
      <w:pPr>
        <w:pStyle w:val="Naslov2"/>
        <w:rPr>
          <w:sz w:val="22"/>
          <w:szCs w:val="22"/>
        </w:rPr>
      </w:pPr>
      <w:r w:rsidRPr="00250685">
        <w:rPr>
          <w:sz w:val="22"/>
          <w:szCs w:val="22"/>
        </w:rPr>
        <w:t>Predloženo gradivo sestavljajo:</w:t>
      </w:r>
    </w:p>
    <w:p w14:paraId="3377DCD1" w14:textId="77777777" w:rsidR="005C3AF2" w:rsidRPr="00250685" w:rsidRDefault="005C3AF2" w:rsidP="005C3AF2">
      <w:pPr>
        <w:autoSpaceDE w:val="0"/>
        <w:autoSpaceDN w:val="0"/>
        <w:adjustRightInd w:val="0"/>
        <w:jc w:val="both"/>
        <w:rPr>
          <w:rFonts w:ascii="Arial" w:hAnsi="Arial" w:cs="Arial"/>
          <w:color w:val="000000"/>
          <w:sz w:val="22"/>
          <w:szCs w:val="22"/>
        </w:rPr>
      </w:pPr>
    </w:p>
    <w:p w14:paraId="185F1273" w14:textId="42F22F19" w:rsidR="005C3AF2" w:rsidRPr="00B26776" w:rsidRDefault="005C3AF2" w:rsidP="005C3AF2">
      <w:pPr>
        <w:autoSpaceDE w:val="0"/>
        <w:autoSpaceDN w:val="0"/>
        <w:adjustRightInd w:val="0"/>
        <w:ind w:left="360" w:hanging="360"/>
        <w:jc w:val="both"/>
        <w:rPr>
          <w:rFonts w:ascii="Arial" w:hAnsi="Arial" w:cs="Arial"/>
          <w:color w:val="000000"/>
          <w:sz w:val="22"/>
          <w:szCs w:val="22"/>
        </w:rPr>
      </w:pPr>
      <w:r w:rsidRPr="00B26776">
        <w:rPr>
          <w:rFonts w:ascii="Arial" w:hAnsi="Arial" w:cs="Arial"/>
          <w:color w:val="000000"/>
          <w:sz w:val="22"/>
          <w:szCs w:val="22"/>
        </w:rPr>
        <w:t>-</w:t>
      </w:r>
      <w:r w:rsidRPr="00B26776">
        <w:rPr>
          <w:rFonts w:ascii="Arial" w:hAnsi="Arial" w:cs="Arial"/>
          <w:color w:val="000000"/>
          <w:sz w:val="22"/>
          <w:szCs w:val="22"/>
        </w:rPr>
        <w:tab/>
        <w:t xml:space="preserve">Predlog </w:t>
      </w:r>
      <w:r w:rsidRPr="00B26776">
        <w:rPr>
          <w:rFonts w:ascii="Arial" w:hAnsi="Arial" w:cs="Arial"/>
          <w:b/>
          <w:bCs/>
          <w:color w:val="000000"/>
          <w:sz w:val="22"/>
          <w:szCs w:val="22"/>
        </w:rPr>
        <w:t xml:space="preserve">odloka o proračunu za leto </w:t>
      </w:r>
      <w:r>
        <w:rPr>
          <w:rFonts w:ascii="Arial" w:hAnsi="Arial" w:cs="Arial"/>
          <w:b/>
          <w:bCs/>
          <w:color w:val="000000"/>
          <w:sz w:val="22"/>
          <w:szCs w:val="22"/>
        </w:rPr>
        <w:t>202</w:t>
      </w:r>
      <w:r w:rsidR="006E6000">
        <w:rPr>
          <w:rFonts w:ascii="Arial" w:hAnsi="Arial" w:cs="Arial"/>
          <w:b/>
          <w:bCs/>
          <w:color w:val="000000"/>
          <w:sz w:val="22"/>
          <w:szCs w:val="22"/>
        </w:rPr>
        <w:t>5</w:t>
      </w:r>
      <w:r w:rsidRPr="00B26776">
        <w:rPr>
          <w:rFonts w:ascii="Arial" w:hAnsi="Arial" w:cs="Arial"/>
          <w:color w:val="000000"/>
          <w:sz w:val="22"/>
          <w:szCs w:val="22"/>
        </w:rPr>
        <w:t>, ki je sestavljen v skladu z veljavnimi javnofinančnimi predpisi in priročnikom za pripravo občinskih proračunov, ki ga vsako leto pripravi Ministrstvo RS za finance in predstavlja sumarni prikaz načrtovanih prihodkov, odhodkov, financiran</w:t>
      </w:r>
      <w:r>
        <w:rPr>
          <w:rFonts w:ascii="Arial" w:hAnsi="Arial" w:cs="Arial"/>
          <w:color w:val="000000"/>
          <w:sz w:val="22"/>
          <w:szCs w:val="22"/>
        </w:rPr>
        <w:t>j</w:t>
      </w:r>
      <w:r w:rsidRPr="00B26776">
        <w:rPr>
          <w:rFonts w:ascii="Arial" w:hAnsi="Arial" w:cs="Arial"/>
          <w:color w:val="000000"/>
          <w:sz w:val="22"/>
          <w:szCs w:val="22"/>
        </w:rPr>
        <w:t>a in zadolževanja ob</w:t>
      </w:r>
      <w:r>
        <w:rPr>
          <w:rFonts w:ascii="Arial" w:hAnsi="Arial" w:cs="Arial"/>
          <w:color w:val="000000"/>
          <w:sz w:val="22"/>
          <w:szCs w:val="22"/>
        </w:rPr>
        <w:t>čine v letu 202</w:t>
      </w:r>
      <w:r w:rsidR="006E6000">
        <w:rPr>
          <w:rFonts w:ascii="Arial" w:hAnsi="Arial" w:cs="Arial"/>
          <w:color w:val="000000"/>
          <w:sz w:val="22"/>
          <w:szCs w:val="22"/>
        </w:rPr>
        <w:t>5</w:t>
      </w:r>
      <w:r w:rsidRPr="00B26776">
        <w:rPr>
          <w:rFonts w:ascii="Arial" w:hAnsi="Arial" w:cs="Arial"/>
          <w:color w:val="000000"/>
          <w:sz w:val="22"/>
          <w:szCs w:val="22"/>
        </w:rPr>
        <w:t xml:space="preserve"> ter pravil sestave in izvrševanja proračuna. </w:t>
      </w:r>
    </w:p>
    <w:p w14:paraId="1253750F" w14:textId="77777777" w:rsidR="005C3AF2" w:rsidRPr="00B26776" w:rsidRDefault="005C3AF2" w:rsidP="005C3AF2">
      <w:pPr>
        <w:autoSpaceDE w:val="0"/>
        <w:autoSpaceDN w:val="0"/>
        <w:adjustRightInd w:val="0"/>
        <w:ind w:left="360" w:hanging="360"/>
        <w:jc w:val="both"/>
        <w:rPr>
          <w:rFonts w:ascii="Arial" w:hAnsi="Arial" w:cs="Arial"/>
          <w:color w:val="000000"/>
          <w:sz w:val="22"/>
          <w:szCs w:val="22"/>
        </w:rPr>
      </w:pPr>
      <w:r w:rsidRPr="00B26776">
        <w:rPr>
          <w:rFonts w:ascii="Arial" w:hAnsi="Arial" w:cs="Arial"/>
          <w:color w:val="000000"/>
          <w:sz w:val="22"/>
          <w:szCs w:val="22"/>
        </w:rPr>
        <w:t>-</w:t>
      </w:r>
      <w:r w:rsidRPr="00B26776">
        <w:rPr>
          <w:rFonts w:ascii="Arial" w:hAnsi="Arial" w:cs="Arial"/>
          <w:color w:val="000000"/>
          <w:sz w:val="22"/>
          <w:szCs w:val="22"/>
        </w:rPr>
        <w:tab/>
        <w:t xml:space="preserve">Številski del predloga </w:t>
      </w:r>
      <w:r w:rsidRPr="00B26776">
        <w:rPr>
          <w:rFonts w:ascii="Arial" w:hAnsi="Arial" w:cs="Arial"/>
          <w:b/>
          <w:bCs/>
          <w:color w:val="000000"/>
          <w:sz w:val="22"/>
          <w:szCs w:val="22"/>
        </w:rPr>
        <w:t>splošnega dela proračuna</w:t>
      </w:r>
      <w:r w:rsidRPr="00B26776">
        <w:rPr>
          <w:rFonts w:ascii="Arial" w:hAnsi="Arial" w:cs="Arial"/>
          <w:color w:val="000000"/>
          <w:sz w:val="22"/>
          <w:szCs w:val="22"/>
        </w:rPr>
        <w:t>, ki vsebuje načrtovane prihodke, odhodke (A. bilanca), račun finančnih terjatev in naložb (B. bilanca) in račun financiranja (C. bilanca), ki v skladu z ekonomsko klasifikacijo prikazuje razdelitev proračunskih sredstev po vrsti porabe glede na predpisan enotni kontni okvir za proračun lokalne skupnosti.</w:t>
      </w:r>
    </w:p>
    <w:p w14:paraId="26BE8B87" w14:textId="77777777" w:rsidR="005C3AF2" w:rsidRPr="00B26776" w:rsidRDefault="005C3AF2" w:rsidP="005C3AF2">
      <w:pPr>
        <w:autoSpaceDE w:val="0"/>
        <w:autoSpaceDN w:val="0"/>
        <w:adjustRightInd w:val="0"/>
        <w:ind w:left="360" w:hanging="360"/>
        <w:jc w:val="both"/>
        <w:rPr>
          <w:rFonts w:ascii="Arial" w:hAnsi="Arial" w:cs="Arial"/>
          <w:color w:val="000000"/>
          <w:sz w:val="22"/>
          <w:szCs w:val="22"/>
        </w:rPr>
      </w:pPr>
      <w:r w:rsidRPr="00B26776">
        <w:rPr>
          <w:rFonts w:ascii="Arial" w:hAnsi="Arial" w:cs="Arial"/>
          <w:color w:val="000000"/>
          <w:sz w:val="22"/>
          <w:szCs w:val="22"/>
        </w:rPr>
        <w:t>-</w:t>
      </w:r>
      <w:r w:rsidRPr="00B26776">
        <w:rPr>
          <w:rFonts w:ascii="Arial" w:hAnsi="Arial" w:cs="Arial"/>
          <w:color w:val="000000"/>
          <w:sz w:val="22"/>
          <w:szCs w:val="22"/>
        </w:rPr>
        <w:tab/>
        <w:t xml:space="preserve">Številčni del predloga </w:t>
      </w:r>
      <w:r w:rsidRPr="00B26776">
        <w:rPr>
          <w:rFonts w:ascii="Arial" w:hAnsi="Arial" w:cs="Arial"/>
          <w:b/>
          <w:bCs/>
          <w:color w:val="000000"/>
          <w:sz w:val="22"/>
          <w:szCs w:val="22"/>
        </w:rPr>
        <w:t xml:space="preserve">posebnega dela proračuna, </w:t>
      </w:r>
      <w:r w:rsidRPr="00B26776">
        <w:rPr>
          <w:rFonts w:ascii="Arial" w:hAnsi="Arial" w:cs="Arial"/>
          <w:color w:val="000000"/>
          <w:sz w:val="22"/>
          <w:szCs w:val="22"/>
        </w:rPr>
        <w:t>ki prikazuje porabo proračunskih sredstev po posameznih področjih porabe, programih, podprogramih in znotraj tega po posameznih proračunskih postavkah, kar pokaže za katere namene se bodo proračunska sredstva porabljala. Razdelitev postavk po kontih pa prikazuje kaj se bo za posamezen namen plačevalo.</w:t>
      </w:r>
    </w:p>
    <w:p w14:paraId="76FB9407" w14:textId="77777777" w:rsidR="005C3AF2" w:rsidRPr="00B26776" w:rsidRDefault="005C3AF2" w:rsidP="005C3AF2">
      <w:pPr>
        <w:autoSpaceDE w:val="0"/>
        <w:autoSpaceDN w:val="0"/>
        <w:adjustRightInd w:val="0"/>
        <w:ind w:left="360" w:hanging="360"/>
        <w:jc w:val="both"/>
        <w:rPr>
          <w:rFonts w:ascii="Arial" w:hAnsi="Arial" w:cs="Arial"/>
          <w:color w:val="000000"/>
          <w:sz w:val="22"/>
          <w:szCs w:val="22"/>
        </w:rPr>
      </w:pPr>
      <w:r w:rsidRPr="00B26776">
        <w:rPr>
          <w:rFonts w:ascii="Arial" w:hAnsi="Arial" w:cs="Arial"/>
          <w:color w:val="000000"/>
          <w:sz w:val="22"/>
          <w:szCs w:val="22"/>
        </w:rPr>
        <w:t>-</w:t>
      </w:r>
      <w:r w:rsidRPr="00B26776">
        <w:rPr>
          <w:rFonts w:ascii="Arial" w:hAnsi="Arial" w:cs="Arial"/>
          <w:color w:val="000000"/>
          <w:sz w:val="22"/>
          <w:szCs w:val="22"/>
        </w:rPr>
        <w:tab/>
        <w:t xml:space="preserve">Predlog </w:t>
      </w:r>
      <w:r w:rsidRPr="00B26776">
        <w:rPr>
          <w:rFonts w:ascii="Arial" w:hAnsi="Arial" w:cs="Arial"/>
          <w:b/>
          <w:bCs/>
          <w:color w:val="000000"/>
          <w:sz w:val="22"/>
          <w:szCs w:val="22"/>
        </w:rPr>
        <w:t>načrta razvojnih programov za obdobje štirih let</w:t>
      </w:r>
      <w:r w:rsidRPr="00B26776">
        <w:rPr>
          <w:rFonts w:ascii="Arial" w:hAnsi="Arial" w:cs="Arial"/>
          <w:color w:val="000000"/>
          <w:sz w:val="22"/>
          <w:szCs w:val="22"/>
        </w:rPr>
        <w:t xml:space="preserve"> (v nadaljevanju: NRP), v katerem so zajeti vsi večletni projekti, investicije in investicijska vzdrževanja večletnega značaja.</w:t>
      </w:r>
    </w:p>
    <w:p w14:paraId="2C6AD684" w14:textId="77777777" w:rsidR="005C3AF2" w:rsidRPr="00B26776" w:rsidRDefault="005C3AF2" w:rsidP="005C3AF2">
      <w:pPr>
        <w:autoSpaceDE w:val="0"/>
        <w:autoSpaceDN w:val="0"/>
        <w:adjustRightInd w:val="0"/>
        <w:ind w:left="360" w:hanging="360"/>
        <w:jc w:val="both"/>
        <w:rPr>
          <w:rFonts w:ascii="Arial" w:hAnsi="Arial" w:cs="Arial"/>
          <w:color w:val="000000"/>
          <w:sz w:val="22"/>
          <w:szCs w:val="22"/>
        </w:rPr>
      </w:pPr>
      <w:r w:rsidRPr="00B26776">
        <w:rPr>
          <w:rFonts w:ascii="Arial" w:hAnsi="Arial" w:cs="Arial"/>
          <w:color w:val="000000"/>
          <w:sz w:val="22"/>
          <w:szCs w:val="22"/>
        </w:rPr>
        <w:t>-</w:t>
      </w:r>
      <w:r w:rsidRPr="00B26776">
        <w:rPr>
          <w:rFonts w:ascii="Arial" w:hAnsi="Arial" w:cs="Arial"/>
          <w:color w:val="000000"/>
          <w:sz w:val="22"/>
          <w:szCs w:val="22"/>
        </w:rPr>
        <w:tab/>
        <w:t xml:space="preserve">Obrazložitve </w:t>
      </w:r>
      <w:r>
        <w:rPr>
          <w:rFonts w:ascii="Arial" w:hAnsi="Arial" w:cs="Arial"/>
          <w:color w:val="000000"/>
          <w:sz w:val="22"/>
          <w:szCs w:val="22"/>
        </w:rPr>
        <w:t>posameznih sestavin proračuna.</w:t>
      </w:r>
    </w:p>
    <w:p w14:paraId="19B4571A" w14:textId="77777777" w:rsidR="005C3AF2" w:rsidRDefault="005C3AF2" w:rsidP="005C3AF2">
      <w:pPr>
        <w:autoSpaceDE w:val="0"/>
        <w:autoSpaceDN w:val="0"/>
        <w:adjustRightInd w:val="0"/>
        <w:jc w:val="both"/>
        <w:rPr>
          <w:rFonts w:ascii="Arial" w:hAnsi="Arial" w:cs="Arial"/>
          <w:color w:val="000000"/>
          <w:sz w:val="22"/>
          <w:szCs w:val="22"/>
        </w:rPr>
      </w:pPr>
    </w:p>
    <w:p w14:paraId="367E4F6C" w14:textId="6B6A56EA" w:rsidR="005C3AF2" w:rsidRPr="00A518C4" w:rsidRDefault="005C3AF2" w:rsidP="005C3AF2">
      <w:pPr>
        <w:jc w:val="both"/>
        <w:rPr>
          <w:rFonts w:cs="Arial"/>
          <w:bCs/>
          <w:color w:val="000000"/>
          <w:sz w:val="22"/>
          <w:szCs w:val="22"/>
        </w:rPr>
      </w:pPr>
      <w:r>
        <w:rPr>
          <w:rFonts w:ascii="Arial" w:hAnsi="Arial" w:cs="Arial"/>
          <w:color w:val="000000"/>
          <w:sz w:val="22"/>
          <w:szCs w:val="22"/>
        </w:rPr>
        <w:t>Skupaj s predlogom proračuna je pripravljen tudi predlog sklepa o</w:t>
      </w:r>
      <w:r w:rsidRPr="002F0B80">
        <w:rPr>
          <w:rFonts w:ascii="Arial" w:hAnsi="Arial" w:cs="Arial"/>
          <w:color w:val="000000"/>
          <w:sz w:val="22"/>
          <w:szCs w:val="22"/>
        </w:rPr>
        <w:t xml:space="preserve"> Načrtu ravnanja z nepremičnim premoženjem Mestne občine Nova Gorica</w:t>
      </w:r>
      <w:r>
        <w:rPr>
          <w:rFonts w:ascii="Arial" w:hAnsi="Arial" w:cs="Arial"/>
          <w:color w:val="000000"/>
          <w:sz w:val="22"/>
          <w:szCs w:val="22"/>
        </w:rPr>
        <w:t xml:space="preserve">, ki vključuje </w:t>
      </w:r>
      <w:r w:rsidRPr="002F0B80">
        <w:rPr>
          <w:rFonts w:ascii="Arial" w:hAnsi="Arial" w:cs="Arial"/>
          <w:color w:val="000000"/>
          <w:sz w:val="22"/>
          <w:szCs w:val="22"/>
        </w:rPr>
        <w:t>načrt pridobivanja in načrt razpolaganja s stvarnim premoženjem</w:t>
      </w:r>
      <w:r>
        <w:rPr>
          <w:rFonts w:ascii="Arial" w:hAnsi="Arial" w:cs="Arial"/>
          <w:color w:val="000000"/>
          <w:sz w:val="22"/>
          <w:szCs w:val="22"/>
        </w:rPr>
        <w:t>, ki v tabelarični prilogi prikazuje, katero stvarno premoženje namerava občina pridobiti oz. prodati v letu 202</w:t>
      </w:r>
      <w:r w:rsidR="002D5C81">
        <w:rPr>
          <w:rFonts w:ascii="Arial" w:hAnsi="Arial" w:cs="Arial"/>
          <w:color w:val="000000"/>
          <w:sz w:val="22"/>
          <w:szCs w:val="22"/>
        </w:rPr>
        <w:t>5</w:t>
      </w:r>
      <w:r>
        <w:rPr>
          <w:rFonts w:ascii="Arial" w:hAnsi="Arial" w:cs="Arial"/>
          <w:color w:val="000000"/>
          <w:sz w:val="22"/>
          <w:szCs w:val="22"/>
        </w:rPr>
        <w:t>.</w:t>
      </w:r>
    </w:p>
    <w:p w14:paraId="26B9A6F2" w14:textId="77777777" w:rsidR="005C3AF2" w:rsidRPr="00531CAC" w:rsidRDefault="005C3AF2" w:rsidP="005C3AF2">
      <w:pPr>
        <w:autoSpaceDE w:val="0"/>
        <w:autoSpaceDN w:val="0"/>
        <w:adjustRightInd w:val="0"/>
        <w:jc w:val="both"/>
        <w:rPr>
          <w:rFonts w:ascii="Arial" w:hAnsi="Arial" w:cs="Arial"/>
          <w:bCs/>
          <w:color w:val="000000"/>
          <w:sz w:val="22"/>
          <w:szCs w:val="22"/>
        </w:rPr>
      </w:pPr>
    </w:p>
    <w:p w14:paraId="3B465B0B" w14:textId="1ECAAADA" w:rsidR="005C3AF2" w:rsidRPr="00250685" w:rsidRDefault="005C3AF2" w:rsidP="005C3AF2">
      <w:pPr>
        <w:pStyle w:val="Naslov2"/>
        <w:rPr>
          <w:sz w:val="22"/>
          <w:szCs w:val="22"/>
        </w:rPr>
      </w:pPr>
      <w:r w:rsidRPr="00250685">
        <w:rPr>
          <w:sz w:val="22"/>
          <w:szCs w:val="22"/>
        </w:rPr>
        <w:t>Bilance proračuna in predlagani razrez proračunskih odhodkov vseh treh bilanc proračuna za leto 202</w:t>
      </w:r>
      <w:r w:rsidR="002D5C81" w:rsidRPr="00250685">
        <w:rPr>
          <w:sz w:val="22"/>
          <w:szCs w:val="22"/>
        </w:rPr>
        <w:t>5</w:t>
      </w:r>
      <w:r w:rsidRPr="00250685">
        <w:rPr>
          <w:sz w:val="22"/>
          <w:szCs w:val="22"/>
        </w:rPr>
        <w:t xml:space="preserve"> po predpisanih programskih področjih</w:t>
      </w:r>
    </w:p>
    <w:p w14:paraId="151F99A1" w14:textId="77777777" w:rsidR="005C3AF2" w:rsidRPr="00B26776" w:rsidRDefault="005C3AF2" w:rsidP="005C3AF2">
      <w:pPr>
        <w:autoSpaceDE w:val="0"/>
        <w:autoSpaceDN w:val="0"/>
        <w:adjustRightInd w:val="0"/>
        <w:jc w:val="both"/>
        <w:rPr>
          <w:rFonts w:ascii="Arial" w:hAnsi="Arial" w:cs="Arial"/>
          <w:color w:val="000000"/>
          <w:sz w:val="22"/>
          <w:szCs w:val="22"/>
        </w:rPr>
      </w:pPr>
    </w:p>
    <w:p w14:paraId="785566CA" w14:textId="77777777" w:rsidR="005C3AF2" w:rsidRPr="00250685" w:rsidRDefault="005C3AF2" w:rsidP="005C3AF2">
      <w:pPr>
        <w:pStyle w:val="Naslov3"/>
        <w:numPr>
          <w:ilvl w:val="0"/>
          <w:numId w:val="34"/>
        </w:numPr>
        <w:rPr>
          <w:sz w:val="22"/>
          <w:szCs w:val="22"/>
        </w:rPr>
      </w:pPr>
      <w:r w:rsidRPr="00250685">
        <w:rPr>
          <w:sz w:val="22"/>
          <w:szCs w:val="22"/>
        </w:rPr>
        <w:lastRenderedPageBreak/>
        <w:t>Načrtovani prihodki</w:t>
      </w:r>
    </w:p>
    <w:p w14:paraId="7F554126" w14:textId="77777777" w:rsidR="005C3AF2" w:rsidRPr="00AD6BE0" w:rsidRDefault="005C3AF2" w:rsidP="005C3AF2">
      <w:pPr>
        <w:pStyle w:val="Odstavekseznama"/>
        <w:autoSpaceDE w:val="0"/>
        <w:autoSpaceDN w:val="0"/>
        <w:adjustRightInd w:val="0"/>
        <w:ind w:left="360"/>
        <w:rPr>
          <w:rFonts w:cs="Arial"/>
          <w:bCs/>
          <w:color w:val="FF0000"/>
          <w:sz w:val="22"/>
          <w:szCs w:val="22"/>
          <w:u w:val="single"/>
        </w:rPr>
      </w:pPr>
    </w:p>
    <w:p w14:paraId="04B1530F" w14:textId="3BA768EB" w:rsidR="005C3AF2" w:rsidRPr="00340BCE" w:rsidRDefault="005C3AF2" w:rsidP="005C3AF2">
      <w:pPr>
        <w:jc w:val="both"/>
        <w:rPr>
          <w:rFonts w:ascii="Arial" w:hAnsi="Arial" w:cs="Arial"/>
          <w:color w:val="000000"/>
          <w:sz w:val="22"/>
          <w:szCs w:val="22"/>
        </w:rPr>
      </w:pPr>
      <w:r w:rsidRPr="00340BCE">
        <w:rPr>
          <w:rFonts w:ascii="Arial" w:hAnsi="Arial" w:cs="Arial"/>
          <w:color w:val="000000"/>
          <w:sz w:val="22"/>
          <w:szCs w:val="22"/>
        </w:rPr>
        <w:t>V proračunu je za leto 202</w:t>
      </w:r>
      <w:r w:rsidR="00455B31">
        <w:rPr>
          <w:rFonts w:ascii="Arial" w:hAnsi="Arial" w:cs="Arial"/>
          <w:color w:val="000000"/>
          <w:sz w:val="22"/>
          <w:szCs w:val="22"/>
        </w:rPr>
        <w:t>5</w:t>
      </w:r>
      <w:r w:rsidRPr="00340BCE">
        <w:rPr>
          <w:rFonts w:ascii="Arial" w:hAnsi="Arial" w:cs="Arial"/>
          <w:color w:val="000000"/>
          <w:sz w:val="22"/>
          <w:szCs w:val="22"/>
        </w:rPr>
        <w:t xml:space="preserve"> načrtovano skupno </w:t>
      </w:r>
      <w:r w:rsidR="00455B31">
        <w:rPr>
          <w:rFonts w:ascii="Arial" w:hAnsi="Arial" w:cs="Arial"/>
          <w:color w:val="000000"/>
          <w:sz w:val="22"/>
          <w:szCs w:val="22"/>
        </w:rPr>
        <w:t>49,011</w:t>
      </w:r>
      <w:r w:rsidRPr="00340BCE">
        <w:rPr>
          <w:rFonts w:ascii="Arial" w:hAnsi="Arial" w:cs="Arial"/>
          <w:color w:val="000000"/>
          <w:sz w:val="22"/>
          <w:szCs w:val="22"/>
        </w:rPr>
        <w:t xml:space="preserve"> mio EUR prihodkov. Razrez po vrstah prihodkov je prikazan v grafikonu 1.</w:t>
      </w:r>
    </w:p>
    <w:p w14:paraId="21CC0A7E" w14:textId="77777777" w:rsidR="005C3AF2" w:rsidRPr="00AD6BE0" w:rsidRDefault="005C3AF2" w:rsidP="005C3AF2">
      <w:pPr>
        <w:autoSpaceDE w:val="0"/>
        <w:autoSpaceDN w:val="0"/>
        <w:adjustRightInd w:val="0"/>
        <w:jc w:val="both"/>
        <w:rPr>
          <w:rFonts w:ascii="Arial" w:hAnsi="Arial" w:cs="Arial"/>
          <w:color w:val="FF0000"/>
          <w:sz w:val="22"/>
          <w:szCs w:val="22"/>
        </w:rPr>
      </w:pPr>
    </w:p>
    <w:p w14:paraId="2BBB456A" w14:textId="77777777" w:rsidR="005C3AF2" w:rsidRDefault="005C3AF2" w:rsidP="005C3AF2">
      <w:pPr>
        <w:autoSpaceDE w:val="0"/>
        <w:autoSpaceDN w:val="0"/>
        <w:adjustRightInd w:val="0"/>
        <w:jc w:val="both"/>
        <w:rPr>
          <w:rFonts w:ascii="Arial" w:hAnsi="Arial" w:cs="Arial"/>
          <w:sz w:val="22"/>
          <w:szCs w:val="22"/>
        </w:rPr>
      </w:pPr>
      <w:r w:rsidRPr="00340BCE">
        <w:rPr>
          <w:rFonts w:ascii="Arial" w:hAnsi="Arial" w:cs="Arial"/>
          <w:sz w:val="22"/>
          <w:szCs w:val="22"/>
        </w:rPr>
        <w:t>Grafikon 1: Razrez načrtovanih proračunskih prihodkov</w:t>
      </w:r>
    </w:p>
    <w:p w14:paraId="5252C813" w14:textId="77777777" w:rsidR="00EF1369" w:rsidRPr="00340BCE" w:rsidRDefault="00EF1369" w:rsidP="005C3AF2">
      <w:pPr>
        <w:autoSpaceDE w:val="0"/>
        <w:autoSpaceDN w:val="0"/>
        <w:adjustRightInd w:val="0"/>
        <w:jc w:val="both"/>
        <w:rPr>
          <w:rFonts w:ascii="Arial" w:hAnsi="Arial" w:cs="Arial"/>
          <w:sz w:val="22"/>
          <w:szCs w:val="22"/>
        </w:rPr>
      </w:pPr>
    </w:p>
    <w:p w14:paraId="4A62AB7B" w14:textId="40D57D93" w:rsidR="005C3AF2" w:rsidRPr="00AD6BE0" w:rsidRDefault="00EF1369" w:rsidP="005C3AF2">
      <w:pPr>
        <w:autoSpaceDE w:val="0"/>
        <w:autoSpaceDN w:val="0"/>
        <w:adjustRightInd w:val="0"/>
        <w:jc w:val="center"/>
        <w:rPr>
          <w:rFonts w:ascii="Arial" w:hAnsi="Arial" w:cs="Arial"/>
          <w:color w:val="FF0000"/>
          <w:sz w:val="22"/>
          <w:szCs w:val="22"/>
        </w:rPr>
      </w:pPr>
      <w:r w:rsidRPr="00EF1369">
        <w:rPr>
          <w:rFonts w:ascii="Arial" w:hAnsi="Arial" w:cs="Arial"/>
          <w:noProof/>
        </w:rPr>
        <w:drawing>
          <wp:inline distT="0" distB="0" distL="0" distR="0" wp14:anchorId="593F436C" wp14:editId="7887C0D2">
            <wp:extent cx="5019675" cy="2914650"/>
            <wp:effectExtent l="0" t="0" r="9525" b="0"/>
            <wp:docPr id="1946027696" name="Grafikon 1">
              <a:extLst xmlns:a="http://schemas.openxmlformats.org/drawingml/2006/main">
                <a:ext uri="{FF2B5EF4-FFF2-40B4-BE49-F238E27FC236}">
                  <a16:creationId xmlns:a16="http://schemas.microsoft.com/office/drawing/2014/main" id="{887F6B79-EA47-EC3E-40D7-9CA9457DD2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6595B76" w14:textId="77777777" w:rsidR="005C3AF2" w:rsidRDefault="005C3AF2" w:rsidP="005C3AF2">
      <w:pPr>
        <w:autoSpaceDE w:val="0"/>
        <w:autoSpaceDN w:val="0"/>
        <w:adjustRightInd w:val="0"/>
        <w:jc w:val="both"/>
        <w:rPr>
          <w:rFonts w:ascii="Arial" w:hAnsi="Arial" w:cs="Arial"/>
          <w:i/>
          <w:color w:val="FF0000"/>
          <w:sz w:val="22"/>
          <w:szCs w:val="22"/>
        </w:rPr>
      </w:pPr>
    </w:p>
    <w:p w14:paraId="75C09AE4" w14:textId="77777777" w:rsidR="00A302AC" w:rsidRDefault="00A302AC" w:rsidP="005C3AF2">
      <w:pPr>
        <w:autoSpaceDE w:val="0"/>
        <w:autoSpaceDN w:val="0"/>
        <w:adjustRightInd w:val="0"/>
        <w:jc w:val="both"/>
        <w:rPr>
          <w:rFonts w:ascii="Arial" w:hAnsi="Arial" w:cs="Arial"/>
          <w:i/>
          <w:sz w:val="22"/>
          <w:szCs w:val="22"/>
          <w:u w:val="single"/>
        </w:rPr>
      </w:pPr>
    </w:p>
    <w:p w14:paraId="6D16862C" w14:textId="1C940641" w:rsidR="005C3AF2" w:rsidRPr="00C15944" w:rsidRDefault="005C3AF2" w:rsidP="005C3AF2">
      <w:pPr>
        <w:autoSpaceDE w:val="0"/>
        <w:autoSpaceDN w:val="0"/>
        <w:adjustRightInd w:val="0"/>
        <w:jc w:val="both"/>
        <w:rPr>
          <w:rFonts w:ascii="Arial" w:hAnsi="Arial" w:cs="Arial"/>
          <w:sz w:val="22"/>
          <w:szCs w:val="22"/>
          <w:u w:val="single"/>
        </w:rPr>
      </w:pPr>
      <w:r w:rsidRPr="00C15944">
        <w:rPr>
          <w:rFonts w:ascii="Arial" w:hAnsi="Arial" w:cs="Arial"/>
          <w:i/>
          <w:sz w:val="22"/>
          <w:szCs w:val="22"/>
          <w:u w:val="single"/>
        </w:rPr>
        <w:t>Davčni prihodki</w:t>
      </w:r>
    </w:p>
    <w:p w14:paraId="14262AB1" w14:textId="77777777" w:rsidR="005C3AF2" w:rsidRPr="00B749BD" w:rsidRDefault="005C3AF2" w:rsidP="005C3AF2">
      <w:pPr>
        <w:autoSpaceDE w:val="0"/>
        <w:autoSpaceDN w:val="0"/>
        <w:adjustRightInd w:val="0"/>
        <w:jc w:val="both"/>
        <w:rPr>
          <w:rFonts w:ascii="Arial" w:hAnsi="Arial" w:cs="Arial"/>
          <w:sz w:val="22"/>
          <w:szCs w:val="22"/>
        </w:rPr>
      </w:pPr>
    </w:p>
    <w:p w14:paraId="17408093" w14:textId="5A5F4AD6" w:rsidR="005C3AF2" w:rsidRPr="00B749BD" w:rsidRDefault="005C3AF2" w:rsidP="005C3AF2">
      <w:pPr>
        <w:autoSpaceDE w:val="0"/>
        <w:autoSpaceDN w:val="0"/>
        <w:adjustRightInd w:val="0"/>
        <w:jc w:val="both"/>
        <w:rPr>
          <w:rFonts w:ascii="Arial" w:hAnsi="Arial" w:cs="Arial"/>
          <w:sz w:val="22"/>
          <w:szCs w:val="22"/>
        </w:rPr>
      </w:pPr>
      <w:r w:rsidRPr="00B749BD">
        <w:rPr>
          <w:rFonts w:ascii="Arial" w:hAnsi="Arial" w:cs="Arial"/>
          <w:sz w:val="22"/>
          <w:szCs w:val="22"/>
        </w:rPr>
        <w:t>Davčni prihodki v letu 202</w:t>
      </w:r>
      <w:r w:rsidR="002D5C81">
        <w:rPr>
          <w:rFonts w:ascii="Arial" w:hAnsi="Arial" w:cs="Arial"/>
          <w:sz w:val="22"/>
          <w:szCs w:val="22"/>
        </w:rPr>
        <w:t>5</w:t>
      </w:r>
      <w:r w:rsidRPr="00B749BD">
        <w:rPr>
          <w:rFonts w:ascii="Arial" w:hAnsi="Arial" w:cs="Arial"/>
          <w:sz w:val="22"/>
          <w:szCs w:val="22"/>
        </w:rPr>
        <w:t xml:space="preserve"> predstavljajo </w:t>
      </w:r>
      <w:r w:rsidR="006E43F3">
        <w:rPr>
          <w:rFonts w:ascii="Arial" w:hAnsi="Arial" w:cs="Arial"/>
          <w:sz w:val="22"/>
          <w:szCs w:val="22"/>
        </w:rPr>
        <w:t>53</w:t>
      </w:r>
      <w:r w:rsidRPr="00B749BD">
        <w:rPr>
          <w:rFonts w:ascii="Arial" w:hAnsi="Arial" w:cs="Arial"/>
          <w:sz w:val="22"/>
          <w:szCs w:val="22"/>
        </w:rPr>
        <w:t xml:space="preserve"> % vseh prihodkov proračuna</w:t>
      </w:r>
      <w:r>
        <w:rPr>
          <w:rFonts w:ascii="Arial" w:hAnsi="Arial" w:cs="Arial"/>
          <w:sz w:val="22"/>
          <w:szCs w:val="22"/>
        </w:rPr>
        <w:t xml:space="preserve"> in so predvideni v višini 26,3</w:t>
      </w:r>
      <w:r w:rsidR="0039132E">
        <w:rPr>
          <w:rFonts w:ascii="Arial" w:hAnsi="Arial" w:cs="Arial"/>
          <w:sz w:val="22"/>
          <w:szCs w:val="22"/>
        </w:rPr>
        <w:t>63</w:t>
      </w:r>
      <w:r>
        <w:rPr>
          <w:rFonts w:ascii="Arial" w:hAnsi="Arial" w:cs="Arial"/>
          <w:sz w:val="22"/>
          <w:szCs w:val="22"/>
        </w:rPr>
        <w:t xml:space="preserve"> mio EUR</w:t>
      </w:r>
      <w:r w:rsidRPr="00B749BD">
        <w:rPr>
          <w:rFonts w:ascii="Arial" w:hAnsi="Arial" w:cs="Arial"/>
          <w:sz w:val="22"/>
          <w:szCs w:val="22"/>
        </w:rPr>
        <w:t>. Največji delež predstavlja dohodnina. V predlogu proračuna za leto 202</w:t>
      </w:r>
      <w:r w:rsidR="0039132E">
        <w:rPr>
          <w:rFonts w:ascii="Arial" w:hAnsi="Arial" w:cs="Arial"/>
          <w:sz w:val="22"/>
          <w:szCs w:val="22"/>
        </w:rPr>
        <w:t>5</w:t>
      </w:r>
      <w:r w:rsidRPr="00B749BD">
        <w:rPr>
          <w:rFonts w:ascii="Arial" w:hAnsi="Arial" w:cs="Arial"/>
          <w:sz w:val="22"/>
          <w:szCs w:val="22"/>
        </w:rPr>
        <w:t xml:space="preserve"> je predvidena dohodnina z upoštevano povprečnino v višini 7</w:t>
      </w:r>
      <w:r>
        <w:rPr>
          <w:rFonts w:ascii="Arial" w:hAnsi="Arial" w:cs="Arial"/>
          <w:sz w:val="22"/>
          <w:szCs w:val="22"/>
        </w:rPr>
        <w:t>25</w:t>
      </w:r>
      <w:r w:rsidRPr="00B749BD">
        <w:rPr>
          <w:rFonts w:ascii="Arial" w:hAnsi="Arial" w:cs="Arial"/>
          <w:sz w:val="22"/>
          <w:szCs w:val="22"/>
        </w:rPr>
        <w:t xml:space="preserve"> EUR. Drugi največji prihodek iz naslova davčnih prihodkov je iz naslova nadomestila na uporabo stavbnih zemljišč</w:t>
      </w:r>
      <w:r>
        <w:rPr>
          <w:rFonts w:ascii="Arial" w:hAnsi="Arial" w:cs="Arial"/>
          <w:sz w:val="22"/>
          <w:szCs w:val="22"/>
        </w:rPr>
        <w:t>, ki je predviden v skupni višini 3,000 mio EUR za fizične in pravne osebe</w:t>
      </w:r>
      <w:r w:rsidRPr="00B749BD">
        <w:rPr>
          <w:rFonts w:ascii="Arial" w:hAnsi="Arial" w:cs="Arial"/>
          <w:sz w:val="22"/>
          <w:szCs w:val="22"/>
        </w:rPr>
        <w:t xml:space="preserve">. </w:t>
      </w:r>
    </w:p>
    <w:p w14:paraId="20914AB1" w14:textId="77777777" w:rsidR="005C3AF2" w:rsidRPr="00032D66" w:rsidRDefault="005C3AF2" w:rsidP="005C3AF2">
      <w:pPr>
        <w:autoSpaceDE w:val="0"/>
        <w:autoSpaceDN w:val="0"/>
        <w:adjustRightInd w:val="0"/>
        <w:jc w:val="both"/>
        <w:rPr>
          <w:rFonts w:ascii="Arial" w:hAnsi="Arial" w:cs="Arial"/>
          <w:sz w:val="22"/>
          <w:szCs w:val="22"/>
        </w:rPr>
      </w:pPr>
    </w:p>
    <w:p w14:paraId="00EB2020" w14:textId="77777777" w:rsidR="005C3AF2" w:rsidRPr="00C15944" w:rsidRDefault="005C3AF2" w:rsidP="005C3AF2">
      <w:pPr>
        <w:autoSpaceDE w:val="0"/>
        <w:autoSpaceDN w:val="0"/>
        <w:adjustRightInd w:val="0"/>
        <w:jc w:val="both"/>
        <w:rPr>
          <w:rFonts w:ascii="Arial" w:hAnsi="Arial" w:cs="Arial"/>
          <w:sz w:val="22"/>
          <w:szCs w:val="22"/>
          <w:u w:val="single"/>
        </w:rPr>
      </w:pPr>
      <w:r w:rsidRPr="00C15944">
        <w:rPr>
          <w:rFonts w:ascii="Arial" w:hAnsi="Arial" w:cs="Arial"/>
          <w:i/>
          <w:sz w:val="22"/>
          <w:szCs w:val="22"/>
          <w:u w:val="single"/>
        </w:rPr>
        <w:t>Nedavčni prihodki</w:t>
      </w:r>
      <w:r w:rsidRPr="00C15944">
        <w:rPr>
          <w:rFonts w:ascii="Arial" w:hAnsi="Arial" w:cs="Arial"/>
          <w:sz w:val="22"/>
          <w:szCs w:val="22"/>
          <w:u w:val="single"/>
        </w:rPr>
        <w:t xml:space="preserve"> </w:t>
      </w:r>
    </w:p>
    <w:p w14:paraId="573C2B76" w14:textId="77777777" w:rsidR="005C3AF2" w:rsidRPr="00032D66" w:rsidRDefault="005C3AF2" w:rsidP="005C3AF2">
      <w:pPr>
        <w:autoSpaceDE w:val="0"/>
        <w:autoSpaceDN w:val="0"/>
        <w:adjustRightInd w:val="0"/>
        <w:jc w:val="both"/>
        <w:rPr>
          <w:rFonts w:ascii="Arial" w:hAnsi="Arial" w:cs="Arial"/>
          <w:sz w:val="22"/>
          <w:szCs w:val="22"/>
        </w:rPr>
      </w:pPr>
    </w:p>
    <w:p w14:paraId="3A5C44C8" w14:textId="2A4241FA" w:rsidR="005C3AF2" w:rsidRDefault="005C3AF2" w:rsidP="005C3AF2">
      <w:pPr>
        <w:autoSpaceDE w:val="0"/>
        <w:autoSpaceDN w:val="0"/>
        <w:adjustRightInd w:val="0"/>
        <w:jc w:val="both"/>
        <w:rPr>
          <w:rFonts w:ascii="Arial" w:hAnsi="Arial" w:cs="Arial"/>
          <w:color w:val="000000"/>
          <w:sz w:val="22"/>
          <w:szCs w:val="22"/>
          <w:shd w:val="clear" w:color="auto" w:fill="FFFFFF"/>
        </w:rPr>
      </w:pPr>
      <w:r w:rsidRPr="00032D66">
        <w:rPr>
          <w:rFonts w:ascii="Arial" w:hAnsi="Arial" w:cs="Arial"/>
          <w:sz w:val="22"/>
          <w:szCs w:val="22"/>
        </w:rPr>
        <w:t>Nedavčni prihodki so v letu 202</w:t>
      </w:r>
      <w:r w:rsidR="00B30334">
        <w:rPr>
          <w:rFonts w:ascii="Arial" w:hAnsi="Arial" w:cs="Arial"/>
          <w:sz w:val="22"/>
          <w:szCs w:val="22"/>
        </w:rPr>
        <w:t>5</w:t>
      </w:r>
      <w:r w:rsidRPr="00032D66">
        <w:rPr>
          <w:rFonts w:ascii="Arial" w:hAnsi="Arial" w:cs="Arial"/>
          <w:sz w:val="22"/>
          <w:szCs w:val="22"/>
        </w:rPr>
        <w:t xml:space="preserve"> načrtovani v višini </w:t>
      </w:r>
      <w:r>
        <w:rPr>
          <w:rFonts w:ascii="Arial" w:hAnsi="Arial" w:cs="Arial"/>
          <w:sz w:val="22"/>
          <w:szCs w:val="22"/>
        </w:rPr>
        <w:t>1</w:t>
      </w:r>
      <w:r w:rsidR="00B30334">
        <w:rPr>
          <w:rFonts w:ascii="Arial" w:hAnsi="Arial" w:cs="Arial"/>
          <w:sz w:val="22"/>
          <w:szCs w:val="22"/>
        </w:rPr>
        <w:t>2</w:t>
      </w:r>
      <w:r>
        <w:rPr>
          <w:rFonts w:ascii="Arial" w:hAnsi="Arial" w:cs="Arial"/>
          <w:sz w:val="22"/>
          <w:szCs w:val="22"/>
        </w:rPr>
        <w:t>,</w:t>
      </w:r>
      <w:r w:rsidR="00B30334">
        <w:rPr>
          <w:rFonts w:ascii="Arial" w:hAnsi="Arial" w:cs="Arial"/>
          <w:sz w:val="22"/>
          <w:szCs w:val="22"/>
        </w:rPr>
        <w:t>145</w:t>
      </w:r>
      <w:r w:rsidRPr="00032D66">
        <w:rPr>
          <w:rFonts w:ascii="Arial" w:hAnsi="Arial" w:cs="Arial"/>
          <w:sz w:val="22"/>
          <w:szCs w:val="22"/>
        </w:rPr>
        <w:t xml:space="preserve"> mio EUR</w:t>
      </w:r>
      <w:r>
        <w:rPr>
          <w:rFonts w:ascii="Arial" w:hAnsi="Arial" w:cs="Arial"/>
          <w:sz w:val="22"/>
          <w:szCs w:val="22"/>
        </w:rPr>
        <w:t xml:space="preserve">. </w:t>
      </w:r>
      <w:r>
        <w:rPr>
          <w:rFonts w:ascii="Arial" w:hAnsi="Arial" w:cs="Arial"/>
          <w:color w:val="000000"/>
          <w:sz w:val="22"/>
          <w:szCs w:val="22"/>
          <w:shd w:val="clear" w:color="auto" w:fill="FFFFFF"/>
          <w:lang w:val="x-none"/>
        </w:rPr>
        <w:t xml:space="preserve">Znotraj </w:t>
      </w:r>
      <w:r>
        <w:rPr>
          <w:rFonts w:ascii="Arial" w:hAnsi="Arial" w:cs="Arial"/>
          <w:color w:val="000000"/>
          <w:sz w:val="22"/>
          <w:szCs w:val="22"/>
          <w:shd w:val="clear" w:color="auto" w:fill="FFFFFF"/>
        </w:rPr>
        <w:t xml:space="preserve">teh prihodkov </w:t>
      </w:r>
      <w:r>
        <w:rPr>
          <w:rFonts w:ascii="Arial" w:hAnsi="Arial" w:cs="Arial"/>
          <w:color w:val="000000"/>
          <w:sz w:val="22"/>
          <w:szCs w:val="22"/>
          <w:shd w:val="clear" w:color="auto" w:fill="FFFFFF"/>
          <w:lang w:val="x-none"/>
        </w:rPr>
        <w:t>predstavljajo najpomembnejši vir prihodki</w:t>
      </w:r>
      <w:r w:rsidRPr="006579D7">
        <w:rPr>
          <w:rFonts w:ascii="Arial" w:hAnsi="Arial" w:cs="Arial"/>
          <w:sz w:val="22"/>
          <w:szCs w:val="22"/>
        </w:rPr>
        <w:t xml:space="preserve"> </w:t>
      </w:r>
      <w:r w:rsidRPr="00032D66">
        <w:rPr>
          <w:rFonts w:ascii="Arial" w:hAnsi="Arial" w:cs="Arial"/>
          <w:sz w:val="22"/>
          <w:szCs w:val="22"/>
        </w:rPr>
        <w:t>iz naslova koncesijskih dajatev od iger na srečo</w:t>
      </w:r>
      <w:r>
        <w:rPr>
          <w:rFonts w:ascii="Arial" w:hAnsi="Arial" w:cs="Arial"/>
          <w:color w:val="000000"/>
          <w:sz w:val="22"/>
          <w:szCs w:val="22"/>
          <w:shd w:val="clear" w:color="auto" w:fill="FFFFFF"/>
          <w:lang w:val="x-none"/>
        </w:rPr>
        <w:t>, ki so predvideni v višini 4,6</w:t>
      </w:r>
      <w:r>
        <w:rPr>
          <w:rFonts w:ascii="Arial" w:hAnsi="Arial" w:cs="Arial"/>
          <w:color w:val="000000"/>
          <w:sz w:val="22"/>
          <w:szCs w:val="22"/>
          <w:shd w:val="clear" w:color="auto" w:fill="FFFFFF"/>
        </w:rPr>
        <w:t>0</w:t>
      </w:r>
      <w:r>
        <w:rPr>
          <w:rFonts w:ascii="Arial" w:hAnsi="Arial" w:cs="Arial"/>
          <w:color w:val="000000"/>
          <w:sz w:val="22"/>
          <w:szCs w:val="22"/>
          <w:shd w:val="clear" w:color="auto" w:fill="FFFFFF"/>
          <w:lang w:val="x-none"/>
        </w:rPr>
        <w:t>0 mio EUR.</w:t>
      </w:r>
      <w:r>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lang w:val="x-none"/>
        </w:rPr>
        <w:t>Sledijo prihodki od drugih najemnin ki so v skupnem znesku predvideni v višini 3,872 mio EUR. Mednje spadajo najemnina za infrastrukturo dano v najem izvajalcem gospodarskih javnih služb, najemnina zemljišč in druge najemnine ter najemnine in uporabnine javnih zavodov.</w:t>
      </w:r>
    </w:p>
    <w:p w14:paraId="00C775B7" w14:textId="77777777" w:rsidR="005C3AF2" w:rsidRDefault="005C3AF2" w:rsidP="005C3AF2">
      <w:pPr>
        <w:autoSpaceDE w:val="0"/>
        <w:autoSpaceDN w:val="0"/>
        <w:adjustRightInd w:val="0"/>
        <w:jc w:val="both"/>
        <w:rPr>
          <w:rFonts w:ascii="Arial" w:hAnsi="Arial" w:cs="Arial"/>
          <w:color w:val="000000"/>
          <w:sz w:val="22"/>
          <w:szCs w:val="22"/>
          <w:shd w:val="clear" w:color="auto" w:fill="FFFFFF"/>
        </w:rPr>
      </w:pPr>
    </w:p>
    <w:p w14:paraId="0F8D6DC2" w14:textId="3B40BB9C" w:rsidR="00E23A7C" w:rsidRPr="002628EA" w:rsidRDefault="0008684B" w:rsidP="005C3AF2">
      <w:pPr>
        <w:autoSpaceDE w:val="0"/>
        <w:autoSpaceDN w:val="0"/>
        <w:adjustRightInd w:val="0"/>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Planirani so prihodki</w:t>
      </w:r>
      <w:r w:rsidR="00E23A7C">
        <w:rPr>
          <w:rFonts w:ascii="Arial" w:hAnsi="Arial" w:cs="Arial"/>
          <w:color w:val="000000"/>
          <w:sz w:val="22"/>
          <w:szCs w:val="22"/>
          <w:shd w:val="clear" w:color="auto" w:fill="FFFFFF"/>
          <w:lang w:val="x-none"/>
        </w:rPr>
        <w:t xml:space="preserve"> iz naslova prenovljenega sistema upravljanja s parkirnimi mesti v mestu Nova Gorica v višini 1,000 mio EUR</w:t>
      </w:r>
      <w:r w:rsidR="002628EA">
        <w:rPr>
          <w:rFonts w:ascii="Arial" w:hAnsi="Arial" w:cs="Arial"/>
          <w:color w:val="000000"/>
          <w:sz w:val="22"/>
          <w:szCs w:val="22"/>
          <w:shd w:val="clear" w:color="auto" w:fill="FFFFFF"/>
        </w:rPr>
        <w:t>.</w:t>
      </w:r>
    </w:p>
    <w:p w14:paraId="2010FD74" w14:textId="77777777" w:rsidR="00E23A7C" w:rsidRDefault="00E23A7C" w:rsidP="005C3AF2">
      <w:pPr>
        <w:autoSpaceDE w:val="0"/>
        <w:autoSpaceDN w:val="0"/>
        <w:adjustRightInd w:val="0"/>
        <w:jc w:val="both"/>
        <w:rPr>
          <w:rFonts w:ascii="Arial" w:hAnsi="Arial" w:cs="Arial"/>
          <w:color w:val="000000"/>
          <w:sz w:val="22"/>
          <w:szCs w:val="22"/>
          <w:shd w:val="clear" w:color="auto" w:fill="FFFFFF"/>
        </w:rPr>
      </w:pPr>
    </w:p>
    <w:p w14:paraId="36B74EAF" w14:textId="69BD628D" w:rsidR="005C3AF2" w:rsidRPr="00E13FDF" w:rsidRDefault="00E65CD8" w:rsidP="005C3AF2">
      <w:pPr>
        <w:autoSpaceDE w:val="0"/>
        <w:autoSpaceDN w:val="0"/>
        <w:adjustRightInd w:val="0"/>
        <w:jc w:val="both"/>
        <w:rPr>
          <w:rFonts w:ascii="Arial" w:hAnsi="Arial" w:cs="Arial"/>
          <w:color w:val="000000"/>
          <w:sz w:val="22"/>
          <w:szCs w:val="22"/>
          <w:shd w:val="clear" w:color="auto" w:fill="FFFFFF"/>
          <w:lang w:val="x-none"/>
        </w:rPr>
      </w:pPr>
      <w:r>
        <w:rPr>
          <w:rFonts w:ascii="Arial" w:hAnsi="Arial" w:cs="Arial"/>
          <w:sz w:val="22"/>
          <w:szCs w:val="22"/>
        </w:rPr>
        <w:t>P</w:t>
      </w:r>
      <w:r w:rsidR="005C3AF2">
        <w:rPr>
          <w:rFonts w:ascii="Arial" w:hAnsi="Arial" w:cs="Arial"/>
          <w:sz w:val="22"/>
          <w:szCs w:val="22"/>
        </w:rPr>
        <w:t xml:space="preserve">rihodki iz naslova komunalnih prispevkov </w:t>
      </w:r>
      <w:r>
        <w:rPr>
          <w:rFonts w:ascii="Arial" w:hAnsi="Arial" w:cs="Arial"/>
          <w:sz w:val="22"/>
          <w:szCs w:val="22"/>
        </w:rPr>
        <w:t>so predvi</w:t>
      </w:r>
      <w:r w:rsidR="00E13FDF">
        <w:rPr>
          <w:rFonts w:ascii="Arial" w:hAnsi="Arial" w:cs="Arial"/>
          <w:sz w:val="22"/>
          <w:szCs w:val="22"/>
        </w:rPr>
        <w:t xml:space="preserve">deni </w:t>
      </w:r>
      <w:r w:rsidR="005C3AF2">
        <w:rPr>
          <w:rFonts w:ascii="Arial" w:hAnsi="Arial" w:cs="Arial"/>
          <w:sz w:val="22"/>
          <w:szCs w:val="22"/>
        </w:rPr>
        <w:t xml:space="preserve">v višini </w:t>
      </w:r>
      <w:r w:rsidR="00E13FDF">
        <w:rPr>
          <w:rFonts w:ascii="Arial" w:hAnsi="Arial" w:cs="Arial"/>
          <w:sz w:val="22"/>
          <w:szCs w:val="22"/>
        </w:rPr>
        <w:t xml:space="preserve">800 tisoč </w:t>
      </w:r>
      <w:r w:rsidR="005C3AF2">
        <w:rPr>
          <w:rFonts w:ascii="Arial" w:hAnsi="Arial" w:cs="Arial"/>
          <w:sz w:val="22"/>
          <w:szCs w:val="22"/>
        </w:rPr>
        <w:t xml:space="preserve">EUR in sicer na podlagi ocene Oddelka za Okolje in prostor. </w:t>
      </w:r>
    </w:p>
    <w:p w14:paraId="31524E97" w14:textId="77777777" w:rsidR="005C3AF2" w:rsidRPr="00C15944" w:rsidRDefault="005C3AF2" w:rsidP="005C3AF2">
      <w:pPr>
        <w:autoSpaceDE w:val="0"/>
        <w:autoSpaceDN w:val="0"/>
        <w:adjustRightInd w:val="0"/>
        <w:jc w:val="both"/>
        <w:rPr>
          <w:rFonts w:ascii="Arial" w:hAnsi="Arial" w:cs="Arial"/>
          <w:i/>
          <w:color w:val="000000" w:themeColor="text1"/>
          <w:sz w:val="22"/>
          <w:szCs w:val="22"/>
          <w:u w:val="single"/>
        </w:rPr>
      </w:pPr>
      <w:r w:rsidRPr="00C15944">
        <w:rPr>
          <w:rFonts w:ascii="Arial" w:hAnsi="Arial" w:cs="Arial"/>
          <w:i/>
          <w:color w:val="000000" w:themeColor="text1"/>
          <w:sz w:val="22"/>
          <w:szCs w:val="22"/>
          <w:u w:val="single"/>
        </w:rPr>
        <w:t>Kapitalski prihodki</w:t>
      </w:r>
    </w:p>
    <w:p w14:paraId="3D9DC77B" w14:textId="77777777" w:rsidR="005C3AF2" w:rsidRPr="00801DF6" w:rsidRDefault="005C3AF2" w:rsidP="005C3AF2">
      <w:pPr>
        <w:autoSpaceDE w:val="0"/>
        <w:autoSpaceDN w:val="0"/>
        <w:adjustRightInd w:val="0"/>
        <w:jc w:val="both"/>
        <w:rPr>
          <w:rFonts w:ascii="Arial" w:hAnsi="Arial" w:cs="Arial"/>
          <w:i/>
          <w:color w:val="000000" w:themeColor="text1"/>
          <w:sz w:val="22"/>
          <w:szCs w:val="22"/>
        </w:rPr>
      </w:pPr>
    </w:p>
    <w:p w14:paraId="68FA7E3E" w14:textId="5221C92B" w:rsidR="005C3AF2" w:rsidRPr="00034030" w:rsidRDefault="005C3AF2" w:rsidP="005C3AF2">
      <w:pPr>
        <w:autoSpaceDE w:val="0"/>
        <w:autoSpaceDN w:val="0"/>
        <w:adjustRightInd w:val="0"/>
        <w:jc w:val="both"/>
        <w:rPr>
          <w:rFonts w:ascii="Arial" w:hAnsi="Arial" w:cs="Arial"/>
          <w:sz w:val="22"/>
          <w:szCs w:val="22"/>
        </w:rPr>
      </w:pPr>
      <w:r>
        <w:rPr>
          <w:rFonts w:ascii="Arial" w:hAnsi="Arial" w:cs="Arial"/>
          <w:sz w:val="22"/>
          <w:szCs w:val="22"/>
        </w:rPr>
        <w:lastRenderedPageBreak/>
        <w:t xml:space="preserve">Kapitalski prihodki so predvideni v višini </w:t>
      </w:r>
      <w:r w:rsidR="008F231C">
        <w:rPr>
          <w:rFonts w:ascii="Arial" w:hAnsi="Arial" w:cs="Arial"/>
          <w:sz w:val="22"/>
          <w:szCs w:val="22"/>
        </w:rPr>
        <w:t>1,150</w:t>
      </w:r>
      <w:r>
        <w:rPr>
          <w:rFonts w:ascii="Arial" w:hAnsi="Arial" w:cs="Arial"/>
          <w:sz w:val="22"/>
          <w:szCs w:val="22"/>
        </w:rPr>
        <w:t xml:space="preserve"> mio EUR in vključujejo</w:t>
      </w:r>
      <w:r>
        <w:rPr>
          <w:rFonts w:ascii="Arial" w:hAnsi="Arial" w:cs="Arial"/>
          <w:color w:val="000000"/>
          <w:sz w:val="22"/>
          <w:szCs w:val="22"/>
          <w:shd w:val="clear" w:color="auto" w:fill="FFFFFF"/>
          <w:lang w:val="x-none"/>
        </w:rPr>
        <w:t xml:space="preserve"> prodajo stavb</w:t>
      </w:r>
      <w:r>
        <w:rPr>
          <w:rFonts w:ascii="Arial" w:hAnsi="Arial" w:cs="Arial"/>
          <w:color w:val="000000"/>
          <w:sz w:val="22"/>
          <w:szCs w:val="22"/>
          <w:shd w:val="clear" w:color="auto" w:fill="FFFFFF"/>
        </w:rPr>
        <w:t xml:space="preserve"> ter prodajo kmetijskih in stavbnih zemljišč, ki so </w:t>
      </w:r>
      <w:r>
        <w:rPr>
          <w:rFonts w:ascii="Arial" w:hAnsi="Arial" w:cs="Arial"/>
          <w:color w:val="000000"/>
          <w:sz w:val="22"/>
          <w:szCs w:val="22"/>
          <w:shd w:val="clear" w:color="auto" w:fill="FFFFFF"/>
          <w:lang w:val="x-none"/>
        </w:rPr>
        <w:t>opredeljeni v Letnem načrtu razpolaganja s stvarnim premoženjem</w:t>
      </w:r>
      <w:r>
        <w:rPr>
          <w:rFonts w:ascii="Arial" w:hAnsi="Arial" w:cs="Arial"/>
          <w:color w:val="000000"/>
          <w:sz w:val="22"/>
          <w:szCs w:val="22"/>
          <w:shd w:val="clear" w:color="auto" w:fill="FFFFFF"/>
        </w:rPr>
        <w:t>.</w:t>
      </w:r>
    </w:p>
    <w:p w14:paraId="6CC9F214" w14:textId="77777777" w:rsidR="005C3AF2" w:rsidRPr="00AD6BE0" w:rsidRDefault="005C3AF2" w:rsidP="005C3AF2">
      <w:pPr>
        <w:autoSpaceDE w:val="0"/>
        <w:autoSpaceDN w:val="0"/>
        <w:adjustRightInd w:val="0"/>
        <w:jc w:val="both"/>
        <w:rPr>
          <w:rFonts w:ascii="Arial" w:hAnsi="Arial" w:cs="Arial"/>
          <w:color w:val="FF0000"/>
          <w:sz w:val="22"/>
          <w:szCs w:val="22"/>
        </w:rPr>
      </w:pPr>
    </w:p>
    <w:p w14:paraId="1A58D624" w14:textId="77777777" w:rsidR="005C3AF2" w:rsidRPr="00C15944" w:rsidRDefault="005C3AF2" w:rsidP="005C3AF2">
      <w:pPr>
        <w:autoSpaceDE w:val="0"/>
        <w:autoSpaceDN w:val="0"/>
        <w:adjustRightInd w:val="0"/>
        <w:jc w:val="both"/>
        <w:rPr>
          <w:rFonts w:ascii="Arial" w:hAnsi="Arial" w:cs="Arial"/>
          <w:i/>
          <w:color w:val="000000" w:themeColor="text1"/>
          <w:sz w:val="22"/>
          <w:szCs w:val="22"/>
          <w:u w:val="single"/>
        </w:rPr>
      </w:pPr>
      <w:r w:rsidRPr="00C15944">
        <w:rPr>
          <w:rFonts w:ascii="Arial" w:hAnsi="Arial" w:cs="Arial"/>
          <w:i/>
          <w:color w:val="000000" w:themeColor="text1"/>
          <w:sz w:val="22"/>
          <w:szCs w:val="22"/>
          <w:u w:val="single"/>
        </w:rPr>
        <w:t>Transferni prihodki</w:t>
      </w:r>
    </w:p>
    <w:p w14:paraId="5D1BD3B5" w14:textId="77777777" w:rsidR="005C3AF2" w:rsidRPr="00F64CF3" w:rsidRDefault="005C3AF2" w:rsidP="005C3AF2">
      <w:pPr>
        <w:autoSpaceDE w:val="0"/>
        <w:autoSpaceDN w:val="0"/>
        <w:adjustRightInd w:val="0"/>
        <w:jc w:val="both"/>
        <w:rPr>
          <w:rFonts w:ascii="Arial" w:hAnsi="Arial" w:cs="Arial"/>
          <w:color w:val="000000" w:themeColor="text1"/>
          <w:sz w:val="22"/>
          <w:szCs w:val="22"/>
        </w:rPr>
      </w:pPr>
    </w:p>
    <w:p w14:paraId="0F959C2D" w14:textId="6BEDA780" w:rsidR="005C3AF2" w:rsidRDefault="005C3AF2" w:rsidP="005C3AF2">
      <w:pPr>
        <w:autoSpaceDE w:val="0"/>
        <w:autoSpaceDN w:val="0"/>
        <w:adjustRightInd w:val="0"/>
        <w:jc w:val="both"/>
        <w:rPr>
          <w:rFonts w:ascii="Arial" w:hAnsi="Arial" w:cs="Arial"/>
          <w:color w:val="000000" w:themeColor="text1"/>
          <w:sz w:val="22"/>
          <w:szCs w:val="22"/>
        </w:rPr>
      </w:pPr>
      <w:r w:rsidRPr="00F64CF3">
        <w:rPr>
          <w:rFonts w:ascii="Arial" w:hAnsi="Arial" w:cs="Arial"/>
          <w:color w:val="000000" w:themeColor="text1"/>
          <w:sz w:val="22"/>
          <w:szCs w:val="22"/>
        </w:rPr>
        <w:t xml:space="preserve">Transferni prihodki so v predlogu načrtovani v višini </w:t>
      </w:r>
      <w:r w:rsidR="008F231C">
        <w:rPr>
          <w:rFonts w:ascii="Arial" w:hAnsi="Arial" w:cs="Arial"/>
          <w:color w:val="000000" w:themeColor="text1"/>
          <w:sz w:val="22"/>
          <w:szCs w:val="22"/>
        </w:rPr>
        <w:t>9,121</w:t>
      </w:r>
      <w:r w:rsidRPr="00F64CF3">
        <w:rPr>
          <w:rFonts w:ascii="Arial" w:hAnsi="Arial" w:cs="Arial"/>
          <w:color w:val="000000" w:themeColor="text1"/>
          <w:sz w:val="22"/>
          <w:szCs w:val="22"/>
        </w:rPr>
        <w:t xml:space="preserve"> mio EUR</w:t>
      </w:r>
      <w:r>
        <w:rPr>
          <w:rFonts w:ascii="Arial" w:hAnsi="Arial" w:cs="Arial"/>
          <w:color w:val="000000" w:themeColor="text1"/>
          <w:sz w:val="22"/>
          <w:szCs w:val="22"/>
        </w:rPr>
        <w:t xml:space="preserve">. </w:t>
      </w:r>
      <w:r w:rsidRPr="00F64CF3">
        <w:rPr>
          <w:rFonts w:ascii="Arial" w:hAnsi="Arial" w:cs="Arial"/>
          <w:color w:val="000000" w:themeColor="text1"/>
          <w:sz w:val="22"/>
          <w:szCs w:val="22"/>
        </w:rPr>
        <w:t xml:space="preserve">Višina </w:t>
      </w:r>
      <w:r>
        <w:rPr>
          <w:rFonts w:ascii="Arial" w:hAnsi="Arial" w:cs="Arial"/>
          <w:color w:val="000000" w:themeColor="text1"/>
          <w:sz w:val="22"/>
          <w:szCs w:val="22"/>
        </w:rPr>
        <w:t>le-teh</w:t>
      </w:r>
      <w:r w:rsidRPr="00F64CF3">
        <w:rPr>
          <w:rFonts w:ascii="Arial" w:hAnsi="Arial" w:cs="Arial"/>
          <w:color w:val="000000" w:themeColor="text1"/>
          <w:sz w:val="22"/>
          <w:szCs w:val="22"/>
        </w:rPr>
        <w:t xml:space="preserve"> je odvisna od ciklusa odobrenih investicij in aktiviranja razpisov. </w:t>
      </w:r>
    </w:p>
    <w:p w14:paraId="79952085" w14:textId="77777777" w:rsidR="005C3AF2" w:rsidRDefault="005C3AF2" w:rsidP="005C3AF2">
      <w:pPr>
        <w:autoSpaceDE w:val="0"/>
        <w:autoSpaceDN w:val="0"/>
        <w:adjustRightInd w:val="0"/>
        <w:jc w:val="both"/>
        <w:rPr>
          <w:rFonts w:ascii="Arial" w:hAnsi="Arial" w:cs="Arial"/>
          <w:color w:val="000000" w:themeColor="text1"/>
          <w:sz w:val="22"/>
          <w:szCs w:val="22"/>
        </w:rPr>
      </w:pPr>
    </w:p>
    <w:p w14:paraId="690D74AB" w14:textId="403182D9" w:rsidR="005C3AF2" w:rsidRPr="003D001D" w:rsidRDefault="005C3AF2" w:rsidP="005C3AF2">
      <w:pPr>
        <w:autoSpaceDE w:val="0"/>
        <w:autoSpaceDN w:val="0"/>
        <w:adjustRightInd w:val="0"/>
        <w:jc w:val="both"/>
        <w:rPr>
          <w:rFonts w:ascii="Arial" w:hAnsi="Arial" w:cs="Arial"/>
          <w:color w:val="000000"/>
          <w:sz w:val="22"/>
          <w:szCs w:val="22"/>
          <w:shd w:val="clear" w:color="auto" w:fill="FFFFFF"/>
        </w:rPr>
      </w:pPr>
      <w:r>
        <w:rPr>
          <w:rFonts w:ascii="Arial" w:hAnsi="Arial" w:cs="Arial"/>
          <w:color w:val="000000" w:themeColor="text1"/>
          <w:sz w:val="22"/>
          <w:szCs w:val="22"/>
        </w:rPr>
        <w:t xml:space="preserve">Prejeta sredstva iz državnega proračuna so planirana v višini </w:t>
      </w:r>
      <w:r w:rsidR="00F57AF5">
        <w:rPr>
          <w:rFonts w:ascii="Arial" w:hAnsi="Arial" w:cs="Arial"/>
          <w:color w:val="000000" w:themeColor="text1"/>
          <w:sz w:val="22"/>
          <w:szCs w:val="22"/>
        </w:rPr>
        <w:t>4,</w:t>
      </w:r>
      <w:r w:rsidR="00A75CC4">
        <w:rPr>
          <w:rFonts w:ascii="Arial" w:hAnsi="Arial" w:cs="Arial"/>
          <w:color w:val="000000" w:themeColor="text1"/>
          <w:sz w:val="22"/>
          <w:szCs w:val="22"/>
        </w:rPr>
        <w:t>584</w:t>
      </w:r>
      <w:r>
        <w:rPr>
          <w:rFonts w:ascii="Arial" w:hAnsi="Arial" w:cs="Arial"/>
          <w:color w:val="000000" w:themeColor="text1"/>
          <w:sz w:val="22"/>
          <w:szCs w:val="22"/>
        </w:rPr>
        <w:t xml:space="preserve"> mio EUR. Iz  državnega proračuna pričakujemo refundacijo sredstev</w:t>
      </w:r>
      <w:r w:rsidRPr="00275D55">
        <w:rPr>
          <w:rFonts w:ascii="Arial" w:hAnsi="Arial" w:cs="Arial"/>
          <w:color w:val="000000" w:themeColor="text1"/>
          <w:sz w:val="22"/>
          <w:szCs w:val="22"/>
        </w:rPr>
        <w:t xml:space="preserve"> </w:t>
      </w:r>
      <w:r>
        <w:rPr>
          <w:rFonts w:ascii="Arial" w:hAnsi="Arial" w:cs="Arial"/>
          <w:color w:val="000000" w:themeColor="text1"/>
          <w:sz w:val="22"/>
          <w:szCs w:val="22"/>
        </w:rPr>
        <w:t xml:space="preserve">za več investicij, in sicer za izvajanje </w:t>
      </w:r>
      <w:r>
        <w:rPr>
          <w:rFonts w:ascii="Arial" w:hAnsi="Arial" w:cs="Arial"/>
          <w:color w:val="000000"/>
          <w:sz w:val="22"/>
          <w:szCs w:val="22"/>
          <w:shd w:val="clear" w:color="auto" w:fill="FFFFFF"/>
          <w:lang w:val="x-none"/>
        </w:rPr>
        <w:t>infrastrukturn</w:t>
      </w:r>
      <w:r>
        <w:rPr>
          <w:rFonts w:ascii="Arial" w:hAnsi="Arial" w:cs="Arial"/>
          <w:color w:val="000000"/>
          <w:sz w:val="22"/>
          <w:szCs w:val="22"/>
          <w:shd w:val="clear" w:color="auto" w:fill="FFFFFF"/>
        </w:rPr>
        <w:t>ih</w:t>
      </w:r>
      <w:r>
        <w:rPr>
          <w:rFonts w:ascii="Arial" w:hAnsi="Arial" w:cs="Arial"/>
          <w:color w:val="000000"/>
          <w:sz w:val="22"/>
          <w:szCs w:val="22"/>
          <w:shd w:val="clear" w:color="auto" w:fill="FFFFFF"/>
          <w:lang w:val="x-none"/>
        </w:rPr>
        <w:t xml:space="preserve"> projekt</w:t>
      </w:r>
      <w:r>
        <w:rPr>
          <w:rFonts w:ascii="Arial" w:hAnsi="Arial" w:cs="Arial"/>
          <w:color w:val="000000"/>
          <w:sz w:val="22"/>
          <w:szCs w:val="22"/>
          <w:shd w:val="clear" w:color="auto" w:fill="FFFFFF"/>
        </w:rPr>
        <w:t xml:space="preserve">ov v okviru Evropske prestolnice kulture v </w:t>
      </w:r>
      <w:r>
        <w:rPr>
          <w:rFonts w:ascii="Arial" w:hAnsi="Arial" w:cs="Arial"/>
          <w:color w:val="000000"/>
          <w:sz w:val="22"/>
          <w:szCs w:val="22"/>
          <w:shd w:val="clear" w:color="auto" w:fill="FFFFFF"/>
          <w:lang w:val="x-none"/>
        </w:rPr>
        <w:t xml:space="preserve">višini </w:t>
      </w:r>
      <w:r w:rsidR="00A75CC4">
        <w:rPr>
          <w:rFonts w:ascii="Arial" w:hAnsi="Arial" w:cs="Arial"/>
          <w:color w:val="000000"/>
          <w:sz w:val="22"/>
          <w:szCs w:val="22"/>
          <w:shd w:val="clear" w:color="auto" w:fill="FFFFFF"/>
        </w:rPr>
        <w:t xml:space="preserve">1,509 </w:t>
      </w:r>
      <w:r>
        <w:rPr>
          <w:rFonts w:ascii="Arial" w:hAnsi="Arial" w:cs="Arial"/>
          <w:color w:val="000000"/>
          <w:sz w:val="22"/>
          <w:szCs w:val="22"/>
          <w:shd w:val="clear" w:color="auto" w:fill="FFFFFF"/>
          <w:lang w:val="x-none"/>
        </w:rPr>
        <w:t>mio EUR</w:t>
      </w:r>
      <w:r>
        <w:rPr>
          <w:rFonts w:ascii="Arial" w:hAnsi="Arial" w:cs="Arial"/>
          <w:color w:val="000000"/>
          <w:sz w:val="22"/>
          <w:szCs w:val="22"/>
          <w:shd w:val="clear" w:color="auto" w:fill="FFFFFF"/>
        </w:rPr>
        <w:t xml:space="preserve">, za </w:t>
      </w:r>
      <w:r w:rsidRPr="00AE65BC">
        <w:rPr>
          <w:rFonts w:ascii="Arial" w:hAnsi="Arial" w:cs="Arial"/>
          <w:color w:val="000000"/>
          <w:sz w:val="22"/>
          <w:szCs w:val="22"/>
          <w:shd w:val="clear" w:color="auto" w:fill="FFFFFF"/>
          <w:lang w:val="x-none"/>
        </w:rPr>
        <w:t>postavitve sončnih elektrarn na strehah občinskih stavb</w:t>
      </w:r>
      <w:r>
        <w:rPr>
          <w:rFonts w:ascii="Arial" w:hAnsi="Arial" w:cs="Arial"/>
          <w:color w:val="000000"/>
          <w:sz w:val="22"/>
          <w:szCs w:val="22"/>
          <w:shd w:val="clear" w:color="auto" w:fill="FFFFFF"/>
        </w:rPr>
        <w:t xml:space="preserve"> v višini 600 tisoč EUR, za požarno takso v višini 200 tisoč EUR, </w:t>
      </w:r>
      <w:r>
        <w:rPr>
          <w:rFonts w:ascii="Arial" w:hAnsi="Arial" w:cs="Arial"/>
          <w:color w:val="000000" w:themeColor="text1"/>
          <w:sz w:val="22"/>
          <w:szCs w:val="22"/>
        </w:rPr>
        <w:t xml:space="preserve">za obnovo magistralnega voda DN 700 v višini </w:t>
      </w:r>
      <w:r w:rsidR="00A75CC4">
        <w:rPr>
          <w:rFonts w:ascii="Arial" w:hAnsi="Arial" w:cs="Arial"/>
          <w:color w:val="000000" w:themeColor="text1"/>
          <w:sz w:val="22"/>
          <w:szCs w:val="22"/>
        </w:rPr>
        <w:t>2</w:t>
      </w:r>
      <w:r>
        <w:rPr>
          <w:rFonts w:ascii="Arial" w:hAnsi="Arial" w:cs="Arial"/>
          <w:color w:val="000000" w:themeColor="text1"/>
          <w:sz w:val="22"/>
          <w:szCs w:val="22"/>
        </w:rPr>
        <w:t>0 tisoč EUR</w:t>
      </w:r>
    </w:p>
    <w:p w14:paraId="4441A2C1" w14:textId="77777777" w:rsidR="005C3AF2" w:rsidRDefault="005C3AF2" w:rsidP="005C3AF2">
      <w:pPr>
        <w:autoSpaceDE w:val="0"/>
        <w:autoSpaceDN w:val="0"/>
        <w:adjustRightInd w:val="0"/>
        <w:rPr>
          <w:rFonts w:ascii="Arial" w:hAnsi="Arial" w:cs="Arial"/>
          <w:color w:val="000000"/>
          <w:sz w:val="22"/>
          <w:szCs w:val="22"/>
          <w:shd w:val="clear" w:color="auto" w:fill="FFFFFF"/>
          <w:lang w:val="x-none"/>
        </w:rPr>
      </w:pPr>
    </w:p>
    <w:p w14:paraId="250DAFC4" w14:textId="76607179" w:rsidR="005C3AF2" w:rsidRDefault="005C3AF2" w:rsidP="005C3AF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V planu so poleg drugih transferov za investicije planirana tudi druga prejeta sredstva za tekočo porabo v višini 4</w:t>
      </w:r>
      <w:r w:rsidR="000A5B99">
        <w:rPr>
          <w:rFonts w:ascii="Arial" w:hAnsi="Arial" w:cs="Arial"/>
          <w:color w:val="000000" w:themeColor="text1"/>
          <w:sz w:val="22"/>
          <w:szCs w:val="22"/>
        </w:rPr>
        <w:t>60</w:t>
      </w:r>
      <w:r>
        <w:rPr>
          <w:rFonts w:ascii="Arial" w:hAnsi="Arial" w:cs="Arial"/>
          <w:color w:val="000000" w:themeColor="text1"/>
          <w:sz w:val="22"/>
          <w:szCs w:val="22"/>
        </w:rPr>
        <w:t xml:space="preserve"> tisoč EUR.</w:t>
      </w:r>
    </w:p>
    <w:p w14:paraId="191CAA07" w14:textId="77777777" w:rsidR="005C3AF2" w:rsidRDefault="005C3AF2" w:rsidP="005C3AF2">
      <w:pPr>
        <w:autoSpaceDE w:val="0"/>
        <w:autoSpaceDN w:val="0"/>
        <w:adjustRightInd w:val="0"/>
        <w:jc w:val="both"/>
        <w:rPr>
          <w:rFonts w:ascii="Arial" w:hAnsi="Arial" w:cs="Arial"/>
          <w:color w:val="000000" w:themeColor="text1"/>
          <w:sz w:val="22"/>
          <w:szCs w:val="22"/>
        </w:rPr>
      </w:pPr>
    </w:p>
    <w:p w14:paraId="7BB38E61" w14:textId="6885E77B" w:rsidR="005C3AF2" w:rsidRDefault="005C3AF2" w:rsidP="005C3AF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Prejeta sredstva iz občinskih proračunov so planirana v višini </w:t>
      </w:r>
      <w:r w:rsidR="000A5B99">
        <w:rPr>
          <w:rFonts w:ascii="Arial" w:hAnsi="Arial" w:cs="Arial"/>
          <w:color w:val="000000" w:themeColor="text1"/>
          <w:sz w:val="22"/>
          <w:szCs w:val="22"/>
        </w:rPr>
        <w:t>316,8</w:t>
      </w:r>
      <w:r>
        <w:rPr>
          <w:rFonts w:ascii="Arial" w:hAnsi="Arial" w:cs="Arial"/>
          <w:color w:val="000000" w:themeColor="text1"/>
          <w:sz w:val="22"/>
          <w:szCs w:val="22"/>
        </w:rPr>
        <w:t xml:space="preserve"> tisoč EUR.</w:t>
      </w:r>
    </w:p>
    <w:p w14:paraId="326A1627" w14:textId="77777777" w:rsidR="005C3AF2" w:rsidRDefault="005C3AF2" w:rsidP="005C3AF2">
      <w:pPr>
        <w:autoSpaceDE w:val="0"/>
        <w:autoSpaceDN w:val="0"/>
        <w:adjustRightInd w:val="0"/>
        <w:jc w:val="both"/>
        <w:rPr>
          <w:rFonts w:ascii="Arial" w:hAnsi="Arial" w:cs="Arial"/>
          <w:color w:val="000000" w:themeColor="text1"/>
          <w:sz w:val="22"/>
          <w:szCs w:val="22"/>
        </w:rPr>
      </w:pPr>
    </w:p>
    <w:p w14:paraId="18361FF8" w14:textId="6C6A71B7" w:rsidR="002560A7" w:rsidRPr="002560A7" w:rsidRDefault="005C3AF2" w:rsidP="002560A7">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Prejeta sredstva iz državnega proračuna iz sredstev EU so planirana v višini </w:t>
      </w:r>
      <w:r w:rsidR="006C146F">
        <w:rPr>
          <w:rFonts w:ascii="Arial" w:hAnsi="Arial" w:cs="Arial"/>
          <w:color w:val="000000" w:themeColor="text1"/>
          <w:sz w:val="22"/>
          <w:szCs w:val="22"/>
        </w:rPr>
        <w:t>2,556</w:t>
      </w:r>
      <w:r>
        <w:rPr>
          <w:rFonts w:ascii="Arial" w:hAnsi="Arial" w:cs="Arial"/>
          <w:color w:val="000000" w:themeColor="text1"/>
          <w:sz w:val="22"/>
          <w:szCs w:val="22"/>
        </w:rPr>
        <w:t xml:space="preserve">. Največji priliv pričakujemo iz naslova izvajanja </w:t>
      </w:r>
      <w:r>
        <w:rPr>
          <w:rFonts w:ascii="Arial" w:hAnsi="Arial" w:cs="Arial"/>
          <w:color w:val="000000"/>
          <w:sz w:val="22"/>
          <w:szCs w:val="22"/>
          <w:shd w:val="clear" w:color="auto" w:fill="FFFFFF"/>
          <w:lang w:val="x-none"/>
        </w:rPr>
        <w:t>infrastrukturn</w:t>
      </w:r>
      <w:r>
        <w:rPr>
          <w:rFonts w:ascii="Arial" w:hAnsi="Arial" w:cs="Arial"/>
          <w:color w:val="000000"/>
          <w:sz w:val="22"/>
          <w:szCs w:val="22"/>
          <w:shd w:val="clear" w:color="auto" w:fill="FFFFFF"/>
        </w:rPr>
        <w:t>ih</w:t>
      </w:r>
      <w:r>
        <w:rPr>
          <w:rFonts w:ascii="Arial" w:hAnsi="Arial" w:cs="Arial"/>
          <w:color w:val="000000"/>
          <w:sz w:val="22"/>
          <w:szCs w:val="22"/>
          <w:shd w:val="clear" w:color="auto" w:fill="FFFFFF"/>
          <w:lang w:val="x-none"/>
        </w:rPr>
        <w:t xml:space="preserve"> projekt</w:t>
      </w:r>
      <w:r>
        <w:rPr>
          <w:rFonts w:ascii="Arial" w:hAnsi="Arial" w:cs="Arial"/>
          <w:color w:val="000000"/>
          <w:sz w:val="22"/>
          <w:szCs w:val="22"/>
          <w:shd w:val="clear" w:color="auto" w:fill="FFFFFF"/>
        </w:rPr>
        <w:t xml:space="preserve">ov v okviru Evropske prestolnice kulture v </w:t>
      </w:r>
      <w:r>
        <w:rPr>
          <w:rFonts w:ascii="Arial" w:hAnsi="Arial" w:cs="Arial"/>
          <w:color w:val="000000"/>
          <w:sz w:val="22"/>
          <w:szCs w:val="22"/>
          <w:shd w:val="clear" w:color="auto" w:fill="FFFFFF"/>
          <w:lang w:val="x-none"/>
        </w:rPr>
        <w:t>višini</w:t>
      </w:r>
      <w:r>
        <w:rPr>
          <w:rFonts w:ascii="Arial" w:hAnsi="Arial" w:cs="Arial"/>
          <w:color w:val="000000"/>
          <w:sz w:val="22"/>
          <w:szCs w:val="22"/>
          <w:shd w:val="clear" w:color="auto" w:fill="FFFFFF"/>
        </w:rPr>
        <w:t xml:space="preserve"> </w:t>
      </w:r>
      <w:r w:rsidR="00FD7EE2">
        <w:rPr>
          <w:rFonts w:ascii="Arial" w:hAnsi="Arial" w:cs="Arial"/>
          <w:color w:val="000000"/>
          <w:sz w:val="22"/>
          <w:szCs w:val="22"/>
          <w:shd w:val="clear" w:color="auto" w:fill="FFFFFF"/>
        </w:rPr>
        <w:t>1,509</w:t>
      </w:r>
      <w:r>
        <w:rPr>
          <w:rFonts w:ascii="Arial" w:hAnsi="Arial" w:cs="Arial"/>
          <w:color w:val="000000"/>
          <w:sz w:val="22"/>
          <w:szCs w:val="22"/>
          <w:shd w:val="clear" w:color="auto" w:fill="FFFFFF"/>
        </w:rPr>
        <w:t xml:space="preserve"> mio EUR ter za </w:t>
      </w:r>
      <w:r w:rsidR="002560A7">
        <w:rPr>
          <w:rFonts w:ascii="Arial" w:hAnsi="Arial" w:cs="Arial"/>
          <w:color w:val="000000"/>
          <w:sz w:val="22"/>
          <w:szCs w:val="22"/>
          <w:shd w:val="clear" w:color="auto" w:fill="FFFFFF"/>
          <w:lang w:val="x-none"/>
        </w:rPr>
        <w:t>fekalno kanalizacijo na območju KS Gradišče nad Prvačino v višini 700 tisoč EUR,</w:t>
      </w:r>
    </w:p>
    <w:p w14:paraId="582F8916" w14:textId="77777777" w:rsidR="002560A7" w:rsidRPr="00AD6BE0" w:rsidRDefault="002560A7" w:rsidP="005C3AF2">
      <w:pPr>
        <w:autoSpaceDE w:val="0"/>
        <w:autoSpaceDN w:val="0"/>
        <w:adjustRightInd w:val="0"/>
        <w:jc w:val="both"/>
        <w:rPr>
          <w:rFonts w:ascii="Arial" w:hAnsi="Arial" w:cs="Arial"/>
          <w:color w:val="FF0000"/>
          <w:sz w:val="22"/>
          <w:szCs w:val="22"/>
        </w:rPr>
      </w:pPr>
    </w:p>
    <w:p w14:paraId="4642B18E" w14:textId="4934EEB3" w:rsidR="005C3AF2" w:rsidRPr="008319B9" w:rsidRDefault="005C3AF2" w:rsidP="005C3AF2">
      <w:pPr>
        <w:autoSpaceDE w:val="0"/>
        <w:autoSpaceDN w:val="0"/>
        <w:adjustRightInd w:val="0"/>
        <w:jc w:val="both"/>
        <w:rPr>
          <w:rFonts w:ascii="Arial" w:hAnsi="Arial" w:cs="Arial"/>
          <w:color w:val="000000" w:themeColor="text1"/>
          <w:sz w:val="22"/>
          <w:szCs w:val="22"/>
        </w:rPr>
      </w:pPr>
      <w:r w:rsidRPr="008319B9">
        <w:rPr>
          <w:rFonts w:ascii="Arial" w:hAnsi="Arial" w:cs="Arial"/>
          <w:color w:val="000000" w:themeColor="text1"/>
          <w:sz w:val="22"/>
          <w:szCs w:val="22"/>
        </w:rPr>
        <w:t xml:space="preserve">Prejeta sredstva iz EU so ocenjena v višini </w:t>
      </w:r>
      <w:r w:rsidR="00556814">
        <w:rPr>
          <w:rFonts w:ascii="Arial" w:hAnsi="Arial" w:cs="Arial"/>
          <w:color w:val="000000" w:themeColor="text1"/>
          <w:sz w:val="22"/>
          <w:szCs w:val="22"/>
        </w:rPr>
        <w:t>219</w:t>
      </w:r>
      <w:r>
        <w:rPr>
          <w:rFonts w:ascii="Arial" w:hAnsi="Arial" w:cs="Arial"/>
          <w:color w:val="000000" w:themeColor="text1"/>
          <w:sz w:val="22"/>
          <w:szCs w:val="22"/>
        </w:rPr>
        <w:t xml:space="preserve"> tisoč</w:t>
      </w:r>
      <w:r w:rsidRPr="008319B9">
        <w:rPr>
          <w:rFonts w:ascii="Arial" w:hAnsi="Arial" w:cs="Arial"/>
          <w:color w:val="000000" w:themeColor="text1"/>
          <w:sz w:val="22"/>
          <w:szCs w:val="22"/>
        </w:rPr>
        <w:t xml:space="preserve"> EUR.</w:t>
      </w:r>
    </w:p>
    <w:p w14:paraId="07A26F67" w14:textId="77777777" w:rsidR="005C3AF2" w:rsidRPr="004C2150" w:rsidRDefault="005C3AF2" w:rsidP="005C3AF2">
      <w:pPr>
        <w:autoSpaceDE w:val="0"/>
        <w:autoSpaceDN w:val="0"/>
        <w:adjustRightInd w:val="0"/>
        <w:jc w:val="both"/>
        <w:rPr>
          <w:rFonts w:ascii="Arial" w:hAnsi="Arial" w:cs="Arial"/>
          <w:color w:val="000000" w:themeColor="text1"/>
          <w:sz w:val="22"/>
          <w:szCs w:val="22"/>
        </w:rPr>
      </w:pPr>
    </w:p>
    <w:p w14:paraId="7D987B96" w14:textId="77777777" w:rsidR="005C3AF2" w:rsidRPr="00250685" w:rsidRDefault="005C3AF2" w:rsidP="005C3AF2">
      <w:pPr>
        <w:pStyle w:val="Naslov3"/>
        <w:numPr>
          <w:ilvl w:val="0"/>
          <w:numId w:val="34"/>
        </w:numPr>
        <w:rPr>
          <w:sz w:val="22"/>
          <w:szCs w:val="22"/>
        </w:rPr>
      </w:pPr>
      <w:r w:rsidRPr="00250685">
        <w:rPr>
          <w:sz w:val="22"/>
          <w:szCs w:val="22"/>
        </w:rPr>
        <w:t>Načrtovani odhodki</w:t>
      </w:r>
    </w:p>
    <w:p w14:paraId="5DCA1A08" w14:textId="77777777" w:rsidR="005C3AF2" w:rsidRPr="00250685" w:rsidRDefault="005C3AF2" w:rsidP="005C3AF2">
      <w:pPr>
        <w:pStyle w:val="Naslov5"/>
        <w:rPr>
          <w:color w:val="000000" w:themeColor="text1"/>
          <w:sz w:val="22"/>
          <w:szCs w:val="22"/>
        </w:rPr>
      </w:pPr>
      <w:r w:rsidRPr="00250685">
        <w:rPr>
          <w:sz w:val="22"/>
          <w:szCs w:val="22"/>
        </w:rPr>
        <w:t>Splošni del proračuna</w:t>
      </w:r>
      <w:r w:rsidRPr="00250685">
        <w:rPr>
          <w:color w:val="000000" w:themeColor="text1"/>
          <w:sz w:val="22"/>
          <w:szCs w:val="22"/>
        </w:rPr>
        <w:t>:</w:t>
      </w:r>
    </w:p>
    <w:p w14:paraId="2D559E84" w14:textId="77777777" w:rsidR="005C3AF2" w:rsidRDefault="005C3AF2" w:rsidP="005C3AF2">
      <w:pPr>
        <w:jc w:val="both"/>
        <w:rPr>
          <w:rFonts w:ascii="Arial" w:hAnsi="Arial" w:cs="Arial"/>
          <w:color w:val="000000" w:themeColor="text1"/>
          <w:sz w:val="22"/>
          <w:szCs w:val="22"/>
        </w:rPr>
      </w:pPr>
    </w:p>
    <w:p w14:paraId="48AF0039" w14:textId="077FD5C3" w:rsidR="005C3AF2" w:rsidRPr="00826203" w:rsidRDefault="005C3AF2" w:rsidP="005C3AF2">
      <w:pPr>
        <w:jc w:val="both"/>
        <w:rPr>
          <w:rFonts w:ascii="Arial CE" w:hAnsi="Arial CE"/>
          <w:b/>
          <w:bCs/>
          <w:color w:val="000000" w:themeColor="text1"/>
          <w:sz w:val="28"/>
          <w:szCs w:val="28"/>
        </w:rPr>
      </w:pPr>
      <w:r w:rsidRPr="004C2150">
        <w:rPr>
          <w:rFonts w:ascii="Arial" w:hAnsi="Arial" w:cs="Arial"/>
          <w:color w:val="000000" w:themeColor="text1"/>
          <w:sz w:val="22"/>
          <w:szCs w:val="22"/>
        </w:rPr>
        <w:t xml:space="preserve">Skupni odhodki so načrtovani v višini </w:t>
      </w:r>
      <w:r w:rsidR="003E47D8">
        <w:rPr>
          <w:rFonts w:ascii="Arial" w:hAnsi="Arial" w:cs="Arial"/>
          <w:color w:val="000000" w:themeColor="text1"/>
          <w:sz w:val="22"/>
          <w:szCs w:val="22"/>
        </w:rPr>
        <w:t>47,589</w:t>
      </w:r>
      <w:r w:rsidRPr="00567A93">
        <w:rPr>
          <w:rFonts w:ascii="Arial" w:hAnsi="Arial" w:cs="Arial"/>
          <w:color w:val="000000" w:themeColor="text1"/>
          <w:sz w:val="22"/>
          <w:szCs w:val="22"/>
        </w:rPr>
        <w:t xml:space="preserve"> mio </w:t>
      </w:r>
      <w:r w:rsidRPr="004C2150">
        <w:rPr>
          <w:rFonts w:ascii="Arial" w:hAnsi="Arial" w:cs="Arial"/>
          <w:color w:val="000000" w:themeColor="text1"/>
          <w:sz w:val="22"/>
          <w:szCs w:val="22"/>
        </w:rPr>
        <w:t>EUR</w:t>
      </w:r>
      <w:r>
        <w:rPr>
          <w:rFonts w:ascii="Arial" w:hAnsi="Arial" w:cs="Arial"/>
          <w:color w:val="000000" w:themeColor="text1"/>
          <w:sz w:val="22"/>
          <w:szCs w:val="22"/>
        </w:rPr>
        <w:t xml:space="preserve">. </w:t>
      </w:r>
      <w:r w:rsidRPr="004C2150">
        <w:rPr>
          <w:rFonts w:ascii="Arial" w:hAnsi="Arial" w:cs="Arial"/>
          <w:color w:val="000000" w:themeColor="text1"/>
          <w:sz w:val="22"/>
          <w:szCs w:val="22"/>
        </w:rPr>
        <w:t xml:space="preserve">Struktura razdelitve po vrstah odhodkov je prikazana v grafikonu </w:t>
      </w:r>
      <w:r>
        <w:rPr>
          <w:rFonts w:ascii="Arial" w:hAnsi="Arial" w:cs="Arial"/>
          <w:color w:val="000000" w:themeColor="text1"/>
          <w:sz w:val="22"/>
          <w:szCs w:val="22"/>
        </w:rPr>
        <w:t>2</w:t>
      </w:r>
      <w:r w:rsidRPr="004C2150">
        <w:rPr>
          <w:rFonts w:ascii="Arial" w:hAnsi="Arial" w:cs="Arial"/>
          <w:color w:val="000000" w:themeColor="text1"/>
          <w:sz w:val="22"/>
          <w:szCs w:val="22"/>
        </w:rPr>
        <w:t>.</w:t>
      </w:r>
    </w:p>
    <w:p w14:paraId="7CA8757A" w14:textId="77777777" w:rsidR="005C3AF2" w:rsidRDefault="005C3AF2" w:rsidP="005C3AF2">
      <w:pPr>
        <w:rPr>
          <w:rFonts w:ascii="Arial" w:hAnsi="Arial" w:cs="Arial"/>
          <w:color w:val="FF0000"/>
          <w:sz w:val="22"/>
          <w:szCs w:val="22"/>
        </w:rPr>
      </w:pPr>
      <w:r>
        <w:rPr>
          <w:rFonts w:ascii="Arial" w:hAnsi="Arial" w:cs="Arial"/>
          <w:color w:val="FF0000"/>
          <w:sz w:val="22"/>
          <w:szCs w:val="22"/>
        </w:rPr>
        <w:br w:type="page"/>
      </w:r>
    </w:p>
    <w:p w14:paraId="65AFC34D" w14:textId="77777777" w:rsidR="005C3AF2" w:rsidRPr="00AD6BE0" w:rsidRDefault="005C3AF2" w:rsidP="005C3AF2">
      <w:pPr>
        <w:autoSpaceDE w:val="0"/>
        <w:autoSpaceDN w:val="0"/>
        <w:adjustRightInd w:val="0"/>
        <w:jc w:val="both"/>
        <w:rPr>
          <w:rFonts w:ascii="Arial" w:hAnsi="Arial" w:cs="Arial"/>
          <w:color w:val="FF0000"/>
          <w:sz w:val="22"/>
          <w:szCs w:val="22"/>
        </w:rPr>
      </w:pPr>
    </w:p>
    <w:p w14:paraId="22E45616" w14:textId="77777777" w:rsidR="005C3AF2" w:rsidRDefault="005C3AF2" w:rsidP="005C3AF2">
      <w:pPr>
        <w:autoSpaceDE w:val="0"/>
        <w:autoSpaceDN w:val="0"/>
        <w:adjustRightInd w:val="0"/>
        <w:jc w:val="both"/>
        <w:rPr>
          <w:rFonts w:ascii="Arial" w:hAnsi="Arial" w:cs="Arial"/>
          <w:sz w:val="22"/>
          <w:szCs w:val="22"/>
        </w:rPr>
      </w:pPr>
      <w:r w:rsidRPr="00DE2283">
        <w:rPr>
          <w:rFonts w:ascii="Arial" w:hAnsi="Arial" w:cs="Arial"/>
          <w:sz w:val="22"/>
          <w:szCs w:val="22"/>
        </w:rPr>
        <w:t xml:space="preserve">Grafikon </w:t>
      </w:r>
      <w:r>
        <w:rPr>
          <w:rFonts w:ascii="Arial" w:hAnsi="Arial" w:cs="Arial"/>
          <w:sz w:val="22"/>
          <w:szCs w:val="22"/>
        </w:rPr>
        <w:t>2</w:t>
      </w:r>
      <w:r w:rsidRPr="00DE2283">
        <w:rPr>
          <w:rFonts w:ascii="Arial" w:hAnsi="Arial" w:cs="Arial"/>
          <w:sz w:val="22"/>
          <w:szCs w:val="22"/>
        </w:rPr>
        <w:t>: Razrez načrtovanih proračunskih odhodkov po vrstah</w:t>
      </w:r>
    </w:p>
    <w:p w14:paraId="60F83F29" w14:textId="77777777" w:rsidR="00404937" w:rsidRPr="00DE2283" w:rsidRDefault="00404937" w:rsidP="005C3AF2">
      <w:pPr>
        <w:autoSpaceDE w:val="0"/>
        <w:autoSpaceDN w:val="0"/>
        <w:adjustRightInd w:val="0"/>
        <w:jc w:val="both"/>
        <w:rPr>
          <w:rFonts w:ascii="Arial" w:hAnsi="Arial" w:cs="Arial"/>
          <w:sz w:val="22"/>
          <w:szCs w:val="22"/>
        </w:rPr>
      </w:pPr>
    </w:p>
    <w:p w14:paraId="2CC76029" w14:textId="1A2E7A1A" w:rsidR="005C3AF2" w:rsidRDefault="00404937" w:rsidP="005C3AF2">
      <w:pPr>
        <w:autoSpaceDE w:val="0"/>
        <w:autoSpaceDN w:val="0"/>
        <w:adjustRightInd w:val="0"/>
        <w:jc w:val="center"/>
        <w:rPr>
          <w:rFonts w:ascii="Arial" w:hAnsi="Arial" w:cs="Arial"/>
          <w:color w:val="FF0000"/>
          <w:sz w:val="22"/>
          <w:szCs w:val="22"/>
        </w:rPr>
      </w:pPr>
      <w:r>
        <w:rPr>
          <w:noProof/>
        </w:rPr>
        <w:drawing>
          <wp:inline distT="0" distB="0" distL="0" distR="0" wp14:anchorId="040F09F2" wp14:editId="588720C3">
            <wp:extent cx="4905375" cy="3143250"/>
            <wp:effectExtent l="0" t="0" r="9525" b="0"/>
            <wp:docPr id="135435980" name="Grafikon 1">
              <a:extLst xmlns:a="http://schemas.openxmlformats.org/drawingml/2006/main">
                <a:ext uri="{FF2B5EF4-FFF2-40B4-BE49-F238E27FC236}">
                  <a16:creationId xmlns:a16="http://schemas.microsoft.com/office/drawing/2014/main" id="{8ACDD3AC-7B2B-05CE-F74E-95B240D5BD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F043CD4" w14:textId="77777777" w:rsidR="005C3AF2" w:rsidRPr="00AD6BE0" w:rsidRDefault="005C3AF2" w:rsidP="005C3AF2">
      <w:pPr>
        <w:autoSpaceDE w:val="0"/>
        <w:autoSpaceDN w:val="0"/>
        <w:adjustRightInd w:val="0"/>
        <w:jc w:val="both"/>
        <w:rPr>
          <w:rFonts w:ascii="Arial" w:hAnsi="Arial" w:cs="Arial"/>
          <w:color w:val="FF0000"/>
          <w:sz w:val="22"/>
          <w:szCs w:val="22"/>
        </w:rPr>
      </w:pPr>
    </w:p>
    <w:p w14:paraId="009E4984" w14:textId="77777777" w:rsidR="005C3AF2" w:rsidRDefault="005C3AF2" w:rsidP="005C3AF2">
      <w:pPr>
        <w:autoSpaceDE w:val="0"/>
        <w:autoSpaceDN w:val="0"/>
        <w:adjustRightInd w:val="0"/>
        <w:jc w:val="both"/>
        <w:rPr>
          <w:rFonts w:ascii="Arial" w:hAnsi="Arial" w:cs="Arial"/>
          <w:color w:val="FF0000"/>
          <w:sz w:val="22"/>
          <w:szCs w:val="22"/>
        </w:rPr>
      </w:pPr>
    </w:p>
    <w:p w14:paraId="129A48CF" w14:textId="761018DD" w:rsidR="005C3AF2" w:rsidRPr="00BC5C23" w:rsidRDefault="005C3AF2" w:rsidP="005C3AF2">
      <w:pPr>
        <w:autoSpaceDE w:val="0"/>
        <w:autoSpaceDN w:val="0"/>
        <w:adjustRightInd w:val="0"/>
        <w:jc w:val="both"/>
        <w:rPr>
          <w:rFonts w:ascii="Arial" w:hAnsi="Arial" w:cs="Arial"/>
          <w:color w:val="000000" w:themeColor="text1"/>
          <w:sz w:val="22"/>
          <w:szCs w:val="22"/>
        </w:rPr>
      </w:pPr>
      <w:r w:rsidRPr="00DA0933">
        <w:rPr>
          <w:rFonts w:ascii="Arial" w:hAnsi="Arial" w:cs="Arial"/>
          <w:color w:val="000000" w:themeColor="text1"/>
          <w:sz w:val="22"/>
          <w:szCs w:val="22"/>
        </w:rPr>
        <w:t>Tekoči odhodki</w:t>
      </w:r>
      <w:r>
        <w:rPr>
          <w:rFonts w:ascii="Arial" w:hAnsi="Arial" w:cs="Arial"/>
          <w:color w:val="000000" w:themeColor="text1"/>
          <w:sz w:val="22"/>
          <w:szCs w:val="22"/>
        </w:rPr>
        <w:t xml:space="preserve"> za leto 202</w:t>
      </w:r>
      <w:r w:rsidR="002D5C81">
        <w:rPr>
          <w:rFonts w:ascii="Arial" w:hAnsi="Arial" w:cs="Arial"/>
          <w:color w:val="000000" w:themeColor="text1"/>
          <w:sz w:val="22"/>
          <w:szCs w:val="22"/>
        </w:rPr>
        <w:t>5</w:t>
      </w:r>
      <w:r w:rsidRPr="00DA0933">
        <w:rPr>
          <w:rFonts w:ascii="Arial" w:hAnsi="Arial" w:cs="Arial"/>
          <w:color w:val="000000" w:themeColor="text1"/>
          <w:sz w:val="22"/>
          <w:szCs w:val="22"/>
        </w:rPr>
        <w:t xml:space="preserve"> so planirani v višini </w:t>
      </w:r>
      <w:r w:rsidR="00404937">
        <w:rPr>
          <w:rFonts w:ascii="Arial" w:hAnsi="Arial" w:cs="Arial"/>
          <w:color w:val="000000" w:themeColor="text1"/>
          <w:sz w:val="22"/>
          <w:szCs w:val="22"/>
        </w:rPr>
        <w:t>12,716</w:t>
      </w:r>
      <w:r w:rsidRPr="00DA0933">
        <w:rPr>
          <w:rFonts w:ascii="Arial" w:hAnsi="Arial" w:cs="Arial"/>
          <w:color w:val="000000" w:themeColor="text1"/>
          <w:sz w:val="22"/>
          <w:szCs w:val="22"/>
        </w:rPr>
        <w:t xml:space="preserve"> mio EUR</w:t>
      </w:r>
      <w:r>
        <w:rPr>
          <w:rFonts w:ascii="Arial" w:hAnsi="Arial" w:cs="Arial"/>
          <w:color w:val="000000" w:themeColor="text1"/>
          <w:sz w:val="22"/>
          <w:szCs w:val="22"/>
        </w:rPr>
        <w:t>, t</w:t>
      </w:r>
      <w:r w:rsidRPr="00DA0933">
        <w:rPr>
          <w:rFonts w:ascii="Arial" w:hAnsi="Arial" w:cs="Arial"/>
          <w:color w:val="000000" w:themeColor="text1"/>
          <w:sz w:val="22"/>
          <w:szCs w:val="22"/>
        </w:rPr>
        <w:t>ekoči transferi</w:t>
      </w:r>
      <w:r>
        <w:rPr>
          <w:rFonts w:ascii="Arial" w:hAnsi="Arial" w:cs="Arial"/>
          <w:color w:val="000000" w:themeColor="text1"/>
          <w:sz w:val="22"/>
          <w:szCs w:val="22"/>
        </w:rPr>
        <w:t xml:space="preserve"> </w:t>
      </w:r>
      <w:r w:rsidRPr="00DA0933">
        <w:rPr>
          <w:rFonts w:ascii="Arial" w:hAnsi="Arial" w:cs="Arial"/>
          <w:color w:val="000000" w:themeColor="text1"/>
          <w:sz w:val="22"/>
          <w:szCs w:val="22"/>
        </w:rPr>
        <w:t>v višin</w:t>
      </w:r>
      <w:r w:rsidR="004A7CF2">
        <w:rPr>
          <w:rFonts w:ascii="Arial" w:hAnsi="Arial" w:cs="Arial"/>
          <w:color w:val="000000" w:themeColor="text1"/>
          <w:sz w:val="22"/>
          <w:szCs w:val="22"/>
        </w:rPr>
        <w:t xml:space="preserve">i </w:t>
      </w:r>
      <w:r>
        <w:rPr>
          <w:rFonts w:ascii="Arial" w:hAnsi="Arial" w:cs="Arial"/>
          <w:color w:val="000000" w:themeColor="text1"/>
          <w:sz w:val="22"/>
          <w:szCs w:val="22"/>
        </w:rPr>
        <w:t>1</w:t>
      </w:r>
      <w:r w:rsidR="004A7CF2">
        <w:rPr>
          <w:rFonts w:ascii="Arial" w:hAnsi="Arial" w:cs="Arial"/>
          <w:color w:val="000000" w:themeColor="text1"/>
          <w:sz w:val="22"/>
          <w:szCs w:val="22"/>
        </w:rPr>
        <w:t>9</w:t>
      </w:r>
      <w:r>
        <w:rPr>
          <w:rFonts w:ascii="Arial" w:hAnsi="Arial" w:cs="Arial"/>
          <w:color w:val="000000" w:themeColor="text1"/>
          <w:sz w:val="22"/>
          <w:szCs w:val="22"/>
        </w:rPr>
        <w:t>,</w:t>
      </w:r>
      <w:r w:rsidR="004A7CF2">
        <w:rPr>
          <w:rFonts w:ascii="Arial" w:hAnsi="Arial" w:cs="Arial"/>
          <w:color w:val="000000" w:themeColor="text1"/>
          <w:sz w:val="22"/>
          <w:szCs w:val="22"/>
        </w:rPr>
        <w:t>473</w:t>
      </w:r>
      <w:r w:rsidRPr="00DA0933">
        <w:rPr>
          <w:rFonts w:ascii="Arial" w:hAnsi="Arial" w:cs="Arial"/>
          <w:color w:val="000000" w:themeColor="text1"/>
          <w:sz w:val="22"/>
          <w:szCs w:val="22"/>
        </w:rPr>
        <w:t xml:space="preserve"> mio EUR</w:t>
      </w:r>
      <w:r w:rsidR="008473D6">
        <w:rPr>
          <w:rFonts w:ascii="Arial" w:hAnsi="Arial" w:cs="Arial"/>
          <w:color w:val="000000" w:themeColor="text1"/>
          <w:sz w:val="22"/>
          <w:szCs w:val="22"/>
        </w:rPr>
        <w:t xml:space="preserve">, </w:t>
      </w:r>
      <w:r w:rsidR="008473D6">
        <w:rPr>
          <w:rFonts w:ascii="Arial" w:hAnsi="Arial" w:cs="Arial"/>
          <w:sz w:val="22"/>
          <w:szCs w:val="22"/>
        </w:rPr>
        <w:t>i</w:t>
      </w:r>
      <w:r w:rsidRPr="00CF533B">
        <w:rPr>
          <w:rFonts w:ascii="Arial" w:hAnsi="Arial" w:cs="Arial"/>
          <w:sz w:val="22"/>
          <w:szCs w:val="22"/>
        </w:rPr>
        <w:t>nvesticijski odhodki</w:t>
      </w:r>
      <w:r>
        <w:rPr>
          <w:rFonts w:ascii="Arial" w:hAnsi="Arial" w:cs="Arial"/>
          <w:sz w:val="22"/>
          <w:szCs w:val="22"/>
        </w:rPr>
        <w:t xml:space="preserve"> v višini </w:t>
      </w:r>
      <w:r w:rsidR="008473D6">
        <w:rPr>
          <w:rFonts w:ascii="Arial" w:hAnsi="Arial" w:cs="Arial"/>
          <w:sz w:val="22"/>
          <w:szCs w:val="22"/>
        </w:rPr>
        <w:t>13,924</w:t>
      </w:r>
      <w:r>
        <w:rPr>
          <w:rFonts w:ascii="Arial" w:hAnsi="Arial" w:cs="Arial"/>
          <w:sz w:val="22"/>
          <w:szCs w:val="22"/>
        </w:rPr>
        <w:t xml:space="preserve"> mio EUR</w:t>
      </w:r>
      <w:r w:rsidR="008473D6">
        <w:rPr>
          <w:rFonts w:ascii="Arial" w:hAnsi="Arial" w:cs="Arial"/>
          <w:sz w:val="22"/>
          <w:szCs w:val="22"/>
        </w:rPr>
        <w:t>, i</w:t>
      </w:r>
      <w:r w:rsidRPr="000F3EC6">
        <w:rPr>
          <w:rFonts w:ascii="Arial" w:hAnsi="Arial" w:cs="Arial"/>
          <w:sz w:val="22"/>
          <w:szCs w:val="22"/>
        </w:rPr>
        <w:t xml:space="preserve">nvesticijski transferi </w:t>
      </w:r>
      <w:r w:rsidR="008473D6">
        <w:rPr>
          <w:rFonts w:ascii="Arial" w:hAnsi="Arial" w:cs="Arial"/>
          <w:sz w:val="22"/>
          <w:szCs w:val="22"/>
        </w:rPr>
        <w:t xml:space="preserve">v višini </w:t>
      </w:r>
      <w:r>
        <w:rPr>
          <w:rFonts w:ascii="Arial" w:hAnsi="Arial" w:cs="Arial"/>
          <w:sz w:val="22"/>
          <w:szCs w:val="22"/>
        </w:rPr>
        <w:t>1,</w:t>
      </w:r>
      <w:r w:rsidR="00BC5C23">
        <w:rPr>
          <w:rFonts w:ascii="Arial" w:hAnsi="Arial" w:cs="Arial"/>
          <w:sz w:val="22"/>
          <w:szCs w:val="22"/>
        </w:rPr>
        <w:t>477</w:t>
      </w:r>
      <w:r>
        <w:rPr>
          <w:rFonts w:ascii="Arial" w:hAnsi="Arial" w:cs="Arial"/>
          <w:sz w:val="22"/>
          <w:szCs w:val="22"/>
        </w:rPr>
        <w:t xml:space="preserve"> mio</w:t>
      </w:r>
      <w:r w:rsidRPr="000F3EC6">
        <w:rPr>
          <w:rFonts w:ascii="Arial" w:hAnsi="Arial" w:cs="Arial"/>
          <w:sz w:val="22"/>
          <w:szCs w:val="22"/>
        </w:rPr>
        <w:t xml:space="preserve"> EUR.</w:t>
      </w:r>
    </w:p>
    <w:p w14:paraId="43E7F1AF" w14:textId="77777777" w:rsidR="005C3AF2" w:rsidRPr="00250685" w:rsidRDefault="005C3AF2" w:rsidP="005C3AF2">
      <w:pPr>
        <w:pStyle w:val="Naslov5"/>
        <w:rPr>
          <w:color w:val="000000" w:themeColor="text1"/>
          <w:sz w:val="22"/>
          <w:szCs w:val="22"/>
        </w:rPr>
      </w:pPr>
      <w:r w:rsidRPr="00250685">
        <w:rPr>
          <w:sz w:val="22"/>
          <w:szCs w:val="22"/>
        </w:rPr>
        <w:t>Posebni del proračuna</w:t>
      </w:r>
      <w:r w:rsidRPr="00250685">
        <w:rPr>
          <w:color w:val="000000" w:themeColor="text1"/>
          <w:sz w:val="22"/>
          <w:szCs w:val="22"/>
        </w:rPr>
        <w:t>:</w:t>
      </w:r>
    </w:p>
    <w:p w14:paraId="342FA12A" w14:textId="77777777" w:rsidR="005C3AF2" w:rsidRDefault="005C3AF2" w:rsidP="005C3AF2">
      <w:pPr>
        <w:autoSpaceDE w:val="0"/>
        <w:autoSpaceDN w:val="0"/>
        <w:adjustRightInd w:val="0"/>
        <w:jc w:val="both"/>
        <w:rPr>
          <w:rFonts w:ascii="Arial" w:hAnsi="Arial" w:cs="Arial"/>
          <w:sz w:val="22"/>
          <w:szCs w:val="22"/>
        </w:rPr>
      </w:pPr>
    </w:p>
    <w:p w14:paraId="224692E3" w14:textId="7253E1A6" w:rsidR="005C3AF2" w:rsidRDefault="005C3AF2" w:rsidP="005C3AF2">
      <w:pPr>
        <w:autoSpaceDE w:val="0"/>
        <w:autoSpaceDN w:val="0"/>
        <w:adjustRightInd w:val="0"/>
        <w:jc w:val="both"/>
        <w:rPr>
          <w:rFonts w:ascii="Arial" w:hAnsi="Arial" w:cs="Arial"/>
          <w:color w:val="000000"/>
          <w:sz w:val="22"/>
          <w:szCs w:val="22"/>
        </w:rPr>
      </w:pPr>
      <w:r w:rsidRPr="005C7D34">
        <w:rPr>
          <w:rFonts w:ascii="Arial" w:hAnsi="Arial" w:cs="Arial"/>
          <w:color w:val="000000"/>
          <w:sz w:val="22"/>
          <w:szCs w:val="22"/>
        </w:rPr>
        <w:t>Največji investicijski izdatki v letu 202</w:t>
      </w:r>
      <w:r w:rsidR="00A302AC">
        <w:rPr>
          <w:rFonts w:ascii="Arial" w:hAnsi="Arial" w:cs="Arial"/>
          <w:color w:val="000000"/>
          <w:sz w:val="22"/>
          <w:szCs w:val="22"/>
        </w:rPr>
        <w:t>5</w:t>
      </w:r>
      <w:r w:rsidRPr="005C7D34">
        <w:rPr>
          <w:rFonts w:ascii="Arial" w:hAnsi="Arial" w:cs="Arial"/>
          <w:color w:val="000000"/>
          <w:sz w:val="22"/>
          <w:szCs w:val="22"/>
        </w:rPr>
        <w:t xml:space="preserve"> so na naslednjih proračunskih postavkah: </w:t>
      </w:r>
    </w:p>
    <w:p w14:paraId="53E185DE" w14:textId="77777777" w:rsidR="00BA124B" w:rsidRDefault="00BA124B" w:rsidP="005C3AF2">
      <w:pPr>
        <w:autoSpaceDE w:val="0"/>
        <w:autoSpaceDN w:val="0"/>
        <w:adjustRightInd w:val="0"/>
        <w:jc w:val="both"/>
        <w:rPr>
          <w:rFonts w:ascii="Arial" w:hAnsi="Arial" w:cs="Arial"/>
          <w:color w:val="000000"/>
          <w:sz w:val="22"/>
          <w:szCs w:val="22"/>
        </w:rPr>
      </w:pPr>
    </w:p>
    <w:tbl>
      <w:tblPr>
        <w:tblW w:w="8505" w:type="dxa"/>
        <w:tblCellMar>
          <w:left w:w="70" w:type="dxa"/>
          <w:right w:w="70" w:type="dxa"/>
        </w:tblCellMar>
        <w:tblLook w:val="04A0" w:firstRow="1" w:lastRow="0" w:firstColumn="1" w:lastColumn="0" w:noHBand="0" w:noVBand="1"/>
      </w:tblPr>
      <w:tblGrid>
        <w:gridCol w:w="851"/>
        <w:gridCol w:w="7654"/>
      </w:tblGrid>
      <w:tr w:rsidR="00BA124B" w:rsidRPr="00BA124B" w14:paraId="459C479F" w14:textId="77777777" w:rsidTr="00BA124B">
        <w:trPr>
          <w:trHeight w:val="300"/>
        </w:trPr>
        <w:tc>
          <w:tcPr>
            <w:tcW w:w="851" w:type="dxa"/>
            <w:tcBorders>
              <w:top w:val="nil"/>
              <w:left w:val="nil"/>
              <w:bottom w:val="nil"/>
              <w:right w:val="nil"/>
            </w:tcBorders>
            <w:shd w:val="clear" w:color="000000" w:fill="FFFFFF"/>
            <w:noWrap/>
            <w:vAlign w:val="bottom"/>
            <w:hideMark/>
          </w:tcPr>
          <w:p w14:paraId="0A9FF9D3" w14:textId="77777777" w:rsidR="00BA124B" w:rsidRPr="00BA124B" w:rsidRDefault="00BA124B">
            <w:pPr>
              <w:rPr>
                <w:rFonts w:ascii="Arial" w:hAnsi="Arial" w:cs="Arial"/>
                <w:sz w:val="22"/>
                <w:szCs w:val="22"/>
              </w:rPr>
            </w:pPr>
            <w:r w:rsidRPr="00BA124B">
              <w:rPr>
                <w:rFonts w:ascii="Arial" w:hAnsi="Arial" w:cs="Arial"/>
                <w:sz w:val="22"/>
                <w:szCs w:val="22"/>
              </w:rPr>
              <w:t>10263</w:t>
            </w:r>
          </w:p>
        </w:tc>
        <w:tc>
          <w:tcPr>
            <w:tcW w:w="7654" w:type="dxa"/>
            <w:tcBorders>
              <w:top w:val="nil"/>
              <w:left w:val="nil"/>
              <w:bottom w:val="nil"/>
              <w:right w:val="nil"/>
            </w:tcBorders>
            <w:shd w:val="clear" w:color="000000" w:fill="FFFFFF"/>
            <w:noWrap/>
            <w:vAlign w:val="bottom"/>
            <w:hideMark/>
          </w:tcPr>
          <w:p w14:paraId="363FB8AB" w14:textId="77777777" w:rsidR="00BA124B" w:rsidRPr="00BA124B" w:rsidRDefault="00BA124B">
            <w:pPr>
              <w:rPr>
                <w:rFonts w:ascii="Arial" w:hAnsi="Arial" w:cs="Arial"/>
                <w:sz w:val="22"/>
                <w:szCs w:val="22"/>
              </w:rPr>
            </w:pPr>
            <w:r w:rsidRPr="00BA124B">
              <w:rPr>
                <w:rFonts w:ascii="Arial" w:hAnsi="Arial" w:cs="Arial"/>
                <w:sz w:val="22"/>
                <w:szCs w:val="22"/>
              </w:rPr>
              <w:t>EPK GO!2025 - infrastruktura</w:t>
            </w:r>
          </w:p>
        </w:tc>
      </w:tr>
      <w:tr w:rsidR="00BA124B" w:rsidRPr="00BA124B" w14:paraId="20E1C96D" w14:textId="77777777" w:rsidTr="00BA124B">
        <w:trPr>
          <w:trHeight w:val="300"/>
        </w:trPr>
        <w:tc>
          <w:tcPr>
            <w:tcW w:w="851" w:type="dxa"/>
            <w:tcBorders>
              <w:top w:val="nil"/>
              <w:left w:val="nil"/>
              <w:bottom w:val="nil"/>
              <w:right w:val="nil"/>
            </w:tcBorders>
            <w:shd w:val="clear" w:color="000000" w:fill="FFFFFF"/>
            <w:noWrap/>
            <w:vAlign w:val="bottom"/>
            <w:hideMark/>
          </w:tcPr>
          <w:p w14:paraId="17746DE4" w14:textId="77777777" w:rsidR="00BA124B" w:rsidRPr="00BA124B" w:rsidRDefault="00BA124B">
            <w:pPr>
              <w:rPr>
                <w:rFonts w:ascii="Arial" w:hAnsi="Arial" w:cs="Arial"/>
                <w:sz w:val="22"/>
                <w:szCs w:val="22"/>
              </w:rPr>
            </w:pPr>
            <w:r w:rsidRPr="00BA124B">
              <w:rPr>
                <w:rFonts w:ascii="Arial" w:hAnsi="Arial" w:cs="Arial"/>
                <w:sz w:val="22"/>
                <w:szCs w:val="22"/>
              </w:rPr>
              <w:t>07376</w:t>
            </w:r>
          </w:p>
        </w:tc>
        <w:tc>
          <w:tcPr>
            <w:tcW w:w="7654" w:type="dxa"/>
            <w:tcBorders>
              <w:top w:val="nil"/>
              <w:left w:val="nil"/>
              <w:bottom w:val="nil"/>
              <w:right w:val="nil"/>
            </w:tcBorders>
            <w:shd w:val="clear" w:color="000000" w:fill="FFFFFF"/>
            <w:noWrap/>
            <w:vAlign w:val="bottom"/>
            <w:hideMark/>
          </w:tcPr>
          <w:p w14:paraId="68A8701C" w14:textId="77777777" w:rsidR="00BA124B" w:rsidRPr="00BA124B" w:rsidRDefault="00BA124B">
            <w:pPr>
              <w:rPr>
                <w:rFonts w:ascii="Arial" w:hAnsi="Arial" w:cs="Arial"/>
                <w:sz w:val="22"/>
                <w:szCs w:val="22"/>
              </w:rPr>
            </w:pPr>
            <w:r w:rsidRPr="00BA124B">
              <w:rPr>
                <w:rFonts w:ascii="Arial" w:hAnsi="Arial" w:cs="Arial"/>
                <w:sz w:val="22"/>
                <w:szCs w:val="22"/>
              </w:rPr>
              <w:t>Nakup električnih avtobusov za izvajanje mestnega prometa</w:t>
            </w:r>
          </w:p>
        </w:tc>
      </w:tr>
      <w:tr w:rsidR="00BA124B" w:rsidRPr="00BA124B" w14:paraId="3E4D53F4" w14:textId="77777777" w:rsidTr="00BA124B">
        <w:trPr>
          <w:trHeight w:val="300"/>
        </w:trPr>
        <w:tc>
          <w:tcPr>
            <w:tcW w:w="851" w:type="dxa"/>
            <w:tcBorders>
              <w:top w:val="nil"/>
              <w:left w:val="nil"/>
              <w:bottom w:val="nil"/>
              <w:right w:val="nil"/>
            </w:tcBorders>
            <w:shd w:val="clear" w:color="000000" w:fill="FFFFFF"/>
            <w:noWrap/>
            <w:vAlign w:val="bottom"/>
            <w:hideMark/>
          </w:tcPr>
          <w:p w14:paraId="10F9199E" w14:textId="77777777" w:rsidR="00BA124B" w:rsidRPr="00BA124B" w:rsidRDefault="00BA124B">
            <w:pPr>
              <w:rPr>
                <w:rFonts w:ascii="Arial" w:hAnsi="Arial" w:cs="Arial"/>
                <w:sz w:val="22"/>
                <w:szCs w:val="22"/>
              </w:rPr>
            </w:pPr>
            <w:r w:rsidRPr="00BA124B">
              <w:rPr>
                <w:rFonts w:ascii="Arial" w:hAnsi="Arial" w:cs="Arial"/>
                <w:sz w:val="22"/>
                <w:szCs w:val="22"/>
              </w:rPr>
              <w:t>07367</w:t>
            </w:r>
          </w:p>
        </w:tc>
        <w:tc>
          <w:tcPr>
            <w:tcW w:w="7654" w:type="dxa"/>
            <w:tcBorders>
              <w:top w:val="nil"/>
              <w:left w:val="nil"/>
              <w:bottom w:val="nil"/>
              <w:right w:val="nil"/>
            </w:tcBorders>
            <w:shd w:val="clear" w:color="000000" w:fill="FFFFFF"/>
            <w:noWrap/>
            <w:vAlign w:val="bottom"/>
            <w:hideMark/>
          </w:tcPr>
          <w:p w14:paraId="3F586CA9" w14:textId="77777777" w:rsidR="00BA124B" w:rsidRPr="00BA124B" w:rsidRDefault="00BA124B">
            <w:pPr>
              <w:rPr>
                <w:rFonts w:ascii="Arial" w:hAnsi="Arial" w:cs="Arial"/>
                <w:sz w:val="22"/>
                <w:szCs w:val="22"/>
              </w:rPr>
            </w:pPr>
            <w:r w:rsidRPr="00BA124B">
              <w:rPr>
                <w:rFonts w:ascii="Arial" w:hAnsi="Arial" w:cs="Arial"/>
                <w:sz w:val="22"/>
                <w:szCs w:val="22"/>
              </w:rPr>
              <w:t>Fekalna kanalizacija Mestna občina Nova Gorica</w:t>
            </w:r>
          </w:p>
        </w:tc>
      </w:tr>
      <w:tr w:rsidR="00BA124B" w:rsidRPr="00BA124B" w14:paraId="6BB2302F" w14:textId="77777777" w:rsidTr="00BA124B">
        <w:trPr>
          <w:trHeight w:val="300"/>
        </w:trPr>
        <w:tc>
          <w:tcPr>
            <w:tcW w:w="851" w:type="dxa"/>
            <w:tcBorders>
              <w:top w:val="nil"/>
              <w:left w:val="nil"/>
              <w:bottom w:val="nil"/>
              <w:right w:val="nil"/>
            </w:tcBorders>
            <w:shd w:val="clear" w:color="000000" w:fill="FFFFFF"/>
            <w:noWrap/>
            <w:vAlign w:val="bottom"/>
            <w:hideMark/>
          </w:tcPr>
          <w:p w14:paraId="379A9933" w14:textId="77777777" w:rsidR="00BA124B" w:rsidRPr="00BA124B" w:rsidRDefault="00BA124B">
            <w:pPr>
              <w:rPr>
                <w:rFonts w:ascii="Arial" w:hAnsi="Arial" w:cs="Arial"/>
                <w:sz w:val="22"/>
                <w:szCs w:val="22"/>
              </w:rPr>
            </w:pPr>
            <w:r w:rsidRPr="00BA124B">
              <w:rPr>
                <w:rFonts w:ascii="Arial" w:hAnsi="Arial" w:cs="Arial"/>
                <w:sz w:val="22"/>
                <w:szCs w:val="22"/>
              </w:rPr>
              <w:t>07375</w:t>
            </w:r>
          </w:p>
        </w:tc>
        <w:tc>
          <w:tcPr>
            <w:tcW w:w="7654" w:type="dxa"/>
            <w:tcBorders>
              <w:top w:val="nil"/>
              <w:left w:val="nil"/>
              <w:bottom w:val="nil"/>
              <w:right w:val="nil"/>
            </w:tcBorders>
            <w:shd w:val="clear" w:color="000000" w:fill="FFFFFF"/>
            <w:noWrap/>
            <w:vAlign w:val="bottom"/>
            <w:hideMark/>
          </w:tcPr>
          <w:p w14:paraId="40F40009" w14:textId="77777777" w:rsidR="00BA124B" w:rsidRPr="00BA124B" w:rsidRDefault="00BA124B">
            <w:pPr>
              <w:rPr>
                <w:rFonts w:ascii="Arial" w:hAnsi="Arial" w:cs="Arial"/>
                <w:sz w:val="22"/>
                <w:szCs w:val="22"/>
              </w:rPr>
            </w:pPr>
            <w:r w:rsidRPr="00BA124B">
              <w:rPr>
                <w:rFonts w:ascii="Arial" w:hAnsi="Arial" w:cs="Arial"/>
                <w:sz w:val="22"/>
                <w:szCs w:val="22"/>
              </w:rPr>
              <w:t>Zelena transformacija Mestne občine Nova Gorica</w:t>
            </w:r>
          </w:p>
        </w:tc>
      </w:tr>
      <w:tr w:rsidR="00BA124B" w:rsidRPr="00BA124B" w14:paraId="180CC31D" w14:textId="77777777" w:rsidTr="00BA124B">
        <w:trPr>
          <w:trHeight w:val="300"/>
        </w:trPr>
        <w:tc>
          <w:tcPr>
            <w:tcW w:w="851" w:type="dxa"/>
            <w:tcBorders>
              <w:top w:val="nil"/>
              <w:left w:val="nil"/>
              <w:bottom w:val="nil"/>
              <w:right w:val="nil"/>
            </w:tcBorders>
            <w:shd w:val="clear" w:color="000000" w:fill="FFFFFF"/>
            <w:noWrap/>
            <w:vAlign w:val="bottom"/>
            <w:hideMark/>
          </w:tcPr>
          <w:p w14:paraId="2DEF6FE4" w14:textId="77777777" w:rsidR="00BA124B" w:rsidRPr="00BA124B" w:rsidRDefault="00BA124B">
            <w:pPr>
              <w:rPr>
                <w:rFonts w:ascii="Arial" w:hAnsi="Arial" w:cs="Arial"/>
                <w:sz w:val="22"/>
                <w:szCs w:val="22"/>
              </w:rPr>
            </w:pPr>
            <w:r w:rsidRPr="00BA124B">
              <w:rPr>
                <w:rFonts w:ascii="Arial" w:hAnsi="Arial" w:cs="Arial"/>
                <w:sz w:val="22"/>
                <w:szCs w:val="22"/>
              </w:rPr>
              <w:t>10270</w:t>
            </w:r>
          </w:p>
        </w:tc>
        <w:tc>
          <w:tcPr>
            <w:tcW w:w="7654" w:type="dxa"/>
            <w:tcBorders>
              <w:top w:val="nil"/>
              <w:left w:val="nil"/>
              <w:bottom w:val="nil"/>
              <w:right w:val="nil"/>
            </w:tcBorders>
            <w:shd w:val="clear" w:color="000000" w:fill="FFFFFF"/>
            <w:noWrap/>
            <w:vAlign w:val="bottom"/>
            <w:hideMark/>
          </w:tcPr>
          <w:p w14:paraId="55A43832" w14:textId="77777777" w:rsidR="00BA124B" w:rsidRPr="00BA124B" w:rsidRDefault="00BA124B">
            <w:pPr>
              <w:rPr>
                <w:rFonts w:ascii="Arial" w:hAnsi="Arial" w:cs="Arial"/>
                <w:sz w:val="22"/>
                <w:szCs w:val="22"/>
              </w:rPr>
            </w:pPr>
            <w:r w:rsidRPr="00BA124B">
              <w:rPr>
                <w:rFonts w:ascii="Arial" w:hAnsi="Arial" w:cs="Arial"/>
                <w:sz w:val="22"/>
                <w:szCs w:val="22"/>
              </w:rPr>
              <w:t>Izvedba 4 učilnic na OŠ Šempas</w:t>
            </w:r>
          </w:p>
        </w:tc>
      </w:tr>
      <w:tr w:rsidR="00BA124B" w:rsidRPr="00BA124B" w14:paraId="1DC45754" w14:textId="77777777" w:rsidTr="00BA124B">
        <w:trPr>
          <w:trHeight w:val="300"/>
        </w:trPr>
        <w:tc>
          <w:tcPr>
            <w:tcW w:w="851" w:type="dxa"/>
            <w:tcBorders>
              <w:top w:val="nil"/>
              <w:left w:val="nil"/>
              <w:bottom w:val="nil"/>
              <w:right w:val="nil"/>
            </w:tcBorders>
            <w:shd w:val="clear" w:color="000000" w:fill="FFFFFF"/>
            <w:noWrap/>
            <w:vAlign w:val="bottom"/>
            <w:hideMark/>
          </w:tcPr>
          <w:p w14:paraId="3CA5E70F" w14:textId="77777777" w:rsidR="00BA124B" w:rsidRPr="00BA124B" w:rsidRDefault="00BA124B">
            <w:pPr>
              <w:rPr>
                <w:rFonts w:ascii="Arial" w:hAnsi="Arial" w:cs="Arial"/>
                <w:sz w:val="22"/>
                <w:szCs w:val="22"/>
              </w:rPr>
            </w:pPr>
            <w:r w:rsidRPr="00BA124B">
              <w:rPr>
                <w:rFonts w:ascii="Arial" w:hAnsi="Arial" w:cs="Arial"/>
                <w:sz w:val="22"/>
                <w:szCs w:val="22"/>
              </w:rPr>
              <w:t>10158</w:t>
            </w:r>
          </w:p>
        </w:tc>
        <w:tc>
          <w:tcPr>
            <w:tcW w:w="7654" w:type="dxa"/>
            <w:tcBorders>
              <w:top w:val="nil"/>
              <w:left w:val="nil"/>
              <w:bottom w:val="nil"/>
              <w:right w:val="nil"/>
            </w:tcBorders>
            <w:shd w:val="clear" w:color="000000" w:fill="FFFFFF"/>
            <w:noWrap/>
            <w:vAlign w:val="bottom"/>
            <w:hideMark/>
          </w:tcPr>
          <w:p w14:paraId="439DF4C7" w14:textId="77777777" w:rsidR="00BA124B" w:rsidRPr="00BA124B" w:rsidRDefault="00BA124B">
            <w:pPr>
              <w:rPr>
                <w:rFonts w:ascii="Arial" w:hAnsi="Arial" w:cs="Arial"/>
                <w:sz w:val="22"/>
                <w:szCs w:val="22"/>
              </w:rPr>
            </w:pPr>
            <w:r w:rsidRPr="00BA124B">
              <w:rPr>
                <w:rFonts w:ascii="Arial" w:hAnsi="Arial" w:cs="Arial"/>
                <w:sz w:val="22"/>
                <w:szCs w:val="22"/>
              </w:rPr>
              <w:t>Investicija Glasbena šola Nova Gorica - II. faza</w:t>
            </w:r>
          </w:p>
        </w:tc>
      </w:tr>
    </w:tbl>
    <w:p w14:paraId="6D120374" w14:textId="77777777" w:rsidR="00BA124B" w:rsidRPr="005C7D34" w:rsidRDefault="00BA124B" w:rsidP="005C3AF2">
      <w:pPr>
        <w:autoSpaceDE w:val="0"/>
        <w:autoSpaceDN w:val="0"/>
        <w:adjustRightInd w:val="0"/>
        <w:jc w:val="both"/>
        <w:rPr>
          <w:rFonts w:ascii="Arial" w:hAnsi="Arial" w:cs="Arial"/>
          <w:color w:val="000000"/>
          <w:sz w:val="22"/>
          <w:szCs w:val="22"/>
        </w:rPr>
      </w:pPr>
    </w:p>
    <w:p w14:paraId="087DE503" w14:textId="77777777" w:rsidR="005C3AF2" w:rsidRDefault="005C3AF2" w:rsidP="005C3AF2">
      <w:pPr>
        <w:autoSpaceDE w:val="0"/>
        <w:autoSpaceDN w:val="0"/>
        <w:adjustRightInd w:val="0"/>
        <w:jc w:val="both"/>
        <w:rPr>
          <w:rFonts w:ascii="Arial" w:hAnsi="Arial" w:cs="Arial"/>
          <w:sz w:val="22"/>
          <w:szCs w:val="22"/>
        </w:rPr>
      </w:pPr>
    </w:p>
    <w:p w14:paraId="137A12D4" w14:textId="6F753889" w:rsidR="005C3AF2" w:rsidRPr="000746ED" w:rsidRDefault="0004126F" w:rsidP="005C3AF2">
      <w:pPr>
        <w:autoSpaceDE w:val="0"/>
        <w:autoSpaceDN w:val="0"/>
        <w:adjustRightInd w:val="0"/>
        <w:jc w:val="both"/>
        <w:rPr>
          <w:rFonts w:ascii="Arial" w:hAnsi="Arial" w:cs="Arial"/>
          <w:sz w:val="22"/>
          <w:szCs w:val="22"/>
        </w:rPr>
      </w:pPr>
      <w:r>
        <w:rPr>
          <w:noProof/>
        </w:rPr>
        <w:lastRenderedPageBreak/>
        <w:drawing>
          <wp:inline distT="0" distB="0" distL="0" distR="0" wp14:anchorId="7F06CB37" wp14:editId="5D3B3E24">
            <wp:extent cx="5686425" cy="2962275"/>
            <wp:effectExtent l="0" t="0" r="9525" b="9525"/>
            <wp:docPr id="373017981" name="Grafikon 1">
              <a:extLst xmlns:a="http://schemas.openxmlformats.org/drawingml/2006/main">
                <a:ext uri="{FF2B5EF4-FFF2-40B4-BE49-F238E27FC236}">
                  <a16:creationId xmlns:a16="http://schemas.microsoft.com/office/drawing/2014/main" id="{1542145F-C44B-B913-41CE-9C59011DF5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D311CF1" w14:textId="6C6B8F2F" w:rsidR="005C3AF2" w:rsidRDefault="005C3AF2" w:rsidP="005C3AF2">
      <w:pPr>
        <w:autoSpaceDE w:val="0"/>
        <w:autoSpaceDN w:val="0"/>
        <w:adjustRightInd w:val="0"/>
        <w:jc w:val="both"/>
        <w:rPr>
          <w:rFonts w:ascii="Arial" w:hAnsi="Arial" w:cs="Arial"/>
          <w:sz w:val="22"/>
          <w:szCs w:val="22"/>
        </w:rPr>
      </w:pPr>
    </w:p>
    <w:p w14:paraId="70301FCA" w14:textId="77777777" w:rsidR="005C3AF2" w:rsidRDefault="005C3AF2" w:rsidP="005C3AF2">
      <w:pPr>
        <w:autoSpaceDE w:val="0"/>
        <w:autoSpaceDN w:val="0"/>
        <w:adjustRightInd w:val="0"/>
        <w:jc w:val="both"/>
        <w:rPr>
          <w:rFonts w:ascii="Arial" w:hAnsi="Arial" w:cs="Arial"/>
          <w:sz w:val="22"/>
          <w:szCs w:val="22"/>
        </w:rPr>
      </w:pPr>
    </w:p>
    <w:p w14:paraId="5FE6C290" w14:textId="77777777" w:rsidR="005C3AF2" w:rsidRDefault="005C3AF2" w:rsidP="005C3AF2">
      <w:pPr>
        <w:autoSpaceDE w:val="0"/>
        <w:autoSpaceDN w:val="0"/>
        <w:adjustRightInd w:val="0"/>
        <w:jc w:val="both"/>
        <w:rPr>
          <w:rFonts w:ascii="Arial" w:hAnsi="Arial" w:cs="Arial"/>
          <w:sz w:val="22"/>
          <w:szCs w:val="22"/>
        </w:rPr>
      </w:pPr>
    </w:p>
    <w:p w14:paraId="32C2ECE9" w14:textId="74A2F635" w:rsidR="005C3AF2" w:rsidRDefault="005C3AF2" w:rsidP="005C3AF2">
      <w:pPr>
        <w:autoSpaceDE w:val="0"/>
        <w:autoSpaceDN w:val="0"/>
        <w:adjustRightInd w:val="0"/>
        <w:jc w:val="both"/>
        <w:rPr>
          <w:rFonts w:ascii="Arial" w:hAnsi="Arial" w:cs="Arial"/>
          <w:sz w:val="22"/>
          <w:szCs w:val="22"/>
        </w:rPr>
      </w:pPr>
      <w:r w:rsidRPr="000746ED">
        <w:rPr>
          <w:rFonts w:ascii="Arial" w:hAnsi="Arial" w:cs="Arial"/>
          <w:sz w:val="22"/>
          <w:szCs w:val="22"/>
        </w:rPr>
        <w:t xml:space="preserve">EPK GO!2025 </w:t>
      </w:r>
      <w:r>
        <w:rPr>
          <w:rFonts w:ascii="Arial" w:hAnsi="Arial" w:cs="Arial"/>
          <w:sz w:val="22"/>
          <w:szCs w:val="22"/>
        </w:rPr>
        <w:t>–</w:t>
      </w:r>
      <w:r w:rsidRPr="000746ED">
        <w:rPr>
          <w:rFonts w:ascii="Arial" w:hAnsi="Arial" w:cs="Arial"/>
          <w:sz w:val="22"/>
          <w:szCs w:val="22"/>
        </w:rPr>
        <w:t xml:space="preserve"> infrastruktura</w:t>
      </w:r>
      <w:r w:rsidR="00522663">
        <w:rPr>
          <w:rFonts w:ascii="Arial" w:hAnsi="Arial" w:cs="Arial"/>
          <w:sz w:val="22"/>
          <w:szCs w:val="22"/>
        </w:rPr>
        <w:t>:</w:t>
      </w:r>
    </w:p>
    <w:p w14:paraId="6BDFA20A" w14:textId="45DEFDA0" w:rsidR="00655E3F" w:rsidRPr="00655E3F" w:rsidRDefault="00655E3F" w:rsidP="00655E3F">
      <w:pPr>
        <w:autoSpaceDE w:val="0"/>
        <w:autoSpaceDN w:val="0"/>
        <w:adjustRightInd w:val="0"/>
        <w:jc w:val="both"/>
        <w:rPr>
          <w:rFonts w:ascii="Arial" w:hAnsi="Arial" w:cs="Arial"/>
          <w:sz w:val="22"/>
          <w:szCs w:val="22"/>
          <w:lang w:val="x-none"/>
        </w:rPr>
      </w:pPr>
      <w:r w:rsidRPr="00655E3F">
        <w:rPr>
          <w:rFonts w:ascii="Arial" w:hAnsi="Arial" w:cs="Arial"/>
          <w:sz w:val="22"/>
          <w:szCs w:val="22"/>
          <w:lang w:val="x-none"/>
        </w:rPr>
        <w:t xml:space="preserve">V okviru proračunske postavke je predvidena poraba sredstev za izvedbo projektov vezanih na infrastrukturne projekte v okviru Evropske prestolnice kulture EPK GO!2025. Sredstva na proračunski postavki se bodo v letu 2025 za zaključevanje projektov, </w:t>
      </w:r>
      <w:proofErr w:type="spellStart"/>
      <w:r w:rsidRPr="00655E3F">
        <w:rPr>
          <w:rFonts w:ascii="Arial" w:hAnsi="Arial" w:cs="Arial"/>
          <w:sz w:val="22"/>
          <w:szCs w:val="22"/>
          <w:lang w:val="x-none"/>
        </w:rPr>
        <w:t>t.j</w:t>
      </w:r>
      <w:proofErr w:type="spellEnd"/>
      <w:r w:rsidRPr="00655E3F">
        <w:rPr>
          <w:rFonts w:ascii="Arial" w:hAnsi="Arial" w:cs="Arial"/>
          <w:sz w:val="22"/>
          <w:szCs w:val="22"/>
          <w:lang w:val="x-none"/>
        </w:rPr>
        <w:t xml:space="preserve">. za poplačilo stroškov gradnje, nakupa opreme ter stroškov zunanjih izvajalcev vezanih na gradnjo na projektih </w:t>
      </w:r>
      <w:proofErr w:type="spellStart"/>
      <w:r w:rsidRPr="00655E3F">
        <w:rPr>
          <w:rFonts w:ascii="Arial" w:hAnsi="Arial" w:cs="Arial"/>
          <w:sz w:val="22"/>
          <w:szCs w:val="22"/>
          <w:lang w:val="x-none"/>
        </w:rPr>
        <w:t>projektih</w:t>
      </w:r>
      <w:proofErr w:type="spellEnd"/>
      <w:r w:rsidRPr="00655E3F">
        <w:rPr>
          <w:rFonts w:ascii="Arial" w:hAnsi="Arial" w:cs="Arial"/>
          <w:sz w:val="22"/>
          <w:szCs w:val="22"/>
          <w:lang w:val="x-none"/>
        </w:rPr>
        <w:t xml:space="preserve"> EPK GO!2025 - Revitalizacija Trga Evrope, EPK GO!2025 - Vzpostavitev podporne infrastrukture za prog. razvoj </w:t>
      </w:r>
      <w:proofErr w:type="spellStart"/>
      <w:r w:rsidRPr="00655E3F">
        <w:rPr>
          <w:rFonts w:ascii="Arial" w:hAnsi="Arial" w:cs="Arial"/>
          <w:sz w:val="22"/>
          <w:szCs w:val="22"/>
          <w:lang w:val="x-none"/>
        </w:rPr>
        <w:t>Rafutskega</w:t>
      </w:r>
      <w:proofErr w:type="spellEnd"/>
      <w:r w:rsidRPr="00655E3F">
        <w:rPr>
          <w:rFonts w:ascii="Arial" w:hAnsi="Arial" w:cs="Arial"/>
          <w:sz w:val="22"/>
          <w:szCs w:val="22"/>
          <w:lang w:val="x-none"/>
        </w:rPr>
        <w:t xml:space="preserve"> paka z </w:t>
      </w:r>
      <w:proofErr w:type="spellStart"/>
      <w:r w:rsidRPr="00655E3F">
        <w:rPr>
          <w:rFonts w:ascii="Arial" w:hAnsi="Arial" w:cs="Arial"/>
          <w:sz w:val="22"/>
          <w:szCs w:val="22"/>
          <w:lang w:val="x-none"/>
        </w:rPr>
        <w:t>Laščakovo</w:t>
      </w:r>
      <w:proofErr w:type="spellEnd"/>
      <w:r w:rsidRPr="00655E3F">
        <w:rPr>
          <w:rFonts w:ascii="Arial" w:hAnsi="Arial" w:cs="Arial"/>
          <w:sz w:val="22"/>
          <w:szCs w:val="22"/>
          <w:lang w:val="x-none"/>
        </w:rPr>
        <w:t xml:space="preserve"> vilo, EPK GO!2025 - EPIC, EPK GO!2025 - SUPER 8, EPK GO!2025 - Kolesarska in peš povezava v okviru nadgradnje ŽPI ŽP Nova Gorica, EPK GO!2025 - Igrišča na meji in EPK GO!2025 - Trg Evrope - </w:t>
      </w:r>
      <w:proofErr w:type="spellStart"/>
      <w:r w:rsidRPr="00655E3F">
        <w:rPr>
          <w:rFonts w:ascii="Arial" w:hAnsi="Arial" w:cs="Arial"/>
          <w:sz w:val="22"/>
          <w:szCs w:val="22"/>
          <w:lang w:val="x-none"/>
        </w:rPr>
        <w:t>Lott</w:t>
      </w:r>
      <w:proofErr w:type="spellEnd"/>
      <w:r w:rsidRPr="00655E3F">
        <w:rPr>
          <w:rFonts w:ascii="Arial" w:hAnsi="Arial" w:cs="Arial"/>
          <w:sz w:val="22"/>
          <w:szCs w:val="22"/>
          <w:lang w:val="x-none"/>
        </w:rPr>
        <w:t xml:space="preserve"> 2. Projekti bodo fizično zaključeni februarja 2025, saj se bo na območju izvajalo program Evropske prestolnice kulture 2025, finančno pa bodo zaključeni predvidoma do konca junija 2025.</w:t>
      </w:r>
      <w:r>
        <w:rPr>
          <w:rFonts w:ascii="Arial" w:hAnsi="Arial" w:cs="Arial"/>
          <w:sz w:val="22"/>
          <w:szCs w:val="22"/>
        </w:rPr>
        <w:t xml:space="preserve"> </w:t>
      </w:r>
      <w:r w:rsidRPr="00655E3F">
        <w:rPr>
          <w:rFonts w:ascii="Arial" w:hAnsi="Arial" w:cs="Arial"/>
          <w:sz w:val="22"/>
          <w:szCs w:val="22"/>
          <w:lang w:val="x-none"/>
        </w:rPr>
        <w:t>V okviru projekta EPK GO!2025 - Urbani zeleni pas pa je v letu 2025 predviden zaključek izdelave projektne dokumentacije ter izvedba javnega naročila za izbor izvajalca del, ki bo predvidoma pričel z deli v začetku leta 2026.</w:t>
      </w:r>
    </w:p>
    <w:p w14:paraId="68D3527C" w14:textId="77777777" w:rsidR="005C3AF2" w:rsidRDefault="005C3AF2" w:rsidP="005C3AF2">
      <w:pPr>
        <w:autoSpaceDE w:val="0"/>
        <w:autoSpaceDN w:val="0"/>
        <w:adjustRightInd w:val="0"/>
        <w:jc w:val="both"/>
        <w:rPr>
          <w:rFonts w:ascii="Arial" w:hAnsi="Arial" w:cs="Arial"/>
          <w:sz w:val="22"/>
          <w:szCs w:val="22"/>
          <w:lang w:val="x-none"/>
        </w:rPr>
      </w:pPr>
    </w:p>
    <w:p w14:paraId="7796487E" w14:textId="2ACC3E99" w:rsidR="00655E3F" w:rsidRDefault="00655E3F" w:rsidP="005C3AF2">
      <w:pPr>
        <w:autoSpaceDE w:val="0"/>
        <w:autoSpaceDN w:val="0"/>
        <w:adjustRightInd w:val="0"/>
        <w:jc w:val="both"/>
        <w:rPr>
          <w:rFonts w:ascii="Arial" w:hAnsi="Arial" w:cs="Arial"/>
          <w:sz w:val="22"/>
          <w:szCs w:val="22"/>
        </w:rPr>
      </w:pPr>
      <w:r w:rsidRPr="00BA124B">
        <w:rPr>
          <w:rFonts w:ascii="Arial" w:hAnsi="Arial" w:cs="Arial"/>
          <w:sz w:val="22"/>
          <w:szCs w:val="22"/>
        </w:rPr>
        <w:t>Nakup električnih avtobusov za izvajanje mestnega prometa</w:t>
      </w:r>
      <w:r w:rsidR="00522663">
        <w:rPr>
          <w:rFonts w:ascii="Arial" w:hAnsi="Arial" w:cs="Arial"/>
          <w:sz w:val="22"/>
          <w:szCs w:val="22"/>
        </w:rPr>
        <w:t>:</w:t>
      </w:r>
    </w:p>
    <w:p w14:paraId="328D09ED" w14:textId="786B2C7C" w:rsidR="00D81730" w:rsidRPr="00D81730" w:rsidRDefault="00D81730" w:rsidP="00D81730">
      <w:pPr>
        <w:autoSpaceDE w:val="0"/>
        <w:autoSpaceDN w:val="0"/>
        <w:adjustRightInd w:val="0"/>
        <w:jc w:val="both"/>
        <w:rPr>
          <w:rFonts w:ascii="Arial" w:hAnsi="Arial" w:cs="Arial"/>
          <w:sz w:val="22"/>
          <w:szCs w:val="22"/>
          <w:lang w:val="x-none"/>
        </w:rPr>
      </w:pPr>
      <w:proofErr w:type="spellStart"/>
      <w:r w:rsidRPr="00D81730">
        <w:rPr>
          <w:rFonts w:ascii="Arial" w:hAnsi="Arial" w:cs="Arial"/>
          <w:sz w:val="22"/>
          <w:szCs w:val="22"/>
          <w:lang w:val="x-none"/>
        </w:rPr>
        <w:t>Eko</w:t>
      </w:r>
      <w:proofErr w:type="spellEnd"/>
      <w:r w:rsidRPr="00D81730">
        <w:rPr>
          <w:rFonts w:ascii="Arial" w:hAnsi="Arial" w:cs="Arial"/>
          <w:sz w:val="22"/>
          <w:szCs w:val="22"/>
          <w:lang w:val="x-none"/>
        </w:rPr>
        <w:t xml:space="preserve"> sklad letno objavlja poziv za sofinanciranje nakupa vozil na električni pogon ali na vodik, ki so namenjena za izvajanje javnega prometa za prevoz potnikov. Stopnja sofinanciranja znaša do 80 % upravičenih stroškov, pri takih pogojih je nakup električnih avtobusov ugodnejši od nakupa klasičnih dizelskih vozil. </w:t>
      </w:r>
      <w:r>
        <w:rPr>
          <w:rFonts w:ascii="Arial" w:hAnsi="Arial" w:cs="Arial"/>
          <w:sz w:val="22"/>
          <w:szCs w:val="22"/>
        </w:rPr>
        <w:t xml:space="preserve"> </w:t>
      </w:r>
      <w:r w:rsidRPr="00D81730">
        <w:rPr>
          <w:rFonts w:ascii="Arial" w:hAnsi="Arial" w:cs="Arial"/>
          <w:sz w:val="22"/>
          <w:szCs w:val="22"/>
          <w:lang w:val="x-none"/>
        </w:rPr>
        <w:t xml:space="preserve">V primeru uspešne prijave na poziv </w:t>
      </w:r>
      <w:proofErr w:type="spellStart"/>
      <w:r w:rsidRPr="00D81730">
        <w:rPr>
          <w:rFonts w:ascii="Arial" w:hAnsi="Arial" w:cs="Arial"/>
          <w:sz w:val="22"/>
          <w:szCs w:val="22"/>
          <w:lang w:val="x-none"/>
        </w:rPr>
        <w:t>Eko</w:t>
      </w:r>
      <w:proofErr w:type="spellEnd"/>
      <w:r w:rsidRPr="00D81730">
        <w:rPr>
          <w:rFonts w:ascii="Arial" w:hAnsi="Arial" w:cs="Arial"/>
          <w:sz w:val="22"/>
          <w:szCs w:val="22"/>
          <w:lang w:val="x-none"/>
        </w:rPr>
        <w:t>, se bo v letu 2024 izvedel razpis za nakup novih električnih avtobusov, ki bodo, glede na dobavne roke dobavljeni in plačani v letu 2025.</w:t>
      </w:r>
    </w:p>
    <w:p w14:paraId="56DF1781" w14:textId="77777777" w:rsidR="00655E3F" w:rsidRDefault="00655E3F" w:rsidP="005C3AF2">
      <w:pPr>
        <w:autoSpaceDE w:val="0"/>
        <w:autoSpaceDN w:val="0"/>
        <w:adjustRightInd w:val="0"/>
        <w:jc w:val="both"/>
        <w:rPr>
          <w:rFonts w:ascii="Arial" w:hAnsi="Arial" w:cs="Arial"/>
          <w:sz w:val="22"/>
          <w:szCs w:val="22"/>
          <w:lang w:val="x-none"/>
        </w:rPr>
      </w:pPr>
    </w:p>
    <w:p w14:paraId="0FAE6FE7" w14:textId="788A4A6C" w:rsidR="00D81730" w:rsidRPr="002035A1" w:rsidRDefault="00D81730" w:rsidP="00D81730">
      <w:pPr>
        <w:autoSpaceDE w:val="0"/>
        <w:autoSpaceDN w:val="0"/>
        <w:adjustRightInd w:val="0"/>
        <w:jc w:val="both"/>
        <w:rPr>
          <w:rFonts w:ascii="Arial" w:hAnsi="Arial" w:cs="Arial"/>
          <w:sz w:val="22"/>
          <w:szCs w:val="22"/>
        </w:rPr>
      </w:pPr>
      <w:r w:rsidRPr="000746ED">
        <w:rPr>
          <w:rFonts w:ascii="Arial" w:hAnsi="Arial" w:cs="Arial"/>
          <w:sz w:val="22"/>
          <w:szCs w:val="22"/>
        </w:rPr>
        <w:t>Fekalna kanalizacija Mestna občina Nova Gorica</w:t>
      </w:r>
      <w:r w:rsidR="00522663">
        <w:rPr>
          <w:rFonts w:ascii="Arial" w:hAnsi="Arial" w:cs="Arial"/>
          <w:sz w:val="22"/>
          <w:szCs w:val="22"/>
        </w:rPr>
        <w:t>:</w:t>
      </w:r>
    </w:p>
    <w:p w14:paraId="3207A90A" w14:textId="6C55FF14" w:rsidR="00D81730" w:rsidRDefault="00D81730" w:rsidP="00D81730">
      <w:pPr>
        <w:autoSpaceDE w:val="0"/>
        <w:autoSpaceDN w:val="0"/>
        <w:adjustRightInd w:val="0"/>
        <w:jc w:val="both"/>
        <w:rPr>
          <w:rFonts w:ascii="Arial" w:hAnsi="Arial" w:cs="Arial"/>
          <w:sz w:val="22"/>
          <w:szCs w:val="22"/>
        </w:rPr>
      </w:pPr>
      <w:r w:rsidRPr="000D628C">
        <w:rPr>
          <w:rFonts w:ascii="Arial" w:hAnsi="Arial" w:cs="Arial"/>
          <w:sz w:val="22"/>
          <w:szCs w:val="22"/>
        </w:rPr>
        <w:t xml:space="preserve">Postavka je namenjena izgradnji, </w:t>
      </w:r>
      <w:proofErr w:type="spellStart"/>
      <w:r w:rsidRPr="000D628C">
        <w:rPr>
          <w:rFonts w:ascii="Arial" w:hAnsi="Arial" w:cs="Arial"/>
          <w:sz w:val="22"/>
          <w:szCs w:val="22"/>
        </w:rPr>
        <w:t>rekonstrukcijiin</w:t>
      </w:r>
      <w:proofErr w:type="spellEnd"/>
      <w:r w:rsidRPr="000D628C">
        <w:rPr>
          <w:rFonts w:ascii="Arial" w:hAnsi="Arial" w:cs="Arial"/>
          <w:sz w:val="22"/>
          <w:szCs w:val="22"/>
        </w:rPr>
        <w:t xml:space="preserve"> vzdrževanju javnega omrežja fekalne kanalizacije Mestne občine Nova Gorica (MONG).</w:t>
      </w:r>
      <w:r>
        <w:rPr>
          <w:rFonts w:ascii="Arial" w:hAnsi="Arial" w:cs="Arial"/>
          <w:sz w:val="22"/>
          <w:szCs w:val="22"/>
        </w:rPr>
        <w:t xml:space="preserve"> </w:t>
      </w:r>
      <w:r w:rsidRPr="000D628C">
        <w:rPr>
          <w:rFonts w:ascii="Arial" w:hAnsi="Arial" w:cs="Arial"/>
          <w:sz w:val="22"/>
          <w:szCs w:val="22"/>
        </w:rPr>
        <w:t>Glede na amortizacijske dobe obstoječih cevovodov planiramo vzdrževanje in rekonstrukcijo kanalizacijskih cevi in pripadajočih odvodnih elementov.</w:t>
      </w:r>
      <w:r>
        <w:rPr>
          <w:rFonts w:ascii="Arial" w:hAnsi="Arial" w:cs="Arial"/>
          <w:sz w:val="22"/>
          <w:szCs w:val="22"/>
        </w:rPr>
        <w:t xml:space="preserve"> Večji del sredstev proračunske postavke je namenjen </w:t>
      </w:r>
      <w:r w:rsidRPr="00071C89">
        <w:rPr>
          <w:rFonts w:ascii="Arial" w:hAnsi="Arial" w:cs="Arial"/>
          <w:sz w:val="22"/>
          <w:szCs w:val="22"/>
        </w:rPr>
        <w:t>izvedb</w:t>
      </w:r>
      <w:r>
        <w:rPr>
          <w:rFonts w:ascii="Arial" w:hAnsi="Arial" w:cs="Arial"/>
          <w:sz w:val="22"/>
          <w:szCs w:val="22"/>
        </w:rPr>
        <w:t>i</w:t>
      </w:r>
      <w:r w:rsidRPr="00071C89">
        <w:rPr>
          <w:rFonts w:ascii="Arial" w:hAnsi="Arial" w:cs="Arial"/>
          <w:sz w:val="22"/>
          <w:szCs w:val="22"/>
        </w:rPr>
        <w:t xml:space="preserve"> kanalizacijskega in drenažnega omrežja v naselju Gradišče nad Prvačino s priključitvijo na ČN Prvačina.</w:t>
      </w:r>
    </w:p>
    <w:p w14:paraId="37F216F4" w14:textId="77777777" w:rsidR="00A2259F" w:rsidRPr="000D628C" w:rsidRDefault="00A2259F" w:rsidP="00D81730">
      <w:pPr>
        <w:autoSpaceDE w:val="0"/>
        <w:autoSpaceDN w:val="0"/>
        <w:adjustRightInd w:val="0"/>
        <w:jc w:val="both"/>
        <w:rPr>
          <w:rFonts w:ascii="Arial" w:hAnsi="Arial" w:cs="Arial"/>
          <w:sz w:val="22"/>
          <w:szCs w:val="22"/>
        </w:rPr>
      </w:pPr>
    </w:p>
    <w:p w14:paraId="5CE37F84" w14:textId="3A278732" w:rsidR="005C3AF2" w:rsidRPr="002035A1" w:rsidRDefault="005C3AF2" w:rsidP="006B152B">
      <w:pPr>
        <w:autoSpaceDE w:val="0"/>
        <w:autoSpaceDN w:val="0"/>
        <w:adjustRightInd w:val="0"/>
        <w:jc w:val="both"/>
        <w:rPr>
          <w:rFonts w:ascii="Arial" w:hAnsi="Arial" w:cs="Arial"/>
          <w:sz w:val="22"/>
          <w:szCs w:val="22"/>
          <w:lang w:val="x-none"/>
        </w:rPr>
      </w:pPr>
      <w:r w:rsidRPr="000746ED">
        <w:rPr>
          <w:rFonts w:ascii="Arial" w:hAnsi="Arial" w:cs="Arial"/>
          <w:sz w:val="22"/>
          <w:szCs w:val="22"/>
        </w:rPr>
        <w:lastRenderedPageBreak/>
        <w:t>Zelena transformacija Mestne občine Nova Gorica</w:t>
      </w:r>
      <w:r w:rsidR="00522663">
        <w:rPr>
          <w:rFonts w:ascii="Arial" w:hAnsi="Arial" w:cs="Arial"/>
          <w:sz w:val="22"/>
          <w:szCs w:val="22"/>
        </w:rPr>
        <w:t>:</w:t>
      </w:r>
    </w:p>
    <w:p w14:paraId="51113C9C" w14:textId="060121B7" w:rsidR="006B152B" w:rsidRDefault="005C3AF2" w:rsidP="006B152B">
      <w:pPr>
        <w:autoSpaceDE w:val="0"/>
        <w:autoSpaceDN w:val="0"/>
        <w:adjustRightInd w:val="0"/>
        <w:jc w:val="both"/>
        <w:rPr>
          <w:rFonts w:ascii="Arial" w:hAnsi="Arial" w:cs="Arial"/>
          <w:sz w:val="20"/>
          <w:szCs w:val="20"/>
          <w:lang w:val="x-none"/>
        </w:rPr>
      </w:pPr>
      <w:r w:rsidRPr="002035A1">
        <w:rPr>
          <w:rFonts w:ascii="Arial" w:hAnsi="Arial" w:cs="Arial"/>
          <w:sz w:val="22"/>
          <w:szCs w:val="22"/>
        </w:rPr>
        <w:t xml:space="preserve">V okviru postavke je predvidena izvedba projekta postavitve sončnih elektrarn na strehah občinskih stavb za potrebe samooskrbe. </w:t>
      </w:r>
      <w:r w:rsidR="006B152B" w:rsidRPr="002035A1">
        <w:rPr>
          <w:rFonts w:ascii="Arial" w:hAnsi="Arial" w:cs="Arial"/>
          <w:sz w:val="22"/>
          <w:szCs w:val="22"/>
        </w:rPr>
        <w:t xml:space="preserve">V prvi vrsti je predvidena postavitev malih sončnih elektrarn na strehe občinskih objektov s priključno močjo do 43 kW, po </w:t>
      </w:r>
      <w:proofErr w:type="spellStart"/>
      <w:r w:rsidR="006B152B" w:rsidRPr="002035A1">
        <w:rPr>
          <w:rFonts w:ascii="Arial" w:hAnsi="Arial" w:cs="Arial"/>
          <w:sz w:val="22"/>
          <w:szCs w:val="22"/>
        </w:rPr>
        <w:t>t.i</w:t>
      </w:r>
      <w:proofErr w:type="spellEnd"/>
      <w:r w:rsidR="006B152B" w:rsidRPr="002035A1">
        <w:rPr>
          <w:rFonts w:ascii="Arial" w:hAnsi="Arial" w:cs="Arial"/>
          <w:sz w:val="22"/>
          <w:szCs w:val="22"/>
        </w:rPr>
        <w:t xml:space="preserve">. modelu »net </w:t>
      </w:r>
      <w:proofErr w:type="spellStart"/>
      <w:r w:rsidR="006B152B" w:rsidRPr="002035A1">
        <w:rPr>
          <w:rFonts w:ascii="Arial" w:hAnsi="Arial" w:cs="Arial"/>
          <w:sz w:val="22"/>
          <w:szCs w:val="22"/>
        </w:rPr>
        <w:t>metering</w:t>
      </w:r>
      <w:proofErr w:type="spellEnd"/>
      <w:r w:rsidR="006B152B" w:rsidRPr="002035A1">
        <w:rPr>
          <w:rFonts w:ascii="Arial" w:hAnsi="Arial" w:cs="Arial"/>
          <w:sz w:val="22"/>
          <w:szCs w:val="22"/>
        </w:rPr>
        <w:t>«.</w:t>
      </w:r>
      <w:r w:rsidR="006B152B">
        <w:rPr>
          <w:rFonts w:ascii="Arial" w:hAnsi="Arial" w:cs="Arial"/>
          <w:sz w:val="22"/>
          <w:szCs w:val="22"/>
        </w:rPr>
        <w:t xml:space="preserve"> </w:t>
      </w:r>
      <w:r w:rsidR="006B152B" w:rsidRPr="006B152B">
        <w:rPr>
          <w:rFonts w:ascii="Arial" w:hAnsi="Arial" w:cs="Arial"/>
          <w:sz w:val="22"/>
          <w:szCs w:val="22"/>
        </w:rPr>
        <w:t>V pripravi je paket objektov s priključno močjo večjo od 43 kW, izgradnja je predvidena v letih 2024 in 2025.</w:t>
      </w:r>
    </w:p>
    <w:p w14:paraId="086BD3CF" w14:textId="77777777" w:rsidR="005C3AF2" w:rsidRDefault="005C3AF2" w:rsidP="005C3AF2">
      <w:pPr>
        <w:autoSpaceDE w:val="0"/>
        <w:autoSpaceDN w:val="0"/>
        <w:adjustRightInd w:val="0"/>
        <w:rPr>
          <w:rFonts w:ascii="Arial" w:hAnsi="Arial" w:cs="Arial"/>
          <w:sz w:val="22"/>
          <w:szCs w:val="22"/>
        </w:rPr>
      </w:pPr>
    </w:p>
    <w:p w14:paraId="723B10E5" w14:textId="197A566B" w:rsidR="005C3AF2" w:rsidRDefault="006B152B" w:rsidP="005C3AF2">
      <w:pPr>
        <w:autoSpaceDE w:val="0"/>
        <w:autoSpaceDN w:val="0"/>
        <w:adjustRightInd w:val="0"/>
        <w:rPr>
          <w:rFonts w:ascii="Arial" w:hAnsi="Arial" w:cs="Arial"/>
          <w:sz w:val="22"/>
          <w:szCs w:val="22"/>
        </w:rPr>
      </w:pPr>
      <w:r w:rsidRPr="00BA124B">
        <w:rPr>
          <w:rFonts w:ascii="Arial" w:hAnsi="Arial" w:cs="Arial"/>
          <w:sz w:val="22"/>
          <w:szCs w:val="22"/>
        </w:rPr>
        <w:t>Izvedba 4 učilnic na OŠ Šempas</w:t>
      </w:r>
      <w:r w:rsidR="00522663">
        <w:rPr>
          <w:rFonts w:ascii="Arial" w:hAnsi="Arial" w:cs="Arial"/>
          <w:sz w:val="22"/>
          <w:szCs w:val="22"/>
        </w:rPr>
        <w:t>:</w:t>
      </w:r>
    </w:p>
    <w:p w14:paraId="65F2E862" w14:textId="66990369" w:rsidR="006B152B" w:rsidRPr="00466480" w:rsidRDefault="00466480" w:rsidP="00466480">
      <w:pPr>
        <w:autoSpaceDE w:val="0"/>
        <w:autoSpaceDN w:val="0"/>
        <w:adjustRightInd w:val="0"/>
        <w:jc w:val="both"/>
        <w:rPr>
          <w:rFonts w:ascii="Arial" w:hAnsi="Arial" w:cs="Arial"/>
          <w:sz w:val="22"/>
          <w:szCs w:val="22"/>
        </w:rPr>
      </w:pPr>
      <w:r w:rsidRPr="00466480">
        <w:rPr>
          <w:rFonts w:ascii="Arial" w:hAnsi="Arial" w:cs="Arial"/>
          <w:sz w:val="22"/>
          <w:szCs w:val="22"/>
        </w:rPr>
        <w:t>Zaradi prostorske stiske in neizpolnjevanja normativov, je predvidena izvedba prizidka OŠ Šempas z umestitvijo štirih dodatnih učilnic in pomožnih prostorov. Izdelana je IZP, DGD in PZI dokumentacija, pridobljeno je gradbeno dovoljenje. V okviru postavke je predviden poračun obveznosti iz priprave projektne dokumentacije.</w:t>
      </w:r>
      <w:r w:rsidR="00A34280">
        <w:rPr>
          <w:rFonts w:ascii="Arial" w:hAnsi="Arial" w:cs="Arial"/>
          <w:sz w:val="22"/>
          <w:szCs w:val="22"/>
        </w:rPr>
        <w:t xml:space="preserve"> </w:t>
      </w:r>
      <w:r w:rsidRPr="00466480">
        <w:rPr>
          <w:rFonts w:ascii="Arial" w:hAnsi="Arial" w:cs="Arial"/>
          <w:sz w:val="22"/>
          <w:szCs w:val="22"/>
        </w:rPr>
        <w:t>Izvedba del je predvidena po izvedbi javnega naročila za izbiro izvajalca</w:t>
      </w:r>
      <w:r w:rsidR="00A34280">
        <w:rPr>
          <w:rFonts w:ascii="Arial" w:hAnsi="Arial" w:cs="Arial"/>
          <w:sz w:val="22"/>
          <w:szCs w:val="22"/>
        </w:rPr>
        <w:t>.</w:t>
      </w:r>
    </w:p>
    <w:p w14:paraId="5F0417E0" w14:textId="77777777" w:rsidR="005C3AF2" w:rsidRDefault="005C3AF2" w:rsidP="005C3AF2">
      <w:pPr>
        <w:autoSpaceDE w:val="0"/>
        <w:autoSpaceDN w:val="0"/>
        <w:adjustRightInd w:val="0"/>
        <w:jc w:val="both"/>
        <w:rPr>
          <w:rFonts w:ascii="Arial" w:hAnsi="Arial" w:cs="Arial"/>
          <w:sz w:val="22"/>
          <w:szCs w:val="22"/>
        </w:rPr>
      </w:pPr>
    </w:p>
    <w:p w14:paraId="18B04346" w14:textId="055204C4" w:rsidR="00A34280" w:rsidRDefault="00A34280" w:rsidP="005C3AF2">
      <w:pPr>
        <w:autoSpaceDE w:val="0"/>
        <w:autoSpaceDN w:val="0"/>
        <w:adjustRightInd w:val="0"/>
        <w:jc w:val="both"/>
        <w:rPr>
          <w:rFonts w:ascii="Arial" w:hAnsi="Arial" w:cs="Arial"/>
          <w:sz w:val="22"/>
          <w:szCs w:val="22"/>
        </w:rPr>
      </w:pPr>
      <w:r w:rsidRPr="00BA124B">
        <w:rPr>
          <w:rFonts w:ascii="Arial" w:hAnsi="Arial" w:cs="Arial"/>
          <w:sz w:val="22"/>
          <w:szCs w:val="22"/>
        </w:rPr>
        <w:t>Investicija Glasbena šola Nova Gorica - II. faza</w:t>
      </w:r>
      <w:r w:rsidR="00522663">
        <w:rPr>
          <w:rFonts w:ascii="Arial" w:hAnsi="Arial" w:cs="Arial"/>
          <w:sz w:val="22"/>
          <w:szCs w:val="22"/>
        </w:rPr>
        <w:t>:</w:t>
      </w:r>
    </w:p>
    <w:p w14:paraId="0D7B0CAD" w14:textId="77777777" w:rsidR="00A34280" w:rsidRDefault="00A34280" w:rsidP="00A34280">
      <w:pPr>
        <w:autoSpaceDE w:val="0"/>
        <w:autoSpaceDN w:val="0"/>
        <w:adjustRightInd w:val="0"/>
        <w:jc w:val="both"/>
        <w:rPr>
          <w:rFonts w:ascii="Arial" w:hAnsi="Arial" w:cs="Arial"/>
          <w:sz w:val="22"/>
          <w:szCs w:val="22"/>
          <w:lang w:val="x-none"/>
        </w:rPr>
      </w:pPr>
      <w:r>
        <w:rPr>
          <w:rFonts w:ascii="Arial" w:hAnsi="Arial" w:cs="Arial"/>
          <w:sz w:val="22"/>
          <w:szCs w:val="22"/>
          <w:lang w:val="x-none"/>
        </w:rPr>
        <w:t xml:space="preserve">Postavka je namenjena izvedbi rekonstrukcije prostorov stare stave Glasbene šole Nova Gorica. Za ta namen je potrebno pridobiti PZI projektno dokumentacijo skladno z obstoječim Gradbenim dovoljenjem iz leta  št. 351-570/2007-7-7 z dne 17.10.2007 v katerem rekonstrukcija stare stavbe Glasbene šole predstavlja drugo fazo. </w:t>
      </w:r>
    </w:p>
    <w:p w14:paraId="4414B2FF" w14:textId="77777777" w:rsidR="00A34280" w:rsidRPr="00311374" w:rsidRDefault="00A34280" w:rsidP="005C3AF2">
      <w:pPr>
        <w:autoSpaceDE w:val="0"/>
        <w:autoSpaceDN w:val="0"/>
        <w:adjustRightInd w:val="0"/>
        <w:jc w:val="both"/>
        <w:rPr>
          <w:rFonts w:ascii="Arial" w:hAnsi="Arial" w:cs="Arial"/>
          <w:sz w:val="22"/>
          <w:szCs w:val="22"/>
        </w:rPr>
      </w:pPr>
    </w:p>
    <w:p w14:paraId="3B14E1CA" w14:textId="2B6D94EF" w:rsidR="005C3AF2" w:rsidRDefault="005C3AF2" w:rsidP="005C3AF2">
      <w:pPr>
        <w:autoSpaceDE w:val="0"/>
        <w:autoSpaceDN w:val="0"/>
        <w:adjustRightInd w:val="0"/>
        <w:jc w:val="both"/>
        <w:rPr>
          <w:rFonts w:ascii="Arial" w:hAnsi="Arial" w:cs="Arial"/>
          <w:sz w:val="22"/>
          <w:szCs w:val="22"/>
        </w:rPr>
      </w:pPr>
      <w:r w:rsidRPr="00A76F4C">
        <w:rPr>
          <w:rFonts w:ascii="Arial" w:hAnsi="Arial" w:cs="Arial"/>
          <w:sz w:val="22"/>
          <w:szCs w:val="22"/>
        </w:rPr>
        <w:t xml:space="preserve">Razrez odhodkov po področjih porabe </w:t>
      </w:r>
      <w:r w:rsidR="00BF14D2">
        <w:rPr>
          <w:rFonts w:ascii="Arial" w:hAnsi="Arial" w:cs="Arial"/>
          <w:sz w:val="22"/>
          <w:szCs w:val="22"/>
        </w:rPr>
        <w:t xml:space="preserve">je </w:t>
      </w:r>
      <w:r w:rsidRPr="00A76F4C">
        <w:rPr>
          <w:rFonts w:ascii="Arial" w:hAnsi="Arial" w:cs="Arial"/>
          <w:sz w:val="22"/>
          <w:szCs w:val="22"/>
        </w:rPr>
        <w:t>za predlog plana za leto 202</w:t>
      </w:r>
      <w:r w:rsidR="00A34280">
        <w:rPr>
          <w:rFonts w:ascii="Arial" w:hAnsi="Arial" w:cs="Arial"/>
          <w:sz w:val="22"/>
          <w:szCs w:val="22"/>
        </w:rPr>
        <w:t>5</w:t>
      </w:r>
      <w:r w:rsidRPr="00A76F4C">
        <w:rPr>
          <w:rFonts w:ascii="Arial" w:hAnsi="Arial" w:cs="Arial"/>
          <w:sz w:val="22"/>
          <w:szCs w:val="22"/>
        </w:rPr>
        <w:t xml:space="preserve"> v primerjavi z ocenjeno </w:t>
      </w:r>
      <w:r w:rsidRPr="00BF14D2">
        <w:rPr>
          <w:rFonts w:ascii="Arial" w:hAnsi="Arial" w:cs="Arial"/>
          <w:sz w:val="22"/>
          <w:szCs w:val="22"/>
        </w:rPr>
        <w:t xml:space="preserve">realizacijo v letu 2023 </w:t>
      </w:r>
      <w:r w:rsidR="00BF14D2" w:rsidRPr="00BF14D2">
        <w:rPr>
          <w:rFonts w:ascii="Arial" w:hAnsi="Arial" w:cs="Arial"/>
          <w:sz w:val="22"/>
          <w:szCs w:val="22"/>
        </w:rPr>
        <w:t xml:space="preserve">in predlogom proračuna 2024 </w:t>
      </w:r>
      <w:r w:rsidRPr="00A76F4C">
        <w:rPr>
          <w:rFonts w:ascii="Arial" w:hAnsi="Arial" w:cs="Arial"/>
          <w:sz w:val="22"/>
          <w:szCs w:val="22"/>
        </w:rPr>
        <w:t>prikazan v</w:t>
      </w:r>
      <w:r w:rsidR="00BF14D2">
        <w:rPr>
          <w:rFonts w:ascii="Arial" w:hAnsi="Arial" w:cs="Arial"/>
          <w:sz w:val="22"/>
          <w:szCs w:val="22"/>
        </w:rPr>
        <w:t xml:space="preserve"> spodnji tabeli</w:t>
      </w:r>
      <w:r w:rsidRPr="00A76F4C">
        <w:rPr>
          <w:rFonts w:ascii="Arial" w:hAnsi="Arial" w:cs="Arial"/>
          <w:sz w:val="22"/>
          <w:szCs w:val="22"/>
        </w:rPr>
        <w:t>.</w:t>
      </w:r>
    </w:p>
    <w:p w14:paraId="4B974B5B" w14:textId="77777777" w:rsidR="00BB0278" w:rsidRDefault="00BB0278" w:rsidP="005C3AF2">
      <w:pPr>
        <w:autoSpaceDE w:val="0"/>
        <w:autoSpaceDN w:val="0"/>
        <w:adjustRightInd w:val="0"/>
        <w:jc w:val="both"/>
        <w:rPr>
          <w:rFonts w:ascii="Arial" w:hAnsi="Arial" w:cs="Arial"/>
          <w:sz w:val="22"/>
          <w:szCs w:val="22"/>
        </w:rPr>
      </w:pPr>
    </w:p>
    <w:tbl>
      <w:tblPr>
        <w:tblW w:w="9228" w:type="dxa"/>
        <w:tblLayout w:type="fixed"/>
        <w:tblCellMar>
          <w:left w:w="70" w:type="dxa"/>
          <w:right w:w="70" w:type="dxa"/>
        </w:tblCellMar>
        <w:tblLook w:val="04A0" w:firstRow="1" w:lastRow="0" w:firstColumn="1" w:lastColumn="0" w:noHBand="0" w:noVBand="1"/>
      </w:tblPr>
      <w:tblGrid>
        <w:gridCol w:w="391"/>
        <w:gridCol w:w="3857"/>
        <w:gridCol w:w="1154"/>
        <w:gridCol w:w="1114"/>
        <w:gridCol w:w="1134"/>
        <w:gridCol w:w="728"/>
        <w:gridCol w:w="850"/>
      </w:tblGrid>
      <w:tr w:rsidR="002F1CC2" w14:paraId="06B856E6" w14:textId="77777777" w:rsidTr="00522663">
        <w:trPr>
          <w:trHeight w:val="720"/>
        </w:trPr>
        <w:tc>
          <w:tcPr>
            <w:tcW w:w="39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E6CCB99" w14:textId="77777777" w:rsidR="00BB0278" w:rsidRPr="002F1CC2" w:rsidRDefault="00BB0278">
            <w:pPr>
              <w:jc w:val="center"/>
              <w:rPr>
                <w:rFonts w:ascii="Arial" w:hAnsi="Arial" w:cs="Arial"/>
                <w:b/>
                <w:bCs/>
                <w:color w:val="000000"/>
                <w:sz w:val="18"/>
                <w:szCs w:val="18"/>
              </w:rPr>
            </w:pPr>
            <w:r w:rsidRPr="002F1CC2">
              <w:rPr>
                <w:rFonts w:ascii="Arial" w:hAnsi="Arial" w:cs="Arial"/>
                <w:b/>
                <w:bCs/>
                <w:color w:val="000000"/>
                <w:sz w:val="18"/>
                <w:szCs w:val="18"/>
              </w:rPr>
              <w:t>PK</w:t>
            </w:r>
          </w:p>
        </w:tc>
        <w:tc>
          <w:tcPr>
            <w:tcW w:w="3857" w:type="dxa"/>
            <w:tcBorders>
              <w:top w:val="single" w:sz="4" w:space="0" w:color="auto"/>
              <w:left w:val="nil"/>
              <w:bottom w:val="single" w:sz="4" w:space="0" w:color="auto"/>
              <w:right w:val="single" w:sz="4" w:space="0" w:color="auto"/>
            </w:tcBorders>
            <w:shd w:val="clear" w:color="000000" w:fill="C0C0C0"/>
            <w:vAlign w:val="center"/>
            <w:hideMark/>
          </w:tcPr>
          <w:p w14:paraId="4ECB618E" w14:textId="77777777" w:rsidR="00BB0278" w:rsidRPr="002F1CC2" w:rsidRDefault="00BB0278">
            <w:pPr>
              <w:jc w:val="center"/>
              <w:rPr>
                <w:rFonts w:ascii="Arial" w:hAnsi="Arial" w:cs="Arial"/>
                <w:b/>
                <w:bCs/>
                <w:color w:val="000000"/>
                <w:sz w:val="18"/>
                <w:szCs w:val="18"/>
              </w:rPr>
            </w:pPr>
            <w:r w:rsidRPr="002F1CC2">
              <w:rPr>
                <w:rFonts w:ascii="Arial" w:hAnsi="Arial" w:cs="Arial"/>
                <w:b/>
                <w:bCs/>
                <w:color w:val="000000"/>
                <w:sz w:val="18"/>
                <w:szCs w:val="18"/>
              </w:rPr>
              <w:t>Opis</w:t>
            </w:r>
          </w:p>
        </w:tc>
        <w:tc>
          <w:tcPr>
            <w:tcW w:w="1154" w:type="dxa"/>
            <w:tcBorders>
              <w:top w:val="single" w:sz="4" w:space="0" w:color="auto"/>
              <w:left w:val="nil"/>
              <w:bottom w:val="single" w:sz="4" w:space="0" w:color="auto"/>
              <w:right w:val="single" w:sz="4" w:space="0" w:color="auto"/>
            </w:tcBorders>
            <w:shd w:val="clear" w:color="000000" w:fill="C0C0C0"/>
            <w:vAlign w:val="center"/>
            <w:hideMark/>
          </w:tcPr>
          <w:p w14:paraId="6B6A6E88" w14:textId="77777777" w:rsidR="00BB0278" w:rsidRPr="002F1CC2" w:rsidRDefault="00BB0278">
            <w:pPr>
              <w:jc w:val="center"/>
              <w:rPr>
                <w:rFonts w:ascii="Arial" w:hAnsi="Arial" w:cs="Arial"/>
                <w:b/>
                <w:bCs/>
                <w:color w:val="000000"/>
                <w:sz w:val="18"/>
                <w:szCs w:val="18"/>
              </w:rPr>
            </w:pPr>
            <w:r w:rsidRPr="002F1CC2">
              <w:rPr>
                <w:rFonts w:ascii="Arial" w:hAnsi="Arial" w:cs="Arial"/>
                <w:b/>
                <w:bCs/>
                <w:color w:val="000000"/>
                <w:sz w:val="18"/>
                <w:szCs w:val="18"/>
              </w:rPr>
              <w:t>Ocena realizacije 2023</w:t>
            </w:r>
          </w:p>
        </w:tc>
        <w:tc>
          <w:tcPr>
            <w:tcW w:w="1114" w:type="dxa"/>
            <w:tcBorders>
              <w:top w:val="single" w:sz="4" w:space="0" w:color="auto"/>
              <w:left w:val="nil"/>
              <w:bottom w:val="single" w:sz="4" w:space="0" w:color="auto"/>
              <w:right w:val="single" w:sz="4" w:space="0" w:color="auto"/>
            </w:tcBorders>
            <w:shd w:val="clear" w:color="000000" w:fill="C0C0C0"/>
            <w:vAlign w:val="center"/>
            <w:hideMark/>
          </w:tcPr>
          <w:p w14:paraId="6D1F5176" w14:textId="77777777" w:rsidR="00BB0278" w:rsidRPr="002F1CC2" w:rsidRDefault="00BB0278">
            <w:pPr>
              <w:jc w:val="center"/>
              <w:rPr>
                <w:rFonts w:ascii="Arial" w:hAnsi="Arial" w:cs="Arial"/>
                <w:b/>
                <w:bCs/>
                <w:color w:val="000000"/>
                <w:sz w:val="18"/>
                <w:szCs w:val="18"/>
              </w:rPr>
            </w:pPr>
            <w:r w:rsidRPr="002F1CC2">
              <w:rPr>
                <w:rFonts w:ascii="Arial" w:hAnsi="Arial" w:cs="Arial"/>
                <w:b/>
                <w:bCs/>
                <w:color w:val="000000"/>
                <w:sz w:val="18"/>
                <w:szCs w:val="18"/>
              </w:rPr>
              <w:t>Predlog proračuna 2024</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14:paraId="65851805" w14:textId="77777777" w:rsidR="00BB0278" w:rsidRPr="002F1CC2" w:rsidRDefault="00BB0278">
            <w:pPr>
              <w:jc w:val="center"/>
              <w:rPr>
                <w:rFonts w:ascii="Arial" w:hAnsi="Arial" w:cs="Arial"/>
                <w:b/>
                <w:bCs/>
                <w:color w:val="000000"/>
                <w:sz w:val="18"/>
                <w:szCs w:val="18"/>
              </w:rPr>
            </w:pPr>
            <w:r w:rsidRPr="002F1CC2">
              <w:rPr>
                <w:rFonts w:ascii="Arial" w:hAnsi="Arial" w:cs="Arial"/>
                <w:b/>
                <w:bCs/>
                <w:color w:val="000000"/>
                <w:sz w:val="18"/>
                <w:szCs w:val="18"/>
              </w:rPr>
              <w:t>Predlog proračuna 2025</w:t>
            </w:r>
          </w:p>
        </w:tc>
        <w:tc>
          <w:tcPr>
            <w:tcW w:w="728" w:type="dxa"/>
            <w:tcBorders>
              <w:top w:val="single" w:sz="4" w:space="0" w:color="auto"/>
              <w:left w:val="nil"/>
              <w:bottom w:val="single" w:sz="4" w:space="0" w:color="auto"/>
              <w:right w:val="single" w:sz="4" w:space="0" w:color="auto"/>
            </w:tcBorders>
            <w:shd w:val="clear" w:color="000000" w:fill="C0C0C0"/>
            <w:vAlign w:val="center"/>
            <w:hideMark/>
          </w:tcPr>
          <w:p w14:paraId="3DF77745" w14:textId="2490F905" w:rsidR="00BB0278" w:rsidRPr="002F1CC2" w:rsidRDefault="00BB0278">
            <w:pPr>
              <w:jc w:val="center"/>
              <w:rPr>
                <w:rFonts w:ascii="Arial" w:hAnsi="Arial" w:cs="Arial"/>
                <w:b/>
                <w:bCs/>
                <w:color w:val="000000"/>
                <w:sz w:val="18"/>
                <w:szCs w:val="18"/>
              </w:rPr>
            </w:pPr>
            <w:r w:rsidRPr="002F1CC2">
              <w:rPr>
                <w:rFonts w:ascii="Arial" w:hAnsi="Arial" w:cs="Arial"/>
                <w:b/>
                <w:bCs/>
                <w:color w:val="000000"/>
                <w:sz w:val="18"/>
                <w:szCs w:val="18"/>
              </w:rPr>
              <w:t xml:space="preserve">Indeks </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14:paraId="59A76AC8" w14:textId="6E5E6721" w:rsidR="00BB0278" w:rsidRPr="002F1CC2" w:rsidRDefault="00BB0278">
            <w:pPr>
              <w:jc w:val="center"/>
              <w:rPr>
                <w:rFonts w:ascii="Arial" w:hAnsi="Arial" w:cs="Arial"/>
                <w:b/>
                <w:bCs/>
                <w:color w:val="000000"/>
                <w:sz w:val="18"/>
                <w:szCs w:val="18"/>
              </w:rPr>
            </w:pPr>
            <w:r w:rsidRPr="002F1CC2">
              <w:rPr>
                <w:rFonts w:ascii="Arial" w:hAnsi="Arial" w:cs="Arial"/>
                <w:b/>
                <w:bCs/>
                <w:color w:val="000000"/>
                <w:sz w:val="18"/>
                <w:szCs w:val="18"/>
              </w:rPr>
              <w:t xml:space="preserve">Indeks </w:t>
            </w:r>
          </w:p>
        </w:tc>
      </w:tr>
      <w:tr w:rsidR="002F1CC2" w14:paraId="7B3B5940"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68EA59AB" w14:textId="77777777" w:rsidR="00BB0278" w:rsidRPr="002F1CC2" w:rsidRDefault="00BB0278">
            <w:pPr>
              <w:jc w:val="center"/>
              <w:rPr>
                <w:rFonts w:ascii="Arial" w:hAnsi="Arial" w:cs="Arial"/>
                <w:b/>
                <w:bCs/>
                <w:color w:val="000000"/>
                <w:sz w:val="18"/>
                <w:szCs w:val="18"/>
              </w:rPr>
            </w:pPr>
            <w:r w:rsidRPr="002F1CC2">
              <w:rPr>
                <w:rFonts w:ascii="Arial" w:hAnsi="Arial" w:cs="Arial"/>
                <w:b/>
                <w:bCs/>
                <w:color w:val="000000"/>
                <w:sz w:val="18"/>
                <w:szCs w:val="18"/>
              </w:rPr>
              <w:t>1</w:t>
            </w:r>
          </w:p>
        </w:tc>
        <w:tc>
          <w:tcPr>
            <w:tcW w:w="3857" w:type="dxa"/>
            <w:tcBorders>
              <w:top w:val="nil"/>
              <w:left w:val="nil"/>
              <w:bottom w:val="single" w:sz="4" w:space="0" w:color="auto"/>
              <w:right w:val="single" w:sz="4" w:space="0" w:color="auto"/>
            </w:tcBorders>
            <w:shd w:val="clear" w:color="000000" w:fill="C0C0C0"/>
            <w:noWrap/>
            <w:vAlign w:val="center"/>
            <w:hideMark/>
          </w:tcPr>
          <w:p w14:paraId="017EE418" w14:textId="77777777" w:rsidR="00BB0278" w:rsidRPr="002F1CC2" w:rsidRDefault="00BB0278">
            <w:pPr>
              <w:jc w:val="center"/>
              <w:rPr>
                <w:rFonts w:ascii="Arial" w:hAnsi="Arial" w:cs="Arial"/>
                <w:b/>
                <w:bCs/>
                <w:color w:val="000000"/>
                <w:sz w:val="18"/>
                <w:szCs w:val="18"/>
              </w:rPr>
            </w:pPr>
            <w:r w:rsidRPr="002F1CC2">
              <w:rPr>
                <w:rFonts w:ascii="Arial" w:hAnsi="Arial" w:cs="Arial"/>
                <w:b/>
                <w:bCs/>
                <w:color w:val="000000"/>
                <w:sz w:val="18"/>
                <w:szCs w:val="18"/>
              </w:rPr>
              <w:t>2</w:t>
            </w:r>
          </w:p>
        </w:tc>
        <w:tc>
          <w:tcPr>
            <w:tcW w:w="1154" w:type="dxa"/>
            <w:tcBorders>
              <w:top w:val="nil"/>
              <w:left w:val="nil"/>
              <w:bottom w:val="single" w:sz="4" w:space="0" w:color="auto"/>
              <w:right w:val="single" w:sz="4" w:space="0" w:color="auto"/>
            </w:tcBorders>
            <w:shd w:val="clear" w:color="000000" w:fill="C0C0C0"/>
            <w:noWrap/>
            <w:vAlign w:val="center"/>
            <w:hideMark/>
          </w:tcPr>
          <w:p w14:paraId="7C012091" w14:textId="77777777" w:rsidR="00BB0278" w:rsidRPr="002F1CC2" w:rsidRDefault="00BB0278">
            <w:pPr>
              <w:jc w:val="center"/>
              <w:rPr>
                <w:rFonts w:ascii="Arial" w:hAnsi="Arial" w:cs="Arial"/>
                <w:b/>
                <w:bCs/>
                <w:color w:val="000000"/>
                <w:sz w:val="18"/>
                <w:szCs w:val="18"/>
              </w:rPr>
            </w:pPr>
            <w:r w:rsidRPr="002F1CC2">
              <w:rPr>
                <w:rFonts w:ascii="Arial" w:hAnsi="Arial" w:cs="Arial"/>
                <w:b/>
                <w:bCs/>
                <w:color w:val="000000"/>
                <w:sz w:val="18"/>
                <w:szCs w:val="18"/>
              </w:rPr>
              <w:t>3</w:t>
            </w:r>
          </w:p>
        </w:tc>
        <w:tc>
          <w:tcPr>
            <w:tcW w:w="1114" w:type="dxa"/>
            <w:tcBorders>
              <w:top w:val="nil"/>
              <w:left w:val="nil"/>
              <w:bottom w:val="single" w:sz="4" w:space="0" w:color="auto"/>
              <w:right w:val="single" w:sz="4" w:space="0" w:color="auto"/>
            </w:tcBorders>
            <w:shd w:val="clear" w:color="000000" w:fill="C0C0C0"/>
            <w:noWrap/>
            <w:vAlign w:val="center"/>
            <w:hideMark/>
          </w:tcPr>
          <w:p w14:paraId="524B4F31" w14:textId="77777777" w:rsidR="00BB0278" w:rsidRPr="002F1CC2" w:rsidRDefault="00BB0278">
            <w:pPr>
              <w:jc w:val="center"/>
              <w:rPr>
                <w:rFonts w:ascii="Arial" w:hAnsi="Arial" w:cs="Arial"/>
                <w:b/>
                <w:bCs/>
                <w:color w:val="000000"/>
                <w:sz w:val="18"/>
                <w:szCs w:val="18"/>
              </w:rPr>
            </w:pPr>
            <w:r w:rsidRPr="002F1CC2">
              <w:rPr>
                <w:rFonts w:ascii="Arial" w:hAnsi="Arial" w:cs="Arial"/>
                <w:b/>
                <w:bCs/>
                <w:color w:val="000000"/>
                <w:sz w:val="18"/>
                <w:szCs w:val="18"/>
              </w:rPr>
              <w:t>4</w:t>
            </w:r>
          </w:p>
        </w:tc>
        <w:tc>
          <w:tcPr>
            <w:tcW w:w="1134" w:type="dxa"/>
            <w:tcBorders>
              <w:top w:val="nil"/>
              <w:left w:val="nil"/>
              <w:bottom w:val="single" w:sz="4" w:space="0" w:color="auto"/>
              <w:right w:val="single" w:sz="4" w:space="0" w:color="auto"/>
            </w:tcBorders>
            <w:shd w:val="clear" w:color="000000" w:fill="C0C0C0"/>
            <w:noWrap/>
            <w:vAlign w:val="center"/>
            <w:hideMark/>
          </w:tcPr>
          <w:p w14:paraId="2E29DB33" w14:textId="77777777" w:rsidR="00BB0278" w:rsidRPr="002F1CC2" w:rsidRDefault="00BB0278">
            <w:pPr>
              <w:jc w:val="center"/>
              <w:rPr>
                <w:rFonts w:ascii="Arial" w:hAnsi="Arial" w:cs="Arial"/>
                <w:b/>
                <w:bCs/>
                <w:color w:val="000000"/>
                <w:sz w:val="18"/>
                <w:szCs w:val="18"/>
              </w:rPr>
            </w:pPr>
            <w:r w:rsidRPr="002F1CC2">
              <w:rPr>
                <w:rFonts w:ascii="Arial" w:hAnsi="Arial" w:cs="Arial"/>
                <w:b/>
                <w:bCs/>
                <w:color w:val="000000"/>
                <w:sz w:val="18"/>
                <w:szCs w:val="18"/>
              </w:rPr>
              <w:t>5</w:t>
            </w:r>
          </w:p>
        </w:tc>
        <w:tc>
          <w:tcPr>
            <w:tcW w:w="728" w:type="dxa"/>
            <w:tcBorders>
              <w:top w:val="nil"/>
              <w:left w:val="nil"/>
              <w:bottom w:val="single" w:sz="4" w:space="0" w:color="auto"/>
              <w:right w:val="single" w:sz="4" w:space="0" w:color="auto"/>
            </w:tcBorders>
            <w:shd w:val="clear" w:color="000000" w:fill="C0C0C0"/>
            <w:noWrap/>
            <w:vAlign w:val="center"/>
            <w:hideMark/>
          </w:tcPr>
          <w:p w14:paraId="16CB098C" w14:textId="77777777" w:rsidR="00BB0278" w:rsidRPr="002F1CC2" w:rsidRDefault="00BB0278">
            <w:pPr>
              <w:jc w:val="center"/>
              <w:rPr>
                <w:rFonts w:ascii="Arial" w:hAnsi="Arial" w:cs="Arial"/>
                <w:b/>
                <w:bCs/>
                <w:color w:val="000000"/>
                <w:sz w:val="18"/>
                <w:szCs w:val="18"/>
              </w:rPr>
            </w:pPr>
            <w:r w:rsidRPr="002F1CC2">
              <w:rPr>
                <w:rFonts w:ascii="Arial" w:hAnsi="Arial" w:cs="Arial"/>
                <w:b/>
                <w:bCs/>
                <w:color w:val="000000"/>
                <w:sz w:val="18"/>
                <w:szCs w:val="18"/>
              </w:rPr>
              <w:t>6=5/3</w:t>
            </w:r>
          </w:p>
        </w:tc>
        <w:tc>
          <w:tcPr>
            <w:tcW w:w="850" w:type="dxa"/>
            <w:tcBorders>
              <w:top w:val="nil"/>
              <w:left w:val="nil"/>
              <w:bottom w:val="single" w:sz="4" w:space="0" w:color="auto"/>
              <w:right w:val="single" w:sz="4" w:space="0" w:color="auto"/>
            </w:tcBorders>
            <w:shd w:val="clear" w:color="000000" w:fill="C0C0C0"/>
            <w:noWrap/>
            <w:vAlign w:val="center"/>
            <w:hideMark/>
          </w:tcPr>
          <w:p w14:paraId="063A076B" w14:textId="77777777" w:rsidR="00BB0278" w:rsidRPr="002F1CC2" w:rsidRDefault="00BB0278">
            <w:pPr>
              <w:jc w:val="center"/>
              <w:rPr>
                <w:rFonts w:ascii="Arial" w:hAnsi="Arial" w:cs="Arial"/>
                <w:b/>
                <w:bCs/>
                <w:color w:val="000000"/>
                <w:sz w:val="18"/>
                <w:szCs w:val="18"/>
              </w:rPr>
            </w:pPr>
            <w:r w:rsidRPr="002F1CC2">
              <w:rPr>
                <w:rFonts w:ascii="Arial" w:hAnsi="Arial" w:cs="Arial"/>
                <w:b/>
                <w:bCs/>
                <w:color w:val="000000"/>
                <w:sz w:val="18"/>
                <w:szCs w:val="18"/>
              </w:rPr>
              <w:t>7=5/4</w:t>
            </w:r>
          </w:p>
        </w:tc>
      </w:tr>
      <w:tr w:rsidR="002F1CC2" w14:paraId="4146053C"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2EDBF419" w14:textId="77777777" w:rsidR="00BB0278" w:rsidRDefault="00BB0278">
            <w:pPr>
              <w:rPr>
                <w:rFonts w:ascii="Arial" w:hAnsi="Arial" w:cs="Arial"/>
                <w:color w:val="000000"/>
                <w:sz w:val="18"/>
                <w:szCs w:val="18"/>
              </w:rPr>
            </w:pPr>
            <w:r>
              <w:rPr>
                <w:rFonts w:ascii="Arial" w:hAnsi="Arial" w:cs="Arial"/>
                <w:color w:val="000000"/>
                <w:sz w:val="18"/>
                <w:szCs w:val="18"/>
              </w:rPr>
              <w:t>01</w:t>
            </w:r>
          </w:p>
        </w:tc>
        <w:tc>
          <w:tcPr>
            <w:tcW w:w="3857" w:type="dxa"/>
            <w:tcBorders>
              <w:top w:val="nil"/>
              <w:left w:val="nil"/>
              <w:bottom w:val="single" w:sz="4" w:space="0" w:color="auto"/>
              <w:right w:val="single" w:sz="4" w:space="0" w:color="auto"/>
            </w:tcBorders>
            <w:shd w:val="clear" w:color="000000" w:fill="FFFFFF"/>
            <w:noWrap/>
            <w:vAlign w:val="bottom"/>
            <w:hideMark/>
          </w:tcPr>
          <w:p w14:paraId="473022B2" w14:textId="77777777" w:rsidR="00BB0278" w:rsidRDefault="00BB0278">
            <w:pPr>
              <w:rPr>
                <w:rFonts w:ascii="Arial" w:hAnsi="Arial" w:cs="Arial"/>
                <w:color w:val="000000"/>
                <w:sz w:val="18"/>
                <w:szCs w:val="18"/>
              </w:rPr>
            </w:pPr>
            <w:r>
              <w:rPr>
                <w:rFonts w:ascii="Arial" w:hAnsi="Arial" w:cs="Arial"/>
                <w:color w:val="000000"/>
                <w:sz w:val="18"/>
                <w:szCs w:val="18"/>
              </w:rPr>
              <w:t>POLITIČNI SISTEM</w:t>
            </w:r>
          </w:p>
        </w:tc>
        <w:tc>
          <w:tcPr>
            <w:tcW w:w="1154" w:type="dxa"/>
            <w:tcBorders>
              <w:top w:val="nil"/>
              <w:left w:val="nil"/>
              <w:bottom w:val="single" w:sz="4" w:space="0" w:color="auto"/>
              <w:right w:val="single" w:sz="4" w:space="0" w:color="auto"/>
            </w:tcBorders>
            <w:shd w:val="clear" w:color="000000" w:fill="FFFFFF"/>
            <w:noWrap/>
            <w:vAlign w:val="bottom"/>
            <w:hideMark/>
          </w:tcPr>
          <w:p w14:paraId="1CAFE8AC" w14:textId="77777777" w:rsidR="00BB0278" w:rsidRDefault="00BB0278">
            <w:pPr>
              <w:jc w:val="right"/>
              <w:rPr>
                <w:rFonts w:ascii="Arial" w:hAnsi="Arial" w:cs="Arial"/>
                <w:color w:val="000000"/>
                <w:sz w:val="18"/>
                <w:szCs w:val="18"/>
              </w:rPr>
            </w:pPr>
            <w:r>
              <w:rPr>
                <w:rFonts w:ascii="Arial" w:hAnsi="Arial" w:cs="Arial"/>
                <w:color w:val="000000"/>
                <w:sz w:val="18"/>
                <w:szCs w:val="18"/>
              </w:rPr>
              <w:t>415.180</w:t>
            </w:r>
          </w:p>
        </w:tc>
        <w:tc>
          <w:tcPr>
            <w:tcW w:w="1114" w:type="dxa"/>
            <w:tcBorders>
              <w:top w:val="nil"/>
              <w:left w:val="nil"/>
              <w:bottom w:val="single" w:sz="4" w:space="0" w:color="auto"/>
              <w:right w:val="single" w:sz="4" w:space="0" w:color="auto"/>
            </w:tcBorders>
            <w:shd w:val="clear" w:color="000000" w:fill="FFFFFF"/>
            <w:noWrap/>
            <w:vAlign w:val="bottom"/>
            <w:hideMark/>
          </w:tcPr>
          <w:p w14:paraId="237DD871" w14:textId="77777777" w:rsidR="00BB0278" w:rsidRDefault="00BB0278">
            <w:pPr>
              <w:jc w:val="right"/>
              <w:rPr>
                <w:rFonts w:ascii="Arial" w:hAnsi="Arial" w:cs="Arial"/>
                <w:color w:val="000000"/>
                <w:sz w:val="18"/>
                <w:szCs w:val="18"/>
              </w:rPr>
            </w:pPr>
            <w:r>
              <w:rPr>
                <w:rFonts w:ascii="Arial" w:hAnsi="Arial" w:cs="Arial"/>
                <w:color w:val="000000"/>
                <w:sz w:val="18"/>
                <w:szCs w:val="18"/>
              </w:rPr>
              <w:t>393.204</w:t>
            </w:r>
          </w:p>
        </w:tc>
        <w:tc>
          <w:tcPr>
            <w:tcW w:w="1134" w:type="dxa"/>
            <w:tcBorders>
              <w:top w:val="nil"/>
              <w:left w:val="nil"/>
              <w:bottom w:val="single" w:sz="4" w:space="0" w:color="auto"/>
              <w:right w:val="single" w:sz="4" w:space="0" w:color="auto"/>
            </w:tcBorders>
            <w:shd w:val="clear" w:color="000000" w:fill="FFFFFF"/>
            <w:noWrap/>
            <w:vAlign w:val="bottom"/>
            <w:hideMark/>
          </w:tcPr>
          <w:p w14:paraId="2DE5253E" w14:textId="77777777" w:rsidR="00BB0278" w:rsidRDefault="00BB0278">
            <w:pPr>
              <w:jc w:val="right"/>
              <w:rPr>
                <w:rFonts w:ascii="Arial" w:hAnsi="Arial" w:cs="Arial"/>
                <w:color w:val="000000"/>
                <w:sz w:val="18"/>
                <w:szCs w:val="18"/>
              </w:rPr>
            </w:pPr>
            <w:r>
              <w:rPr>
                <w:rFonts w:ascii="Arial" w:hAnsi="Arial" w:cs="Arial"/>
                <w:color w:val="000000"/>
                <w:sz w:val="18"/>
                <w:szCs w:val="18"/>
              </w:rPr>
              <w:t>373.204</w:t>
            </w:r>
          </w:p>
        </w:tc>
        <w:tc>
          <w:tcPr>
            <w:tcW w:w="728" w:type="dxa"/>
            <w:tcBorders>
              <w:top w:val="nil"/>
              <w:left w:val="nil"/>
              <w:bottom w:val="single" w:sz="4" w:space="0" w:color="auto"/>
              <w:right w:val="single" w:sz="4" w:space="0" w:color="auto"/>
            </w:tcBorders>
            <w:shd w:val="clear" w:color="000000" w:fill="FFFFFF"/>
            <w:noWrap/>
            <w:vAlign w:val="bottom"/>
            <w:hideMark/>
          </w:tcPr>
          <w:p w14:paraId="4AD28C39" w14:textId="77777777" w:rsidR="00BB0278" w:rsidRDefault="00BB0278">
            <w:pPr>
              <w:jc w:val="right"/>
              <w:rPr>
                <w:rFonts w:ascii="Arial" w:hAnsi="Arial" w:cs="Arial"/>
                <w:color w:val="000000"/>
                <w:sz w:val="18"/>
                <w:szCs w:val="18"/>
              </w:rPr>
            </w:pPr>
            <w:r>
              <w:rPr>
                <w:rFonts w:ascii="Arial" w:hAnsi="Arial" w:cs="Arial"/>
                <w:color w:val="000000"/>
                <w:sz w:val="18"/>
                <w:szCs w:val="18"/>
              </w:rPr>
              <w:t>89,89</w:t>
            </w:r>
          </w:p>
        </w:tc>
        <w:tc>
          <w:tcPr>
            <w:tcW w:w="850" w:type="dxa"/>
            <w:tcBorders>
              <w:top w:val="nil"/>
              <w:left w:val="nil"/>
              <w:bottom w:val="single" w:sz="4" w:space="0" w:color="auto"/>
              <w:right w:val="single" w:sz="4" w:space="0" w:color="auto"/>
            </w:tcBorders>
            <w:shd w:val="clear" w:color="000000" w:fill="FFFFFF"/>
            <w:noWrap/>
            <w:vAlign w:val="bottom"/>
            <w:hideMark/>
          </w:tcPr>
          <w:p w14:paraId="0A5A323D" w14:textId="77777777" w:rsidR="00BB0278" w:rsidRDefault="00BB0278">
            <w:pPr>
              <w:jc w:val="right"/>
              <w:rPr>
                <w:rFonts w:ascii="Arial" w:hAnsi="Arial" w:cs="Arial"/>
                <w:color w:val="000000"/>
                <w:sz w:val="18"/>
                <w:szCs w:val="18"/>
              </w:rPr>
            </w:pPr>
            <w:r>
              <w:rPr>
                <w:rFonts w:ascii="Arial" w:hAnsi="Arial" w:cs="Arial"/>
                <w:color w:val="000000"/>
                <w:sz w:val="18"/>
                <w:szCs w:val="18"/>
              </w:rPr>
              <w:t>94,91</w:t>
            </w:r>
          </w:p>
        </w:tc>
      </w:tr>
      <w:tr w:rsidR="002F1CC2" w14:paraId="6C896A3B"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364395AE" w14:textId="77777777" w:rsidR="00BB0278" w:rsidRDefault="00BB0278">
            <w:pPr>
              <w:rPr>
                <w:rFonts w:ascii="Arial" w:hAnsi="Arial" w:cs="Arial"/>
                <w:color w:val="000000"/>
                <w:sz w:val="18"/>
                <w:szCs w:val="18"/>
              </w:rPr>
            </w:pPr>
            <w:r>
              <w:rPr>
                <w:rFonts w:ascii="Arial" w:hAnsi="Arial" w:cs="Arial"/>
                <w:color w:val="000000"/>
                <w:sz w:val="18"/>
                <w:szCs w:val="18"/>
              </w:rPr>
              <w:t>02</w:t>
            </w:r>
          </w:p>
        </w:tc>
        <w:tc>
          <w:tcPr>
            <w:tcW w:w="3857" w:type="dxa"/>
            <w:tcBorders>
              <w:top w:val="nil"/>
              <w:left w:val="nil"/>
              <w:bottom w:val="single" w:sz="4" w:space="0" w:color="auto"/>
              <w:right w:val="single" w:sz="4" w:space="0" w:color="auto"/>
            </w:tcBorders>
            <w:shd w:val="clear" w:color="000000" w:fill="FFFFFF"/>
            <w:noWrap/>
            <w:vAlign w:val="bottom"/>
            <w:hideMark/>
          </w:tcPr>
          <w:p w14:paraId="59D2079B" w14:textId="77777777" w:rsidR="00BB0278" w:rsidRDefault="00BB0278">
            <w:pPr>
              <w:rPr>
                <w:rFonts w:ascii="Arial" w:hAnsi="Arial" w:cs="Arial"/>
                <w:color w:val="000000"/>
                <w:sz w:val="18"/>
                <w:szCs w:val="18"/>
              </w:rPr>
            </w:pPr>
            <w:r>
              <w:rPr>
                <w:rFonts w:ascii="Arial" w:hAnsi="Arial" w:cs="Arial"/>
                <w:color w:val="000000"/>
                <w:sz w:val="18"/>
                <w:szCs w:val="18"/>
              </w:rPr>
              <w:t>EKONOMSKA IN FISKALNA ADMINISTRACIJA</w:t>
            </w:r>
          </w:p>
        </w:tc>
        <w:tc>
          <w:tcPr>
            <w:tcW w:w="1154" w:type="dxa"/>
            <w:tcBorders>
              <w:top w:val="nil"/>
              <w:left w:val="nil"/>
              <w:bottom w:val="single" w:sz="4" w:space="0" w:color="auto"/>
              <w:right w:val="single" w:sz="4" w:space="0" w:color="auto"/>
            </w:tcBorders>
            <w:shd w:val="clear" w:color="000000" w:fill="FFFFFF"/>
            <w:noWrap/>
            <w:vAlign w:val="bottom"/>
            <w:hideMark/>
          </w:tcPr>
          <w:p w14:paraId="697AA584" w14:textId="77777777" w:rsidR="00BB0278" w:rsidRDefault="00BB0278">
            <w:pPr>
              <w:jc w:val="right"/>
              <w:rPr>
                <w:rFonts w:ascii="Arial" w:hAnsi="Arial" w:cs="Arial"/>
                <w:color w:val="000000"/>
                <w:sz w:val="18"/>
                <w:szCs w:val="18"/>
              </w:rPr>
            </w:pPr>
            <w:r>
              <w:rPr>
                <w:rFonts w:ascii="Arial" w:hAnsi="Arial" w:cs="Arial"/>
                <w:color w:val="000000"/>
                <w:sz w:val="18"/>
                <w:szCs w:val="18"/>
              </w:rPr>
              <w:t>256.816</w:t>
            </w:r>
          </w:p>
        </w:tc>
        <w:tc>
          <w:tcPr>
            <w:tcW w:w="1114" w:type="dxa"/>
            <w:tcBorders>
              <w:top w:val="nil"/>
              <w:left w:val="nil"/>
              <w:bottom w:val="single" w:sz="4" w:space="0" w:color="auto"/>
              <w:right w:val="single" w:sz="4" w:space="0" w:color="auto"/>
            </w:tcBorders>
            <w:shd w:val="clear" w:color="000000" w:fill="FFFFFF"/>
            <w:noWrap/>
            <w:vAlign w:val="bottom"/>
            <w:hideMark/>
          </w:tcPr>
          <w:p w14:paraId="212C9B7C" w14:textId="77777777" w:rsidR="00BB0278" w:rsidRDefault="00BB0278">
            <w:pPr>
              <w:jc w:val="right"/>
              <w:rPr>
                <w:rFonts w:ascii="Arial" w:hAnsi="Arial" w:cs="Arial"/>
                <w:color w:val="000000"/>
                <w:sz w:val="18"/>
                <w:szCs w:val="18"/>
              </w:rPr>
            </w:pPr>
            <w:r>
              <w:rPr>
                <w:rFonts w:ascii="Arial" w:hAnsi="Arial" w:cs="Arial"/>
                <w:color w:val="000000"/>
                <w:sz w:val="18"/>
                <w:szCs w:val="18"/>
              </w:rPr>
              <w:t>285.000</w:t>
            </w:r>
          </w:p>
        </w:tc>
        <w:tc>
          <w:tcPr>
            <w:tcW w:w="1134" w:type="dxa"/>
            <w:tcBorders>
              <w:top w:val="nil"/>
              <w:left w:val="nil"/>
              <w:bottom w:val="single" w:sz="4" w:space="0" w:color="auto"/>
              <w:right w:val="single" w:sz="4" w:space="0" w:color="auto"/>
            </w:tcBorders>
            <w:shd w:val="clear" w:color="000000" w:fill="FFFFFF"/>
            <w:noWrap/>
            <w:vAlign w:val="bottom"/>
            <w:hideMark/>
          </w:tcPr>
          <w:p w14:paraId="4755B86A" w14:textId="77777777" w:rsidR="00BB0278" w:rsidRDefault="00BB0278">
            <w:pPr>
              <w:jc w:val="right"/>
              <w:rPr>
                <w:rFonts w:ascii="Arial" w:hAnsi="Arial" w:cs="Arial"/>
                <w:color w:val="000000"/>
                <w:sz w:val="18"/>
                <w:szCs w:val="18"/>
              </w:rPr>
            </w:pPr>
            <w:r>
              <w:rPr>
                <w:rFonts w:ascii="Arial" w:hAnsi="Arial" w:cs="Arial"/>
                <w:color w:val="000000"/>
                <w:sz w:val="18"/>
                <w:szCs w:val="18"/>
              </w:rPr>
              <w:t>90.000</w:t>
            </w:r>
          </w:p>
        </w:tc>
        <w:tc>
          <w:tcPr>
            <w:tcW w:w="728" w:type="dxa"/>
            <w:tcBorders>
              <w:top w:val="nil"/>
              <w:left w:val="nil"/>
              <w:bottom w:val="single" w:sz="4" w:space="0" w:color="auto"/>
              <w:right w:val="single" w:sz="4" w:space="0" w:color="auto"/>
            </w:tcBorders>
            <w:shd w:val="clear" w:color="000000" w:fill="FFFFFF"/>
            <w:noWrap/>
            <w:vAlign w:val="bottom"/>
            <w:hideMark/>
          </w:tcPr>
          <w:p w14:paraId="3E90A894" w14:textId="77777777" w:rsidR="00BB0278" w:rsidRDefault="00BB0278">
            <w:pPr>
              <w:jc w:val="right"/>
              <w:rPr>
                <w:rFonts w:ascii="Arial" w:hAnsi="Arial" w:cs="Arial"/>
                <w:color w:val="000000"/>
                <w:sz w:val="18"/>
                <w:szCs w:val="18"/>
              </w:rPr>
            </w:pPr>
            <w:r>
              <w:rPr>
                <w:rFonts w:ascii="Arial" w:hAnsi="Arial" w:cs="Arial"/>
                <w:color w:val="000000"/>
                <w:sz w:val="18"/>
                <w:szCs w:val="18"/>
              </w:rPr>
              <w:t>35,04</w:t>
            </w:r>
          </w:p>
        </w:tc>
        <w:tc>
          <w:tcPr>
            <w:tcW w:w="850" w:type="dxa"/>
            <w:tcBorders>
              <w:top w:val="nil"/>
              <w:left w:val="nil"/>
              <w:bottom w:val="single" w:sz="4" w:space="0" w:color="auto"/>
              <w:right w:val="single" w:sz="4" w:space="0" w:color="auto"/>
            </w:tcBorders>
            <w:shd w:val="clear" w:color="000000" w:fill="FFFFFF"/>
            <w:noWrap/>
            <w:vAlign w:val="bottom"/>
            <w:hideMark/>
          </w:tcPr>
          <w:p w14:paraId="4EA00916" w14:textId="77777777" w:rsidR="00BB0278" w:rsidRDefault="00BB0278">
            <w:pPr>
              <w:jc w:val="right"/>
              <w:rPr>
                <w:rFonts w:ascii="Arial" w:hAnsi="Arial" w:cs="Arial"/>
                <w:color w:val="000000"/>
                <w:sz w:val="18"/>
                <w:szCs w:val="18"/>
              </w:rPr>
            </w:pPr>
            <w:r>
              <w:rPr>
                <w:rFonts w:ascii="Arial" w:hAnsi="Arial" w:cs="Arial"/>
                <w:color w:val="000000"/>
                <w:sz w:val="18"/>
                <w:szCs w:val="18"/>
              </w:rPr>
              <w:t>31,58</w:t>
            </w:r>
          </w:p>
        </w:tc>
      </w:tr>
      <w:tr w:rsidR="002F1CC2" w14:paraId="707DEC5D"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6EBD4015" w14:textId="77777777" w:rsidR="00BB0278" w:rsidRDefault="00BB0278">
            <w:pPr>
              <w:rPr>
                <w:rFonts w:ascii="Arial" w:hAnsi="Arial" w:cs="Arial"/>
                <w:color w:val="000000"/>
                <w:sz w:val="18"/>
                <w:szCs w:val="18"/>
              </w:rPr>
            </w:pPr>
            <w:r>
              <w:rPr>
                <w:rFonts w:ascii="Arial" w:hAnsi="Arial" w:cs="Arial"/>
                <w:color w:val="000000"/>
                <w:sz w:val="18"/>
                <w:szCs w:val="18"/>
              </w:rPr>
              <w:t>03</w:t>
            </w:r>
          </w:p>
        </w:tc>
        <w:tc>
          <w:tcPr>
            <w:tcW w:w="3857" w:type="dxa"/>
            <w:tcBorders>
              <w:top w:val="nil"/>
              <w:left w:val="nil"/>
              <w:bottom w:val="single" w:sz="4" w:space="0" w:color="auto"/>
              <w:right w:val="single" w:sz="4" w:space="0" w:color="auto"/>
            </w:tcBorders>
            <w:shd w:val="clear" w:color="000000" w:fill="FFFFFF"/>
            <w:noWrap/>
            <w:vAlign w:val="bottom"/>
            <w:hideMark/>
          </w:tcPr>
          <w:p w14:paraId="6D506022" w14:textId="77777777" w:rsidR="00BB0278" w:rsidRDefault="00BB0278">
            <w:pPr>
              <w:rPr>
                <w:rFonts w:ascii="Arial" w:hAnsi="Arial" w:cs="Arial"/>
                <w:color w:val="000000"/>
                <w:sz w:val="18"/>
                <w:szCs w:val="18"/>
              </w:rPr>
            </w:pPr>
            <w:r>
              <w:rPr>
                <w:rFonts w:ascii="Arial" w:hAnsi="Arial" w:cs="Arial"/>
                <w:color w:val="000000"/>
                <w:sz w:val="18"/>
                <w:szCs w:val="18"/>
              </w:rPr>
              <w:t>ZUNANJA POLITIKA IN MEDNARODNA POMOČ</w:t>
            </w:r>
          </w:p>
        </w:tc>
        <w:tc>
          <w:tcPr>
            <w:tcW w:w="1154" w:type="dxa"/>
            <w:tcBorders>
              <w:top w:val="nil"/>
              <w:left w:val="nil"/>
              <w:bottom w:val="single" w:sz="4" w:space="0" w:color="auto"/>
              <w:right w:val="single" w:sz="4" w:space="0" w:color="auto"/>
            </w:tcBorders>
            <w:shd w:val="clear" w:color="000000" w:fill="FFFFFF"/>
            <w:noWrap/>
            <w:vAlign w:val="bottom"/>
            <w:hideMark/>
          </w:tcPr>
          <w:p w14:paraId="3F84F7F4" w14:textId="77777777" w:rsidR="00BB0278" w:rsidRDefault="00BB0278">
            <w:pPr>
              <w:jc w:val="right"/>
              <w:rPr>
                <w:rFonts w:ascii="Arial" w:hAnsi="Arial" w:cs="Arial"/>
                <w:color w:val="000000"/>
                <w:sz w:val="18"/>
                <w:szCs w:val="18"/>
              </w:rPr>
            </w:pPr>
            <w:r>
              <w:rPr>
                <w:rFonts w:ascii="Arial" w:hAnsi="Arial" w:cs="Arial"/>
                <w:color w:val="000000"/>
                <w:sz w:val="18"/>
                <w:szCs w:val="18"/>
              </w:rPr>
              <w:t>173.150</w:t>
            </w:r>
          </w:p>
        </w:tc>
        <w:tc>
          <w:tcPr>
            <w:tcW w:w="1114" w:type="dxa"/>
            <w:tcBorders>
              <w:top w:val="nil"/>
              <w:left w:val="nil"/>
              <w:bottom w:val="single" w:sz="4" w:space="0" w:color="auto"/>
              <w:right w:val="single" w:sz="4" w:space="0" w:color="auto"/>
            </w:tcBorders>
            <w:shd w:val="clear" w:color="000000" w:fill="FFFFFF"/>
            <w:noWrap/>
            <w:vAlign w:val="bottom"/>
            <w:hideMark/>
          </w:tcPr>
          <w:p w14:paraId="6B29325D" w14:textId="77777777" w:rsidR="00BB0278" w:rsidRDefault="00BB0278">
            <w:pPr>
              <w:jc w:val="right"/>
              <w:rPr>
                <w:rFonts w:ascii="Arial" w:hAnsi="Arial" w:cs="Arial"/>
                <w:color w:val="000000"/>
                <w:sz w:val="18"/>
                <w:szCs w:val="18"/>
              </w:rPr>
            </w:pPr>
            <w:r>
              <w:rPr>
                <w:rFonts w:ascii="Arial" w:hAnsi="Arial" w:cs="Arial"/>
                <w:color w:val="000000"/>
                <w:sz w:val="18"/>
                <w:szCs w:val="18"/>
              </w:rPr>
              <w:t>97.000</w:t>
            </w:r>
          </w:p>
        </w:tc>
        <w:tc>
          <w:tcPr>
            <w:tcW w:w="1134" w:type="dxa"/>
            <w:tcBorders>
              <w:top w:val="nil"/>
              <w:left w:val="nil"/>
              <w:bottom w:val="single" w:sz="4" w:space="0" w:color="auto"/>
              <w:right w:val="single" w:sz="4" w:space="0" w:color="auto"/>
            </w:tcBorders>
            <w:shd w:val="clear" w:color="000000" w:fill="FFFFFF"/>
            <w:noWrap/>
            <w:vAlign w:val="bottom"/>
            <w:hideMark/>
          </w:tcPr>
          <w:p w14:paraId="267E1B1D" w14:textId="77777777" w:rsidR="00BB0278" w:rsidRDefault="00BB0278">
            <w:pPr>
              <w:jc w:val="right"/>
              <w:rPr>
                <w:rFonts w:ascii="Arial" w:hAnsi="Arial" w:cs="Arial"/>
                <w:color w:val="000000"/>
                <w:sz w:val="18"/>
                <w:szCs w:val="18"/>
              </w:rPr>
            </w:pPr>
            <w:r>
              <w:rPr>
                <w:rFonts w:ascii="Arial" w:hAnsi="Arial" w:cs="Arial"/>
                <w:color w:val="000000"/>
                <w:sz w:val="18"/>
                <w:szCs w:val="18"/>
              </w:rPr>
              <w:t>87.000</w:t>
            </w:r>
          </w:p>
        </w:tc>
        <w:tc>
          <w:tcPr>
            <w:tcW w:w="728" w:type="dxa"/>
            <w:tcBorders>
              <w:top w:val="nil"/>
              <w:left w:val="nil"/>
              <w:bottom w:val="single" w:sz="4" w:space="0" w:color="auto"/>
              <w:right w:val="single" w:sz="4" w:space="0" w:color="auto"/>
            </w:tcBorders>
            <w:shd w:val="clear" w:color="000000" w:fill="FFFFFF"/>
            <w:noWrap/>
            <w:vAlign w:val="bottom"/>
            <w:hideMark/>
          </w:tcPr>
          <w:p w14:paraId="4EE2EECB" w14:textId="77777777" w:rsidR="00BB0278" w:rsidRDefault="00BB0278">
            <w:pPr>
              <w:jc w:val="right"/>
              <w:rPr>
                <w:rFonts w:ascii="Arial" w:hAnsi="Arial" w:cs="Arial"/>
                <w:color w:val="000000"/>
                <w:sz w:val="18"/>
                <w:szCs w:val="18"/>
              </w:rPr>
            </w:pPr>
            <w:r>
              <w:rPr>
                <w:rFonts w:ascii="Arial" w:hAnsi="Arial" w:cs="Arial"/>
                <w:color w:val="000000"/>
                <w:sz w:val="18"/>
                <w:szCs w:val="18"/>
              </w:rPr>
              <w:t>50,25</w:t>
            </w:r>
          </w:p>
        </w:tc>
        <w:tc>
          <w:tcPr>
            <w:tcW w:w="850" w:type="dxa"/>
            <w:tcBorders>
              <w:top w:val="nil"/>
              <w:left w:val="nil"/>
              <w:bottom w:val="single" w:sz="4" w:space="0" w:color="auto"/>
              <w:right w:val="single" w:sz="4" w:space="0" w:color="auto"/>
            </w:tcBorders>
            <w:shd w:val="clear" w:color="000000" w:fill="FFFFFF"/>
            <w:noWrap/>
            <w:vAlign w:val="bottom"/>
            <w:hideMark/>
          </w:tcPr>
          <w:p w14:paraId="72EFB19E" w14:textId="77777777" w:rsidR="00BB0278" w:rsidRDefault="00BB0278">
            <w:pPr>
              <w:jc w:val="right"/>
              <w:rPr>
                <w:rFonts w:ascii="Arial" w:hAnsi="Arial" w:cs="Arial"/>
                <w:color w:val="000000"/>
                <w:sz w:val="18"/>
                <w:szCs w:val="18"/>
              </w:rPr>
            </w:pPr>
            <w:r>
              <w:rPr>
                <w:rFonts w:ascii="Arial" w:hAnsi="Arial" w:cs="Arial"/>
                <w:color w:val="000000"/>
                <w:sz w:val="18"/>
                <w:szCs w:val="18"/>
              </w:rPr>
              <w:t>89,69</w:t>
            </w:r>
          </w:p>
        </w:tc>
      </w:tr>
      <w:tr w:rsidR="002F1CC2" w14:paraId="6F732EC3"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29E19044" w14:textId="77777777" w:rsidR="00BB0278" w:rsidRDefault="00BB0278">
            <w:pPr>
              <w:rPr>
                <w:rFonts w:ascii="Arial" w:hAnsi="Arial" w:cs="Arial"/>
                <w:color w:val="000000"/>
                <w:sz w:val="18"/>
                <w:szCs w:val="18"/>
              </w:rPr>
            </w:pPr>
            <w:r>
              <w:rPr>
                <w:rFonts w:ascii="Arial" w:hAnsi="Arial" w:cs="Arial"/>
                <w:color w:val="000000"/>
                <w:sz w:val="18"/>
                <w:szCs w:val="18"/>
              </w:rPr>
              <w:t>04</w:t>
            </w:r>
          </w:p>
        </w:tc>
        <w:tc>
          <w:tcPr>
            <w:tcW w:w="3857" w:type="dxa"/>
            <w:tcBorders>
              <w:top w:val="nil"/>
              <w:left w:val="nil"/>
              <w:bottom w:val="single" w:sz="4" w:space="0" w:color="auto"/>
              <w:right w:val="single" w:sz="4" w:space="0" w:color="auto"/>
            </w:tcBorders>
            <w:shd w:val="clear" w:color="000000" w:fill="FFFFFF"/>
            <w:noWrap/>
            <w:vAlign w:val="bottom"/>
            <w:hideMark/>
          </w:tcPr>
          <w:p w14:paraId="4D684A82" w14:textId="77777777" w:rsidR="00BB0278" w:rsidRDefault="00BB0278">
            <w:pPr>
              <w:rPr>
                <w:rFonts w:ascii="Arial" w:hAnsi="Arial" w:cs="Arial"/>
                <w:color w:val="000000"/>
                <w:sz w:val="18"/>
                <w:szCs w:val="18"/>
              </w:rPr>
            </w:pPr>
            <w:r>
              <w:rPr>
                <w:rFonts w:ascii="Arial" w:hAnsi="Arial" w:cs="Arial"/>
                <w:color w:val="000000"/>
                <w:sz w:val="18"/>
                <w:szCs w:val="18"/>
              </w:rPr>
              <w:t>SKUPNE ADMINISTRATIVNE SLUŽBE IN SPLOŠNE JAVNE STORITVE</w:t>
            </w:r>
          </w:p>
        </w:tc>
        <w:tc>
          <w:tcPr>
            <w:tcW w:w="1154" w:type="dxa"/>
            <w:tcBorders>
              <w:top w:val="nil"/>
              <w:left w:val="nil"/>
              <w:bottom w:val="single" w:sz="4" w:space="0" w:color="auto"/>
              <w:right w:val="single" w:sz="4" w:space="0" w:color="auto"/>
            </w:tcBorders>
            <w:shd w:val="clear" w:color="000000" w:fill="FFFFFF"/>
            <w:noWrap/>
            <w:vAlign w:val="bottom"/>
            <w:hideMark/>
          </w:tcPr>
          <w:p w14:paraId="34FF33D8" w14:textId="77777777" w:rsidR="00BB0278" w:rsidRDefault="00BB0278">
            <w:pPr>
              <w:jc w:val="right"/>
              <w:rPr>
                <w:rFonts w:ascii="Arial" w:hAnsi="Arial" w:cs="Arial"/>
                <w:color w:val="000000"/>
                <w:sz w:val="18"/>
                <w:szCs w:val="18"/>
              </w:rPr>
            </w:pPr>
            <w:r>
              <w:rPr>
                <w:rFonts w:ascii="Arial" w:hAnsi="Arial" w:cs="Arial"/>
                <w:color w:val="000000"/>
                <w:sz w:val="18"/>
                <w:szCs w:val="18"/>
              </w:rPr>
              <w:t>1.455.191</w:t>
            </w:r>
          </w:p>
        </w:tc>
        <w:tc>
          <w:tcPr>
            <w:tcW w:w="1114" w:type="dxa"/>
            <w:tcBorders>
              <w:top w:val="nil"/>
              <w:left w:val="nil"/>
              <w:bottom w:val="single" w:sz="4" w:space="0" w:color="auto"/>
              <w:right w:val="single" w:sz="4" w:space="0" w:color="auto"/>
            </w:tcBorders>
            <w:shd w:val="clear" w:color="000000" w:fill="FFFFFF"/>
            <w:noWrap/>
            <w:vAlign w:val="bottom"/>
            <w:hideMark/>
          </w:tcPr>
          <w:p w14:paraId="3D74BE69" w14:textId="77777777" w:rsidR="00BB0278" w:rsidRDefault="00BB0278">
            <w:pPr>
              <w:jc w:val="right"/>
              <w:rPr>
                <w:rFonts w:ascii="Arial" w:hAnsi="Arial" w:cs="Arial"/>
                <w:color w:val="000000"/>
                <w:sz w:val="18"/>
                <w:szCs w:val="18"/>
              </w:rPr>
            </w:pPr>
            <w:r>
              <w:rPr>
                <w:rFonts w:ascii="Arial" w:hAnsi="Arial" w:cs="Arial"/>
                <w:color w:val="000000"/>
                <w:sz w:val="18"/>
                <w:szCs w:val="18"/>
              </w:rPr>
              <w:t>1.371.851</w:t>
            </w:r>
          </w:p>
        </w:tc>
        <w:tc>
          <w:tcPr>
            <w:tcW w:w="1134" w:type="dxa"/>
            <w:tcBorders>
              <w:top w:val="nil"/>
              <w:left w:val="nil"/>
              <w:bottom w:val="single" w:sz="4" w:space="0" w:color="auto"/>
              <w:right w:val="single" w:sz="4" w:space="0" w:color="auto"/>
            </w:tcBorders>
            <w:shd w:val="clear" w:color="000000" w:fill="FFFFFF"/>
            <w:noWrap/>
            <w:vAlign w:val="bottom"/>
            <w:hideMark/>
          </w:tcPr>
          <w:p w14:paraId="42B98CEC" w14:textId="77777777" w:rsidR="00BB0278" w:rsidRDefault="00BB0278">
            <w:pPr>
              <w:jc w:val="right"/>
              <w:rPr>
                <w:rFonts w:ascii="Arial" w:hAnsi="Arial" w:cs="Arial"/>
                <w:color w:val="000000"/>
                <w:sz w:val="18"/>
                <w:szCs w:val="18"/>
              </w:rPr>
            </w:pPr>
            <w:r>
              <w:rPr>
                <w:rFonts w:ascii="Arial" w:hAnsi="Arial" w:cs="Arial"/>
                <w:color w:val="000000"/>
                <w:sz w:val="18"/>
                <w:szCs w:val="18"/>
              </w:rPr>
              <w:t>1.092.692</w:t>
            </w:r>
          </w:p>
        </w:tc>
        <w:tc>
          <w:tcPr>
            <w:tcW w:w="728" w:type="dxa"/>
            <w:tcBorders>
              <w:top w:val="nil"/>
              <w:left w:val="nil"/>
              <w:bottom w:val="single" w:sz="4" w:space="0" w:color="auto"/>
              <w:right w:val="single" w:sz="4" w:space="0" w:color="auto"/>
            </w:tcBorders>
            <w:shd w:val="clear" w:color="000000" w:fill="FFFFFF"/>
            <w:noWrap/>
            <w:vAlign w:val="bottom"/>
            <w:hideMark/>
          </w:tcPr>
          <w:p w14:paraId="63601E36" w14:textId="77777777" w:rsidR="00BB0278" w:rsidRDefault="00BB0278">
            <w:pPr>
              <w:jc w:val="right"/>
              <w:rPr>
                <w:rFonts w:ascii="Arial" w:hAnsi="Arial" w:cs="Arial"/>
                <w:color w:val="000000"/>
                <w:sz w:val="18"/>
                <w:szCs w:val="18"/>
              </w:rPr>
            </w:pPr>
            <w:r>
              <w:rPr>
                <w:rFonts w:ascii="Arial" w:hAnsi="Arial" w:cs="Arial"/>
                <w:color w:val="000000"/>
                <w:sz w:val="18"/>
                <w:szCs w:val="18"/>
              </w:rPr>
              <w:t>75,09</w:t>
            </w:r>
          </w:p>
        </w:tc>
        <w:tc>
          <w:tcPr>
            <w:tcW w:w="850" w:type="dxa"/>
            <w:tcBorders>
              <w:top w:val="nil"/>
              <w:left w:val="nil"/>
              <w:bottom w:val="single" w:sz="4" w:space="0" w:color="auto"/>
              <w:right w:val="single" w:sz="4" w:space="0" w:color="auto"/>
            </w:tcBorders>
            <w:shd w:val="clear" w:color="000000" w:fill="FFFFFF"/>
            <w:noWrap/>
            <w:vAlign w:val="bottom"/>
            <w:hideMark/>
          </w:tcPr>
          <w:p w14:paraId="7973EDB5" w14:textId="77777777" w:rsidR="00BB0278" w:rsidRDefault="00BB0278">
            <w:pPr>
              <w:jc w:val="right"/>
              <w:rPr>
                <w:rFonts w:ascii="Arial" w:hAnsi="Arial" w:cs="Arial"/>
                <w:color w:val="000000"/>
                <w:sz w:val="18"/>
                <w:szCs w:val="18"/>
              </w:rPr>
            </w:pPr>
            <w:r>
              <w:rPr>
                <w:rFonts w:ascii="Arial" w:hAnsi="Arial" w:cs="Arial"/>
                <w:color w:val="000000"/>
                <w:sz w:val="18"/>
                <w:szCs w:val="18"/>
              </w:rPr>
              <w:t>79,65</w:t>
            </w:r>
          </w:p>
        </w:tc>
      </w:tr>
      <w:tr w:rsidR="002F1CC2" w14:paraId="0A87A73C"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30D5F257" w14:textId="77777777" w:rsidR="00BB0278" w:rsidRDefault="00BB0278">
            <w:pPr>
              <w:rPr>
                <w:rFonts w:ascii="Arial" w:hAnsi="Arial" w:cs="Arial"/>
                <w:color w:val="000000"/>
                <w:sz w:val="18"/>
                <w:szCs w:val="18"/>
              </w:rPr>
            </w:pPr>
            <w:r>
              <w:rPr>
                <w:rFonts w:ascii="Arial" w:hAnsi="Arial" w:cs="Arial"/>
                <w:color w:val="000000"/>
                <w:sz w:val="18"/>
                <w:szCs w:val="18"/>
              </w:rPr>
              <w:t>06</w:t>
            </w:r>
          </w:p>
        </w:tc>
        <w:tc>
          <w:tcPr>
            <w:tcW w:w="3857" w:type="dxa"/>
            <w:tcBorders>
              <w:top w:val="nil"/>
              <w:left w:val="nil"/>
              <w:bottom w:val="single" w:sz="4" w:space="0" w:color="auto"/>
              <w:right w:val="single" w:sz="4" w:space="0" w:color="auto"/>
            </w:tcBorders>
            <w:shd w:val="clear" w:color="000000" w:fill="FFFFFF"/>
            <w:noWrap/>
            <w:vAlign w:val="bottom"/>
            <w:hideMark/>
          </w:tcPr>
          <w:p w14:paraId="1ABEC50E" w14:textId="77777777" w:rsidR="00BB0278" w:rsidRDefault="00BB0278">
            <w:pPr>
              <w:rPr>
                <w:rFonts w:ascii="Arial" w:hAnsi="Arial" w:cs="Arial"/>
                <w:color w:val="000000"/>
                <w:sz w:val="18"/>
                <w:szCs w:val="18"/>
              </w:rPr>
            </w:pPr>
            <w:r>
              <w:rPr>
                <w:rFonts w:ascii="Arial" w:hAnsi="Arial" w:cs="Arial"/>
                <w:color w:val="000000"/>
                <w:sz w:val="18"/>
                <w:szCs w:val="18"/>
              </w:rPr>
              <w:t>LOKALNA SAMOUPRAVA</w:t>
            </w:r>
          </w:p>
        </w:tc>
        <w:tc>
          <w:tcPr>
            <w:tcW w:w="1154" w:type="dxa"/>
            <w:tcBorders>
              <w:top w:val="nil"/>
              <w:left w:val="nil"/>
              <w:bottom w:val="single" w:sz="4" w:space="0" w:color="auto"/>
              <w:right w:val="single" w:sz="4" w:space="0" w:color="auto"/>
            </w:tcBorders>
            <w:shd w:val="clear" w:color="000000" w:fill="FFFFFF"/>
            <w:noWrap/>
            <w:vAlign w:val="bottom"/>
            <w:hideMark/>
          </w:tcPr>
          <w:p w14:paraId="239A6E93" w14:textId="77777777" w:rsidR="00BB0278" w:rsidRDefault="00BB0278">
            <w:pPr>
              <w:jc w:val="right"/>
              <w:rPr>
                <w:rFonts w:ascii="Arial" w:hAnsi="Arial" w:cs="Arial"/>
                <w:color w:val="000000"/>
                <w:sz w:val="18"/>
                <w:szCs w:val="18"/>
              </w:rPr>
            </w:pPr>
            <w:r>
              <w:rPr>
                <w:rFonts w:ascii="Arial" w:hAnsi="Arial" w:cs="Arial"/>
                <w:color w:val="000000"/>
                <w:sz w:val="18"/>
                <w:szCs w:val="18"/>
              </w:rPr>
              <w:t>5.451.647</w:t>
            </w:r>
          </w:p>
        </w:tc>
        <w:tc>
          <w:tcPr>
            <w:tcW w:w="1114" w:type="dxa"/>
            <w:tcBorders>
              <w:top w:val="nil"/>
              <w:left w:val="nil"/>
              <w:bottom w:val="single" w:sz="4" w:space="0" w:color="auto"/>
              <w:right w:val="single" w:sz="4" w:space="0" w:color="auto"/>
            </w:tcBorders>
            <w:shd w:val="clear" w:color="000000" w:fill="FFFFFF"/>
            <w:noWrap/>
            <w:vAlign w:val="bottom"/>
            <w:hideMark/>
          </w:tcPr>
          <w:p w14:paraId="7690B1A0" w14:textId="77777777" w:rsidR="00BB0278" w:rsidRDefault="00BB0278">
            <w:pPr>
              <w:jc w:val="right"/>
              <w:rPr>
                <w:rFonts w:ascii="Arial" w:hAnsi="Arial" w:cs="Arial"/>
                <w:color w:val="000000"/>
                <w:sz w:val="18"/>
                <w:szCs w:val="18"/>
              </w:rPr>
            </w:pPr>
            <w:r>
              <w:rPr>
                <w:rFonts w:ascii="Arial" w:hAnsi="Arial" w:cs="Arial"/>
                <w:color w:val="000000"/>
                <w:sz w:val="18"/>
                <w:szCs w:val="18"/>
              </w:rPr>
              <w:t>5.160.122</w:t>
            </w:r>
          </w:p>
        </w:tc>
        <w:tc>
          <w:tcPr>
            <w:tcW w:w="1134" w:type="dxa"/>
            <w:tcBorders>
              <w:top w:val="nil"/>
              <w:left w:val="nil"/>
              <w:bottom w:val="single" w:sz="4" w:space="0" w:color="auto"/>
              <w:right w:val="single" w:sz="4" w:space="0" w:color="auto"/>
            </w:tcBorders>
            <w:shd w:val="clear" w:color="000000" w:fill="FFFFFF"/>
            <w:noWrap/>
            <w:vAlign w:val="bottom"/>
            <w:hideMark/>
          </w:tcPr>
          <w:p w14:paraId="27FB381E" w14:textId="77777777" w:rsidR="00BB0278" w:rsidRDefault="00BB0278">
            <w:pPr>
              <w:jc w:val="right"/>
              <w:rPr>
                <w:rFonts w:ascii="Arial" w:hAnsi="Arial" w:cs="Arial"/>
                <w:color w:val="000000"/>
                <w:sz w:val="18"/>
                <w:szCs w:val="18"/>
              </w:rPr>
            </w:pPr>
            <w:r>
              <w:rPr>
                <w:rFonts w:ascii="Arial" w:hAnsi="Arial" w:cs="Arial"/>
                <w:color w:val="000000"/>
                <w:sz w:val="18"/>
                <w:szCs w:val="18"/>
              </w:rPr>
              <w:t>5.123.322</w:t>
            </w:r>
          </w:p>
        </w:tc>
        <w:tc>
          <w:tcPr>
            <w:tcW w:w="728" w:type="dxa"/>
            <w:tcBorders>
              <w:top w:val="nil"/>
              <w:left w:val="nil"/>
              <w:bottom w:val="single" w:sz="4" w:space="0" w:color="auto"/>
              <w:right w:val="single" w:sz="4" w:space="0" w:color="auto"/>
            </w:tcBorders>
            <w:shd w:val="clear" w:color="000000" w:fill="FFFFFF"/>
            <w:noWrap/>
            <w:vAlign w:val="bottom"/>
            <w:hideMark/>
          </w:tcPr>
          <w:p w14:paraId="6BA4AD70" w14:textId="77777777" w:rsidR="00BB0278" w:rsidRDefault="00BB0278">
            <w:pPr>
              <w:jc w:val="right"/>
              <w:rPr>
                <w:rFonts w:ascii="Arial" w:hAnsi="Arial" w:cs="Arial"/>
                <w:color w:val="000000"/>
                <w:sz w:val="18"/>
                <w:szCs w:val="18"/>
              </w:rPr>
            </w:pPr>
            <w:r>
              <w:rPr>
                <w:rFonts w:ascii="Arial" w:hAnsi="Arial" w:cs="Arial"/>
                <w:color w:val="000000"/>
                <w:sz w:val="18"/>
                <w:szCs w:val="18"/>
              </w:rPr>
              <w:t>93,98</w:t>
            </w:r>
          </w:p>
        </w:tc>
        <w:tc>
          <w:tcPr>
            <w:tcW w:w="850" w:type="dxa"/>
            <w:tcBorders>
              <w:top w:val="nil"/>
              <w:left w:val="nil"/>
              <w:bottom w:val="single" w:sz="4" w:space="0" w:color="auto"/>
              <w:right w:val="single" w:sz="4" w:space="0" w:color="auto"/>
            </w:tcBorders>
            <w:shd w:val="clear" w:color="000000" w:fill="FFFFFF"/>
            <w:noWrap/>
            <w:vAlign w:val="bottom"/>
            <w:hideMark/>
          </w:tcPr>
          <w:p w14:paraId="279E9A06" w14:textId="77777777" w:rsidR="00BB0278" w:rsidRDefault="00BB0278">
            <w:pPr>
              <w:jc w:val="right"/>
              <w:rPr>
                <w:rFonts w:ascii="Arial" w:hAnsi="Arial" w:cs="Arial"/>
                <w:color w:val="000000"/>
                <w:sz w:val="18"/>
                <w:szCs w:val="18"/>
              </w:rPr>
            </w:pPr>
            <w:r>
              <w:rPr>
                <w:rFonts w:ascii="Arial" w:hAnsi="Arial" w:cs="Arial"/>
                <w:color w:val="000000"/>
                <w:sz w:val="18"/>
                <w:szCs w:val="18"/>
              </w:rPr>
              <w:t>99,29</w:t>
            </w:r>
          </w:p>
        </w:tc>
      </w:tr>
      <w:tr w:rsidR="002F1CC2" w14:paraId="5611AEAE"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11274E1D" w14:textId="77777777" w:rsidR="00BB0278" w:rsidRDefault="00BB0278">
            <w:pPr>
              <w:rPr>
                <w:rFonts w:ascii="Arial" w:hAnsi="Arial" w:cs="Arial"/>
                <w:color w:val="000000"/>
                <w:sz w:val="18"/>
                <w:szCs w:val="18"/>
              </w:rPr>
            </w:pPr>
            <w:r>
              <w:rPr>
                <w:rFonts w:ascii="Arial" w:hAnsi="Arial" w:cs="Arial"/>
                <w:color w:val="000000"/>
                <w:sz w:val="18"/>
                <w:szCs w:val="18"/>
              </w:rPr>
              <w:t>07</w:t>
            </w:r>
          </w:p>
        </w:tc>
        <w:tc>
          <w:tcPr>
            <w:tcW w:w="3857" w:type="dxa"/>
            <w:tcBorders>
              <w:top w:val="nil"/>
              <w:left w:val="nil"/>
              <w:bottom w:val="single" w:sz="4" w:space="0" w:color="auto"/>
              <w:right w:val="single" w:sz="4" w:space="0" w:color="auto"/>
            </w:tcBorders>
            <w:shd w:val="clear" w:color="000000" w:fill="FFFFFF"/>
            <w:noWrap/>
            <w:vAlign w:val="bottom"/>
            <w:hideMark/>
          </w:tcPr>
          <w:p w14:paraId="2BEC738C" w14:textId="77777777" w:rsidR="00BB0278" w:rsidRDefault="00BB0278">
            <w:pPr>
              <w:rPr>
                <w:rFonts w:ascii="Arial" w:hAnsi="Arial" w:cs="Arial"/>
                <w:color w:val="000000"/>
                <w:sz w:val="18"/>
                <w:szCs w:val="18"/>
              </w:rPr>
            </w:pPr>
            <w:r>
              <w:rPr>
                <w:rFonts w:ascii="Arial" w:hAnsi="Arial" w:cs="Arial"/>
                <w:color w:val="000000"/>
                <w:sz w:val="18"/>
                <w:szCs w:val="18"/>
              </w:rPr>
              <w:t>OBRAMBA IN UKREPI OB IZREDNIH DOGODKIH</w:t>
            </w:r>
          </w:p>
        </w:tc>
        <w:tc>
          <w:tcPr>
            <w:tcW w:w="1154" w:type="dxa"/>
            <w:tcBorders>
              <w:top w:val="nil"/>
              <w:left w:val="nil"/>
              <w:bottom w:val="single" w:sz="4" w:space="0" w:color="auto"/>
              <w:right w:val="single" w:sz="4" w:space="0" w:color="auto"/>
            </w:tcBorders>
            <w:shd w:val="clear" w:color="000000" w:fill="FFFFFF"/>
            <w:noWrap/>
            <w:vAlign w:val="bottom"/>
            <w:hideMark/>
          </w:tcPr>
          <w:p w14:paraId="29198080" w14:textId="77777777" w:rsidR="00BB0278" w:rsidRDefault="00BB0278">
            <w:pPr>
              <w:jc w:val="right"/>
              <w:rPr>
                <w:rFonts w:ascii="Arial" w:hAnsi="Arial" w:cs="Arial"/>
                <w:color w:val="000000"/>
                <w:sz w:val="18"/>
                <w:szCs w:val="18"/>
              </w:rPr>
            </w:pPr>
            <w:r>
              <w:rPr>
                <w:rFonts w:ascii="Arial" w:hAnsi="Arial" w:cs="Arial"/>
                <w:color w:val="000000"/>
                <w:sz w:val="18"/>
                <w:szCs w:val="18"/>
              </w:rPr>
              <w:t>1.990.878</w:t>
            </w:r>
          </w:p>
        </w:tc>
        <w:tc>
          <w:tcPr>
            <w:tcW w:w="1114" w:type="dxa"/>
            <w:tcBorders>
              <w:top w:val="nil"/>
              <w:left w:val="nil"/>
              <w:bottom w:val="single" w:sz="4" w:space="0" w:color="auto"/>
              <w:right w:val="single" w:sz="4" w:space="0" w:color="auto"/>
            </w:tcBorders>
            <w:shd w:val="clear" w:color="000000" w:fill="FFFFFF"/>
            <w:noWrap/>
            <w:vAlign w:val="bottom"/>
            <w:hideMark/>
          </w:tcPr>
          <w:p w14:paraId="526382A5" w14:textId="77777777" w:rsidR="00BB0278" w:rsidRDefault="00BB0278">
            <w:pPr>
              <w:jc w:val="right"/>
              <w:rPr>
                <w:rFonts w:ascii="Arial" w:hAnsi="Arial" w:cs="Arial"/>
                <w:color w:val="000000"/>
                <w:sz w:val="18"/>
                <w:szCs w:val="18"/>
              </w:rPr>
            </w:pPr>
            <w:r>
              <w:rPr>
                <w:rFonts w:ascii="Arial" w:hAnsi="Arial" w:cs="Arial"/>
                <w:color w:val="000000"/>
                <w:sz w:val="18"/>
                <w:szCs w:val="18"/>
              </w:rPr>
              <w:t>1.950.542</w:t>
            </w:r>
          </w:p>
        </w:tc>
        <w:tc>
          <w:tcPr>
            <w:tcW w:w="1134" w:type="dxa"/>
            <w:tcBorders>
              <w:top w:val="nil"/>
              <w:left w:val="nil"/>
              <w:bottom w:val="single" w:sz="4" w:space="0" w:color="auto"/>
              <w:right w:val="single" w:sz="4" w:space="0" w:color="auto"/>
            </w:tcBorders>
            <w:shd w:val="clear" w:color="000000" w:fill="FFFFFF"/>
            <w:noWrap/>
            <w:vAlign w:val="bottom"/>
            <w:hideMark/>
          </w:tcPr>
          <w:p w14:paraId="4E97CD1B" w14:textId="77777777" w:rsidR="00BB0278" w:rsidRDefault="00BB0278">
            <w:pPr>
              <w:jc w:val="right"/>
              <w:rPr>
                <w:rFonts w:ascii="Arial" w:hAnsi="Arial" w:cs="Arial"/>
                <w:color w:val="000000"/>
                <w:sz w:val="18"/>
                <w:szCs w:val="18"/>
              </w:rPr>
            </w:pPr>
            <w:r>
              <w:rPr>
                <w:rFonts w:ascii="Arial" w:hAnsi="Arial" w:cs="Arial"/>
                <w:color w:val="000000"/>
                <w:sz w:val="18"/>
                <w:szCs w:val="18"/>
              </w:rPr>
              <w:t>1.969.042</w:t>
            </w:r>
          </w:p>
        </w:tc>
        <w:tc>
          <w:tcPr>
            <w:tcW w:w="728" w:type="dxa"/>
            <w:tcBorders>
              <w:top w:val="nil"/>
              <w:left w:val="nil"/>
              <w:bottom w:val="single" w:sz="4" w:space="0" w:color="auto"/>
              <w:right w:val="single" w:sz="4" w:space="0" w:color="auto"/>
            </w:tcBorders>
            <w:shd w:val="clear" w:color="000000" w:fill="FFFFFF"/>
            <w:noWrap/>
            <w:vAlign w:val="bottom"/>
            <w:hideMark/>
          </w:tcPr>
          <w:p w14:paraId="30A4647E" w14:textId="77777777" w:rsidR="00BB0278" w:rsidRDefault="00BB0278">
            <w:pPr>
              <w:jc w:val="right"/>
              <w:rPr>
                <w:rFonts w:ascii="Arial" w:hAnsi="Arial" w:cs="Arial"/>
                <w:color w:val="000000"/>
                <w:sz w:val="18"/>
                <w:szCs w:val="18"/>
              </w:rPr>
            </w:pPr>
            <w:r>
              <w:rPr>
                <w:rFonts w:ascii="Arial" w:hAnsi="Arial" w:cs="Arial"/>
                <w:color w:val="000000"/>
                <w:sz w:val="18"/>
                <w:szCs w:val="18"/>
              </w:rPr>
              <w:t>98,90</w:t>
            </w:r>
          </w:p>
        </w:tc>
        <w:tc>
          <w:tcPr>
            <w:tcW w:w="850" w:type="dxa"/>
            <w:tcBorders>
              <w:top w:val="nil"/>
              <w:left w:val="nil"/>
              <w:bottom w:val="single" w:sz="4" w:space="0" w:color="auto"/>
              <w:right w:val="single" w:sz="4" w:space="0" w:color="auto"/>
            </w:tcBorders>
            <w:shd w:val="clear" w:color="000000" w:fill="FFFFFF"/>
            <w:noWrap/>
            <w:vAlign w:val="bottom"/>
            <w:hideMark/>
          </w:tcPr>
          <w:p w14:paraId="2DB00DE4" w14:textId="77777777" w:rsidR="00BB0278" w:rsidRDefault="00BB0278">
            <w:pPr>
              <w:jc w:val="right"/>
              <w:rPr>
                <w:rFonts w:ascii="Arial" w:hAnsi="Arial" w:cs="Arial"/>
                <w:color w:val="000000"/>
                <w:sz w:val="18"/>
                <w:szCs w:val="18"/>
              </w:rPr>
            </w:pPr>
            <w:r>
              <w:rPr>
                <w:rFonts w:ascii="Arial" w:hAnsi="Arial" w:cs="Arial"/>
                <w:color w:val="000000"/>
                <w:sz w:val="18"/>
                <w:szCs w:val="18"/>
              </w:rPr>
              <w:t>100,95</w:t>
            </w:r>
          </w:p>
        </w:tc>
      </w:tr>
      <w:tr w:rsidR="002F1CC2" w14:paraId="5AC77A33"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7F6734A8" w14:textId="77777777" w:rsidR="00BB0278" w:rsidRDefault="00BB0278">
            <w:pPr>
              <w:rPr>
                <w:rFonts w:ascii="Arial" w:hAnsi="Arial" w:cs="Arial"/>
                <w:color w:val="000000"/>
                <w:sz w:val="18"/>
                <w:szCs w:val="18"/>
              </w:rPr>
            </w:pPr>
            <w:r>
              <w:rPr>
                <w:rFonts w:ascii="Arial" w:hAnsi="Arial" w:cs="Arial"/>
                <w:color w:val="000000"/>
                <w:sz w:val="18"/>
                <w:szCs w:val="18"/>
              </w:rPr>
              <w:t>08</w:t>
            </w:r>
          </w:p>
        </w:tc>
        <w:tc>
          <w:tcPr>
            <w:tcW w:w="3857" w:type="dxa"/>
            <w:tcBorders>
              <w:top w:val="nil"/>
              <w:left w:val="nil"/>
              <w:bottom w:val="single" w:sz="4" w:space="0" w:color="auto"/>
              <w:right w:val="single" w:sz="4" w:space="0" w:color="auto"/>
            </w:tcBorders>
            <w:shd w:val="clear" w:color="000000" w:fill="FFFFFF"/>
            <w:noWrap/>
            <w:vAlign w:val="bottom"/>
            <w:hideMark/>
          </w:tcPr>
          <w:p w14:paraId="355BFD01" w14:textId="77777777" w:rsidR="00BB0278" w:rsidRDefault="00BB0278">
            <w:pPr>
              <w:rPr>
                <w:rFonts w:ascii="Arial" w:hAnsi="Arial" w:cs="Arial"/>
                <w:color w:val="000000"/>
                <w:sz w:val="18"/>
                <w:szCs w:val="18"/>
              </w:rPr>
            </w:pPr>
            <w:r>
              <w:rPr>
                <w:rFonts w:ascii="Arial" w:hAnsi="Arial" w:cs="Arial"/>
                <w:color w:val="000000"/>
                <w:sz w:val="18"/>
                <w:szCs w:val="18"/>
              </w:rPr>
              <w:t>NOTRANJE ZADEVE IN VARNOST</w:t>
            </w:r>
          </w:p>
        </w:tc>
        <w:tc>
          <w:tcPr>
            <w:tcW w:w="1154" w:type="dxa"/>
            <w:tcBorders>
              <w:top w:val="nil"/>
              <w:left w:val="nil"/>
              <w:bottom w:val="single" w:sz="4" w:space="0" w:color="auto"/>
              <w:right w:val="single" w:sz="4" w:space="0" w:color="auto"/>
            </w:tcBorders>
            <w:shd w:val="clear" w:color="000000" w:fill="FFFFFF"/>
            <w:noWrap/>
            <w:vAlign w:val="bottom"/>
            <w:hideMark/>
          </w:tcPr>
          <w:p w14:paraId="2505DF77" w14:textId="77777777" w:rsidR="00BB0278" w:rsidRDefault="00BB0278">
            <w:pPr>
              <w:jc w:val="right"/>
              <w:rPr>
                <w:rFonts w:ascii="Arial" w:hAnsi="Arial" w:cs="Arial"/>
                <w:color w:val="000000"/>
                <w:sz w:val="18"/>
                <w:szCs w:val="18"/>
              </w:rPr>
            </w:pPr>
            <w:r>
              <w:rPr>
                <w:rFonts w:ascii="Arial" w:hAnsi="Arial" w:cs="Arial"/>
                <w:color w:val="000000"/>
                <w:sz w:val="18"/>
                <w:szCs w:val="18"/>
              </w:rPr>
              <w:t>33.600</w:t>
            </w:r>
          </w:p>
        </w:tc>
        <w:tc>
          <w:tcPr>
            <w:tcW w:w="1114" w:type="dxa"/>
            <w:tcBorders>
              <w:top w:val="nil"/>
              <w:left w:val="nil"/>
              <w:bottom w:val="single" w:sz="4" w:space="0" w:color="auto"/>
              <w:right w:val="single" w:sz="4" w:space="0" w:color="auto"/>
            </w:tcBorders>
            <w:shd w:val="clear" w:color="000000" w:fill="FFFFFF"/>
            <w:noWrap/>
            <w:vAlign w:val="bottom"/>
            <w:hideMark/>
          </w:tcPr>
          <w:p w14:paraId="6D5A925F" w14:textId="77777777" w:rsidR="00BB0278" w:rsidRDefault="00BB0278">
            <w:pPr>
              <w:jc w:val="right"/>
              <w:rPr>
                <w:rFonts w:ascii="Arial" w:hAnsi="Arial" w:cs="Arial"/>
                <w:color w:val="000000"/>
                <w:sz w:val="18"/>
                <w:szCs w:val="18"/>
              </w:rPr>
            </w:pPr>
            <w:r>
              <w:rPr>
                <w:rFonts w:ascii="Arial" w:hAnsi="Arial" w:cs="Arial"/>
                <w:color w:val="000000"/>
                <w:sz w:val="18"/>
                <w:szCs w:val="18"/>
              </w:rPr>
              <w:t>38.375</w:t>
            </w:r>
          </w:p>
        </w:tc>
        <w:tc>
          <w:tcPr>
            <w:tcW w:w="1134" w:type="dxa"/>
            <w:tcBorders>
              <w:top w:val="nil"/>
              <w:left w:val="nil"/>
              <w:bottom w:val="single" w:sz="4" w:space="0" w:color="auto"/>
              <w:right w:val="single" w:sz="4" w:space="0" w:color="auto"/>
            </w:tcBorders>
            <w:shd w:val="clear" w:color="000000" w:fill="FFFFFF"/>
            <w:noWrap/>
            <w:vAlign w:val="bottom"/>
            <w:hideMark/>
          </w:tcPr>
          <w:p w14:paraId="46AE44EA" w14:textId="77777777" w:rsidR="00BB0278" w:rsidRDefault="00BB0278">
            <w:pPr>
              <w:jc w:val="right"/>
              <w:rPr>
                <w:rFonts w:ascii="Arial" w:hAnsi="Arial" w:cs="Arial"/>
                <w:color w:val="000000"/>
                <w:sz w:val="18"/>
                <w:szCs w:val="18"/>
              </w:rPr>
            </w:pPr>
            <w:r>
              <w:rPr>
                <w:rFonts w:ascii="Arial" w:hAnsi="Arial" w:cs="Arial"/>
                <w:color w:val="000000"/>
                <w:sz w:val="18"/>
                <w:szCs w:val="18"/>
              </w:rPr>
              <w:t>0</w:t>
            </w:r>
          </w:p>
        </w:tc>
        <w:tc>
          <w:tcPr>
            <w:tcW w:w="728" w:type="dxa"/>
            <w:tcBorders>
              <w:top w:val="nil"/>
              <w:left w:val="nil"/>
              <w:bottom w:val="single" w:sz="4" w:space="0" w:color="auto"/>
              <w:right w:val="single" w:sz="4" w:space="0" w:color="auto"/>
            </w:tcBorders>
            <w:shd w:val="clear" w:color="000000" w:fill="FFFFFF"/>
            <w:noWrap/>
            <w:vAlign w:val="bottom"/>
            <w:hideMark/>
          </w:tcPr>
          <w:p w14:paraId="2696AF55" w14:textId="77777777" w:rsidR="00BB0278" w:rsidRDefault="00BB0278">
            <w:pPr>
              <w:jc w:val="right"/>
              <w:rPr>
                <w:rFonts w:ascii="Arial" w:hAnsi="Arial" w:cs="Arial"/>
                <w:color w:val="000000"/>
                <w:sz w:val="18"/>
                <w:szCs w:val="18"/>
              </w:rPr>
            </w:pPr>
            <w:r>
              <w:rPr>
                <w:rFonts w:ascii="Arial" w:hAnsi="Arial" w:cs="Arial"/>
                <w:color w:val="000000"/>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14:paraId="7DD1200C" w14:textId="77777777" w:rsidR="00BB0278" w:rsidRDefault="00BB0278">
            <w:pPr>
              <w:jc w:val="right"/>
              <w:rPr>
                <w:rFonts w:ascii="Arial" w:hAnsi="Arial" w:cs="Arial"/>
                <w:color w:val="000000"/>
                <w:sz w:val="18"/>
                <w:szCs w:val="18"/>
              </w:rPr>
            </w:pPr>
            <w:r>
              <w:rPr>
                <w:rFonts w:ascii="Arial" w:hAnsi="Arial" w:cs="Arial"/>
                <w:color w:val="000000"/>
                <w:sz w:val="18"/>
                <w:szCs w:val="18"/>
              </w:rPr>
              <w:t>0,00</w:t>
            </w:r>
          </w:p>
        </w:tc>
      </w:tr>
      <w:tr w:rsidR="002F1CC2" w14:paraId="143A971E"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31A7CA86" w14:textId="77777777" w:rsidR="00BB0278" w:rsidRDefault="00BB0278">
            <w:pPr>
              <w:rPr>
                <w:rFonts w:ascii="Arial" w:hAnsi="Arial" w:cs="Arial"/>
                <w:color w:val="000000"/>
                <w:sz w:val="18"/>
                <w:szCs w:val="18"/>
              </w:rPr>
            </w:pPr>
            <w:r>
              <w:rPr>
                <w:rFonts w:ascii="Arial" w:hAnsi="Arial" w:cs="Arial"/>
                <w:color w:val="000000"/>
                <w:sz w:val="18"/>
                <w:szCs w:val="18"/>
              </w:rPr>
              <w:t>10</w:t>
            </w:r>
          </w:p>
        </w:tc>
        <w:tc>
          <w:tcPr>
            <w:tcW w:w="3857" w:type="dxa"/>
            <w:tcBorders>
              <w:top w:val="nil"/>
              <w:left w:val="nil"/>
              <w:bottom w:val="single" w:sz="4" w:space="0" w:color="auto"/>
              <w:right w:val="single" w:sz="4" w:space="0" w:color="auto"/>
            </w:tcBorders>
            <w:shd w:val="clear" w:color="000000" w:fill="FFFFFF"/>
            <w:noWrap/>
            <w:vAlign w:val="bottom"/>
            <w:hideMark/>
          </w:tcPr>
          <w:p w14:paraId="0D1141E9" w14:textId="77777777" w:rsidR="00BB0278" w:rsidRDefault="00BB0278">
            <w:pPr>
              <w:rPr>
                <w:rFonts w:ascii="Arial" w:hAnsi="Arial" w:cs="Arial"/>
                <w:color w:val="000000"/>
                <w:sz w:val="18"/>
                <w:szCs w:val="18"/>
              </w:rPr>
            </w:pPr>
            <w:r>
              <w:rPr>
                <w:rFonts w:ascii="Arial" w:hAnsi="Arial" w:cs="Arial"/>
                <w:color w:val="000000"/>
                <w:sz w:val="18"/>
                <w:szCs w:val="18"/>
              </w:rPr>
              <w:t>TRG DELA IN DELOVNI POGOJI</w:t>
            </w:r>
          </w:p>
        </w:tc>
        <w:tc>
          <w:tcPr>
            <w:tcW w:w="1154" w:type="dxa"/>
            <w:tcBorders>
              <w:top w:val="nil"/>
              <w:left w:val="nil"/>
              <w:bottom w:val="single" w:sz="4" w:space="0" w:color="auto"/>
              <w:right w:val="single" w:sz="4" w:space="0" w:color="auto"/>
            </w:tcBorders>
            <w:shd w:val="clear" w:color="000000" w:fill="FFFFFF"/>
            <w:noWrap/>
            <w:vAlign w:val="bottom"/>
            <w:hideMark/>
          </w:tcPr>
          <w:p w14:paraId="6A1A4934" w14:textId="77777777" w:rsidR="00BB0278" w:rsidRDefault="00BB0278">
            <w:pPr>
              <w:jc w:val="right"/>
              <w:rPr>
                <w:rFonts w:ascii="Arial" w:hAnsi="Arial" w:cs="Arial"/>
                <w:color w:val="000000"/>
                <w:sz w:val="18"/>
                <w:szCs w:val="18"/>
              </w:rPr>
            </w:pPr>
            <w:r>
              <w:rPr>
                <w:rFonts w:ascii="Arial" w:hAnsi="Arial" w:cs="Arial"/>
                <w:color w:val="000000"/>
                <w:sz w:val="18"/>
                <w:szCs w:val="18"/>
              </w:rPr>
              <w:t>100.000</w:t>
            </w:r>
          </w:p>
        </w:tc>
        <w:tc>
          <w:tcPr>
            <w:tcW w:w="1114" w:type="dxa"/>
            <w:tcBorders>
              <w:top w:val="nil"/>
              <w:left w:val="nil"/>
              <w:bottom w:val="single" w:sz="4" w:space="0" w:color="auto"/>
              <w:right w:val="single" w:sz="4" w:space="0" w:color="auto"/>
            </w:tcBorders>
            <w:shd w:val="clear" w:color="000000" w:fill="FFFFFF"/>
            <w:noWrap/>
            <w:vAlign w:val="bottom"/>
            <w:hideMark/>
          </w:tcPr>
          <w:p w14:paraId="0D774DA0" w14:textId="77777777" w:rsidR="00BB0278" w:rsidRDefault="00BB0278">
            <w:pPr>
              <w:jc w:val="right"/>
              <w:rPr>
                <w:rFonts w:ascii="Arial" w:hAnsi="Arial" w:cs="Arial"/>
                <w:color w:val="000000"/>
                <w:sz w:val="18"/>
                <w:szCs w:val="18"/>
              </w:rPr>
            </w:pPr>
            <w:r>
              <w:rPr>
                <w:rFonts w:ascii="Arial" w:hAnsi="Arial" w:cs="Arial"/>
                <w:color w:val="000000"/>
                <w:sz w:val="18"/>
                <w:szCs w:val="18"/>
              </w:rPr>
              <w:t>100.000</w:t>
            </w:r>
          </w:p>
        </w:tc>
        <w:tc>
          <w:tcPr>
            <w:tcW w:w="1134" w:type="dxa"/>
            <w:tcBorders>
              <w:top w:val="nil"/>
              <w:left w:val="nil"/>
              <w:bottom w:val="single" w:sz="4" w:space="0" w:color="auto"/>
              <w:right w:val="single" w:sz="4" w:space="0" w:color="auto"/>
            </w:tcBorders>
            <w:shd w:val="clear" w:color="000000" w:fill="FFFFFF"/>
            <w:noWrap/>
            <w:vAlign w:val="bottom"/>
            <w:hideMark/>
          </w:tcPr>
          <w:p w14:paraId="34E99EA9" w14:textId="77777777" w:rsidR="00BB0278" w:rsidRDefault="00BB0278">
            <w:pPr>
              <w:jc w:val="right"/>
              <w:rPr>
                <w:rFonts w:ascii="Arial" w:hAnsi="Arial" w:cs="Arial"/>
                <w:color w:val="000000"/>
                <w:sz w:val="18"/>
                <w:szCs w:val="18"/>
              </w:rPr>
            </w:pPr>
            <w:r>
              <w:rPr>
                <w:rFonts w:ascii="Arial" w:hAnsi="Arial" w:cs="Arial"/>
                <w:color w:val="000000"/>
                <w:sz w:val="18"/>
                <w:szCs w:val="18"/>
              </w:rPr>
              <w:t>100.000</w:t>
            </w:r>
          </w:p>
        </w:tc>
        <w:tc>
          <w:tcPr>
            <w:tcW w:w="728" w:type="dxa"/>
            <w:tcBorders>
              <w:top w:val="nil"/>
              <w:left w:val="nil"/>
              <w:bottom w:val="single" w:sz="4" w:space="0" w:color="auto"/>
              <w:right w:val="single" w:sz="4" w:space="0" w:color="auto"/>
            </w:tcBorders>
            <w:shd w:val="clear" w:color="000000" w:fill="FFFFFF"/>
            <w:noWrap/>
            <w:vAlign w:val="bottom"/>
            <w:hideMark/>
          </w:tcPr>
          <w:p w14:paraId="01788154" w14:textId="77777777" w:rsidR="00BB0278" w:rsidRDefault="00BB0278">
            <w:pPr>
              <w:jc w:val="right"/>
              <w:rPr>
                <w:rFonts w:ascii="Arial" w:hAnsi="Arial" w:cs="Arial"/>
                <w:color w:val="000000"/>
                <w:sz w:val="18"/>
                <w:szCs w:val="18"/>
              </w:rPr>
            </w:pPr>
            <w:r>
              <w:rPr>
                <w:rFonts w:ascii="Arial" w:hAnsi="Arial" w:cs="Arial"/>
                <w:color w:val="000000"/>
                <w:sz w:val="18"/>
                <w:szCs w:val="18"/>
              </w:rPr>
              <w:t>100,00</w:t>
            </w:r>
          </w:p>
        </w:tc>
        <w:tc>
          <w:tcPr>
            <w:tcW w:w="850" w:type="dxa"/>
            <w:tcBorders>
              <w:top w:val="nil"/>
              <w:left w:val="nil"/>
              <w:bottom w:val="single" w:sz="4" w:space="0" w:color="auto"/>
              <w:right w:val="single" w:sz="4" w:space="0" w:color="auto"/>
            </w:tcBorders>
            <w:shd w:val="clear" w:color="000000" w:fill="FFFFFF"/>
            <w:noWrap/>
            <w:vAlign w:val="bottom"/>
            <w:hideMark/>
          </w:tcPr>
          <w:p w14:paraId="07063562" w14:textId="77777777" w:rsidR="00BB0278" w:rsidRDefault="00BB0278">
            <w:pPr>
              <w:jc w:val="right"/>
              <w:rPr>
                <w:rFonts w:ascii="Arial" w:hAnsi="Arial" w:cs="Arial"/>
                <w:color w:val="000000"/>
                <w:sz w:val="18"/>
                <w:szCs w:val="18"/>
              </w:rPr>
            </w:pPr>
            <w:r>
              <w:rPr>
                <w:rFonts w:ascii="Arial" w:hAnsi="Arial" w:cs="Arial"/>
                <w:color w:val="000000"/>
                <w:sz w:val="18"/>
                <w:szCs w:val="18"/>
              </w:rPr>
              <w:t>100,00</w:t>
            </w:r>
          </w:p>
        </w:tc>
      </w:tr>
      <w:tr w:rsidR="002F1CC2" w14:paraId="66C0256F"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26C426D0" w14:textId="77777777" w:rsidR="00BB0278" w:rsidRDefault="00BB0278">
            <w:pPr>
              <w:rPr>
                <w:rFonts w:ascii="Arial" w:hAnsi="Arial" w:cs="Arial"/>
                <w:color w:val="000000"/>
                <w:sz w:val="18"/>
                <w:szCs w:val="18"/>
              </w:rPr>
            </w:pPr>
            <w:r>
              <w:rPr>
                <w:rFonts w:ascii="Arial" w:hAnsi="Arial" w:cs="Arial"/>
                <w:color w:val="000000"/>
                <w:sz w:val="18"/>
                <w:szCs w:val="18"/>
              </w:rPr>
              <w:t>11</w:t>
            </w:r>
          </w:p>
        </w:tc>
        <w:tc>
          <w:tcPr>
            <w:tcW w:w="3857" w:type="dxa"/>
            <w:tcBorders>
              <w:top w:val="nil"/>
              <w:left w:val="nil"/>
              <w:bottom w:val="single" w:sz="4" w:space="0" w:color="auto"/>
              <w:right w:val="single" w:sz="4" w:space="0" w:color="auto"/>
            </w:tcBorders>
            <w:shd w:val="clear" w:color="000000" w:fill="FFFFFF"/>
            <w:noWrap/>
            <w:vAlign w:val="bottom"/>
            <w:hideMark/>
          </w:tcPr>
          <w:p w14:paraId="4E11D1A4" w14:textId="77777777" w:rsidR="00BB0278" w:rsidRDefault="00BB0278">
            <w:pPr>
              <w:rPr>
                <w:rFonts w:ascii="Arial" w:hAnsi="Arial" w:cs="Arial"/>
                <w:color w:val="000000"/>
                <w:sz w:val="18"/>
                <w:szCs w:val="18"/>
              </w:rPr>
            </w:pPr>
            <w:r>
              <w:rPr>
                <w:rFonts w:ascii="Arial" w:hAnsi="Arial" w:cs="Arial"/>
                <w:color w:val="000000"/>
                <w:sz w:val="18"/>
                <w:szCs w:val="18"/>
              </w:rPr>
              <w:t>KMETIJSTVO, GOZDARSTVO IN RIBIŠTVO</w:t>
            </w:r>
          </w:p>
        </w:tc>
        <w:tc>
          <w:tcPr>
            <w:tcW w:w="1154" w:type="dxa"/>
            <w:tcBorders>
              <w:top w:val="nil"/>
              <w:left w:val="nil"/>
              <w:bottom w:val="single" w:sz="4" w:space="0" w:color="auto"/>
              <w:right w:val="single" w:sz="4" w:space="0" w:color="auto"/>
            </w:tcBorders>
            <w:shd w:val="clear" w:color="000000" w:fill="FFFFFF"/>
            <w:noWrap/>
            <w:vAlign w:val="bottom"/>
            <w:hideMark/>
          </w:tcPr>
          <w:p w14:paraId="1CA45B22" w14:textId="77777777" w:rsidR="00BB0278" w:rsidRDefault="00BB0278">
            <w:pPr>
              <w:jc w:val="right"/>
              <w:rPr>
                <w:rFonts w:ascii="Arial" w:hAnsi="Arial" w:cs="Arial"/>
                <w:color w:val="000000"/>
                <w:sz w:val="18"/>
                <w:szCs w:val="18"/>
              </w:rPr>
            </w:pPr>
            <w:r>
              <w:rPr>
                <w:rFonts w:ascii="Arial" w:hAnsi="Arial" w:cs="Arial"/>
                <w:color w:val="000000"/>
                <w:sz w:val="18"/>
                <w:szCs w:val="18"/>
              </w:rPr>
              <w:t>1.115.122</w:t>
            </w:r>
          </w:p>
        </w:tc>
        <w:tc>
          <w:tcPr>
            <w:tcW w:w="1114" w:type="dxa"/>
            <w:tcBorders>
              <w:top w:val="nil"/>
              <w:left w:val="nil"/>
              <w:bottom w:val="single" w:sz="4" w:space="0" w:color="auto"/>
              <w:right w:val="single" w:sz="4" w:space="0" w:color="auto"/>
            </w:tcBorders>
            <w:shd w:val="clear" w:color="000000" w:fill="FFFFFF"/>
            <w:noWrap/>
            <w:vAlign w:val="bottom"/>
            <w:hideMark/>
          </w:tcPr>
          <w:p w14:paraId="6848DB5A" w14:textId="77777777" w:rsidR="00BB0278" w:rsidRDefault="00BB0278">
            <w:pPr>
              <w:jc w:val="right"/>
              <w:rPr>
                <w:rFonts w:ascii="Arial" w:hAnsi="Arial" w:cs="Arial"/>
                <w:color w:val="000000"/>
                <w:sz w:val="18"/>
                <w:szCs w:val="18"/>
              </w:rPr>
            </w:pPr>
            <w:r>
              <w:rPr>
                <w:rFonts w:ascii="Arial" w:hAnsi="Arial" w:cs="Arial"/>
                <w:color w:val="000000"/>
                <w:sz w:val="18"/>
                <w:szCs w:val="18"/>
              </w:rPr>
              <w:t>1.007.099</w:t>
            </w:r>
          </w:p>
        </w:tc>
        <w:tc>
          <w:tcPr>
            <w:tcW w:w="1134" w:type="dxa"/>
            <w:tcBorders>
              <w:top w:val="nil"/>
              <w:left w:val="nil"/>
              <w:bottom w:val="single" w:sz="4" w:space="0" w:color="auto"/>
              <w:right w:val="single" w:sz="4" w:space="0" w:color="auto"/>
            </w:tcBorders>
            <w:shd w:val="clear" w:color="000000" w:fill="FFFFFF"/>
            <w:noWrap/>
            <w:vAlign w:val="bottom"/>
            <w:hideMark/>
          </w:tcPr>
          <w:p w14:paraId="4E13E7C8" w14:textId="77777777" w:rsidR="00BB0278" w:rsidRDefault="00BB0278">
            <w:pPr>
              <w:jc w:val="right"/>
              <w:rPr>
                <w:rFonts w:ascii="Arial" w:hAnsi="Arial" w:cs="Arial"/>
                <w:color w:val="000000"/>
                <w:sz w:val="18"/>
                <w:szCs w:val="18"/>
              </w:rPr>
            </w:pPr>
            <w:r>
              <w:rPr>
                <w:rFonts w:ascii="Arial" w:hAnsi="Arial" w:cs="Arial"/>
                <w:color w:val="000000"/>
                <w:sz w:val="18"/>
                <w:szCs w:val="18"/>
              </w:rPr>
              <w:t>648.901</w:t>
            </w:r>
          </w:p>
        </w:tc>
        <w:tc>
          <w:tcPr>
            <w:tcW w:w="728" w:type="dxa"/>
            <w:tcBorders>
              <w:top w:val="nil"/>
              <w:left w:val="nil"/>
              <w:bottom w:val="single" w:sz="4" w:space="0" w:color="auto"/>
              <w:right w:val="single" w:sz="4" w:space="0" w:color="auto"/>
            </w:tcBorders>
            <w:shd w:val="clear" w:color="000000" w:fill="FFFFFF"/>
            <w:noWrap/>
            <w:vAlign w:val="bottom"/>
            <w:hideMark/>
          </w:tcPr>
          <w:p w14:paraId="6CAFC68F" w14:textId="77777777" w:rsidR="00BB0278" w:rsidRDefault="00BB0278">
            <w:pPr>
              <w:jc w:val="right"/>
              <w:rPr>
                <w:rFonts w:ascii="Arial" w:hAnsi="Arial" w:cs="Arial"/>
                <w:color w:val="000000"/>
                <w:sz w:val="18"/>
                <w:szCs w:val="18"/>
              </w:rPr>
            </w:pPr>
            <w:r>
              <w:rPr>
                <w:rFonts w:ascii="Arial" w:hAnsi="Arial" w:cs="Arial"/>
                <w:color w:val="000000"/>
                <w:sz w:val="18"/>
                <w:szCs w:val="18"/>
              </w:rPr>
              <w:t>58,19</w:t>
            </w:r>
          </w:p>
        </w:tc>
        <w:tc>
          <w:tcPr>
            <w:tcW w:w="850" w:type="dxa"/>
            <w:tcBorders>
              <w:top w:val="nil"/>
              <w:left w:val="nil"/>
              <w:bottom w:val="single" w:sz="4" w:space="0" w:color="auto"/>
              <w:right w:val="single" w:sz="4" w:space="0" w:color="auto"/>
            </w:tcBorders>
            <w:shd w:val="clear" w:color="000000" w:fill="FFFFFF"/>
            <w:noWrap/>
            <w:vAlign w:val="bottom"/>
            <w:hideMark/>
          </w:tcPr>
          <w:p w14:paraId="2E615329" w14:textId="77777777" w:rsidR="00BB0278" w:rsidRDefault="00BB0278">
            <w:pPr>
              <w:jc w:val="right"/>
              <w:rPr>
                <w:rFonts w:ascii="Arial" w:hAnsi="Arial" w:cs="Arial"/>
                <w:color w:val="000000"/>
                <w:sz w:val="18"/>
                <w:szCs w:val="18"/>
              </w:rPr>
            </w:pPr>
            <w:r>
              <w:rPr>
                <w:rFonts w:ascii="Arial" w:hAnsi="Arial" w:cs="Arial"/>
                <w:color w:val="000000"/>
                <w:sz w:val="18"/>
                <w:szCs w:val="18"/>
              </w:rPr>
              <w:t>64,43</w:t>
            </w:r>
          </w:p>
        </w:tc>
      </w:tr>
      <w:tr w:rsidR="002F1CC2" w14:paraId="7CA8A2BD"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7468EF7C" w14:textId="77777777" w:rsidR="00BB0278" w:rsidRDefault="00BB0278">
            <w:pPr>
              <w:rPr>
                <w:rFonts w:ascii="Arial" w:hAnsi="Arial" w:cs="Arial"/>
                <w:color w:val="000000"/>
                <w:sz w:val="18"/>
                <w:szCs w:val="18"/>
              </w:rPr>
            </w:pPr>
            <w:r>
              <w:rPr>
                <w:rFonts w:ascii="Arial" w:hAnsi="Arial" w:cs="Arial"/>
                <w:color w:val="000000"/>
                <w:sz w:val="18"/>
                <w:szCs w:val="18"/>
              </w:rPr>
              <w:t>12</w:t>
            </w:r>
          </w:p>
        </w:tc>
        <w:tc>
          <w:tcPr>
            <w:tcW w:w="3857" w:type="dxa"/>
            <w:tcBorders>
              <w:top w:val="nil"/>
              <w:left w:val="nil"/>
              <w:bottom w:val="single" w:sz="4" w:space="0" w:color="auto"/>
              <w:right w:val="single" w:sz="4" w:space="0" w:color="auto"/>
            </w:tcBorders>
            <w:shd w:val="clear" w:color="000000" w:fill="FFFFFF"/>
            <w:noWrap/>
            <w:vAlign w:val="bottom"/>
            <w:hideMark/>
          </w:tcPr>
          <w:p w14:paraId="78B851EB" w14:textId="77777777" w:rsidR="00BB0278" w:rsidRDefault="00BB0278">
            <w:pPr>
              <w:rPr>
                <w:rFonts w:ascii="Arial" w:hAnsi="Arial" w:cs="Arial"/>
                <w:color w:val="000000"/>
                <w:sz w:val="18"/>
                <w:szCs w:val="18"/>
              </w:rPr>
            </w:pPr>
            <w:r>
              <w:rPr>
                <w:rFonts w:ascii="Arial" w:hAnsi="Arial" w:cs="Arial"/>
                <w:color w:val="000000"/>
                <w:sz w:val="18"/>
                <w:szCs w:val="18"/>
              </w:rPr>
              <w:t>PRIDOBIVANJE IN DISTRIBUCIJA ENERGETSKIH SUROVIN</w:t>
            </w:r>
          </w:p>
        </w:tc>
        <w:tc>
          <w:tcPr>
            <w:tcW w:w="1154" w:type="dxa"/>
            <w:tcBorders>
              <w:top w:val="nil"/>
              <w:left w:val="nil"/>
              <w:bottom w:val="single" w:sz="4" w:space="0" w:color="auto"/>
              <w:right w:val="single" w:sz="4" w:space="0" w:color="auto"/>
            </w:tcBorders>
            <w:shd w:val="clear" w:color="000000" w:fill="FFFFFF"/>
            <w:noWrap/>
            <w:vAlign w:val="bottom"/>
            <w:hideMark/>
          </w:tcPr>
          <w:p w14:paraId="522B9789" w14:textId="77777777" w:rsidR="00BB0278" w:rsidRDefault="00BB0278">
            <w:pPr>
              <w:jc w:val="right"/>
              <w:rPr>
                <w:rFonts w:ascii="Arial" w:hAnsi="Arial" w:cs="Arial"/>
                <w:color w:val="000000"/>
                <w:sz w:val="18"/>
                <w:szCs w:val="18"/>
              </w:rPr>
            </w:pPr>
            <w:r>
              <w:rPr>
                <w:rFonts w:ascii="Arial" w:hAnsi="Arial" w:cs="Arial"/>
                <w:color w:val="000000"/>
                <w:sz w:val="18"/>
                <w:szCs w:val="18"/>
              </w:rPr>
              <w:t>285.000</w:t>
            </w:r>
          </w:p>
        </w:tc>
        <w:tc>
          <w:tcPr>
            <w:tcW w:w="1114" w:type="dxa"/>
            <w:tcBorders>
              <w:top w:val="nil"/>
              <w:left w:val="nil"/>
              <w:bottom w:val="single" w:sz="4" w:space="0" w:color="auto"/>
              <w:right w:val="single" w:sz="4" w:space="0" w:color="auto"/>
            </w:tcBorders>
            <w:shd w:val="clear" w:color="000000" w:fill="FFFFFF"/>
            <w:noWrap/>
            <w:vAlign w:val="bottom"/>
            <w:hideMark/>
          </w:tcPr>
          <w:p w14:paraId="6D6143A6" w14:textId="77777777" w:rsidR="00BB0278" w:rsidRDefault="00BB0278">
            <w:pPr>
              <w:jc w:val="right"/>
              <w:rPr>
                <w:rFonts w:ascii="Arial" w:hAnsi="Arial" w:cs="Arial"/>
                <w:color w:val="000000"/>
                <w:sz w:val="18"/>
                <w:szCs w:val="18"/>
              </w:rPr>
            </w:pPr>
            <w:r>
              <w:rPr>
                <w:rFonts w:ascii="Arial" w:hAnsi="Arial" w:cs="Arial"/>
                <w:color w:val="000000"/>
                <w:sz w:val="18"/>
                <w:szCs w:val="18"/>
              </w:rPr>
              <w:t>995.000</w:t>
            </w:r>
          </w:p>
        </w:tc>
        <w:tc>
          <w:tcPr>
            <w:tcW w:w="1134" w:type="dxa"/>
            <w:tcBorders>
              <w:top w:val="nil"/>
              <w:left w:val="nil"/>
              <w:bottom w:val="single" w:sz="4" w:space="0" w:color="auto"/>
              <w:right w:val="single" w:sz="4" w:space="0" w:color="auto"/>
            </w:tcBorders>
            <w:shd w:val="clear" w:color="000000" w:fill="FFFFFF"/>
            <w:noWrap/>
            <w:vAlign w:val="bottom"/>
            <w:hideMark/>
          </w:tcPr>
          <w:p w14:paraId="476D3230" w14:textId="77777777" w:rsidR="00BB0278" w:rsidRDefault="00BB0278">
            <w:pPr>
              <w:jc w:val="right"/>
              <w:rPr>
                <w:rFonts w:ascii="Arial" w:hAnsi="Arial" w:cs="Arial"/>
                <w:color w:val="000000"/>
                <w:sz w:val="18"/>
                <w:szCs w:val="18"/>
              </w:rPr>
            </w:pPr>
            <w:r>
              <w:rPr>
                <w:rFonts w:ascii="Arial" w:hAnsi="Arial" w:cs="Arial"/>
                <w:color w:val="000000"/>
                <w:sz w:val="18"/>
                <w:szCs w:val="18"/>
              </w:rPr>
              <w:t>925.000</w:t>
            </w:r>
          </w:p>
        </w:tc>
        <w:tc>
          <w:tcPr>
            <w:tcW w:w="728" w:type="dxa"/>
            <w:tcBorders>
              <w:top w:val="nil"/>
              <w:left w:val="nil"/>
              <w:bottom w:val="single" w:sz="4" w:space="0" w:color="auto"/>
              <w:right w:val="single" w:sz="4" w:space="0" w:color="auto"/>
            </w:tcBorders>
            <w:shd w:val="clear" w:color="000000" w:fill="FFFFFF"/>
            <w:noWrap/>
            <w:vAlign w:val="bottom"/>
            <w:hideMark/>
          </w:tcPr>
          <w:p w14:paraId="432B3115" w14:textId="77777777" w:rsidR="00BB0278" w:rsidRDefault="00BB0278">
            <w:pPr>
              <w:jc w:val="right"/>
              <w:rPr>
                <w:rFonts w:ascii="Arial" w:hAnsi="Arial" w:cs="Arial"/>
                <w:color w:val="000000"/>
                <w:sz w:val="18"/>
                <w:szCs w:val="18"/>
              </w:rPr>
            </w:pPr>
            <w:r>
              <w:rPr>
                <w:rFonts w:ascii="Arial" w:hAnsi="Arial" w:cs="Arial"/>
                <w:color w:val="000000"/>
                <w:sz w:val="18"/>
                <w:szCs w:val="18"/>
              </w:rPr>
              <w:t>324,56</w:t>
            </w:r>
          </w:p>
        </w:tc>
        <w:tc>
          <w:tcPr>
            <w:tcW w:w="850" w:type="dxa"/>
            <w:tcBorders>
              <w:top w:val="nil"/>
              <w:left w:val="nil"/>
              <w:bottom w:val="single" w:sz="4" w:space="0" w:color="auto"/>
              <w:right w:val="single" w:sz="4" w:space="0" w:color="auto"/>
            </w:tcBorders>
            <w:shd w:val="clear" w:color="000000" w:fill="FFFFFF"/>
            <w:noWrap/>
            <w:vAlign w:val="bottom"/>
            <w:hideMark/>
          </w:tcPr>
          <w:p w14:paraId="6B06BDB4" w14:textId="77777777" w:rsidR="00BB0278" w:rsidRDefault="00BB0278">
            <w:pPr>
              <w:jc w:val="right"/>
              <w:rPr>
                <w:rFonts w:ascii="Arial" w:hAnsi="Arial" w:cs="Arial"/>
                <w:color w:val="000000"/>
                <w:sz w:val="18"/>
                <w:szCs w:val="18"/>
              </w:rPr>
            </w:pPr>
            <w:r>
              <w:rPr>
                <w:rFonts w:ascii="Arial" w:hAnsi="Arial" w:cs="Arial"/>
                <w:color w:val="000000"/>
                <w:sz w:val="18"/>
                <w:szCs w:val="18"/>
              </w:rPr>
              <w:t>92,96</w:t>
            </w:r>
          </w:p>
        </w:tc>
      </w:tr>
      <w:tr w:rsidR="002F1CC2" w14:paraId="4B65C199"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6C7832B4" w14:textId="77777777" w:rsidR="00BB0278" w:rsidRDefault="00BB0278">
            <w:pPr>
              <w:rPr>
                <w:rFonts w:ascii="Arial" w:hAnsi="Arial" w:cs="Arial"/>
                <w:color w:val="000000"/>
                <w:sz w:val="18"/>
                <w:szCs w:val="18"/>
              </w:rPr>
            </w:pPr>
            <w:r>
              <w:rPr>
                <w:rFonts w:ascii="Arial" w:hAnsi="Arial" w:cs="Arial"/>
                <w:color w:val="000000"/>
                <w:sz w:val="18"/>
                <w:szCs w:val="18"/>
              </w:rPr>
              <w:t>13</w:t>
            </w:r>
          </w:p>
        </w:tc>
        <w:tc>
          <w:tcPr>
            <w:tcW w:w="3857" w:type="dxa"/>
            <w:tcBorders>
              <w:top w:val="nil"/>
              <w:left w:val="nil"/>
              <w:bottom w:val="single" w:sz="4" w:space="0" w:color="auto"/>
              <w:right w:val="single" w:sz="4" w:space="0" w:color="auto"/>
            </w:tcBorders>
            <w:shd w:val="clear" w:color="000000" w:fill="FFFFFF"/>
            <w:noWrap/>
            <w:vAlign w:val="bottom"/>
            <w:hideMark/>
          </w:tcPr>
          <w:p w14:paraId="5A3E21F1" w14:textId="77777777" w:rsidR="00BB0278" w:rsidRDefault="00BB0278">
            <w:pPr>
              <w:rPr>
                <w:rFonts w:ascii="Arial" w:hAnsi="Arial" w:cs="Arial"/>
                <w:color w:val="000000"/>
                <w:sz w:val="18"/>
                <w:szCs w:val="18"/>
              </w:rPr>
            </w:pPr>
            <w:r>
              <w:rPr>
                <w:rFonts w:ascii="Arial" w:hAnsi="Arial" w:cs="Arial"/>
                <w:color w:val="000000"/>
                <w:sz w:val="18"/>
                <w:szCs w:val="18"/>
              </w:rPr>
              <w:t>PROMET, PROMETNA INFRASTRUKTURA IN KOMUNIKACIJE</w:t>
            </w:r>
          </w:p>
        </w:tc>
        <w:tc>
          <w:tcPr>
            <w:tcW w:w="1154" w:type="dxa"/>
            <w:tcBorders>
              <w:top w:val="nil"/>
              <w:left w:val="nil"/>
              <w:bottom w:val="single" w:sz="4" w:space="0" w:color="auto"/>
              <w:right w:val="single" w:sz="4" w:space="0" w:color="auto"/>
            </w:tcBorders>
            <w:shd w:val="clear" w:color="000000" w:fill="FFFFFF"/>
            <w:noWrap/>
            <w:vAlign w:val="bottom"/>
            <w:hideMark/>
          </w:tcPr>
          <w:p w14:paraId="1CA912D0" w14:textId="77777777" w:rsidR="00BB0278" w:rsidRDefault="00BB0278">
            <w:pPr>
              <w:jc w:val="right"/>
              <w:rPr>
                <w:rFonts w:ascii="Arial" w:hAnsi="Arial" w:cs="Arial"/>
                <w:color w:val="000000"/>
                <w:sz w:val="18"/>
                <w:szCs w:val="18"/>
              </w:rPr>
            </w:pPr>
            <w:r>
              <w:rPr>
                <w:rFonts w:ascii="Arial" w:hAnsi="Arial" w:cs="Arial"/>
                <w:color w:val="000000"/>
                <w:sz w:val="18"/>
                <w:szCs w:val="18"/>
              </w:rPr>
              <w:t>8.453.588</w:t>
            </w:r>
          </w:p>
        </w:tc>
        <w:tc>
          <w:tcPr>
            <w:tcW w:w="1114" w:type="dxa"/>
            <w:tcBorders>
              <w:top w:val="nil"/>
              <w:left w:val="nil"/>
              <w:bottom w:val="single" w:sz="4" w:space="0" w:color="auto"/>
              <w:right w:val="single" w:sz="4" w:space="0" w:color="auto"/>
            </w:tcBorders>
            <w:shd w:val="clear" w:color="000000" w:fill="FFFFFF"/>
            <w:noWrap/>
            <w:vAlign w:val="bottom"/>
            <w:hideMark/>
          </w:tcPr>
          <w:p w14:paraId="1D437D7F" w14:textId="77777777" w:rsidR="00BB0278" w:rsidRDefault="00BB0278">
            <w:pPr>
              <w:jc w:val="right"/>
              <w:rPr>
                <w:rFonts w:ascii="Arial" w:hAnsi="Arial" w:cs="Arial"/>
                <w:color w:val="000000"/>
                <w:sz w:val="18"/>
                <w:szCs w:val="18"/>
              </w:rPr>
            </w:pPr>
            <w:r>
              <w:rPr>
                <w:rFonts w:ascii="Arial" w:hAnsi="Arial" w:cs="Arial"/>
                <w:color w:val="000000"/>
                <w:sz w:val="18"/>
                <w:szCs w:val="18"/>
              </w:rPr>
              <w:t>4.045.300</w:t>
            </w:r>
          </w:p>
        </w:tc>
        <w:tc>
          <w:tcPr>
            <w:tcW w:w="1134" w:type="dxa"/>
            <w:tcBorders>
              <w:top w:val="nil"/>
              <w:left w:val="nil"/>
              <w:bottom w:val="single" w:sz="4" w:space="0" w:color="auto"/>
              <w:right w:val="single" w:sz="4" w:space="0" w:color="auto"/>
            </w:tcBorders>
            <w:shd w:val="clear" w:color="000000" w:fill="FFFFFF"/>
            <w:noWrap/>
            <w:vAlign w:val="bottom"/>
            <w:hideMark/>
          </w:tcPr>
          <w:p w14:paraId="41323300" w14:textId="77777777" w:rsidR="00BB0278" w:rsidRDefault="00BB0278">
            <w:pPr>
              <w:jc w:val="right"/>
              <w:rPr>
                <w:rFonts w:ascii="Arial" w:hAnsi="Arial" w:cs="Arial"/>
                <w:color w:val="000000"/>
                <w:sz w:val="18"/>
                <w:szCs w:val="18"/>
              </w:rPr>
            </w:pPr>
            <w:r>
              <w:rPr>
                <w:rFonts w:ascii="Arial" w:hAnsi="Arial" w:cs="Arial"/>
                <w:color w:val="000000"/>
                <w:sz w:val="18"/>
                <w:szCs w:val="18"/>
              </w:rPr>
              <w:t>4.926.598</w:t>
            </w:r>
          </w:p>
        </w:tc>
        <w:tc>
          <w:tcPr>
            <w:tcW w:w="728" w:type="dxa"/>
            <w:tcBorders>
              <w:top w:val="nil"/>
              <w:left w:val="nil"/>
              <w:bottom w:val="single" w:sz="4" w:space="0" w:color="auto"/>
              <w:right w:val="single" w:sz="4" w:space="0" w:color="auto"/>
            </w:tcBorders>
            <w:shd w:val="clear" w:color="000000" w:fill="FFFFFF"/>
            <w:noWrap/>
            <w:vAlign w:val="bottom"/>
            <w:hideMark/>
          </w:tcPr>
          <w:p w14:paraId="3DDB53E0" w14:textId="77777777" w:rsidR="00BB0278" w:rsidRDefault="00BB0278">
            <w:pPr>
              <w:jc w:val="right"/>
              <w:rPr>
                <w:rFonts w:ascii="Arial" w:hAnsi="Arial" w:cs="Arial"/>
                <w:color w:val="000000"/>
                <w:sz w:val="18"/>
                <w:szCs w:val="18"/>
              </w:rPr>
            </w:pPr>
            <w:r>
              <w:rPr>
                <w:rFonts w:ascii="Arial" w:hAnsi="Arial" w:cs="Arial"/>
                <w:color w:val="000000"/>
                <w:sz w:val="18"/>
                <w:szCs w:val="18"/>
              </w:rPr>
              <w:t>58,28</w:t>
            </w:r>
          </w:p>
        </w:tc>
        <w:tc>
          <w:tcPr>
            <w:tcW w:w="850" w:type="dxa"/>
            <w:tcBorders>
              <w:top w:val="nil"/>
              <w:left w:val="nil"/>
              <w:bottom w:val="single" w:sz="4" w:space="0" w:color="auto"/>
              <w:right w:val="single" w:sz="4" w:space="0" w:color="auto"/>
            </w:tcBorders>
            <w:shd w:val="clear" w:color="000000" w:fill="FFFFFF"/>
            <w:noWrap/>
            <w:vAlign w:val="bottom"/>
            <w:hideMark/>
          </w:tcPr>
          <w:p w14:paraId="222DA027" w14:textId="77777777" w:rsidR="00BB0278" w:rsidRDefault="00BB0278">
            <w:pPr>
              <w:jc w:val="right"/>
              <w:rPr>
                <w:rFonts w:ascii="Arial" w:hAnsi="Arial" w:cs="Arial"/>
                <w:color w:val="000000"/>
                <w:sz w:val="18"/>
                <w:szCs w:val="18"/>
              </w:rPr>
            </w:pPr>
            <w:r>
              <w:rPr>
                <w:rFonts w:ascii="Arial" w:hAnsi="Arial" w:cs="Arial"/>
                <w:color w:val="000000"/>
                <w:sz w:val="18"/>
                <w:szCs w:val="18"/>
              </w:rPr>
              <w:t>121,79</w:t>
            </w:r>
          </w:p>
        </w:tc>
      </w:tr>
      <w:tr w:rsidR="002F1CC2" w14:paraId="19C55BDA"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19C0E4B9" w14:textId="77777777" w:rsidR="00BB0278" w:rsidRDefault="00BB0278">
            <w:pPr>
              <w:rPr>
                <w:rFonts w:ascii="Arial" w:hAnsi="Arial" w:cs="Arial"/>
                <w:color w:val="000000"/>
                <w:sz w:val="18"/>
                <w:szCs w:val="18"/>
              </w:rPr>
            </w:pPr>
            <w:r>
              <w:rPr>
                <w:rFonts w:ascii="Arial" w:hAnsi="Arial" w:cs="Arial"/>
                <w:color w:val="000000"/>
                <w:sz w:val="18"/>
                <w:szCs w:val="18"/>
              </w:rPr>
              <w:t>14</w:t>
            </w:r>
          </w:p>
        </w:tc>
        <w:tc>
          <w:tcPr>
            <w:tcW w:w="3857" w:type="dxa"/>
            <w:tcBorders>
              <w:top w:val="nil"/>
              <w:left w:val="nil"/>
              <w:bottom w:val="single" w:sz="4" w:space="0" w:color="auto"/>
              <w:right w:val="single" w:sz="4" w:space="0" w:color="auto"/>
            </w:tcBorders>
            <w:shd w:val="clear" w:color="000000" w:fill="FFFFFF"/>
            <w:noWrap/>
            <w:vAlign w:val="bottom"/>
            <w:hideMark/>
          </w:tcPr>
          <w:p w14:paraId="18135464" w14:textId="77777777" w:rsidR="00BB0278" w:rsidRDefault="00BB0278">
            <w:pPr>
              <w:rPr>
                <w:rFonts w:ascii="Arial" w:hAnsi="Arial" w:cs="Arial"/>
                <w:color w:val="000000"/>
                <w:sz w:val="18"/>
                <w:szCs w:val="18"/>
              </w:rPr>
            </w:pPr>
            <w:r>
              <w:rPr>
                <w:rFonts w:ascii="Arial" w:hAnsi="Arial" w:cs="Arial"/>
                <w:color w:val="000000"/>
                <w:sz w:val="18"/>
                <w:szCs w:val="18"/>
              </w:rPr>
              <w:t>GOSPODARSTVO</w:t>
            </w:r>
          </w:p>
        </w:tc>
        <w:tc>
          <w:tcPr>
            <w:tcW w:w="1154" w:type="dxa"/>
            <w:tcBorders>
              <w:top w:val="nil"/>
              <w:left w:val="nil"/>
              <w:bottom w:val="single" w:sz="4" w:space="0" w:color="auto"/>
              <w:right w:val="single" w:sz="4" w:space="0" w:color="auto"/>
            </w:tcBorders>
            <w:shd w:val="clear" w:color="000000" w:fill="FFFFFF"/>
            <w:noWrap/>
            <w:vAlign w:val="bottom"/>
            <w:hideMark/>
          </w:tcPr>
          <w:p w14:paraId="3899493C" w14:textId="77777777" w:rsidR="00BB0278" w:rsidRDefault="00BB0278">
            <w:pPr>
              <w:jc w:val="right"/>
              <w:rPr>
                <w:rFonts w:ascii="Arial" w:hAnsi="Arial" w:cs="Arial"/>
                <w:color w:val="000000"/>
                <w:sz w:val="18"/>
                <w:szCs w:val="18"/>
              </w:rPr>
            </w:pPr>
            <w:r>
              <w:rPr>
                <w:rFonts w:ascii="Arial" w:hAnsi="Arial" w:cs="Arial"/>
                <w:color w:val="000000"/>
                <w:sz w:val="18"/>
                <w:szCs w:val="18"/>
              </w:rPr>
              <w:t>1.396.808</w:t>
            </w:r>
          </w:p>
        </w:tc>
        <w:tc>
          <w:tcPr>
            <w:tcW w:w="1114" w:type="dxa"/>
            <w:tcBorders>
              <w:top w:val="nil"/>
              <w:left w:val="nil"/>
              <w:bottom w:val="single" w:sz="4" w:space="0" w:color="auto"/>
              <w:right w:val="single" w:sz="4" w:space="0" w:color="auto"/>
            </w:tcBorders>
            <w:shd w:val="clear" w:color="000000" w:fill="FFFFFF"/>
            <w:noWrap/>
            <w:vAlign w:val="bottom"/>
            <w:hideMark/>
          </w:tcPr>
          <w:p w14:paraId="6B9B5285" w14:textId="77777777" w:rsidR="00BB0278" w:rsidRDefault="00BB0278">
            <w:pPr>
              <w:jc w:val="right"/>
              <w:rPr>
                <w:rFonts w:ascii="Arial" w:hAnsi="Arial" w:cs="Arial"/>
                <w:color w:val="000000"/>
                <w:sz w:val="18"/>
                <w:szCs w:val="18"/>
              </w:rPr>
            </w:pPr>
            <w:r>
              <w:rPr>
                <w:rFonts w:ascii="Arial" w:hAnsi="Arial" w:cs="Arial"/>
                <w:color w:val="000000"/>
                <w:sz w:val="18"/>
                <w:szCs w:val="18"/>
              </w:rPr>
              <w:t>1.914.050</w:t>
            </w:r>
          </w:p>
        </w:tc>
        <w:tc>
          <w:tcPr>
            <w:tcW w:w="1134" w:type="dxa"/>
            <w:tcBorders>
              <w:top w:val="nil"/>
              <w:left w:val="nil"/>
              <w:bottom w:val="single" w:sz="4" w:space="0" w:color="auto"/>
              <w:right w:val="single" w:sz="4" w:space="0" w:color="auto"/>
            </w:tcBorders>
            <w:shd w:val="clear" w:color="000000" w:fill="FFFFFF"/>
            <w:noWrap/>
            <w:vAlign w:val="bottom"/>
            <w:hideMark/>
          </w:tcPr>
          <w:p w14:paraId="40B99C59" w14:textId="77777777" w:rsidR="00BB0278" w:rsidRDefault="00BB0278">
            <w:pPr>
              <w:jc w:val="right"/>
              <w:rPr>
                <w:rFonts w:ascii="Arial" w:hAnsi="Arial" w:cs="Arial"/>
                <w:color w:val="000000"/>
                <w:sz w:val="18"/>
                <w:szCs w:val="18"/>
              </w:rPr>
            </w:pPr>
            <w:r>
              <w:rPr>
                <w:rFonts w:ascii="Arial" w:hAnsi="Arial" w:cs="Arial"/>
                <w:color w:val="000000"/>
                <w:sz w:val="18"/>
                <w:szCs w:val="18"/>
              </w:rPr>
              <w:t>1.499.272</w:t>
            </w:r>
          </w:p>
        </w:tc>
        <w:tc>
          <w:tcPr>
            <w:tcW w:w="728" w:type="dxa"/>
            <w:tcBorders>
              <w:top w:val="nil"/>
              <w:left w:val="nil"/>
              <w:bottom w:val="single" w:sz="4" w:space="0" w:color="auto"/>
              <w:right w:val="single" w:sz="4" w:space="0" w:color="auto"/>
            </w:tcBorders>
            <w:shd w:val="clear" w:color="000000" w:fill="FFFFFF"/>
            <w:noWrap/>
            <w:vAlign w:val="bottom"/>
            <w:hideMark/>
          </w:tcPr>
          <w:p w14:paraId="2BAFC8B1" w14:textId="77777777" w:rsidR="00BB0278" w:rsidRDefault="00BB0278">
            <w:pPr>
              <w:jc w:val="right"/>
              <w:rPr>
                <w:rFonts w:ascii="Arial" w:hAnsi="Arial" w:cs="Arial"/>
                <w:color w:val="000000"/>
                <w:sz w:val="18"/>
                <w:szCs w:val="18"/>
              </w:rPr>
            </w:pPr>
            <w:r>
              <w:rPr>
                <w:rFonts w:ascii="Arial" w:hAnsi="Arial" w:cs="Arial"/>
                <w:color w:val="000000"/>
                <w:sz w:val="18"/>
                <w:szCs w:val="18"/>
              </w:rPr>
              <w:t>107,34</w:t>
            </w:r>
          </w:p>
        </w:tc>
        <w:tc>
          <w:tcPr>
            <w:tcW w:w="850" w:type="dxa"/>
            <w:tcBorders>
              <w:top w:val="nil"/>
              <w:left w:val="nil"/>
              <w:bottom w:val="single" w:sz="4" w:space="0" w:color="auto"/>
              <w:right w:val="single" w:sz="4" w:space="0" w:color="auto"/>
            </w:tcBorders>
            <w:shd w:val="clear" w:color="000000" w:fill="FFFFFF"/>
            <w:noWrap/>
            <w:vAlign w:val="bottom"/>
            <w:hideMark/>
          </w:tcPr>
          <w:p w14:paraId="11B2F749" w14:textId="77777777" w:rsidR="00BB0278" w:rsidRDefault="00BB0278">
            <w:pPr>
              <w:jc w:val="right"/>
              <w:rPr>
                <w:rFonts w:ascii="Arial" w:hAnsi="Arial" w:cs="Arial"/>
                <w:color w:val="000000"/>
                <w:sz w:val="18"/>
                <w:szCs w:val="18"/>
              </w:rPr>
            </w:pPr>
            <w:r>
              <w:rPr>
                <w:rFonts w:ascii="Arial" w:hAnsi="Arial" w:cs="Arial"/>
                <w:color w:val="000000"/>
                <w:sz w:val="18"/>
                <w:szCs w:val="18"/>
              </w:rPr>
              <w:t>78,33</w:t>
            </w:r>
          </w:p>
        </w:tc>
      </w:tr>
      <w:tr w:rsidR="002F1CC2" w14:paraId="13BBF74A"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436173BE" w14:textId="77777777" w:rsidR="00BB0278" w:rsidRDefault="00BB0278">
            <w:pPr>
              <w:rPr>
                <w:rFonts w:ascii="Arial" w:hAnsi="Arial" w:cs="Arial"/>
                <w:color w:val="000000"/>
                <w:sz w:val="18"/>
                <w:szCs w:val="18"/>
              </w:rPr>
            </w:pPr>
            <w:r>
              <w:rPr>
                <w:rFonts w:ascii="Arial" w:hAnsi="Arial" w:cs="Arial"/>
                <w:color w:val="000000"/>
                <w:sz w:val="18"/>
                <w:szCs w:val="18"/>
              </w:rPr>
              <w:t>15</w:t>
            </w:r>
          </w:p>
        </w:tc>
        <w:tc>
          <w:tcPr>
            <w:tcW w:w="3857" w:type="dxa"/>
            <w:tcBorders>
              <w:top w:val="nil"/>
              <w:left w:val="nil"/>
              <w:bottom w:val="single" w:sz="4" w:space="0" w:color="auto"/>
              <w:right w:val="single" w:sz="4" w:space="0" w:color="auto"/>
            </w:tcBorders>
            <w:shd w:val="clear" w:color="000000" w:fill="FFFFFF"/>
            <w:noWrap/>
            <w:vAlign w:val="bottom"/>
            <w:hideMark/>
          </w:tcPr>
          <w:p w14:paraId="0CA206AF" w14:textId="77777777" w:rsidR="00BB0278" w:rsidRDefault="00BB0278">
            <w:pPr>
              <w:rPr>
                <w:rFonts w:ascii="Arial" w:hAnsi="Arial" w:cs="Arial"/>
                <w:color w:val="000000"/>
                <w:sz w:val="18"/>
                <w:szCs w:val="18"/>
              </w:rPr>
            </w:pPr>
            <w:r>
              <w:rPr>
                <w:rFonts w:ascii="Arial" w:hAnsi="Arial" w:cs="Arial"/>
                <w:color w:val="000000"/>
                <w:sz w:val="18"/>
                <w:szCs w:val="18"/>
              </w:rPr>
              <w:t>VAROVANJE OKOLJA IN NARAVNE DEDIŠČINE</w:t>
            </w:r>
          </w:p>
        </w:tc>
        <w:tc>
          <w:tcPr>
            <w:tcW w:w="1154" w:type="dxa"/>
            <w:tcBorders>
              <w:top w:val="nil"/>
              <w:left w:val="nil"/>
              <w:bottom w:val="single" w:sz="4" w:space="0" w:color="auto"/>
              <w:right w:val="single" w:sz="4" w:space="0" w:color="auto"/>
            </w:tcBorders>
            <w:shd w:val="clear" w:color="000000" w:fill="FFFFFF"/>
            <w:noWrap/>
            <w:vAlign w:val="bottom"/>
            <w:hideMark/>
          </w:tcPr>
          <w:p w14:paraId="3EE72611" w14:textId="77777777" w:rsidR="00BB0278" w:rsidRDefault="00BB0278">
            <w:pPr>
              <w:jc w:val="right"/>
              <w:rPr>
                <w:rFonts w:ascii="Arial" w:hAnsi="Arial" w:cs="Arial"/>
                <w:color w:val="000000"/>
                <w:sz w:val="18"/>
                <w:szCs w:val="18"/>
              </w:rPr>
            </w:pPr>
            <w:r>
              <w:rPr>
                <w:rFonts w:ascii="Arial" w:hAnsi="Arial" w:cs="Arial"/>
                <w:color w:val="000000"/>
                <w:sz w:val="18"/>
                <w:szCs w:val="18"/>
              </w:rPr>
              <w:t>6.271.209</w:t>
            </w:r>
          </w:p>
        </w:tc>
        <w:tc>
          <w:tcPr>
            <w:tcW w:w="1114" w:type="dxa"/>
            <w:tcBorders>
              <w:top w:val="nil"/>
              <w:left w:val="nil"/>
              <w:bottom w:val="single" w:sz="4" w:space="0" w:color="auto"/>
              <w:right w:val="single" w:sz="4" w:space="0" w:color="auto"/>
            </w:tcBorders>
            <w:shd w:val="clear" w:color="000000" w:fill="FFFFFF"/>
            <w:noWrap/>
            <w:vAlign w:val="bottom"/>
            <w:hideMark/>
          </w:tcPr>
          <w:p w14:paraId="44AC2062" w14:textId="77777777" w:rsidR="00BB0278" w:rsidRDefault="00BB0278">
            <w:pPr>
              <w:jc w:val="right"/>
              <w:rPr>
                <w:rFonts w:ascii="Arial" w:hAnsi="Arial" w:cs="Arial"/>
                <w:color w:val="000000"/>
                <w:sz w:val="18"/>
                <w:szCs w:val="18"/>
              </w:rPr>
            </w:pPr>
            <w:r>
              <w:rPr>
                <w:rFonts w:ascii="Arial" w:hAnsi="Arial" w:cs="Arial"/>
                <w:color w:val="000000"/>
                <w:sz w:val="18"/>
                <w:szCs w:val="18"/>
              </w:rPr>
              <w:t>5.019.376</w:t>
            </w:r>
          </w:p>
        </w:tc>
        <w:tc>
          <w:tcPr>
            <w:tcW w:w="1134" w:type="dxa"/>
            <w:tcBorders>
              <w:top w:val="nil"/>
              <w:left w:val="nil"/>
              <w:bottom w:val="single" w:sz="4" w:space="0" w:color="auto"/>
              <w:right w:val="single" w:sz="4" w:space="0" w:color="auto"/>
            </w:tcBorders>
            <w:shd w:val="clear" w:color="000000" w:fill="FFFFFF"/>
            <w:noWrap/>
            <w:vAlign w:val="bottom"/>
            <w:hideMark/>
          </w:tcPr>
          <w:p w14:paraId="1A633103" w14:textId="77777777" w:rsidR="00BB0278" w:rsidRDefault="00BB0278">
            <w:pPr>
              <w:jc w:val="right"/>
              <w:rPr>
                <w:rFonts w:ascii="Arial" w:hAnsi="Arial" w:cs="Arial"/>
                <w:color w:val="000000"/>
                <w:sz w:val="18"/>
                <w:szCs w:val="18"/>
              </w:rPr>
            </w:pPr>
            <w:r>
              <w:rPr>
                <w:rFonts w:ascii="Arial" w:hAnsi="Arial" w:cs="Arial"/>
                <w:color w:val="000000"/>
                <w:sz w:val="18"/>
                <w:szCs w:val="18"/>
              </w:rPr>
              <w:t>3.520.144</w:t>
            </w:r>
          </w:p>
        </w:tc>
        <w:tc>
          <w:tcPr>
            <w:tcW w:w="728" w:type="dxa"/>
            <w:tcBorders>
              <w:top w:val="nil"/>
              <w:left w:val="nil"/>
              <w:bottom w:val="single" w:sz="4" w:space="0" w:color="auto"/>
              <w:right w:val="single" w:sz="4" w:space="0" w:color="auto"/>
            </w:tcBorders>
            <w:shd w:val="clear" w:color="000000" w:fill="FFFFFF"/>
            <w:noWrap/>
            <w:vAlign w:val="bottom"/>
            <w:hideMark/>
          </w:tcPr>
          <w:p w14:paraId="6A5BF8A9" w14:textId="77777777" w:rsidR="00BB0278" w:rsidRDefault="00BB0278">
            <w:pPr>
              <w:jc w:val="right"/>
              <w:rPr>
                <w:rFonts w:ascii="Arial" w:hAnsi="Arial" w:cs="Arial"/>
                <w:color w:val="000000"/>
                <w:sz w:val="18"/>
                <w:szCs w:val="18"/>
              </w:rPr>
            </w:pPr>
            <w:r>
              <w:rPr>
                <w:rFonts w:ascii="Arial" w:hAnsi="Arial" w:cs="Arial"/>
                <w:color w:val="000000"/>
                <w:sz w:val="18"/>
                <w:szCs w:val="18"/>
              </w:rPr>
              <w:t>56,13</w:t>
            </w:r>
          </w:p>
        </w:tc>
        <w:tc>
          <w:tcPr>
            <w:tcW w:w="850" w:type="dxa"/>
            <w:tcBorders>
              <w:top w:val="nil"/>
              <w:left w:val="nil"/>
              <w:bottom w:val="single" w:sz="4" w:space="0" w:color="auto"/>
              <w:right w:val="single" w:sz="4" w:space="0" w:color="auto"/>
            </w:tcBorders>
            <w:shd w:val="clear" w:color="000000" w:fill="FFFFFF"/>
            <w:noWrap/>
            <w:vAlign w:val="bottom"/>
            <w:hideMark/>
          </w:tcPr>
          <w:p w14:paraId="655F4A8D" w14:textId="77777777" w:rsidR="00BB0278" w:rsidRDefault="00BB0278">
            <w:pPr>
              <w:jc w:val="right"/>
              <w:rPr>
                <w:rFonts w:ascii="Arial" w:hAnsi="Arial" w:cs="Arial"/>
                <w:color w:val="000000"/>
                <w:sz w:val="18"/>
                <w:szCs w:val="18"/>
              </w:rPr>
            </w:pPr>
            <w:r>
              <w:rPr>
                <w:rFonts w:ascii="Arial" w:hAnsi="Arial" w:cs="Arial"/>
                <w:color w:val="000000"/>
                <w:sz w:val="18"/>
                <w:szCs w:val="18"/>
              </w:rPr>
              <w:t>70,13</w:t>
            </w:r>
          </w:p>
        </w:tc>
      </w:tr>
      <w:tr w:rsidR="002F1CC2" w14:paraId="7694C8ED"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2D0A9339" w14:textId="77777777" w:rsidR="00BB0278" w:rsidRDefault="00BB0278">
            <w:pPr>
              <w:rPr>
                <w:rFonts w:ascii="Arial" w:hAnsi="Arial" w:cs="Arial"/>
                <w:color w:val="000000"/>
                <w:sz w:val="18"/>
                <w:szCs w:val="18"/>
              </w:rPr>
            </w:pPr>
            <w:r>
              <w:rPr>
                <w:rFonts w:ascii="Arial" w:hAnsi="Arial" w:cs="Arial"/>
                <w:color w:val="000000"/>
                <w:sz w:val="18"/>
                <w:szCs w:val="18"/>
              </w:rPr>
              <w:t>16</w:t>
            </w:r>
          </w:p>
        </w:tc>
        <w:tc>
          <w:tcPr>
            <w:tcW w:w="3857" w:type="dxa"/>
            <w:tcBorders>
              <w:top w:val="nil"/>
              <w:left w:val="nil"/>
              <w:bottom w:val="single" w:sz="4" w:space="0" w:color="auto"/>
              <w:right w:val="single" w:sz="4" w:space="0" w:color="auto"/>
            </w:tcBorders>
            <w:shd w:val="clear" w:color="000000" w:fill="FFFFFF"/>
            <w:noWrap/>
            <w:vAlign w:val="bottom"/>
            <w:hideMark/>
          </w:tcPr>
          <w:p w14:paraId="09BEB42C" w14:textId="77777777" w:rsidR="00BB0278" w:rsidRDefault="00BB0278">
            <w:pPr>
              <w:rPr>
                <w:rFonts w:ascii="Arial" w:hAnsi="Arial" w:cs="Arial"/>
                <w:color w:val="000000"/>
                <w:sz w:val="18"/>
                <w:szCs w:val="18"/>
              </w:rPr>
            </w:pPr>
            <w:r>
              <w:rPr>
                <w:rFonts w:ascii="Arial" w:hAnsi="Arial" w:cs="Arial"/>
                <w:color w:val="000000"/>
                <w:sz w:val="18"/>
                <w:szCs w:val="18"/>
              </w:rPr>
              <w:t>PROSTORSKO PLANIRANJE IN STANOVANJSKO KOMUNALNA DEJAVNOST</w:t>
            </w:r>
          </w:p>
        </w:tc>
        <w:tc>
          <w:tcPr>
            <w:tcW w:w="1154" w:type="dxa"/>
            <w:tcBorders>
              <w:top w:val="nil"/>
              <w:left w:val="nil"/>
              <w:bottom w:val="single" w:sz="4" w:space="0" w:color="auto"/>
              <w:right w:val="single" w:sz="4" w:space="0" w:color="auto"/>
            </w:tcBorders>
            <w:shd w:val="clear" w:color="000000" w:fill="FFFFFF"/>
            <w:noWrap/>
            <w:vAlign w:val="bottom"/>
            <w:hideMark/>
          </w:tcPr>
          <w:p w14:paraId="7412B3E1" w14:textId="77777777" w:rsidR="00BB0278" w:rsidRDefault="00BB0278">
            <w:pPr>
              <w:jc w:val="right"/>
              <w:rPr>
                <w:rFonts w:ascii="Arial" w:hAnsi="Arial" w:cs="Arial"/>
                <w:color w:val="000000"/>
                <w:sz w:val="18"/>
                <w:szCs w:val="18"/>
              </w:rPr>
            </w:pPr>
            <w:r>
              <w:rPr>
                <w:rFonts w:ascii="Arial" w:hAnsi="Arial" w:cs="Arial"/>
                <w:color w:val="000000"/>
                <w:sz w:val="18"/>
                <w:szCs w:val="18"/>
              </w:rPr>
              <w:t>5.485.418</w:t>
            </w:r>
          </w:p>
        </w:tc>
        <w:tc>
          <w:tcPr>
            <w:tcW w:w="1114" w:type="dxa"/>
            <w:tcBorders>
              <w:top w:val="nil"/>
              <w:left w:val="nil"/>
              <w:bottom w:val="single" w:sz="4" w:space="0" w:color="auto"/>
              <w:right w:val="single" w:sz="4" w:space="0" w:color="auto"/>
            </w:tcBorders>
            <w:shd w:val="clear" w:color="000000" w:fill="FFFFFF"/>
            <w:noWrap/>
            <w:vAlign w:val="bottom"/>
            <w:hideMark/>
          </w:tcPr>
          <w:p w14:paraId="0C8BABEA" w14:textId="77777777" w:rsidR="00BB0278" w:rsidRDefault="00BB0278">
            <w:pPr>
              <w:jc w:val="right"/>
              <w:rPr>
                <w:rFonts w:ascii="Arial" w:hAnsi="Arial" w:cs="Arial"/>
                <w:color w:val="000000"/>
                <w:sz w:val="18"/>
                <w:szCs w:val="18"/>
              </w:rPr>
            </w:pPr>
            <w:r>
              <w:rPr>
                <w:rFonts w:ascii="Arial" w:hAnsi="Arial" w:cs="Arial"/>
                <w:color w:val="000000"/>
                <w:sz w:val="18"/>
                <w:szCs w:val="18"/>
              </w:rPr>
              <w:t>4.659.477</w:t>
            </w:r>
          </w:p>
        </w:tc>
        <w:tc>
          <w:tcPr>
            <w:tcW w:w="1134" w:type="dxa"/>
            <w:tcBorders>
              <w:top w:val="nil"/>
              <w:left w:val="nil"/>
              <w:bottom w:val="single" w:sz="4" w:space="0" w:color="auto"/>
              <w:right w:val="single" w:sz="4" w:space="0" w:color="auto"/>
            </w:tcBorders>
            <w:shd w:val="clear" w:color="000000" w:fill="FFFFFF"/>
            <w:noWrap/>
            <w:vAlign w:val="bottom"/>
            <w:hideMark/>
          </w:tcPr>
          <w:p w14:paraId="654ED625" w14:textId="77777777" w:rsidR="00BB0278" w:rsidRDefault="00BB0278">
            <w:pPr>
              <w:jc w:val="right"/>
              <w:rPr>
                <w:rFonts w:ascii="Arial" w:hAnsi="Arial" w:cs="Arial"/>
                <w:color w:val="000000"/>
                <w:sz w:val="18"/>
                <w:szCs w:val="18"/>
              </w:rPr>
            </w:pPr>
            <w:r>
              <w:rPr>
                <w:rFonts w:ascii="Arial" w:hAnsi="Arial" w:cs="Arial"/>
                <w:color w:val="000000"/>
                <w:sz w:val="18"/>
                <w:szCs w:val="18"/>
              </w:rPr>
              <w:t>3.320.530</w:t>
            </w:r>
          </w:p>
        </w:tc>
        <w:tc>
          <w:tcPr>
            <w:tcW w:w="728" w:type="dxa"/>
            <w:tcBorders>
              <w:top w:val="nil"/>
              <w:left w:val="nil"/>
              <w:bottom w:val="single" w:sz="4" w:space="0" w:color="auto"/>
              <w:right w:val="single" w:sz="4" w:space="0" w:color="auto"/>
            </w:tcBorders>
            <w:shd w:val="clear" w:color="000000" w:fill="FFFFFF"/>
            <w:noWrap/>
            <w:vAlign w:val="bottom"/>
            <w:hideMark/>
          </w:tcPr>
          <w:p w14:paraId="1C7A34BE" w14:textId="77777777" w:rsidR="00BB0278" w:rsidRDefault="00BB0278">
            <w:pPr>
              <w:jc w:val="right"/>
              <w:rPr>
                <w:rFonts w:ascii="Arial" w:hAnsi="Arial" w:cs="Arial"/>
                <w:color w:val="000000"/>
                <w:sz w:val="18"/>
                <w:szCs w:val="18"/>
              </w:rPr>
            </w:pPr>
            <w:r>
              <w:rPr>
                <w:rFonts w:ascii="Arial" w:hAnsi="Arial" w:cs="Arial"/>
                <w:color w:val="000000"/>
                <w:sz w:val="18"/>
                <w:szCs w:val="18"/>
              </w:rPr>
              <w:t>60,53</w:t>
            </w:r>
          </w:p>
        </w:tc>
        <w:tc>
          <w:tcPr>
            <w:tcW w:w="850" w:type="dxa"/>
            <w:tcBorders>
              <w:top w:val="nil"/>
              <w:left w:val="nil"/>
              <w:bottom w:val="single" w:sz="4" w:space="0" w:color="auto"/>
              <w:right w:val="single" w:sz="4" w:space="0" w:color="auto"/>
            </w:tcBorders>
            <w:shd w:val="clear" w:color="000000" w:fill="FFFFFF"/>
            <w:noWrap/>
            <w:vAlign w:val="bottom"/>
            <w:hideMark/>
          </w:tcPr>
          <w:p w14:paraId="174614B3" w14:textId="77777777" w:rsidR="00BB0278" w:rsidRDefault="00BB0278">
            <w:pPr>
              <w:jc w:val="right"/>
              <w:rPr>
                <w:rFonts w:ascii="Arial" w:hAnsi="Arial" w:cs="Arial"/>
                <w:color w:val="000000"/>
                <w:sz w:val="18"/>
                <w:szCs w:val="18"/>
              </w:rPr>
            </w:pPr>
            <w:r>
              <w:rPr>
                <w:rFonts w:ascii="Arial" w:hAnsi="Arial" w:cs="Arial"/>
                <w:color w:val="000000"/>
                <w:sz w:val="18"/>
                <w:szCs w:val="18"/>
              </w:rPr>
              <w:t>71,26</w:t>
            </w:r>
          </w:p>
        </w:tc>
      </w:tr>
      <w:tr w:rsidR="002F1CC2" w14:paraId="0DC9DDF5"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44ED2B40" w14:textId="77777777" w:rsidR="00BB0278" w:rsidRDefault="00BB0278">
            <w:pPr>
              <w:rPr>
                <w:rFonts w:ascii="Arial" w:hAnsi="Arial" w:cs="Arial"/>
                <w:color w:val="000000"/>
                <w:sz w:val="18"/>
                <w:szCs w:val="18"/>
              </w:rPr>
            </w:pPr>
            <w:r>
              <w:rPr>
                <w:rFonts w:ascii="Arial" w:hAnsi="Arial" w:cs="Arial"/>
                <w:color w:val="000000"/>
                <w:sz w:val="18"/>
                <w:szCs w:val="18"/>
              </w:rPr>
              <w:t>17</w:t>
            </w:r>
          </w:p>
        </w:tc>
        <w:tc>
          <w:tcPr>
            <w:tcW w:w="3857" w:type="dxa"/>
            <w:tcBorders>
              <w:top w:val="nil"/>
              <w:left w:val="nil"/>
              <w:bottom w:val="single" w:sz="4" w:space="0" w:color="auto"/>
              <w:right w:val="single" w:sz="4" w:space="0" w:color="auto"/>
            </w:tcBorders>
            <w:shd w:val="clear" w:color="000000" w:fill="FFFFFF"/>
            <w:noWrap/>
            <w:vAlign w:val="bottom"/>
            <w:hideMark/>
          </w:tcPr>
          <w:p w14:paraId="59A11987" w14:textId="77777777" w:rsidR="00BB0278" w:rsidRDefault="00BB0278">
            <w:pPr>
              <w:rPr>
                <w:rFonts w:ascii="Arial" w:hAnsi="Arial" w:cs="Arial"/>
                <w:color w:val="000000"/>
                <w:sz w:val="18"/>
                <w:szCs w:val="18"/>
              </w:rPr>
            </w:pPr>
            <w:r>
              <w:rPr>
                <w:rFonts w:ascii="Arial" w:hAnsi="Arial" w:cs="Arial"/>
                <w:color w:val="000000"/>
                <w:sz w:val="18"/>
                <w:szCs w:val="18"/>
              </w:rPr>
              <w:t>ZDRAVSTVENO VARSTVO</w:t>
            </w:r>
          </w:p>
        </w:tc>
        <w:tc>
          <w:tcPr>
            <w:tcW w:w="1154" w:type="dxa"/>
            <w:tcBorders>
              <w:top w:val="nil"/>
              <w:left w:val="nil"/>
              <w:bottom w:val="single" w:sz="4" w:space="0" w:color="auto"/>
              <w:right w:val="single" w:sz="4" w:space="0" w:color="auto"/>
            </w:tcBorders>
            <w:shd w:val="clear" w:color="000000" w:fill="FFFFFF"/>
            <w:noWrap/>
            <w:vAlign w:val="bottom"/>
            <w:hideMark/>
          </w:tcPr>
          <w:p w14:paraId="145D43BC" w14:textId="77777777" w:rsidR="00BB0278" w:rsidRDefault="00BB0278">
            <w:pPr>
              <w:jc w:val="right"/>
              <w:rPr>
                <w:rFonts w:ascii="Arial" w:hAnsi="Arial" w:cs="Arial"/>
                <w:color w:val="000000"/>
                <w:sz w:val="18"/>
                <w:szCs w:val="18"/>
              </w:rPr>
            </w:pPr>
            <w:r>
              <w:rPr>
                <w:rFonts w:ascii="Arial" w:hAnsi="Arial" w:cs="Arial"/>
                <w:color w:val="000000"/>
                <w:sz w:val="18"/>
                <w:szCs w:val="18"/>
              </w:rPr>
              <w:t>5.944.080</w:t>
            </w:r>
          </w:p>
        </w:tc>
        <w:tc>
          <w:tcPr>
            <w:tcW w:w="1114" w:type="dxa"/>
            <w:tcBorders>
              <w:top w:val="nil"/>
              <w:left w:val="nil"/>
              <w:bottom w:val="single" w:sz="4" w:space="0" w:color="auto"/>
              <w:right w:val="single" w:sz="4" w:space="0" w:color="auto"/>
            </w:tcBorders>
            <w:shd w:val="clear" w:color="000000" w:fill="FFFFFF"/>
            <w:noWrap/>
            <w:vAlign w:val="bottom"/>
            <w:hideMark/>
          </w:tcPr>
          <w:p w14:paraId="58FC4828" w14:textId="77777777" w:rsidR="00BB0278" w:rsidRDefault="00BB0278">
            <w:pPr>
              <w:jc w:val="right"/>
              <w:rPr>
                <w:rFonts w:ascii="Arial" w:hAnsi="Arial" w:cs="Arial"/>
                <w:color w:val="000000"/>
                <w:sz w:val="18"/>
                <w:szCs w:val="18"/>
              </w:rPr>
            </w:pPr>
            <w:r>
              <w:rPr>
                <w:rFonts w:ascii="Arial" w:hAnsi="Arial" w:cs="Arial"/>
                <w:color w:val="000000"/>
                <w:sz w:val="18"/>
                <w:szCs w:val="18"/>
              </w:rPr>
              <w:t>9.472.221</w:t>
            </w:r>
          </w:p>
        </w:tc>
        <w:tc>
          <w:tcPr>
            <w:tcW w:w="1134" w:type="dxa"/>
            <w:tcBorders>
              <w:top w:val="nil"/>
              <w:left w:val="nil"/>
              <w:bottom w:val="single" w:sz="4" w:space="0" w:color="auto"/>
              <w:right w:val="single" w:sz="4" w:space="0" w:color="auto"/>
            </w:tcBorders>
            <w:shd w:val="clear" w:color="000000" w:fill="FFFFFF"/>
            <w:noWrap/>
            <w:vAlign w:val="bottom"/>
            <w:hideMark/>
          </w:tcPr>
          <w:p w14:paraId="6168FD99" w14:textId="77777777" w:rsidR="00BB0278" w:rsidRDefault="00BB0278">
            <w:pPr>
              <w:jc w:val="right"/>
              <w:rPr>
                <w:rFonts w:ascii="Arial" w:hAnsi="Arial" w:cs="Arial"/>
                <w:color w:val="000000"/>
                <w:sz w:val="18"/>
                <w:szCs w:val="18"/>
              </w:rPr>
            </w:pPr>
            <w:r>
              <w:rPr>
                <w:rFonts w:ascii="Arial" w:hAnsi="Arial" w:cs="Arial"/>
                <w:color w:val="000000"/>
                <w:sz w:val="18"/>
                <w:szCs w:val="18"/>
              </w:rPr>
              <w:t>76.700</w:t>
            </w:r>
          </w:p>
        </w:tc>
        <w:tc>
          <w:tcPr>
            <w:tcW w:w="728" w:type="dxa"/>
            <w:tcBorders>
              <w:top w:val="nil"/>
              <w:left w:val="nil"/>
              <w:bottom w:val="single" w:sz="4" w:space="0" w:color="auto"/>
              <w:right w:val="single" w:sz="4" w:space="0" w:color="auto"/>
            </w:tcBorders>
            <w:shd w:val="clear" w:color="000000" w:fill="FFFFFF"/>
            <w:noWrap/>
            <w:vAlign w:val="bottom"/>
            <w:hideMark/>
          </w:tcPr>
          <w:p w14:paraId="13D5B2F9" w14:textId="77777777" w:rsidR="00BB0278" w:rsidRDefault="00BB0278">
            <w:pPr>
              <w:jc w:val="right"/>
              <w:rPr>
                <w:rFonts w:ascii="Arial" w:hAnsi="Arial" w:cs="Arial"/>
                <w:color w:val="000000"/>
                <w:sz w:val="18"/>
                <w:szCs w:val="18"/>
              </w:rPr>
            </w:pPr>
            <w:r>
              <w:rPr>
                <w:rFonts w:ascii="Arial" w:hAnsi="Arial" w:cs="Arial"/>
                <w:color w:val="000000"/>
                <w:sz w:val="18"/>
                <w:szCs w:val="18"/>
              </w:rPr>
              <w:t>1,29</w:t>
            </w:r>
          </w:p>
        </w:tc>
        <w:tc>
          <w:tcPr>
            <w:tcW w:w="850" w:type="dxa"/>
            <w:tcBorders>
              <w:top w:val="nil"/>
              <w:left w:val="nil"/>
              <w:bottom w:val="single" w:sz="4" w:space="0" w:color="auto"/>
              <w:right w:val="single" w:sz="4" w:space="0" w:color="auto"/>
            </w:tcBorders>
            <w:shd w:val="clear" w:color="000000" w:fill="FFFFFF"/>
            <w:noWrap/>
            <w:vAlign w:val="bottom"/>
            <w:hideMark/>
          </w:tcPr>
          <w:p w14:paraId="083FAC83" w14:textId="77777777" w:rsidR="00BB0278" w:rsidRDefault="00BB0278">
            <w:pPr>
              <w:jc w:val="right"/>
              <w:rPr>
                <w:rFonts w:ascii="Arial" w:hAnsi="Arial" w:cs="Arial"/>
                <w:color w:val="000000"/>
                <w:sz w:val="18"/>
                <w:szCs w:val="18"/>
              </w:rPr>
            </w:pPr>
            <w:r>
              <w:rPr>
                <w:rFonts w:ascii="Arial" w:hAnsi="Arial" w:cs="Arial"/>
                <w:color w:val="000000"/>
                <w:sz w:val="18"/>
                <w:szCs w:val="18"/>
              </w:rPr>
              <w:t>0,81</w:t>
            </w:r>
          </w:p>
        </w:tc>
      </w:tr>
      <w:tr w:rsidR="002F1CC2" w14:paraId="7EB0FD57"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1454B49B" w14:textId="77777777" w:rsidR="00BB0278" w:rsidRDefault="00BB0278">
            <w:pPr>
              <w:rPr>
                <w:rFonts w:ascii="Arial" w:hAnsi="Arial" w:cs="Arial"/>
                <w:color w:val="000000"/>
                <w:sz w:val="18"/>
                <w:szCs w:val="18"/>
              </w:rPr>
            </w:pPr>
            <w:r>
              <w:rPr>
                <w:rFonts w:ascii="Arial" w:hAnsi="Arial" w:cs="Arial"/>
                <w:color w:val="000000"/>
                <w:sz w:val="18"/>
                <w:szCs w:val="18"/>
              </w:rPr>
              <w:t>18</w:t>
            </w:r>
          </w:p>
        </w:tc>
        <w:tc>
          <w:tcPr>
            <w:tcW w:w="3857" w:type="dxa"/>
            <w:tcBorders>
              <w:top w:val="nil"/>
              <w:left w:val="nil"/>
              <w:bottom w:val="single" w:sz="4" w:space="0" w:color="auto"/>
              <w:right w:val="single" w:sz="4" w:space="0" w:color="auto"/>
            </w:tcBorders>
            <w:shd w:val="clear" w:color="000000" w:fill="FFFFFF"/>
            <w:noWrap/>
            <w:vAlign w:val="bottom"/>
            <w:hideMark/>
          </w:tcPr>
          <w:p w14:paraId="10A1656B" w14:textId="77777777" w:rsidR="00BB0278" w:rsidRDefault="00BB0278">
            <w:pPr>
              <w:rPr>
                <w:rFonts w:ascii="Arial" w:hAnsi="Arial" w:cs="Arial"/>
                <w:color w:val="000000"/>
                <w:sz w:val="18"/>
                <w:szCs w:val="18"/>
              </w:rPr>
            </w:pPr>
            <w:r>
              <w:rPr>
                <w:rFonts w:ascii="Arial" w:hAnsi="Arial" w:cs="Arial"/>
                <w:color w:val="000000"/>
                <w:sz w:val="18"/>
                <w:szCs w:val="18"/>
              </w:rPr>
              <w:t>KULTURA, ŠPORT IN NEVLADNE ORGANIZACIJE</w:t>
            </w:r>
          </w:p>
        </w:tc>
        <w:tc>
          <w:tcPr>
            <w:tcW w:w="1154" w:type="dxa"/>
            <w:tcBorders>
              <w:top w:val="nil"/>
              <w:left w:val="nil"/>
              <w:bottom w:val="single" w:sz="4" w:space="0" w:color="auto"/>
              <w:right w:val="single" w:sz="4" w:space="0" w:color="auto"/>
            </w:tcBorders>
            <w:shd w:val="clear" w:color="000000" w:fill="FFFFFF"/>
            <w:noWrap/>
            <w:vAlign w:val="bottom"/>
            <w:hideMark/>
          </w:tcPr>
          <w:p w14:paraId="1ABC7BD0" w14:textId="77777777" w:rsidR="00BB0278" w:rsidRDefault="00BB0278">
            <w:pPr>
              <w:jc w:val="right"/>
              <w:rPr>
                <w:rFonts w:ascii="Arial" w:hAnsi="Arial" w:cs="Arial"/>
                <w:color w:val="000000"/>
                <w:sz w:val="18"/>
                <w:szCs w:val="18"/>
              </w:rPr>
            </w:pPr>
            <w:r>
              <w:rPr>
                <w:rFonts w:ascii="Arial" w:hAnsi="Arial" w:cs="Arial"/>
                <w:color w:val="000000"/>
                <w:sz w:val="18"/>
                <w:szCs w:val="18"/>
              </w:rPr>
              <w:t>10.596.723</w:t>
            </w:r>
          </w:p>
        </w:tc>
        <w:tc>
          <w:tcPr>
            <w:tcW w:w="1114" w:type="dxa"/>
            <w:tcBorders>
              <w:top w:val="nil"/>
              <w:left w:val="nil"/>
              <w:bottom w:val="single" w:sz="4" w:space="0" w:color="auto"/>
              <w:right w:val="single" w:sz="4" w:space="0" w:color="auto"/>
            </w:tcBorders>
            <w:shd w:val="clear" w:color="000000" w:fill="FFFFFF"/>
            <w:noWrap/>
            <w:vAlign w:val="bottom"/>
            <w:hideMark/>
          </w:tcPr>
          <w:p w14:paraId="4BE6880B" w14:textId="77777777" w:rsidR="00BB0278" w:rsidRDefault="00BB0278">
            <w:pPr>
              <w:jc w:val="right"/>
              <w:rPr>
                <w:rFonts w:ascii="Arial" w:hAnsi="Arial" w:cs="Arial"/>
                <w:color w:val="000000"/>
                <w:sz w:val="18"/>
                <w:szCs w:val="18"/>
              </w:rPr>
            </w:pPr>
            <w:r>
              <w:rPr>
                <w:rFonts w:ascii="Arial" w:hAnsi="Arial" w:cs="Arial"/>
                <w:color w:val="000000"/>
                <w:sz w:val="18"/>
                <w:szCs w:val="18"/>
              </w:rPr>
              <w:t>14.413.025</w:t>
            </w:r>
          </w:p>
        </w:tc>
        <w:tc>
          <w:tcPr>
            <w:tcW w:w="1134" w:type="dxa"/>
            <w:tcBorders>
              <w:top w:val="nil"/>
              <w:left w:val="nil"/>
              <w:bottom w:val="single" w:sz="4" w:space="0" w:color="auto"/>
              <w:right w:val="single" w:sz="4" w:space="0" w:color="auto"/>
            </w:tcBorders>
            <w:shd w:val="clear" w:color="000000" w:fill="FFFFFF"/>
            <w:noWrap/>
            <w:vAlign w:val="bottom"/>
            <w:hideMark/>
          </w:tcPr>
          <w:p w14:paraId="65FDF1A6" w14:textId="77777777" w:rsidR="00BB0278" w:rsidRDefault="00BB0278">
            <w:pPr>
              <w:jc w:val="right"/>
              <w:rPr>
                <w:rFonts w:ascii="Arial" w:hAnsi="Arial" w:cs="Arial"/>
                <w:color w:val="000000"/>
                <w:sz w:val="18"/>
                <w:szCs w:val="18"/>
              </w:rPr>
            </w:pPr>
            <w:r>
              <w:rPr>
                <w:rFonts w:ascii="Arial" w:hAnsi="Arial" w:cs="Arial"/>
                <w:color w:val="000000"/>
                <w:sz w:val="18"/>
                <w:szCs w:val="18"/>
              </w:rPr>
              <w:t>11.347.323</w:t>
            </w:r>
          </w:p>
        </w:tc>
        <w:tc>
          <w:tcPr>
            <w:tcW w:w="728" w:type="dxa"/>
            <w:tcBorders>
              <w:top w:val="nil"/>
              <w:left w:val="nil"/>
              <w:bottom w:val="single" w:sz="4" w:space="0" w:color="auto"/>
              <w:right w:val="single" w:sz="4" w:space="0" w:color="auto"/>
            </w:tcBorders>
            <w:shd w:val="clear" w:color="000000" w:fill="FFFFFF"/>
            <w:noWrap/>
            <w:vAlign w:val="bottom"/>
            <w:hideMark/>
          </w:tcPr>
          <w:p w14:paraId="5A2C5D79" w14:textId="77777777" w:rsidR="00BB0278" w:rsidRDefault="00BB0278">
            <w:pPr>
              <w:jc w:val="right"/>
              <w:rPr>
                <w:rFonts w:ascii="Arial" w:hAnsi="Arial" w:cs="Arial"/>
                <w:color w:val="000000"/>
                <w:sz w:val="18"/>
                <w:szCs w:val="18"/>
              </w:rPr>
            </w:pPr>
            <w:r>
              <w:rPr>
                <w:rFonts w:ascii="Arial" w:hAnsi="Arial" w:cs="Arial"/>
                <w:color w:val="000000"/>
                <w:sz w:val="18"/>
                <w:szCs w:val="18"/>
              </w:rPr>
              <w:t>107,08</w:t>
            </w:r>
          </w:p>
        </w:tc>
        <w:tc>
          <w:tcPr>
            <w:tcW w:w="850" w:type="dxa"/>
            <w:tcBorders>
              <w:top w:val="nil"/>
              <w:left w:val="nil"/>
              <w:bottom w:val="single" w:sz="4" w:space="0" w:color="auto"/>
              <w:right w:val="single" w:sz="4" w:space="0" w:color="auto"/>
            </w:tcBorders>
            <w:shd w:val="clear" w:color="000000" w:fill="FFFFFF"/>
            <w:noWrap/>
            <w:vAlign w:val="bottom"/>
            <w:hideMark/>
          </w:tcPr>
          <w:p w14:paraId="730AC192" w14:textId="77777777" w:rsidR="00BB0278" w:rsidRDefault="00BB0278">
            <w:pPr>
              <w:jc w:val="right"/>
              <w:rPr>
                <w:rFonts w:ascii="Arial" w:hAnsi="Arial" w:cs="Arial"/>
                <w:color w:val="000000"/>
                <w:sz w:val="18"/>
                <w:szCs w:val="18"/>
              </w:rPr>
            </w:pPr>
            <w:r>
              <w:rPr>
                <w:rFonts w:ascii="Arial" w:hAnsi="Arial" w:cs="Arial"/>
                <w:color w:val="000000"/>
                <w:sz w:val="18"/>
                <w:szCs w:val="18"/>
              </w:rPr>
              <w:t>78,73</w:t>
            </w:r>
          </w:p>
        </w:tc>
      </w:tr>
      <w:tr w:rsidR="002F1CC2" w14:paraId="7936A0EB"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66F3E3D2" w14:textId="77777777" w:rsidR="00BB0278" w:rsidRDefault="00BB0278">
            <w:pPr>
              <w:rPr>
                <w:rFonts w:ascii="Arial" w:hAnsi="Arial" w:cs="Arial"/>
                <w:color w:val="000000"/>
                <w:sz w:val="18"/>
                <w:szCs w:val="18"/>
              </w:rPr>
            </w:pPr>
            <w:r>
              <w:rPr>
                <w:rFonts w:ascii="Arial" w:hAnsi="Arial" w:cs="Arial"/>
                <w:color w:val="000000"/>
                <w:sz w:val="18"/>
                <w:szCs w:val="18"/>
              </w:rPr>
              <w:t>19</w:t>
            </w:r>
          </w:p>
        </w:tc>
        <w:tc>
          <w:tcPr>
            <w:tcW w:w="3857" w:type="dxa"/>
            <w:tcBorders>
              <w:top w:val="nil"/>
              <w:left w:val="nil"/>
              <w:bottom w:val="single" w:sz="4" w:space="0" w:color="auto"/>
              <w:right w:val="single" w:sz="4" w:space="0" w:color="auto"/>
            </w:tcBorders>
            <w:shd w:val="clear" w:color="000000" w:fill="FFFFFF"/>
            <w:noWrap/>
            <w:vAlign w:val="bottom"/>
            <w:hideMark/>
          </w:tcPr>
          <w:p w14:paraId="3577DAD0" w14:textId="77777777" w:rsidR="00BB0278" w:rsidRDefault="00BB0278">
            <w:pPr>
              <w:rPr>
                <w:rFonts w:ascii="Arial" w:hAnsi="Arial" w:cs="Arial"/>
                <w:color w:val="000000"/>
                <w:sz w:val="18"/>
                <w:szCs w:val="18"/>
              </w:rPr>
            </w:pPr>
            <w:r>
              <w:rPr>
                <w:rFonts w:ascii="Arial" w:hAnsi="Arial" w:cs="Arial"/>
                <w:color w:val="000000"/>
                <w:sz w:val="18"/>
                <w:szCs w:val="18"/>
              </w:rPr>
              <w:t>IZOBRAŽEVANJE</w:t>
            </w:r>
          </w:p>
        </w:tc>
        <w:tc>
          <w:tcPr>
            <w:tcW w:w="1154" w:type="dxa"/>
            <w:tcBorders>
              <w:top w:val="nil"/>
              <w:left w:val="nil"/>
              <w:bottom w:val="single" w:sz="4" w:space="0" w:color="auto"/>
              <w:right w:val="single" w:sz="4" w:space="0" w:color="auto"/>
            </w:tcBorders>
            <w:shd w:val="clear" w:color="000000" w:fill="FFFFFF"/>
            <w:noWrap/>
            <w:vAlign w:val="bottom"/>
            <w:hideMark/>
          </w:tcPr>
          <w:p w14:paraId="52122A23" w14:textId="77777777" w:rsidR="00BB0278" w:rsidRDefault="00BB0278">
            <w:pPr>
              <w:jc w:val="right"/>
              <w:rPr>
                <w:rFonts w:ascii="Arial" w:hAnsi="Arial" w:cs="Arial"/>
                <w:color w:val="000000"/>
                <w:sz w:val="18"/>
                <w:szCs w:val="18"/>
              </w:rPr>
            </w:pPr>
            <w:r>
              <w:rPr>
                <w:rFonts w:ascii="Arial" w:hAnsi="Arial" w:cs="Arial"/>
                <w:color w:val="000000"/>
                <w:sz w:val="18"/>
                <w:szCs w:val="18"/>
              </w:rPr>
              <w:t>9.274.983</w:t>
            </w:r>
          </w:p>
        </w:tc>
        <w:tc>
          <w:tcPr>
            <w:tcW w:w="1114" w:type="dxa"/>
            <w:tcBorders>
              <w:top w:val="nil"/>
              <w:left w:val="nil"/>
              <w:bottom w:val="single" w:sz="4" w:space="0" w:color="auto"/>
              <w:right w:val="single" w:sz="4" w:space="0" w:color="auto"/>
            </w:tcBorders>
            <w:shd w:val="clear" w:color="000000" w:fill="FFFFFF"/>
            <w:noWrap/>
            <w:vAlign w:val="bottom"/>
            <w:hideMark/>
          </w:tcPr>
          <w:p w14:paraId="1DE772FC" w14:textId="77777777" w:rsidR="00BB0278" w:rsidRDefault="00BB0278">
            <w:pPr>
              <w:jc w:val="right"/>
              <w:rPr>
                <w:rFonts w:ascii="Arial" w:hAnsi="Arial" w:cs="Arial"/>
                <w:color w:val="000000"/>
                <w:sz w:val="18"/>
                <w:szCs w:val="18"/>
              </w:rPr>
            </w:pPr>
            <w:r>
              <w:rPr>
                <w:rFonts w:ascii="Arial" w:hAnsi="Arial" w:cs="Arial"/>
                <w:color w:val="000000"/>
                <w:sz w:val="18"/>
                <w:szCs w:val="18"/>
              </w:rPr>
              <w:t>9.729.595</w:t>
            </w:r>
          </w:p>
        </w:tc>
        <w:tc>
          <w:tcPr>
            <w:tcW w:w="1134" w:type="dxa"/>
            <w:tcBorders>
              <w:top w:val="nil"/>
              <w:left w:val="nil"/>
              <w:bottom w:val="single" w:sz="4" w:space="0" w:color="auto"/>
              <w:right w:val="single" w:sz="4" w:space="0" w:color="auto"/>
            </w:tcBorders>
            <w:shd w:val="clear" w:color="000000" w:fill="FFFFFF"/>
            <w:noWrap/>
            <w:vAlign w:val="bottom"/>
            <w:hideMark/>
          </w:tcPr>
          <w:p w14:paraId="5332E119" w14:textId="77777777" w:rsidR="00BB0278" w:rsidRDefault="00BB0278">
            <w:pPr>
              <w:jc w:val="right"/>
              <w:rPr>
                <w:rFonts w:ascii="Arial" w:hAnsi="Arial" w:cs="Arial"/>
                <w:color w:val="000000"/>
                <w:sz w:val="18"/>
                <w:szCs w:val="18"/>
              </w:rPr>
            </w:pPr>
            <w:r>
              <w:rPr>
                <w:rFonts w:ascii="Arial" w:hAnsi="Arial" w:cs="Arial"/>
                <w:color w:val="000000"/>
                <w:sz w:val="18"/>
                <w:szCs w:val="18"/>
              </w:rPr>
              <w:t>9.227.050</w:t>
            </w:r>
          </w:p>
        </w:tc>
        <w:tc>
          <w:tcPr>
            <w:tcW w:w="728" w:type="dxa"/>
            <w:tcBorders>
              <w:top w:val="nil"/>
              <w:left w:val="nil"/>
              <w:bottom w:val="single" w:sz="4" w:space="0" w:color="auto"/>
              <w:right w:val="single" w:sz="4" w:space="0" w:color="auto"/>
            </w:tcBorders>
            <w:shd w:val="clear" w:color="000000" w:fill="FFFFFF"/>
            <w:noWrap/>
            <w:vAlign w:val="bottom"/>
            <w:hideMark/>
          </w:tcPr>
          <w:p w14:paraId="61F254B8" w14:textId="77777777" w:rsidR="00BB0278" w:rsidRDefault="00BB0278">
            <w:pPr>
              <w:jc w:val="right"/>
              <w:rPr>
                <w:rFonts w:ascii="Arial" w:hAnsi="Arial" w:cs="Arial"/>
                <w:color w:val="000000"/>
                <w:sz w:val="18"/>
                <w:szCs w:val="18"/>
              </w:rPr>
            </w:pPr>
            <w:r>
              <w:rPr>
                <w:rFonts w:ascii="Arial" w:hAnsi="Arial" w:cs="Arial"/>
                <w:color w:val="000000"/>
                <w:sz w:val="18"/>
                <w:szCs w:val="18"/>
              </w:rPr>
              <w:t>99,48</w:t>
            </w:r>
          </w:p>
        </w:tc>
        <w:tc>
          <w:tcPr>
            <w:tcW w:w="850" w:type="dxa"/>
            <w:tcBorders>
              <w:top w:val="nil"/>
              <w:left w:val="nil"/>
              <w:bottom w:val="single" w:sz="4" w:space="0" w:color="auto"/>
              <w:right w:val="single" w:sz="4" w:space="0" w:color="auto"/>
            </w:tcBorders>
            <w:shd w:val="clear" w:color="000000" w:fill="FFFFFF"/>
            <w:noWrap/>
            <w:vAlign w:val="bottom"/>
            <w:hideMark/>
          </w:tcPr>
          <w:p w14:paraId="28A9127A" w14:textId="77777777" w:rsidR="00BB0278" w:rsidRDefault="00BB0278">
            <w:pPr>
              <w:jc w:val="right"/>
              <w:rPr>
                <w:rFonts w:ascii="Arial" w:hAnsi="Arial" w:cs="Arial"/>
                <w:color w:val="000000"/>
                <w:sz w:val="18"/>
                <w:szCs w:val="18"/>
              </w:rPr>
            </w:pPr>
            <w:r>
              <w:rPr>
                <w:rFonts w:ascii="Arial" w:hAnsi="Arial" w:cs="Arial"/>
                <w:color w:val="000000"/>
                <w:sz w:val="18"/>
                <w:szCs w:val="18"/>
              </w:rPr>
              <w:t>94,83</w:t>
            </w:r>
          </w:p>
        </w:tc>
      </w:tr>
      <w:tr w:rsidR="002F1CC2" w14:paraId="4E1DEBA2"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3FC845F7" w14:textId="77777777" w:rsidR="00BB0278" w:rsidRDefault="00BB0278">
            <w:pPr>
              <w:rPr>
                <w:rFonts w:ascii="Arial" w:hAnsi="Arial" w:cs="Arial"/>
                <w:color w:val="000000"/>
                <w:sz w:val="18"/>
                <w:szCs w:val="18"/>
              </w:rPr>
            </w:pPr>
            <w:r>
              <w:rPr>
                <w:rFonts w:ascii="Arial" w:hAnsi="Arial" w:cs="Arial"/>
                <w:color w:val="000000"/>
                <w:sz w:val="18"/>
                <w:szCs w:val="18"/>
              </w:rPr>
              <w:lastRenderedPageBreak/>
              <w:t>20</w:t>
            </w:r>
          </w:p>
        </w:tc>
        <w:tc>
          <w:tcPr>
            <w:tcW w:w="3857" w:type="dxa"/>
            <w:tcBorders>
              <w:top w:val="nil"/>
              <w:left w:val="nil"/>
              <w:bottom w:val="single" w:sz="4" w:space="0" w:color="auto"/>
              <w:right w:val="single" w:sz="4" w:space="0" w:color="auto"/>
            </w:tcBorders>
            <w:shd w:val="clear" w:color="000000" w:fill="FFFFFF"/>
            <w:noWrap/>
            <w:vAlign w:val="bottom"/>
            <w:hideMark/>
          </w:tcPr>
          <w:p w14:paraId="0130F278" w14:textId="77777777" w:rsidR="00BB0278" w:rsidRDefault="00BB0278">
            <w:pPr>
              <w:rPr>
                <w:rFonts w:ascii="Arial" w:hAnsi="Arial" w:cs="Arial"/>
                <w:color w:val="000000"/>
                <w:sz w:val="18"/>
                <w:szCs w:val="18"/>
              </w:rPr>
            </w:pPr>
            <w:r>
              <w:rPr>
                <w:rFonts w:ascii="Arial" w:hAnsi="Arial" w:cs="Arial"/>
                <w:color w:val="000000"/>
                <w:sz w:val="18"/>
                <w:szCs w:val="18"/>
              </w:rPr>
              <w:t>SOCIALNO VARSTVO</w:t>
            </w:r>
          </w:p>
        </w:tc>
        <w:tc>
          <w:tcPr>
            <w:tcW w:w="1154" w:type="dxa"/>
            <w:tcBorders>
              <w:top w:val="nil"/>
              <w:left w:val="nil"/>
              <w:bottom w:val="single" w:sz="4" w:space="0" w:color="auto"/>
              <w:right w:val="single" w:sz="4" w:space="0" w:color="auto"/>
            </w:tcBorders>
            <w:shd w:val="clear" w:color="000000" w:fill="FFFFFF"/>
            <w:noWrap/>
            <w:vAlign w:val="bottom"/>
            <w:hideMark/>
          </w:tcPr>
          <w:p w14:paraId="4DD2A1FC" w14:textId="77777777" w:rsidR="00BB0278" w:rsidRDefault="00BB0278">
            <w:pPr>
              <w:jc w:val="right"/>
              <w:rPr>
                <w:rFonts w:ascii="Arial" w:hAnsi="Arial" w:cs="Arial"/>
                <w:color w:val="000000"/>
                <w:sz w:val="18"/>
                <w:szCs w:val="18"/>
              </w:rPr>
            </w:pPr>
            <w:r>
              <w:rPr>
                <w:rFonts w:ascii="Arial" w:hAnsi="Arial" w:cs="Arial"/>
                <w:color w:val="000000"/>
                <w:sz w:val="18"/>
                <w:szCs w:val="18"/>
              </w:rPr>
              <w:t>2.036.934</w:t>
            </w:r>
          </w:p>
        </w:tc>
        <w:tc>
          <w:tcPr>
            <w:tcW w:w="1114" w:type="dxa"/>
            <w:tcBorders>
              <w:top w:val="nil"/>
              <w:left w:val="nil"/>
              <w:bottom w:val="single" w:sz="4" w:space="0" w:color="auto"/>
              <w:right w:val="single" w:sz="4" w:space="0" w:color="auto"/>
            </w:tcBorders>
            <w:shd w:val="clear" w:color="000000" w:fill="FFFFFF"/>
            <w:noWrap/>
            <w:vAlign w:val="bottom"/>
            <w:hideMark/>
          </w:tcPr>
          <w:p w14:paraId="249D29D3" w14:textId="77777777" w:rsidR="00BB0278" w:rsidRDefault="00BB0278">
            <w:pPr>
              <w:jc w:val="right"/>
              <w:rPr>
                <w:rFonts w:ascii="Arial" w:hAnsi="Arial" w:cs="Arial"/>
                <w:color w:val="000000"/>
                <w:sz w:val="18"/>
                <w:szCs w:val="18"/>
              </w:rPr>
            </w:pPr>
            <w:r>
              <w:rPr>
                <w:rFonts w:ascii="Arial" w:hAnsi="Arial" w:cs="Arial"/>
                <w:color w:val="000000"/>
                <w:sz w:val="18"/>
                <w:szCs w:val="18"/>
              </w:rPr>
              <w:t>2.029.810</w:t>
            </w:r>
          </w:p>
        </w:tc>
        <w:tc>
          <w:tcPr>
            <w:tcW w:w="1134" w:type="dxa"/>
            <w:tcBorders>
              <w:top w:val="nil"/>
              <w:left w:val="nil"/>
              <w:bottom w:val="single" w:sz="4" w:space="0" w:color="auto"/>
              <w:right w:val="single" w:sz="4" w:space="0" w:color="auto"/>
            </w:tcBorders>
            <w:shd w:val="clear" w:color="000000" w:fill="FFFFFF"/>
            <w:noWrap/>
            <w:vAlign w:val="bottom"/>
            <w:hideMark/>
          </w:tcPr>
          <w:p w14:paraId="3C5A4A76" w14:textId="77777777" w:rsidR="00BB0278" w:rsidRDefault="00BB0278">
            <w:pPr>
              <w:jc w:val="right"/>
              <w:rPr>
                <w:rFonts w:ascii="Arial" w:hAnsi="Arial" w:cs="Arial"/>
                <w:color w:val="000000"/>
                <w:sz w:val="18"/>
                <w:szCs w:val="18"/>
              </w:rPr>
            </w:pPr>
            <w:r>
              <w:rPr>
                <w:rFonts w:ascii="Arial" w:hAnsi="Arial" w:cs="Arial"/>
                <w:color w:val="000000"/>
                <w:sz w:val="18"/>
                <w:szCs w:val="18"/>
              </w:rPr>
              <w:t>2.014.810</w:t>
            </w:r>
          </w:p>
        </w:tc>
        <w:tc>
          <w:tcPr>
            <w:tcW w:w="728" w:type="dxa"/>
            <w:tcBorders>
              <w:top w:val="nil"/>
              <w:left w:val="nil"/>
              <w:bottom w:val="single" w:sz="4" w:space="0" w:color="auto"/>
              <w:right w:val="single" w:sz="4" w:space="0" w:color="auto"/>
            </w:tcBorders>
            <w:shd w:val="clear" w:color="000000" w:fill="FFFFFF"/>
            <w:noWrap/>
            <w:vAlign w:val="bottom"/>
            <w:hideMark/>
          </w:tcPr>
          <w:p w14:paraId="6EE75D4B" w14:textId="77777777" w:rsidR="00BB0278" w:rsidRDefault="00BB0278">
            <w:pPr>
              <w:jc w:val="right"/>
              <w:rPr>
                <w:rFonts w:ascii="Arial" w:hAnsi="Arial" w:cs="Arial"/>
                <w:color w:val="000000"/>
                <w:sz w:val="18"/>
                <w:szCs w:val="18"/>
              </w:rPr>
            </w:pPr>
            <w:r>
              <w:rPr>
                <w:rFonts w:ascii="Arial" w:hAnsi="Arial" w:cs="Arial"/>
                <w:color w:val="000000"/>
                <w:sz w:val="18"/>
                <w:szCs w:val="18"/>
              </w:rPr>
              <w:t>98,91</w:t>
            </w:r>
          </w:p>
        </w:tc>
        <w:tc>
          <w:tcPr>
            <w:tcW w:w="850" w:type="dxa"/>
            <w:tcBorders>
              <w:top w:val="nil"/>
              <w:left w:val="nil"/>
              <w:bottom w:val="single" w:sz="4" w:space="0" w:color="auto"/>
              <w:right w:val="single" w:sz="4" w:space="0" w:color="auto"/>
            </w:tcBorders>
            <w:shd w:val="clear" w:color="000000" w:fill="FFFFFF"/>
            <w:noWrap/>
            <w:vAlign w:val="bottom"/>
            <w:hideMark/>
          </w:tcPr>
          <w:p w14:paraId="3CF2EA93" w14:textId="77777777" w:rsidR="00BB0278" w:rsidRDefault="00BB0278">
            <w:pPr>
              <w:jc w:val="right"/>
              <w:rPr>
                <w:rFonts w:ascii="Arial" w:hAnsi="Arial" w:cs="Arial"/>
                <w:color w:val="000000"/>
                <w:sz w:val="18"/>
                <w:szCs w:val="18"/>
              </w:rPr>
            </w:pPr>
            <w:r>
              <w:rPr>
                <w:rFonts w:ascii="Arial" w:hAnsi="Arial" w:cs="Arial"/>
                <w:color w:val="000000"/>
                <w:sz w:val="18"/>
                <w:szCs w:val="18"/>
              </w:rPr>
              <w:t>99,26</w:t>
            </w:r>
          </w:p>
        </w:tc>
      </w:tr>
      <w:tr w:rsidR="002F1CC2" w14:paraId="3A318A6C"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6CE584B5" w14:textId="77777777" w:rsidR="00BB0278" w:rsidRDefault="00BB0278">
            <w:pPr>
              <w:rPr>
                <w:rFonts w:ascii="Arial" w:hAnsi="Arial" w:cs="Arial"/>
                <w:color w:val="000000"/>
                <w:sz w:val="18"/>
                <w:szCs w:val="18"/>
              </w:rPr>
            </w:pPr>
            <w:r>
              <w:rPr>
                <w:rFonts w:ascii="Arial" w:hAnsi="Arial" w:cs="Arial"/>
                <w:color w:val="000000"/>
                <w:sz w:val="18"/>
                <w:szCs w:val="18"/>
              </w:rPr>
              <w:t>22</w:t>
            </w:r>
          </w:p>
        </w:tc>
        <w:tc>
          <w:tcPr>
            <w:tcW w:w="3857" w:type="dxa"/>
            <w:tcBorders>
              <w:top w:val="nil"/>
              <w:left w:val="nil"/>
              <w:bottom w:val="single" w:sz="4" w:space="0" w:color="auto"/>
              <w:right w:val="single" w:sz="4" w:space="0" w:color="auto"/>
            </w:tcBorders>
            <w:shd w:val="clear" w:color="000000" w:fill="FFFFFF"/>
            <w:noWrap/>
            <w:vAlign w:val="bottom"/>
            <w:hideMark/>
          </w:tcPr>
          <w:p w14:paraId="3C21124F" w14:textId="77777777" w:rsidR="00BB0278" w:rsidRDefault="00BB0278">
            <w:pPr>
              <w:rPr>
                <w:rFonts w:ascii="Arial" w:hAnsi="Arial" w:cs="Arial"/>
                <w:color w:val="000000"/>
                <w:sz w:val="18"/>
                <w:szCs w:val="18"/>
              </w:rPr>
            </w:pPr>
            <w:r>
              <w:rPr>
                <w:rFonts w:ascii="Arial" w:hAnsi="Arial" w:cs="Arial"/>
                <w:color w:val="000000"/>
                <w:sz w:val="18"/>
                <w:szCs w:val="18"/>
              </w:rPr>
              <w:t>SERVISIRANJE JAVNEGA DOLGA</w:t>
            </w:r>
          </w:p>
        </w:tc>
        <w:tc>
          <w:tcPr>
            <w:tcW w:w="1154" w:type="dxa"/>
            <w:tcBorders>
              <w:top w:val="nil"/>
              <w:left w:val="nil"/>
              <w:bottom w:val="single" w:sz="4" w:space="0" w:color="auto"/>
              <w:right w:val="single" w:sz="4" w:space="0" w:color="auto"/>
            </w:tcBorders>
            <w:shd w:val="clear" w:color="000000" w:fill="FFFFFF"/>
            <w:noWrap/>
            <w:vAlign w:val="bottom"/>
            <w:hideMark/>
          </w:tcPr>
          <w:p w14:paraId="5BC83298" w14:textId="77777777" w:rsidR="00BB0278" w:rsidRDefault="00BB0278">
            <w:pPr>
              <w:jc w:val="right"/>
              <w:rPr>
                <w:rFonts w:ascii="Arial" w:hAnsi="Arial" w:cs="Arial"/>
                <w:color w:val="000000"/>
                <w:sz w:val="18"/>
                <w:szCs w:val="18"/>
              </w:rPr>
            </w:pPr>
            <w:r>
              <w:rPr>
                <w:rFonts w:ascii="Arial" w:hAnsi="Arial" w:cs="Arial"/>
                <w:color w:val="000000"/>
                <w:sz w:val="18"/>
                <w:szCs w:val="18"/>
              </w:rPr>
              <w:t>3.477.000</w:t>
            </w:r>
          </w:p>
        </w:tc>
        <w:tc>
          <w:tcPr>
            <w:tcW w:w="1114" w:type="dxa"/>
            <w:tcBorders>
              <w:top w:val="nil"/>
              <w:left w:val="nil"/>
              <w:bottom w:val="single" w:sz="4" w:space="0" w:color="auto"/>
              <w:right w:val="single" w:sz="4" w:space="0" w:color="auto"/>
            </w:tcBorders>
            <w:shd w:val="clear" w:color="000000" w:fill="FFFFFF"/>
            <w:noWrap/>
            <w:vAlign w:val="bottom"/>
            <w:hideMark/>
          </w:tcPr>
          <w:p w14:paraId="2A49DF84" w14:textId="77777777" w:rsidR="00BB0278" w:rsidRDefault="00BB0278">
            <w:pPr>
              <w:jc w:val="right"/>
              <w:rPr>
                <w:rFonts w:ascii="Arial" w:hAnsi="Arial" w:cs="Arial"/>
                <w:color w:val="000000"/>
                <w:sz w:val="18"/>
                <w:szCs w:val="18"/>
              </w:rPr>
            </w:pPr>
            <w:r>
              <w:rPr>
                <w:rFonts w:ascii="Arial" w:hAnsi="Arial" w:cs="Arial"/>
                <w:color w:val="000000"/>
                <w:sz w:val="18"/>
                <w:szCs w:val="18"/>
              </w:rPr>
              <w:t>3.647.236</w:t>
            </w:r>
          </w:p>
        </w:tc>
        <w:tc>
          <w:tcPr>
            <w:tcW w:w="1134" w:type="dxa"/>
            <w:tcBorders>
              <w:top w:val="nil"/>
              <w:left w:val="nil"/>
              <w:bottom w:val="single" w:sz="4" w:space="0" w:color="auto"/>
              <w:right w:val="single" w:sz="4" w:space="0" w:color="auto"/>
            </w:tcBorders>
            <w:shd w:val="clear" w:color="000000" w:fill="FFFFFF"/>
            <w:noWrap/>
            <w:vAlign w:val="bottom"/>
            <w:hideMark/>
          </w:tcPr>
          <w:p w14:paraId="6F108CD0" w14:textId="77777777" w:rsidR="00BB0278" w:rsidRDefault="00BB0278">
            <w:pPr>
              <w:jc w:val="right"/>
              <w:rPr>
                <w:rFonts w:ascii="Arial" w:hAnsi="Arial" w:cs="Arial"/>
                <w:color w:val="000000"/>
                <w:sz w:val="18"/>
                <w:szCs w:val="18"/>
              </w:rPr>
            </w:pPr>
            <w:r>
              <w:rPr>
                <w:rFonts w:ascii="Arial" w:hAnsi="Arial" w:cs="Arial"/>
                <w:color w:val="000000"/>
                <w:sz w:val="18"/>
                <w:szCs w:val="18"/>
              </w:rPr>
              <w:t>3.372.236</w:t>
            </w:r>
          </w:p>
        </w:tc>
        <w:tc>
          <w:tcPr>
            <w:tcW w:w="728" w:type="dxa"/>
            <w:tcBorders>
              <w:top w:val="nil"/>
              <w:left w:val="nil"/>
              <w:bottom w:val="single" w:sz="4" w:space="0" w:color="auto"/>
              <w:right w:val="single" w:sz="4" w:space="0" w:color="auto"/>
            </w:tcBorders>
            <w:shd w:val="clear" w:color="000000" w:fill="FFFFFF"/>
            <w:noWrap/>
            <w:vAlign w:val="bottom"/>
            <w:hideMark/>
          </w:tcPr>
          <w:p w14:paraId="68F6FACD" w14:textId="77777777" w:rsidR="00BB0278" w:rsidRDefault="00BB0278">
            <w:pPr>
              <w:jc w:val="right"/>
              <w:rPr>
                <w:rFonts w:ascii="Arial" w:hAnsi="Arial" w:cs="Arial"/>
                <w:color w:val="000000"/>
                <w:sz w:val="18"/>
                <w:szCs w:val="18"/>
              </w:rPr>
            </w:pPr>
            <w:r>
              <w:rPr>
                <w:rFonts w:ascii="Arial" w:hAnsi="Arial" w:cs="Arial"/>
                <w:color w:val="000000"/>
                <w:sz w:val="18"/>
                <w:szCs w:val="18"/>
              </w:rPr>
              <w:t>96,99</w:t>
            </w:r>
          </w:p>
        </w:tc>
        <w:tc>
          <w:tcPr>
            <w:tcW w:w="850" w:type="dxa"/>
            <w:tcBorders>
              <w:top w:val="nil"/>
              <w:left w:val="nil"/>
              <w:bottom w:val="single" w:sz="4" w:space="0" w:color="auto"/>
              <w:right w:val="single" w:sz="4" w:space="0" w:color="auto"/>
            </w:tcBorders>
            <w:shd w:val="clear" w:color="000000" w:fill="FFFFFF"/>
            <w:noWrap/>
            <w:vAlign w:val="bottom"/>
            <w:hideMark/>
          </w:tcPr>
          <w:p w14:paraId="66007265" w14:textId="77777777" w:rsidR="00BB0278" w:rsidRDefault="00BB0278">
            <w:pPr>
              <w:jc w:val="right"/>
              <w:rPr>
                <w:rFonts w:ascii="Arial" w:hAnsi="Arial" w:cs="Arial"/>
                <w:color w:val="000000"/>
                <w:sz w:val="18"/>
                <w:szCs w:val="18"/>
              </w:rPr>
            </w:pPr>
            <w:r>
              <w:rPr>
                <w:rFonts w:ascii="Arial" w:hAnsi="Arial" w:cs="Arial"/>
                <w:color w:val="000000"/>
                <w:sz w:val="18"/>
                <w:szCs w:val="18"/>
              </w:rPr>
              <w:t>92,46</w:t>
            </w:r>
          </w:p>
        </w:tc>
      </w:tr>
      <w:tr w:rsidR="002F1CC2" w14:paraId="6F59D07B" w14:textId="77777777" w:rsidTr="00522663">
        <w:trPr>
          <w:trHeight w:val="300"/>
        </w:trPr>
        <w:tc>
          <w:tcPr>
            <w:tcW w:w="391" w:type="dxa"/>
            <w:tcBorders>
              <w:top w:val="nil"/>
              <w:left w:val="single" w:sz="4" w:space="0" w:color="auto"/>
              <w:bottom w:val="single" w:sz="4" w:space="0" w:color="auto"/>
              <w:right w:val="single" w:sz="4" w:space="0" w:color="auto"/>
            </w:tcBorders>
            <w:shd w:val="clear" w:color="000000" w:fill="FFFFFF"/>
            <w:noWrap/>
            <w:vAlign w:val="bottom"/>
            <w:hideMark/>
          </w:tcPr>
          <w:p w14:paraId="19982322" w14:textId="77777777" w:rsidR="00BB0278" w:rsidRDefault="00BB0278">
            <w:pPr>
              <w:rPr>
                <w:rFonts w:ascii="Arial" w:hAnsi="Arial" w:cs="Arial"/>
                <w:color w:val="000000"/>
                <w:sz w:val="18"/>
                <w:szCs w:val="18"/>
              </w:rPr>
            </w:pPr>
            <w:r>
              <w:rPr>
                <w:rFonts w:ascii="Arial" w:hAnsi="Arial" w:cs="Arial"/>
                <w:color w:val="000000"/>
                <w:sz w:val="18"/>
                <w:szCs w:val="18"/>
              </w:rPr>
              <w:t>23</w:t>
            </w:r>
          </w:p>
        </w:tc>
        <w:tc>
          <w:tcPr>
            <w:tcW w:w="3857" w:type="dxa"/>
            <w:tcBorders>
              <w:top w:val="nil"/>
              <w:left w:val="nil"/>
              <w:bottom w:val="single" w:sz="4" w:space="0" w:color="auto"/>
              <w:right w:val="single" w:sz="4" w:space="0" w:color="auto"/>
            </w:tcBorders>
            <w:shd w:val="clear" w:color="000000" w:fill="FFFFFF"/>
            <w:noWrap/>
            <w:vAlign w:val="bottom"/>
            <w:hideMark/>
          </w:tcPr>
          <w:p w14:paraId="7C889748" w14:textId="77777777" w:rsidR="00BB0278" w:rsidRDefault="00BB0278">
            <w:pPr>
              <w:rPr>
                <w:rFonts w:ascii="Arial" w:hAnsi="Arial" w:cs="Arial"/>
                <w:color w:val="000000"/>
                <w:sz w:val="18"/>
                <w:szCs w:val="18"/>
              </w:rPr>
            </w:pPr>
            <w:r>
              <w:rPr>
                <w:rFonts w:ascii="Arial" w:hAnsi="Arial" w:cs="Arial"/>
                <w:color w:val="000000"/>
                <w:sz w:val="18"/>
                <w:szCs w:val="18"/>
              </w:rPr>
              <w:t>INTERVENCIJSKI PROGRAMI IN OBVEZNOSTI</w:t>
            </w:r>
          </w:p>
        </w:tc>
        <w:tc>
          <w:tcPr>
            <w:tcW w:w="1154" w:type="dxa"/>
            <w:tcBorders>
              <w:top w:val="nil"/>
              <w:left w:val="nil"/>
              <w:bottom w:val="single" w:sz="4" w:space="0" w:color="auto"/>
              <w:right w:val="single" w:sz="4" w:space="0" w:color="auto"/>
            </w:tcBorders>
            <w:shd w:val="clear" w:color="000000" w:fill="FFFFFF"/>
            <w:noWrap/>
            <w:vAlign w:val="bottom"/>
            <w:hideMark/>
          </w:tcPr>
          <w:p w14:paraId="1F208D62" w14:textId="77777777" w:rsidR="00BB0278" w:rsidRDefault="00BB0278">
            <w:pPr>
              <w:jc w:val="right"/>
              <w:rPr>
                <w:rFonts w:ascii="Arial" w:hAnsi="Arial" w:cs="Arial"/>
                <w:color w:val="000000"/>
                <w:sz w:val="18"/>
                <w:szCs w:val="18"/>
              </w:rPr>
            </w:pPr>
            <w:r>
              <w:rPr>
                <w:rFonts w:ascii="Arial" w:hAnsi="Arial" w:cs="Arial"/>
                <w:color w:val="000000"/>
                <w:sz w:val="18"/>
                <w:szCs w:val="18"/>
              </w:rPr>
              <w:t>327.036</w:t>
            </w:r>
          </w:p>
        </w:tc>
        <w:tc>
          <w:tcPr>
            <w:tcW w:w="1114" w:type="dxa"/>
            <w:tcBorders>
              <w:top w:val="nil"/>
              <w:left w:val="nil"/>
              <w:bottom w:val="single" w:sz="4" w:space="0" w:color="auto"/>
              <w:right w:val="single" w:sz="4" w:space="0" w:color="auto"/>
            </w:tcBorders>
            <w:shd w:val="clear" w:color="000000" w:fill="FFFFFF"/>
            <w:noWrap/>
            <w:vAlign w:val="bottom"/>
            <w:hideMark/>
          </w:tcPr>
          <w:p w14:paraId="3EDCB58E" w14:textId="77777777" w:rsidR="00BB0278" w:rsidRDefault="00BB0278">
            <w:pPr>
              <w:jc w:val="right"/>
              <w:rPr>
                <w:rFonts w:ascii="Arial" w:hAnsi="Arial" w:cs="Arial"/>
                <w:color w:val="000000"/>
                <w:sz w:val="18"/>
                <w:szCs w:val="18"/>
              </w:rPr>
            </w:pPr>
            <w:r>
              <w:rPr>
                <w:rFonts w:ascii="Arial" w:hAnsi="Arial" w:cs="Arial"/>
                <w:color w:val="000000"/>
                <w:sz w:val="18"/>
                <w:szCs w:val="18"/>
              </w:rPr>
              <w:t>527.500</w:t>
            </w:r>
          </w:p>
        </w:tc>
        <w:tc>
          <w:tcPr>
            <w:tcW w:w="1134" w:type="dxa"/>
            <w:tcBorders>
              <w:top w:val="nil"/>
              <w:left w:val="nil"/>
              <w:bottom w:val="single" w:sz="4" w:space="0" w:color="auto"/>
              <w:right w:val="single" w:sz="4" w:space="0" w:color="auto"/>
            </w:tcBorders>
            <w:shd w:val="clear" w:color="000000" w:fill="FFFFFF"/>
            <w:noWrap/>
            <w:vAlign w:val="bottom"/>
            <w:hideMark/>
          </w:tcPr>
          <w:p w14:paraId="342DD0F8" w14:textId="77777777" w:rsidR="00BB0278" w:rsidRDefault="00BB0278">
            <w:pPr>
              <w:jc w:val="right"/>
              <w:rPr>
                <w:rFonts w:ascii="Arial" w:hAnsi="Arial" w:cs="Arial"/>
                <w:color w:val="000000"/>
                <w:sz w:val="18"/>
                <w:szCs w:val="18"/>
              </w:rPr>
            </w:pPr>
            <w:r>
              <w:rPr>
                <w:rFonts w:ascii="Arial" w:hAnsi="Arial" w:cs="Arial"/>
                <w:color w:val="000000"/>
                <w:sz w:val="18"/>
                <w:szCs w:val="18"/>
              </w:rPr>
              <w:t>287.500</w:t>
            </w:r>
          </w:p>
        </w:tc>
        <w:tc>
          <w:tcPr>
            <w:tcW w:w="728" w:type="dxa"/>
            <w:tcBorders>
              <w:top w:val="nil"/>
              <w:left w:val="nil"/>
              <w:bottom w:val="single" w:sz="4" w:space="0" w:color="auto"/>
              <w:right w:val="single" w:sz="4" w:space="0" w:color="auto"/>
            </w:tcBorders>
            <w:shd w:val="clear" w:color="000000" w:fill="FFFFFF"/>
            <w:noWrap/>
            <w:vAlign w:val="bottom"/>
            <w:hideMark/>
          </w:tcPr>
          <w:p w14:paraId="5CB67F67" w14:textId="77777777" w:rsidR="00BB0278" w:rsidRDefault="00BB0278">
            <w:pPr>
              <w:jc w:val="right"/>
              <w:rPr>
                <w:rFonts w:ascii="Arial" w:hAnsi="Arial" w:cs="Arial"/>
                <w:color w:val="000000"/>
                <w:sz w:val="18"/>
                <w:szCs w:val="18"/>
              </w:rPr>
            </w:pPr>
            <w:r>
              <w:rPr>
                <w:rFonts w:ascii="Arial" w:hAnsi="Arial" w:cs="Arial"/>
                <w:color w:val="000000"/>
                <w:sz w:val="18"/>
                <w:szCs w:val="18"/>
              </w:rPr>
              <w:t>87,91</w:t>
            </w:r>
          </w:p>
        </w:tc>
        <w:tc>
          <w:tcPr>
            <w:tcW w:w="850" w:type="dxa"/>
            <w:tcBorders>
              <w:top w:val="nil"/>
              <w:left w:val="nil"/>
              <w:bottom w:val="single" w:sz="4" w:space="0" w:color="auto"/>
              <w:right w:val="single" w:sz="4" w:space="0" w:color="auto"/>
            </w:tcBorders>
            <w:shd w:val="clear" w:color="000000" w:fill="FFFFFF"/>
            <w:noWrap/>
            <w:vAlign w:val="bottom"/>
            <w:hideMark/>
          </w:tcPr>
          <w:p w14:paraId="60426CEE" w14:textId="77777777" w:rsidR="00BB0278" w:rsidRDefault="00BB0278">
            <w:pPr>
              <w:jc w:val="right"/>
              <w:rPr>
                <w:rFonts w:ascii="Arial" w:hAnsi="Arial" w:cs="Arial"/>
                <w:color w:val="000000"/>
                <w:sz w:val="18"/>
                <w:szCs w:val="18"/>
              </w:rPr>
            </w:pPr>
            <w:r>
              <w:rPr>
                <w:rFonts w:ascii="Arial" w:hAnsi="Arial" w:cs="Arial"/>
                <w:color w:val="000000"/>
                <w:sz w:val="18"/>
                <w:szCs w:val="18"/>
              </w:rPr>
              <w:t>54,50</w:t>
            </w:r>
          </w:p>
        </w:tc>
      </w:tr>
    </w:tbl>
    <w:p w14:paraId="2A3B3E50" w14:textId="77777777" w:rsidR="005C3AF2" w:rsidRDefault="005C3AF2" w:rsidP="00BF14D2">
      <w:pPr>
        <w:autoSpaceDE w:val="0"/>
        <w:autoSpaceDN w:val="0"/>
        <w:adjustRightInd w:val="0"/>
        <w:spacing w:line="240" w:lineRule="exact"/>
        <w:jc w:val="both"/>
        <w:rPr>
          <w:rFonts w:ascii="Arial" w:hAnsi="Arial" w:cs="Arial"/>
          <w:sz w:val="22"/>
          <w:szCs w:val="22"/>
        </w:rPr>
      </w:pPr>
    </w:p>
    <w:p w14:paraId="3DD23E68" w14:textId="77777777" w:rsidR="005C3AF2" w:rsidRPr="00250685" w:rsidRDefault="005C3AF2" w:rsidP="005C3AF2">
      <w:pPr>
        <w:pStyle w:val="Naslov5"/>
        <w:rPr>
          <w:color w:val="000000" w:themeColor="text1"/>
          <w:sz w:val="22"/>
          <w:szCs w:val="22"/>
        </w:rPr>
      </w:pPr>
      <w:r w:rsidRPr="00250685">
        <w:rPr>
          <w:sz w:val="22"/>
          <w:szCs w:val="22"/>
        </w:rPr>
        <w:t>Zadolževanje</w:t>
      </w:r>
      <w:r w:rsidRPr="00250685">
        <w:rPr>
          <w:color w:val="000000" w:themeColor="text1"/>
          <w:sz w:val="22"/>
          <w:szCs w:val="22"/>
        </w:rPr>
        <w:t>:</w:t>
      </w:r>
    </w:p>
    <w:p w14:paraId="45B0F03A" w14:textId="77777777" w:rsidR="005C3AF2" w:rsidRDefault="005C3AF2" w:rsidP="005C3AF2">
      <w:pPr>
        <w:autoSpaceDE w:val="0"/>
        <w:autoSpaceDN w:val="0"/>
        <w:adjustRightInd w:val="0"/>
        <w:jc w:val="both"/>
        <w:rPr>
          <w:rFonts w:ascii="Arial" w:hAnsi="Arial" w:cs="Arial"/>
          <w:color w:val="FF0000"/>
          <w:sz w:val="22"/>
          <w:szCs w:val="22"/>
        </w:rPr>
      </w:pPr>
    </w:p>
    <w:p w14:paraId="0BEF0197" w14:textId="3FEA1726" w:rsidR="005C3AF2" w:rsidRPr="009206C9" w:rsidRDefault="005C3AF2" w:rsidP="005C3AF2">
      <w:pPr>
        <w:autoSpaceDE w:val="0"/>
        <w:autoSpaceDN w:val="0"/>
        <w:adjustRightInd w:val="0"/>
        <w:jc w:val="both"/>
        <w:rPr>
          <w:rFonts w:ascii="Arial" w:hAnsi="Arial" w:cs="Arial"/>
          <w:color w:val="000000"/>
          <w:sz w:val="22"/>
          <w:szCs w:val="22"/>
          <w:shd w:val="clear" w:color="auto" w:fill="FFFFFF"/>
          <w:lang w:val="x-none"/>
        </w:rPr>
      </w:pPr>
      <w:r>
        <w:rPr>
          <w:rFonts w:ascii="Arial" w:hAnsi="Arial" w:cs="Arial"/>
          <w:color w:val="000000"/>
          <w:sz w:val="22"/>
          <w:szCs w:val="22"/>
          <w:shd w:val="clear" w:color="auto" w:fill="FFFFFF"/>
          <w:lang w:val="x-none"/>
        </w:rPr>
        <w:t xml:space="preserve">Predvideno je </w:t>
      </w:r>
      <w:r>
        <w:rPr>
          <w:rFonts w:ascii="Arial" w:hAnsi="Arial" w:cs="Arial"/>
          <w:color w:val="000000"/>
          <w:sz w:val="22"/>
          <w:szCs w:val="22"/>
          <w:shd w:val="clear" w:color="auto" w:fill="FFFFFF"/>
        </w:rPr>
        <w:t xml:space="preserve">dodatno </w:t>
      </w:r>
      <w:r>
        <w:rPr>
          <w:rFonts w:ascii="Arial" w:hAnsi="Arial" w:cs="Arial"/>
          <w:color w:val="000000"/>
          <w:sz w:val="22"/>
          <w:szCs w:val="22"/>
          <w:shd w:val="clear" w:color="auto" w:fill="FFFFFF"/>
          <w:lang w:val="x-none"/>
        </w:rPr>
        <w:t xml:space="preserve">zadolževanje </w:t>
      </w:r>
      <w:r>
        <w:rPr>
          <w:rFonts w:ascii="Arial" w:hAnsi="Arial" w:cs="Arial"/>
          <w:color w:val="000000"/>
          <w:sz w:val="22"/>
          <w:szCs w:val="22"/>
          <w:shd w:val="clear" w:color="auto" w:fill="FFFFFF"/>
        </w:rPr>
        <w:t xml:space="preserve">v </w:t>
      </w:r>
      <w:r>
        <w:rPr>
          <w:rFonts w:ascii="Arial" w:hAnsi="Arial" w:cs="Arial"/>
          <w:color w:val="000000"/>
          <w:sz w:val="22"/>
          <w:szCs w:val="22"/>
          <w:shd w:val="clear" w:color="auto" w:fill="FFFFFF"/>
          <w:lang w:val="x-none"/>
        </w:rPr>
        <w:t>višin</w:t>
      </w:r>
      <w:r>
        <w:rPr>
          <w:rFonts w:ascii="Arial" w:hAnsi="Arial" w:cs="Arial"/>
          <w:color w:val="000000"/>
          <w:sz w:val="22"/>
          <w:szCs w:val="22"/>
          <w:shd w:val="clear" w:color="auto" w:fill="FFFFFF"/>
        </w:rPr>
        <w:t>i</w:t>
      </w:r>
      <w:r>
        <w:rPr>
          <w:rFonts w:ascii="Arial" w:hAnsi="Arial" w:cs="Arial"/>
          <w:color w:val="000000"/>
          <w:sz w:val="22"/>
          <w:szCs w:val="22"/>
          <w:shd w:val="clear" w:color="auto" w:fill="FFFFFF"/>
          <w:lang w:val="x-none"/>
        </w:rPr>
        <w:t xml:space="preserve"> </w:t>
      </w:r>
      <w:r w:rsidR="00815002">
        <w:rPr>
          <w:rFonts w:ascii="Arial" w:hAnsi="Arial" w:cs="Arial"/>
          <w:color w:val="000000"/>
          <w:sz w:val="22"/>
          <w:szCs w:val="22"/>
          <w:shd w:val="clear" w:color="auto" w:fill="FFFFFF"/>
        </w:rPr>
        <w:t>990</w:t>
      </w:r>
      <w:r>
        <w:rPr>
          <w:rFonts w:ascii="Arial" w:hAnsi="Arial" w:cs="Arial"/>
          <w:color w:val="000000"/>
          <w:sz w:val="22"/>
          <w:szCs w:val="22"/>
          <w:shd w:val="clear" w:color="auto" w:fill="FFFFFF"/>
          <w:lang w:val="x-none"/>
        </w:rPr>
        <w:t xml:space="preserve"> </w:t>
      </w:r>
      <w:r w:rsidR="00815002">
        <w:rPr>
          <w:rFonts w:ascii="Arial" w:hAnsi="Arial" w:cs="Arial"/>
          <w:color w:val="000000"/>
          <w:sz w:val="22"/>
          <w:szCs w:val="22"/>
          <w:shd w:val="clear" w:color="auto" w:fill="FFFFFF"/>
        </w:rPr>
        <w:t>tisoč</w:t>
      </w:r>
      <w:r>
        <w:rPr>
          <w:rFonts w:ascii="Arial" w:hAnsi="Arial" w:cs="Arial"/>
          <w:color w:val="000000"/>
          <w:sz w:val="22"/>
          <w:szCs w:val="22"/>
          <w:shd w:val="clear" w:color="auto" w:fill="FFFFFF"/>
          <w:lang w:val="x-none"/>
        </w:rPr>
        <w:t xml:space="preserve"> EUR pri domačih poslovnih bankah</w:t>
      </w:r>
      <w:r w:rsidR="009206C9">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lang w:val="x-none"/>
        </w:rPr>
        <w:t>za namen financiranja lastnega deleža pri investicijah, ki se bodo izvajale v okviru Evropske prestolnice kulture 2025.</w:t>
      </w:r>
      <w:r>
        <w:rPr>
          <w:rFonts w:ascii="Arial" w:hAnsi="Arial" w:cs="Arial"/>
          <w:color w:val="000000"/>
          <w:sz w:val="22"/>
          <w:szCs w:val="22"/>
          <w:shd w:val="clear" w:color="auto" w:fill="FFFFFF"/>
        </w:rPr>
        <w:t xml:space="preserve"> </w:t>
      </w:r>
    </w:p>
    <w:p w14:paraId="6B1CB11B" w14:textId="77777777" w:rsidR="005C3AF2" w:rsidRDefault="005C3AF2" w:rsidP="005C3AF2">
      <w:pPr>
        <w:autoSpaceDE w:val="0"/>
        <w:autoSpaceDN w:val="0"/>
        <w:adjustRightInd w:val="0"/>
        <w:jc w:val="both"/>
        <w:rPr>
          <w:rFonts w:ascii="Arial" w:hAnsi="Arial" w:cs="Arial"/>
          <w:color w:val="000000"/>
          <w:sz w:val="22"/>
          <w:szCs w:val="22"/>
          <w:shd w:val="clear" w:color="auto" w:fill="FFFFFF"/>
        </w:rPr>
      </w:pPr>
    </w:p>
    <w:p w14:paraId="73740985" w14:textId="77777777" w:rsidR="005C3AF2" w:rsidRPr="00250685" w:rsidRDefault="005C3AF2" w:rsidP="005C3AF2">
      <w:pPr>
        <w:pStyle w:val="Naslov5"/>
        <w:rPr>
          <w:sz w:val="22"/>
          <w:szCs w:val="22"/>
        </w:rPr>
      </w:pPr>
      <w:r w:rsidRPr="00250685">
        <w:rPr>
          <w:sz w:val="22"/>
          <w:szCs w:val="22"/>
        </w:rPr>
        <w:t>Druge pomembne okoliščine, glede vprašanj, ki jih ureja predlagani odlok:</w:t>
      </w:r>
    </w:p>
    <w:p w14:paraId="459E2BE0" w14:textId="2A5933C9" w:rsidR="005C3AF2" w:rsidRPr="001B6177" w:rsidRDefault="005C3AF2" w:rsidP="005C3AF2">
      <w:pPr>
        <w:jc w:val="both"/>
        <w:rPr>
          <w:rFonts w:ascii="Arial" w:hAnsi="Arial" w:cs="Arial"/>
          <w:sz w:val="22"/>
          <w:szCs w:val="22"/>
        </w:rPr>
      </w:pPr>
      <w:r w:rsidRPr="001B6177">
        <w:rPr>
          <w:rFonts w:ascii="Arial" w:hAnsi="Arial" w:cs="Arial"/>
          <w:sz w:val="22"/>
          <w:szCs w:val="22"/>
        </w:rPr>
        <w:t>Predlagan je krajši »</w:t>
      </w:r>
      <w:proofErr w:type="spellStart"/>
      <w:r w:rsidRPr="001B6177">
        <w:rPr>
          <w:rFonts w:ascii="Arial" w:hAnsi="Arial" w:cs="Arial"/>
          <w:sz w:val="22"/>
          <w:szCs w:val="22"/>
        </w:rPr>
        <w:t>vacatio</w:t>
      </w:r>
      <w:proofErr w:type="spellEnd"/>
      <w:r w:rsidRPr="001B6177">
        <w:rPr>
          <w:rFonts w:ascii="Arial" w:hAnsi="Arial" w:cs="Arial"/>
          <w:sz w:val="22"/>
          <w:szCs w:val="22"/>
        </w:rPr>
        <w:t xml:space="preserve"> </w:t>
      </w:r>
      <w:proofErr w:type="spellStart"/>
      <w:r w:rsidRPr="001B6177">
        <w:rPr>
          <w:rFonts w:ascii="Arial" w:hAnsi="Arial" w:cs="Arial"/>
          <w:sz w:val="22"/>
          <w:szCs w:val="22"/>
        </w:rPr>
        <w:t>legis</w:t>
      </w:r>
      <w:proofErr w:type="spellEnd"/>
      <w:r w:rsidRPr="001B6177">
        <w:rPr>
          <w:rFonts w:ascii="Arial" w:hAnsi="Arial" w:cs="Arial"/>
          <w:sz w:val="22"/>
          <w:szCs w:val="22"/>
        </w:rPr>
        <w:t>« od običajnega, in sicer naslednji dan po objavi v Uradnem listu RS</w:t>
      </w:r>
      <w:r>
        <w:rPr>
          <w:rFonts w:ascii="Arial" w:hAnsi="Arial" w:cs="Arial"/>
          <w:sz w:val="22"/>
          <w:szCs w:val="22"/>
        </w:rPr>
        <w:t>, z namenom</w:t>
      </w:r>
      <w:r w:rsidR="00EE569A">
        <w:rPr>
          <w:rFonts w:ascii="Arial" w:hAnsi="Arial" w:cs="Arial"/>
          <w:sz w:val="22"/>
          <w:szCs w:val="22"/>
        </w:rPr>
        <w:t xml:space="preserve"> nemotenega </w:t>
      </w:r>
      <w:r w:rsidRPr="001B6177">
        <w:rPr>
          <w:rFonts w:ascii="Arial" w:hAnsi="Arial" w:cs="Arial"/>
          <w:sz w:val="22"/>
          <w:szCs w:val="22"/>
        </w:rPr>
        <w:t>izvrševanj</w:t>
      </w:r>
      <w:r w:rsidR="00EE569A">
        <w:rPr>
          <w:rFonts w:ascii="Arial" w:hAnsi="Arial" w:cs="Arial"/>
          <w:sz w:val="22"/>
          <w:szCs w:val="22"/>
        </w:rPr>
        <w:t>a</w:t>
      </w:r>
      <w:r w:rsidRPr="001B6177">
        <w:rPr>
          <w:rFonts w:ascii="Arial" w:hAnsi="Arial" w:cs="Arial"/>
          <w:sz w:val="22"/>
          <w:szCs w:val="22"/>
        </w:rPr>
        <w:t xml:space="preserve"> prorač</w:t>
      </w:r>
      <w:r w:rsidR="00EE569A">
        <w:rPr>
          <w:rFonts w:ascii="Arial" w:hAnsi="Arial" w:cs="Arial"/>
          <w:sz w:val="22"/>
          <w:szCs w:val="22"/>
        </w:rPr>
        <w:t>una.</w:t>
      </w:r>
    </w:p>
    <w:p w14:paraId="7D6A7DFF" w14:textId="77777777" w:rsidR="005C3AF2" w:rsidRDefault="005C3AF2" w:rsidP="00E67F8A">
      <w:pPr>
        <w:autoSpaceDE w:val="0"/>
        <w:autoSpaceDN w:val="0"/>
        <w:adjustRightInd w:val="0"/>
        <w:jc w:val="both"/>
        <w:rPr>
          <w:rFonts w:ascii="Arial" w:hAnsi="Arial" w:cs="Arial"/>
          <w:sz w:val="22"/>
          <w:szCs w:val="22"/>
        </w:rPr>
      </w:pPr>
    </w:p>
    <w:p w14:paraId="4979958D" w14:textId="77777777" w:rsidR="00DE0E4C" w:rsidRPr="00BC26CA" w:rsidRDefault="00DE0E4C" w:rsidP="00E67F8A">
      <w:pPr>
        <w:jc w:val="both"/>
        <w:rPr>
          <w:rFonts w:ascii="Arial" w:hAnsi="Arial" w:cs="Arial"/>
          <w:color w:val="FF0000"/>
          <w:highlight w:val="lightGray"/>
        </w:rPr>
      </w:pPr>
    </w:p>
    <w:p w14:paraId="1C78077B" w14:textId="46BC01E7" w:rsidR="00E67F8A" w:rsidRPr="00550E36" w:rsidRDefault="00E67F8A" w:rsidP="00E67F8A">
      <w:pPr>
        <w:autoSpaceDE w:val="0"/>
        <w:autoSpaceDN w:val="0"/>
        <w:adjustRightInd w:val="0"/>
        <w:jc w:val="both"/>
        <w:rPr>
          <w:rFonts w:ascii="Arial" w:hAnsi="Arial" w:cs="Arial"/>
          <w:b/>
          <w:sz w:val="22"/>
          <w:szCs w:val="22"/>
        </w:rPr>
      </w:pPr>
      <w:r w:rsidRPr="00550E36">
        <w:rPr>
          <w:rFonts w:ascii="Arial" w:hAnsi="Arial" w:cs="Arial"/>
          <w:b/>
          <w:sz w:val="22"/>
          <w:szCs w:val="22"/>
        </w:rPr>
        <w:t>Mestnemu svetu Mestne občine Nova Gorica predlagamo, da obravnava predlog Odloka o proračunu Mestne občine Nova Gorica za leto 202</w:t>
      </w:r>
      <w:r w:rsidR="00024BD7">
        <w:rPr>
          <w:rFonts w:ascii="Arial" w:hAnsi="Arial" w:cs="Arial"/>
          <w:b/>
          <w:sz w:val="22"/>
          <w:szCs w:val="22"/>
        </w:rPr>
        <w:t>5</w:t>
      </w:r>
      <w:r w:rsidRPr="00550E36">
        <w:rPr>
          <w:rFonts w:ascii="Arial" w:hAnsi="Arial" w:cs="Arial"/>
          <w:b/>
          <w:sz w:val="22"/>
          <w:szCs w:val="22"/>
        </w:rPr>
        <w:t xml:space="preserve"> in ga po obravnavi sprejme v prvem branju.</w:t>
      </w:r>
    </w:p>
    <w:p w14:paraId="43C3CDD4" w14:textId="77777777" w:rsidR="00E67F8A" w:rsidRPr="00550E36" w:rsidRDefault="00E67F8A" w:rsidP="00E67F8A">
      <w:pPr>
        <w:jc w:val="both"/>
        <w:rPr>
          <w:rFonts w:ascii="Arial" w:hAnsi="Arial" w:cs="Arial"/>
          <w:sz w:val="22"/>
          <w:szCs w:val="22"/>
        </w:rPr>
      </w:pPr>
    </w:p>
    <w:p w14:paraId="273606A0" w14:textId="0D9A1D46" w:rsidR="00250685" w:rsidRDefault="00E67F8A" w:rsidP="00250685">
      <w:pPr>
        <w:rPr>
          <w:rFonts w:ascii="Arial" w:hAnsi="Arial" w:cs="Arial"/>
          <w:b/>
          <w:sz w:val="22"/>
          <w:szCs w:val="22"/>
        </w:rPr>
      </w:pPr>
      <w:r w:rsidRPr="00550E36">
        <w:rPr>
          <w:rFonts w:ascii="Arial" w:hAnsi="Arial" w:cs="Arial"/>
          <w:sz w:val="22"/>
          <w:szCs w:val="22"/>
        </w:rPr>
        <w:t xml:space="preserve">                                                                                 </w:t>
      </w:r>
      <w:r w:rsidR="00250685" w:rsidRPr="004B65A1">
        <w:rPr>
          <w:rFonts w:ascii="Arial" w:hAnsi="Arial" w:cs="Arial"/>
          <w:b/>
          <w:sz w:val="22"/>
          <w:szCs w:val="22"/>
        </w:rPr>
        <w:t xml:space="preserve">   </w:t>
      </w:r>
    </w:p>
    <w:p w14:paraId="5EA8F693" w14:textId="7C24E419" w:rsidR="00250685" w:rsidRPr="00250685" w:rsidRDefault="00250685" w:rsidP="00250685">
      <w:pPr>
        <w:rPr>
          <w:rFonts w:ascii="Arial" w:hAnsi="Arial" w:cs="Arial"/>
          <w:bCs/>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250685">
        <w:rPr>
          <w:rFonts w:ascii="Arial" w:hAnsi="Arial" w:cs="Arial"/>
          <w:bCs/>
          <w:sz w:val="22"/>
          <w:szCs w:val="22"/>
        </w:rPr>
        <w:t>Samo Turel</w:t>
      </w:r>
    </w:p>
    <w:p w14:paraId="7DDBE290" w14:textId="63B399EC" w:rsidR="00250685" w:rsidRPr="00250685" w:rsidRDefault="00250685" w:rsidP="00250685">
      <w:pPr>
        <w:rPr>
          <w:rFonts w:ascii="Arial" w:hAnsi="Arial" w:cs="Arial"/>
          <w:bCs/>
          <w:sz w:val="22"/>
          <w:szCs w:val="22"/>
        </w:rPr>
      </w:pPr>
      <w:r w:rsidRPr="00250685">
        <w:rPr>
          <w:rFonts w:ascii="Arial" w:hAnsi="Arial" w:cs="Arial"/>
          <w:bCs/>
          <w:sz w:val="22"/>
          <w:szCs w:val="22"/>
        </w:rPr>
        <w:t xml:space="preserve">                                                                                                                        </w:t>
      </w:r>
      <w:r w:rsidRPr="00250685">
        <w:rPr>
          <w:rFonts w:ascii="Arial" w:hAnsi="Arial" w:cs="Arial"/>
          <w:bCs/>
          <w:sz w:val="22"/>
          <w:szCs w:val="22"/>
        </w:rPr>
        <w:t>ŽUPAN</w:t>
      </w:r>
    </w:p>
    <w:p w14:paraId="4FD21F65" w14:textId="100CDE03" w:rsidR="00E67F8A" w:rsidRPr="00550E36" w:rsidRDefault="00E67F8A" w:rsidP="00E67F8A">
      <w:pPr>
        <w:rPr>
          <w:rFonts w:ascii="Arial" w:hAnsi="Arial" w:cs="Arial"/>
          <w:bCs/>
          <w:sz w:val="22"/>
          <w:szCs w:val="22"/>
        </w:rPr>
      </w:pPr>
      <w:r w:rsidRPr="00550E36">
        <w:rPr>
          <w:rFonts w:ascii="Arial" w:hAnsi="Arial" w:cs="Arial"/>
          <w:bCs/>
          <w:sz w:val="22"/>
          <w:szCs w:val="22"/>
        </w:rPr>
        <w:t>Pripravila:</w:t>
      </w:r>
    </w:p>
    <w:p w14:paraId="58ADD628" w14:textId="77777777" w:rsidR="00E67F8A" w:rsidRPr="00550E36" w:rsidRDefault="00E67F8A" w:rsidP="00E67F8A">
      <w:pPr>
        <w:rPr>
          <w:rFonts w:ascii="Arial" w:hAnsi="Arial" w:cs="Arial"/>
          <w:bCs/>
          <w:sz w:val="22"/>
          <w:szCs w:val="22"/>
        </w:rPr>
      </w:pPr>
    </w:p>
    <w:p w14:paraId="12BDA328" w14:textId="668DCDCD" w:rsidR="00E67F8A" w:rsidRPr="00550E36" w:rsidRDefault="00C926E4" w:rsidP="00E67F8A">
      <w:pPr>
        <w:rPr>
          <w:rFonts w:ascii="Arial" w:hAnsi="Arial" w:cs="Arial"/>
          <w:bCs/>
          <w:sz w:val="22"/>
          <w:szCs w:val="22"/>
        </w:rPr>
      </w:pPr>
      <w:r w:rsidRPr="00550E36">
        <w:rPr>
          <w:rFonts w:ascii="Arial" w:hAnsi="Arial" w:cs="Arial"/>
          <w:bCs/>
          <w:sz w:val="22"/>
          <w:szCs w:val="22"/>
        </w:rPr>
        <w:t>Aleš Markočič</w:t>
      </w:r>
      <w:r w:rsidR="00E67F8A" w:rsidRPr="00550E36">
        <w:rPr>
          <w:rFonts w:ascii="Arial" w:hAnsi="Arial" w:cs="Arial"/>
          <w:bCs/>
          <w:sz w:val="22"/>
          <w:szCs w:val="22"/>
        </w:rPr>
        <w:t xml:space="preserve">, </w:t>
      </w:r>
      <w:r w:rsidR="00936FB7" w:rsidRPr="00550E36">
        <w:rPr>
          <w:rFonts w:ascii="Arial" w:hAnsi="Arial" w:cs="Arial"/>
          <w:bCs/>
          <w:sz w:val="22"/>
          <w:szCs w:val="22"/>
        </w:rPr>
        <w:t>d</w:t>
      </w:r>
      <w:r w:rsidR="00F50DCD" w:rsidRPr="00550E36">
        <w:rPr>
          <w:rFonts w:ascii="Arial" w:hAnsi="Arial" w:cs="Arial"/>
          <w:bCs/>
          <w:sz w:val="22"/>
          <w:szCs w:val="22"/>
        </w:rPr>
        <w:t>irektor občinske uprave</w:t>
      </w:r>
    </w:p>
    <w:p w14:paraId="094EF90E" w14:textId="104FD648" w:rsidR="00E67F8A" w:rsidRPr="00550E36" w:rsidRDefault="00E67F8A" w:rsidP="00E67F8A">
      <w:pPr>
        <w:rPr>
          <w:rFonts w:ascii="Arial" w:hAnsi="Arial" w:cs="Arial"/>
          <w:bCs/>
          <w:sz w:val="22"/>
          <w:szCs w:val="22"/>
        </w:rPr>
      </w:pPr>
      <w:r w:rsidRPr="00550E36">
        <w:rPr>
          <w:rFonts w:ascii="Arial" w:hAnsi="Arial" w:cs="Arial"/>
          <w:bCs/>
          <w:sz w:val="22"/>
          <w:szCs w:val="22"/>
        </w:rPr>
        <w:t xml:space="preserve">Mateja Mislej, vodja </w:t>
      </w:r>
      <w:r w:rsidR="00936FB7" w:rsidRPr="00550E36">
        <w:rPr>
          <w:rFonts w:ascii="Arial" w:hAnsi="Arial" w:cs="Arial"/>
          <w:bCs/>
          <w:sz w:val="22"/>
          <w:szCs w:val="22"/>
        </w:rPr>
        <w:t>f</w:t>
      </w:r>
      <w:r w:rsidRPr="00550E36">
        <w:rPr>
          <w:rFonts w:ascii="Arial" w:hAnsi="Arial" w:cs="Arial"/>
          <w:bCs/>
          <w:sz w:val="22"/>
          <w:szCs w:val="22"/>
        </w:rPr>
        <w:t>inančno-računovodske službe</w:t>
      </w:r>
    </w:p>
    <w:p w14:paraId="35B5532C" w14:textId="77777777" w:rsidR="00E67F8A" w:rsidRPr="00550E36" w:rsidRDefault="00E67F8A" w:rsidP="00E67F8A">
      <w:pPr>
        <w:rPr>
          <w:rFonts w:ascii="Arial" w:hAnsi="Arial" w:cs="Arial"/>
          <w:bCs/>
          <w:sz w:val="22"/>
          <w:szCs w:val="22"/>
        </w:rPr>
      </w:pPr>
    </w:p>
    <w:p w14:paraId="479F8B3E" w14:textId="77777777" w:rsidR="00E67F8A" w:rsidRDefault="00E67F8A" w:rsidP="00E67F8A">
      <w:pPr>
        <w:rPr>
          <w:rFonts w:ascii="Arial" w:hAnsi="Arial" w:cs="Arial"/>
          <w:bCs/>
          <w:sz w:val="22"/>
          <w:szCs w:val="22"/>
        </w:rPr>
      </w:pPr>
    </w:p>
    <w:p w14:paraId="4EADA310" w14:textId="77777777" w:rsidR="00E67F8A" w:rsidRDefault="00E67F8A" w:rsidP="00E67F8A">
      <w:pPr>
        <w:rPr>
          <w:rFonts w:ascii="Arial" w:hAnsi="Arial" w:cs="Arial"/>
          <w:bCs/>
          <w:sz w:val="22"/>
          <w:szCs w:val="22"/>
        </w:rPr>
      </w:pPr>
    </w:p>
    <w:p w14:paraId="765578F9" w14:textId="77777777" w:rsidR="00E67F8A" w:rsidRPr="00895B50" w:rsidRDefault="00E67F8A" w:rsidP="00E67F8A">
      <w:pPr>
        <w:rPr>
          <w:rFonts w:ascii="Arial" w:hAnsi="Arial" w:cs="Arial"/>
          <w:bCs/>
          <w:sz w:val="22"/>
          <w:szCs w:val="22"/>
        </w:rPr>
      </w:pPr>
    </w:p>
    <w:p w14:paraId="7BA7D3AD" w14:textId="4EAEE939" w:rsidR="00E67F8A" w:rsidRPr="00CB2C17" w:rsidRDefault="00E67F8A" w:rsidP="00250685">
      <w:pPr>
        <w:rPr>
          <w:rFonts w:ascii="Arial" w:hAnsi="Arial" w:cs="Arial"/>
          <w:b/>
          <w:sz w:val="22"/>
          <w:szCs w:val="22"/>
        </w:rPr>
      </w:pPr>
      <w:r w:rsidRPr="004B65A1">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7CF41CFF" w14:textId="1C37F890" w:rsidR="00667399" w:rsidRPr="00CB2C17" w:rsidRDefault="00667399" w:rsidP="00E67F8A">
      <w:pPr>
        <w:autoSpaceDE w:val="0"/>
        <w:autoSpaceDN w:val="0"/>
        <w:adjustRightInd w:val="0"/>
        <w:jc w:val="both"/>
        <w:rPr>
          <w:rFonts w:ascii="Arial" w:hAnsi="Arial" w:cs="Arial"/>
          <w:b/>
          <w:sz w:val="22"/>
          <w:szCs w:val="22"/>
        </w:rPr>
      </w:pPr>
    </w:p>
    <w:sectPr w:rsidR="00667399" w:rsidRPr="00CB2C17" w:rsidSect="00611435">
      <w:headerReference w:type="default" r:id="rId34"/>
      <w:footerReference w:type="default" r:id="rId35"/>
      <w:headerReference w:type="first" r:id="rId36"/>
      <w:footerReference w:type="first" r:id="rId37"/>
      <w:pgSz w:w="11906" w:h="16838" w:code="9"/>
      <w:pgMar w:top="1418" w:right="1418" w:bottom="1418"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0435" w14:textId="77777777" w:rsidR="00136B43" w:rsidRDefault="00136B43">
      <w:r>
        <w:separator/>
      </w:r>
    </w:p>
  </w:endnote>
  <w:endnote w:type="continuationSeparator" w:id="0">
    <w:p w14:paraId="46496953" w14:textId="77777777" w:rsidR="00136B43" w:rsidRDefault="0013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5FBA" w14:textId="77777777" w:rsidR="00BC26CA" w:rsidRDefault="00BC26CA" w:rsidP="00DA275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9</w:t>
    </w:r>
    <w:r>
      <w:rPr>
        <w:rStyle w:val="tevilkastrani"/>
      </w:rPr>
      <w:fldChar w:fldCharType="end"/>
    </w:r>
  </w:p>
  <w:p w14:paraId="26C454D6" w14:textId="77777777" w:rsidR="00BC26CA" w:rsidRDefault="00BC26CA" w:rsidP="00C3699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388B" w14:textId="77777777" w:rsidR="00BC26CA" w:rsidRDefault="00BC26CA" w:rsidP="00DA275B">
    <w:pPr>
      <w:pStyle w:val="Noga"/>
      <w:framePr w:wrap="around" w:vAnchor="text" w:hAnchor="margin" w:xAlign="right" w:y="1"/>
      <w:ind w:right="360"/>
      <w:rPr>
        <w:rStyle w:val="tevilkastrani"/>
      </w:rPr>
    </w:pPr>
  </w:p>
  <w:p w14:paraId="3F33FDA5" w14:textId="0A609610" w:rsidR="00BC26CA" w:rsidRDefault="00BC26CA" w:rsidP="00C36995">
    <w:pPr>
      <w:pStyle w:val="Noga"/>
      <w:ind w:right="360"/>
    </w:pPr>
    <w:r>
      <w:rPr>
        <w:noProof/>
      </w:rPr>
      <w:drawing>
        <wp:anchor distT="0" distB="0" distL="114300" distR="114300" simplePos="0" relativeHeight="251672576" behindDoc="0" locked="0" layoutInCell="1" allowOverlap="1" wp14:anchorId="71D59253" wp14:editId="5A33A57D">
          <wp:simplePos x="0" y="0"/>
          <wp:positionH relativeFrom="page">
            <wp:posOffset>914400</wp:posOffset>
          </wp:positionH>
          <wp:positionV relativeFrom="page">
            <wp:posOffset>10044430</wp:posOffset>
          </wp:positionV>
          <wp:extent cx="5543550" cy="314325"/>
          <wp:effectExtent l="0" t="0" r="0" b="9525"/>
          <wp:wrapTopAndBottom/>
          <wp:docPr id="1241177147" name="Slika 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evilkastrani"/>
      </w:rPr>
      <w:tab/>
    </w:r>
    <w:r w:rsidRPr="006D4A6E">
      <w:rPr>
        <w:rStyle w:val="tevilkastrani"/>
      </w:rPr>
      <w:t xml:space="preserve"> </w:t>
    </w:r>
    <w:r w:rsidRPr="006D4A6E">
      <w:rPr>
        <w:rStyle w:val="tevilkastrani"/>
      </w:rPr>
      <w:fldChar w:fldCharType="begin"/>
    </w:r>
    <w:r w:rsidRPr="006D4A6E">
      <w:rPr>
        <w:rStyle w:val="tevilkastrani"/>
      </w:rPr>
      <w:instrText xml:space="preserve"> PAGE </w:instrText>
    </w:r>
    <w:r w:rsidRPr="006D4A6E">
      <w:rPr>
        <w:rStyle w:val="tevilkastrani"/>
      </w:rPr>
      <w:fldChar w:fldCharType="separate"/>
    </w:r>
    <w:r>
      <w:rPr>
        <w:rStyle w:val="tevilkastrani"/>
        <w:noProof/>
      </w:rPr>
      <w:t>8</w:t>
    </w:r>
    <w:r w:rsidRPr="006D4A6E">
      <w:rPr>
        <w:rStyle w:val="tevilkastrani"/>
      </w:rPr>
      <w:fldChar w:fldCharType="end"/>
    </w:r>
    <w:r>
      <w:rPr>
        <w:rStyle w:val="tevilkastran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7E1B" w14:textId="68F3EF40" w:rsidR="00BC26CA" w:rsidRDefault="00BC26CA">
    <w:pPr>
      <w:pStyle w:val="Noga"/>
    </w:pPr>
    <w:r>
      <w:rPr>
        <w:noProof/>
      </w:rPr>
      <w:drawing>
        <wp:anchor distT="0" distB="0" distL="114300" distR="114300" simplePos="0" relativeHeight="251670528" behindDoc="0" locked="0" layoutInCell="1" allowOverlap="1" wp14:anchorId="33527F53" wp14:editId="678EB649">
          <wp:simplePos x="0" y="0"/>
          <wp:positionH relativeFrom="page">
            <wp:posOffset>1028700</wp:posOffset>
          </wp:positionH>
          <wp:positionV relativeFrom="page">
            <wp:posOffset>10158730</wp:posOffset>
          </wp:positionV>
          <wp:extent cx="5543550" cy="314325"/>
          <wp:effectExtent l="0" t="0" r="0" b="9525"/>
          <wp:wrapTopAndBottom/>
          <wp:docPr id="1210996295" name="Slika 1"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990605"/>
      <w:docPartObj>
        <w:docPartGallery w:val="Page Numbers (Bottom of Page)"/>
        <w:docPartUnique/>
      </w:docPartObj>
    </w:sdtPr>
    <w:sdtEndPr>
      <w:rPr>
        <w:rFonts w:ascii="Arial" w:hAnsi="Arial" w:cs="Arial"/>
        <w:sz w:val="20"/>
        <w:szCs w:val="20"/>
      </w:rPr>
    </w:sdtEndPr>
    <w:sdtContent>
      <w:p w14:paraId="3BD30FCF" w14:textId="0B593015" w:rsidR="00AE1C5B" w:rsidRPr="00AE1C5B" w:rsidRDefault="007E4F09">
        <w:pPr>
          <w:pStyle w:val="Noga"/>
          <w:jc w:val="center"/>
          <w:rPr>
            <w:rFonts w:ascii="Arial" w:hAnsi="Arial" w:cs="Arial"/>
            <w:sz w:val="20"/>
            <w:szCs w:val="20"/>
          </w:rPr>
        </w:pPr>
        <w:r>
          <w:rPr>
            <w:noProof/>
          </w:rPr>
          <w:drawing>
            <wp:anchor distT="0" distB="0" distL="114300" distR="114300" simplePos="0" relativeHeight="251667456" behindDoc="0" locked="0" layoutInCell="1" allowOverlap="1" wp14:anchorId="15F42F46" wp14:editId="6162E60F">
              <wp:simplePos x="0" y="0"/>
              <wp:positionH relativeFrom="page">
                <wp:posOffset>914400</wp:posOffset>
              </wp:positionH>
              <wp:positionV relativeFrom="page">
                <wp:posOffset>10047605</wp:posOffset>
              </wp:positionV>
              <wp:extent cx="5543550" cy="314325"/>
              <wp:effectExtent l="0" t="0" r="0" b="9525"/>
              <wp:wrapTopAndBottom/>
              <wp:docPr id="38" name="Slika 38"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C5B" w:rsidRPr="00AE1C5B">
          <w:rPr>
            <w:rFonts w:ascii="Arial" w:hAnsi="Arial" w:cs="Arial"/>
            <w:sz w:val="20"/>
            <w:szCs w:val="20"/>
          </w:rPr>
          <w:fldChar w:fldCharType="begin"/>
        </w:r>
        <w:r w:rsidR="00AE1C5B" w:rsidRPr="00AE1C5B">
          <w:rPr>
            <w:rFonts w:ascii="Arial" w:hAnsi="Arial" w:cs="Arial"/>
            <w:sz w:val="20"/>
            <w:szCs w:val="20"/>
          </w:rPr>
          <w:instrText>PAGE   \* MERGEFORMAT</w:instrText>
        </w:r>
        <w:r w:rsidR="00AE1C5B" w:rsidRPr="00AE1C5B">
          <w:rPr>
            <w:rFonts w:ascii="Arial" w:hAnsi="Arial" w:cs="Arial"/>
            <w:sz w:val="20"/>
            <w:szCs w:val="20"/>
          </w:rPr>
          <w:fldChar w:fldCharType="separate"/>
        </w:r>
        <w:r w:rsidR="00AE1C5B" w:rsidRPr="00AE1C5B">
          <w:rPr>
            <w:rFonts w:ascii="Arial" w:hAnsi="Arial" w:cs="Arial"/>
            <w:sz w:val="20"/>
            <w:szCs w:val="20"/>
          </w:rPr>
          <w:t>2</w:t>
        </w:r>
        <w:r w:rsidR="00AE1C5B" w:rsidRPr="00AE1C5B">
          <w:rPr>
            <w:rFonts w:ascii="Arial" w:hAnsi="Arial" w:cs="Arial"/>
            <w:sz w:val="20"/>
            <w:szCs w:val="20"/>
          </w:rPr>
          <w:fldChar w:fldCharType="end"/>
        </w:r>
      </w:p>
    </w:sdtContent>
  </w:sdt>
  <w:p w14:paraId="6547CC28" w14:textId="08890388" w:rsidR="00C925F5" w:rsidRDefault="00C925F5" w:rsidP="00C36995">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0FF3" w14:textId="77777777" w:rsidR="00AE1C5B" w:rsidRDefault="00AE1C5B">
    <w:pPr>
      <w:pStyle w:val="Noga"/>
    </w:pPr>
    <w:r>
      <w:rPr>
        <w:noProof/>
      </w:rPr>
      <w:drawing>
        <wp:anchor distT="0" distB="0" distL="114300" distR="114300" simplePos="0" relativeHeight="251665408" behindDoc="0" locked="0" layoutInCell="1" allowOverlap="1" wp14:anchorId="1040C73B" wp14:editId="12577F30">
          <wp:simplePos x="0" y="0"/>
          <wp:positionH relativeFrom="page">
            <wp:posOffset>1028700</wp:posOffset>
          </wp:positionH>
          <wp:positionV relativeFrom="page">
            <wp:posOffset>10031139</wp:posOffset>
          </wp:positionV>
          <wp:extent cx="5543550" cy="314325"/>
          <wp:effectExtent l="0" t="0" r="0" b="9525"/>
          <wp:wrapTopAndBottom/>
          <wp:docPr id="40" name="Slika 40"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89EC" w14:textId="77777777" w:rsidR="00136B43" w:rsidRDefault="00136B43">
      <w:r>
        <w:separator/>
      </w:r>
    </w:p>
  </w:footnote>
  <w:footnote w:type="continuationSeparator" w:id="0">
    <w:p w14:paraId="77B88F9A" w14:textId="77777777" w:rsidR="00136B43" w:rsidRDefault="00136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0914" w14:textId="635C1775" w:rsidR="00BC26CA" w:rsidRDefault="00BC26CA">
    <w:pPr>
      <w:pStyle w:val="Glava"/>
    </w:pPr>
    <w:r>
      <w:rPr>
        <w:noProof/>
      </w:rPr>
      <w:drawing>
        <wp:anchor distT="0" distB="0" distL="114300" distR="114300" simplePos="0" relativeHeight="251671552" behindDoc="0" locked="0" layoutInCell="1" allowOverlap="1" wp14:anchorId="295B6C32" wp14:editId="2D424BA0">
          <wp:simplePos x="0" y="0"/>
          <wp:positionH relativeFrom="page">
            <wp:posOffset>288290</wp:posOffset>
          </wp:positionH>
          <wp:positionV relativeFrom="page">
            <wp:posOffset>288290</wp:posOffset>
          </wp:positionV>
          <wp:extent cx="2371725" cy="1000125"/>
          <wp:effectExtent l="0" t="0" r="9525" b="9525"/>
          <wp:wrapTopAndBottom/>
          <wp:docPr id="2061525952" name="Slika 2"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49E2" w14:textId="798D528C" w:rsidR="007E4F09" w:rsidRDefault="007E4F0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84D8" w14:textId="6E947766" w:rsidR="00AE1C5B" w:rsidRDefault="007E4F09">
    <w:pPr>
      <w:pStyle w:val="Glava"/>
    </w:pPr>
    <w:r>
      <w:rPr>
        <w:noProof/>
      </w:rPr>
      <w:drawing>
        <wp:anchor distT="0" distB="0" distL="114300" distR="114300" simplePos="0" relativeHeight="251668480" behindDoc="0" locked="0" layoutInCell="1" allowOverlap="0" wp14:anchorId="439ABA4E" wp14:editId="14E349D7">
          <wp:simplePos x="0" y="0"/>
          <wp:positionH relativeFrom="page">
            <wp:posOffset>288290</wp:posOffset>
          </wp:positionH>
          <wp:positionV relativeFrom="page">
            <wp:posOffset>288290</wp:posOffset>
          </wp:positionV>
          <wp:extent cx="2371725" cy="1000125"/>
          <wp:effectExtent l="0" t="0" r="9525" b="9525"/>
          <wp:wrapTopAndBottom/>
          <wp:docPr id="44" name="Slika 44"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LAVA zu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15:restartNumberingAfterBreak="0">
    <w:nsid w:val="00000011"/>
    <w:multiLevelType w:val="multilevel"/>
    <w:tmpl w:val="00000011"/>
    <w:name w:val="WW8Num2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7C2631"/>
    <w:multiLevelType w:val="hybridMultilevel"/>
    <w:tmpl w:val="F14A5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2287921"/>
    <w:multiLevelType w:val="hybridMultilevel"/>
    <w:tmpl w:val="1B26DF4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069C48E5"/>
    <w:multiLevelType w:val="hybridMultilevel"/>
    <w:tmpl w:val="5BE24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75F70F2"/>
    <w:multiLevelType w:val="hybridMultilevel"/>
    <w:tmpl w:val="029ECEB6"/>
    <w:lvl w:ilvl="0" w:tplc="330A8C6A">
      <w:start w:val="1"/>
      <w:numFmt w:val="decimal"/>
      <w:lvlText w:val="(%1)"/>
      <w:lvlJc w:val="left"/>
      <w:pPr>
        <w:ind w:left="720" w:hanging="360"/>
      </w:pPr>
      <w:rPr>
        <w:rFonts w:hint="default"/>
      </w:rPr>
    </w:lvl>
    <w:lvl w:ilvl="1" w:tplc="D6C6068E">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07C537CB"/>
    <w:multiLevelType w:val="hybridMultilevel"/>
    <w:tmpl w:val="CC9623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B223BD8"/>
    <w:multiLevelType w:val="hybridMultilevel"/>
    <w:tmpl w:val="3ACAA59E"/>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0C345B6A"/>
    <w:multiLevelType w:val="hybridMultilevel"/>
    <w:tmpl w:val="770680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0E27144C"/>
    <w:multiLevelType w:val="hybridMultilevel"/>
    <w:tmpl w:val="92A4418A"/>
    <w:lvl w:ilvl="0" w:tplc="42AAC9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FB967EA"/>
    <w:multiLevelType w:val="hybridMultilevel"/>
    <w:tmpl w:val="63A07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143595A"/>
    <w:multiLevelType w:val="hybridMultilevel"/>
    <w:tmpl w:val="64CC4BAA"/>
    <w:lvl w:ilvl="0" w:tplc="3EAEEE9E">
      <w:start w:val="10"/>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2794F3B"/>
    <w:multiLevelType w:val="hybridMultilevel"/>
    <w:tmpl w:val="45B8297A"/>
    <w:lvl w:ilvl="0" w:tplc="EDF6904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4AD8818"/>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7" w15:restartNumberingAfterBreak="0">
    <w:nsid w:val="1BC62A1E"/>
    <w:multiLevelType w:val="hybridMultilevel"/>
    <w:tmpl w:val="4E1CF08E"/>
    <w:lvl w:ilvl="0" w:tplc="EDF69044">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1C715763"/>
    <w:multiLevelType w:val="hybridMultilevel"/>
    <w:tmpl w:val="4AF4F78C"/>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1FE415FD"/>
    <w:multiLevelType w:val="hybridMultilevel"/>
    <w:tmpl w:val="8DC6497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20EC22AF"/>
    <w:multiLevelType w:val="hybridMultilevel"/>
    <w:tmpl w:val="B03C6FF4"/>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378601D"/>
    <w:multiLevelType w:val="hybridMultilevel"/>
    <w:tmpl w:val="0B227DB6"/>
    <w:lvl w:ilvl="0" w:tplc="88BAED38">
      <w:start w:val="1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BDB2CE6"/>
    <w:multiLevelType w:val="hybridMultilevel"/>
    <w:tmpl w:val="3768DDA8"/>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FB859CB"/>
    <w:multiLevelType w:val="hybridMultilevel"/>
    <w:tmpl w:val="5BE6D934"/>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4A27594"/>
    <w:multiLevelType w:val="hybridMultilevel"/>
    <w:tmpl w:val="FE280CE8"/>
    <w:lvl w:ilvl="0" w:tplc="E78A3EEA">
      <w:start w:val="39"/>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DFF2F5B"/>
    <w:multiLevelType w:val="hybridMultilevel"/>
    <w:tmpl w:val="043E2966"/>
    <w:lvl w:ilvl="0" w:tplc="D46CD2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E40586A"/>
    <w:multiLevelType w:val="hybridMultilevel"/>
    <w:tmpl w:val="6BDA116A"/>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E5C1BEA"/>
    <w:multiLevelType w:val="hybridMultilevel"/>
    <w:tmpl w:val="771E5392"/>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EA62229"/>
    <w:multiLevelType w:val="hybridMultilevel"/>
    <w:tmpl w:val="B230713A"/>
    <w:lvl w:ilvl="0" w:tplc="EDF6904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05842B8"/>
    <w:multiLevelType w:val="hybridMultilevel"/>
    <w:tmpl w:val="B6E4F6B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40B9477C"/>
    <w:multiLevelType w:val="hybridMultilevel"/>
    <w:tmpl w:val="4DB22F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6450D10"/>
    <w:multiLevelType w:val="hybridMultilevel"/>
    <w:tmpl w:val="25F69200"/>
    <w:lvl w:ilvl="0" w:tplc="BB1C9BA8">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9C7163A"/>
    <w:multiLevelType w:val="hybridMultilevel"/>
    <w:tmpl w:val="E6E45010"/>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C5F70CE"/>
    <w:multiLevelType w:val="hybridMultilevel"/>
    <w:tmpl w:val="448C01BC"/>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D432D33"/>
    <w:multiLevelType w:val="hybridMultilevel"/>
    <w:tmpl w:val="951A7E50"/>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6E95064"/>
    <w:multiLevelType w:val="hybridMultilevel"/>
    <w:tmpl w:val="E4A4E728"/>
    <w:lvl w:ilvl="0" w:tplc="672439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DF21B39"/>
    <w:multiLevelType w:val="hybridMultilevel"/>
    <w:tmpl w:val="3ABE0836"/>
    <w:lvl w:ilvl="0" w:tplc="5E12553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2020459"/>
    <w:multiLevelType w:val="hybridMultilevel"/>
    <w:tmpl w:val="7EDE7D90"/>
    <w:lvl w:ilvl="0" w:tplc="5E70492C">
      <w:start w:val="3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7E2C223B"/>
    <w:multiLevelType w:val="hybridMultilevel"/>
    <w:tmpl w:val="C9A2DBD8"/>
    <w:lvl w:ilvl="0" w:tplc="EDF6904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60079001">
    <w:abstractNumId w:val="33"/>
  </w:num>
  <w:num w:numId="2" w16cid:durableId="864292329">
    <w:abstractNumId w:val="47"/>
  </w:num>
  <w:num w:numId="3" w16cid:durableId="1062404438">
    <w:abstractNumId w:val="16"/>
  </w:num>
  <w:num w:numId="4" w16cid:durableId="616256029">
    <w:abstractNumId w:val="27"/>
  </w:num>
  <w:num w:numId="5" w16cid:durableId="853953739">
    <w:abstractNumId w:val="29"/>
  </w:num>
  <w:num w:numId="6" w16cid:durableId="1879318139">
    <w:abstractNumId w:val="23"/>
  </w:num>
  <w:num w:numId="7" w16cid:durableId="1151680444">
    <w:abstractNumId w:val="50"/>
  </w:num>
  <w:num w:numId="8" w16cid:durableId="933392892">
    <w:abstractNumId w:val="25"/>
  </w:num>
  <w:num w:numId="9" w16cid:durableId="500201281">
    <w:abstractNumId w:val="39"/>
  </w:num>
  <w:num w:numId="10" w16cid:durableId="427697291">
    <w:abstractNumId w:val="21"/>
  </w:num>
  <w:num w:numId="11" w16cid:durableId="1615477247">
    <w:abstractNumId w:val="35"/>
  </w:num>
  <w:num w:numId="12" w16cid:durableId="1439059425">
    <w:abstractNumId w:val="49"/>
  </w:num>
  <w:num w:numId="13" w16cid:durableId="528614529">
    <w:abstractNumId w:val="17"/>
  </w:num>
  <w:num w:numId="14" w16cid:durableId="419104976">
    <w:abstractNumId w:val="41"/>
  </w:num>
  <w:num w:numId="15" w16cid:durableId="1663847221">
    <w:abstractNumId w:val="42"/>
  </w:num>
  <w:num w:numId="16" w16cid:durableId="95566000">
    <w:abstractNumId w:val="45"/>
  </w:num>
  <w:num w:numId="17" w16cid:durableId="1792162924">
    <w:abstractNumId w:val="37"/>
  </w:num>
  <w:num w:numId="18" w16cid:durableId="973679019">
    <w:abstractNumId w:val="30"/>
  </w:num>
  <w:num w:numId="19" w16cid:durableId="998843403">
    <w:abstractNumId w:val="34"/>
  </w:num>
  <w:num w:numId="20" w16cid:durableId="2035422909">
    <w:abstractNumId w:val="46"/>
  </w:num>
  <w:num w:numId="21" w16cid:durableId="161891617">
    <w:abstractNumId w:val="32"/>
  </w:num>
  <w:num w:numId="22" w16cid:durableId="1385593517">
    <w:abstractNumId w:val="43"/>
  </w:num>
  <w:num w:numId="23" w16cid:durableId="38478312">
    <w:abstractNumId w:val="44"/>
  </w:num>
  <w:num w:numId="24" w16cid:durableId="2123910758">
    <w:abstractNumId w:val="20"/>
  </w:num>
  <w:num w:numId="25" w16cid:durableId="1558737149">
    <w:abstractNumId w:val="28"/>
  </w:num>
  <w:num w:numId="26" w16cid:durableId="1870757067">
    <w:abstractNumId w:val="38"/>
  </w:num>
  <w:num w:numId="27" w16cid:durableId="1452629189">
    <w:abstractNumId w:val="18"/>
  </w:num>
  <w:num w:numId="28" w16cid:durableId="1193225977">
    <w:abstractNumId w:val="15"/>
  </w:num>
  <w:num w:numId="29" w16cid:durableId="1303198460">
    <w:abstractNumId w:val="36"/>
  </w:num>
  <w:num w:numId="30" w16cid:durableId="575213281">
    <w:abstractNumId w:val="24"/>
  </w:num>
  <w:num w:numId="31" w16cid:durableId="234125674">
    <w:abstractNumId w:val="22"/>
  </w:num>
  <w:num w:numId="32" w16cid:durableId="8438588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9868067">
    <w:abstractNumId w:val="24"/>
  </w:num>
  <w:num w:numId="34" w16cid:durableId="428817852">
    <w:abstractNumId w:val="40"/>
  </w:num>
  <w:num w:numId="35" w16cid:durableId="8080179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7403011">
    <w:abstractNumId w:val="19"/>
  </w:num>
  <w:num w:numId="37" w16cid:durableId="1006710735">
    <w:abstractNumId w:val="31"/>
  </w:num>
  <w:num w:numId="38" w16cid:durableId="2115975138">
    <w:abstractNumId w:val="26"/>
  </w:num>
  <w:num w:numId="39" w16cid:durableId="18313858">
    <w:abstractNumId w:val="4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0D"/>
    <w:rsid w:val="000018AD"/>
    <w:rsid w:val="00002021"/>
    <w:rsid w:val="00002481"/>
    <w:rsid w:val="00005606"/>
    <w:rsid w:val="0000615D"/>
    <w:rsid w:val="00010F53"/>
    <w:rsid w:val="00011359"/>
    <w:rsid w:val="000124E0"/>
    <w:rsid w:val="00013247"/>
    <w:rsid w:val="00014E15"/>
    <w:rsid w:val="0001656B"/>
    <w:rsid w:val="000172E1"/>
    <w:rsid w:val="00021A35"/>
    <w:rsid w:val="00023C86"/>
    <w:rsid w:val="00024BD7"/>
    <w:rsid w:val="00024DED"/>
    <w:rsid w:val="00025EFD"/>
    <w:rsid w:val="00030264"/>
    <w:rsid w:val="00030CE3"/>
    <w:rsid w:val="00032D66"/>
    <w:rsid w:val="00034263"/>
    <w:rsid w:val="000342FC"/>
    <w:rsid w:val="000346A7"/>
    <w:rsid w:val="0003728E"/>
    <w:rsid w:val="0004126F"/>
    <w:rsid w:val="00041593"/>
    <w:rsid w:val="00041745"/>
    <w:rsid w:val="00042F73"/>
    <w:rsid w:val="00043477"/>
    <w:rsid w:val="00046BB0"/>
    <w:rsid w:val="00047603"/>
    <w:rsid w:val="00047C81"/>
    <w:rsid w:val="00050BB2"/>
    <w:rsid w:val="000516E7"/>
    <w:rsid w:val="00052EB3"/>
    <w:rsid w:val="000542F2"/>
    <w:rsid w:val="000544BE"/>
    <w:rsid w:val="000553AD"/>
    <w:rsid w:val="0005571F"/>
    <w:rsid w:val="000558BC"/>
    <w:rsid w:val="00055F46"/>
    <w:rsid w:val="00056C38"/>
    <w:rsid w:val="000640C0"/>
    <w:rsid w:val="00064895"/>
    <w:rsid w:val="00065C0E"/>
    <w:rsid w:val="000669E3"/>
    <w:rsid w:val="00067456"/>
    <w:rsid w:val="00070004"/>
    <w:rsid w:val="00073F6C"/>
    <w:rsid w:val="0007466D"/>
    <w:rsid w:val="0007509D"/>
    <w:rsid w:val="00075FE2"/>
    <w:rsid w:val="00076966"/>
    <w:rsid w:val="000819C7"/>
    <w:rsid w:val="000829F3"/>
    <w:rsid w:val="00083A5C"/>
    <w:rsid w:val="00084260"/>
    <w:rsid w:val="00084826"/>
    <w:rsid w:val="00085C1D"/>
    <w:rsid w:val="0008684B"/>
    <w:rsid w:val="00091051"/>
    <w:rsid w:val="00092601"/>
    <w:rsid w:val="0009295B"/>
    <w:rsid w:val="00094C93"/>
    <w:rsid w:val="00095BC4"/>
    <w:rsid w:val="00097270"/>
    <w:rsid w:val="000A1AA4"/>
    <w:rsid w:val="000A2291"/>
    <w:rsid w:val="000A492F"/>
    <w:rsid w:val="000A4B5A"/>
    <w:rsid w:val="000A5B99"/>
    <w:rsid w:val="000A7BE6"/>
    <w:rsid w:val="000B0F0D"/>
    <w:rsid w:val="000C0EC9"/>
    <w:rsid w:val="000C4BFF"/>
    <w:rsid w:val="000C5068"/>
    <w:rsid w:val="000C5710"/>
    <w:rsid w:val="000C5AD2"/>
    <w:rsid w:val="000C5FBC"/>
    <w:rsid w:val="000C7DD6"/>
    <w:rsid w:val="000D0F83"/>
    <w:rsid w:val="000D2F6B"/>
    <w:rsid w:val="000D4818"/>
    <w:rsid w:val="000D66BC"/>
    <w:rsid w:val="000D7C5A"/>
    <w:rsid w:val="000E0A9F"/>
    <w:rsid w:val="000E33FF"/>
    <w:rsid w:val="000E3C00"/>
    <w:rsid w:val="000E3F1C"/>
    <w:rsid w:val="000E4618"/>
    <w:rsid w:val="000E49F9"/>
    <w:rsid w:val="000E5F8E"/>
    <w:rsid w:val="000E654F"/>
    <w:rsid w:val="000E6DDB"/>
    <w:rsid w:val="000E73CE"/>
    <w:rsid w:val="000E7425"/>
    <w:rsid w:val="000E7879"/>
    <w:rsid w:val="000E793C"/>
    <w:rsid w:val="000F0314"/>
    <w:rsid w:val="000F1325"/>
    <w:rsid w:val="000F25D2"/>
    <w:rsid w:val="000F2C67"/>
    <w:rsid w:val="000F3EC6"/>
    <w:rsid w:val="000F470F"/>
    <w:rsid w:val="000F6BCB"/>
    <w:rsid w:val="000F79A5"/>
    <w:rsid w:val="001009F7"/>
    <w:rsid w:val="00100AD8"/>
    <w:rsid w:val="00100BD1"/>
    <w:rsid w:val="00101A85"/>
    <w:rsid w:val="00103FDE"/>
    <w:rsid w:val="001045F0"/>
    <w:rsid w:val="00104E2F"/>
    <w:rsid w:val="001051B5"/>
    <w:rsid w:val="00105BC1"/>
    <w:rsid w:val="0010650A"/>
    <w:rsid w:val="001108F6"/>
    <w:rsid w:val="00111F85"/>
    <w:rsid w:val="00112189"/>
    <w:rsid w:val="001127C2"/>
    <w:rsid w:val="00113A11"/>
    <w:rsid w:val="00116019"/>
    <w:rsid w:val="00117D61"/>
    <w:rsid w:val="00120B5F"/>
    <w:rsid w:val="00122697"/>
    <w:rsid w:val="00130446"/>
    <w:rsid w:val="00131B13"/>
    <w:rsid w:val="00131C91"/>
    <w:rsid w:val="001323C9"/>
    <w:rsid w:val="001328BC"/>
    <w:rsid w:val="001328C6"/>
    <w:rsid w:val="00134C25"/>
    <w:rsid w:val="00134F02"/>
    <w:rsid w:val="00134FF6"/>
    <w:rsid w:val="00135226"/>
    <w:rsid w:val="001355F2"/>
    <w:rsid w:val="00135B05"/>
    <w:rsid w:val="00136B43"/>
    <w:rsid w:val="00137B77"/>
    <w:rsid w:val="001409C8"/>
    <w:rsid w:val="00140EDB"/>
    <w:rsid w:val="00141866"/>
    <w:rsid w:val="00143020"/>
    <w:rsid w:val="00145354"/>
    <w:rsid w:val="0014635A"/>
    <w:rsid w:val="001469C9"/>
    <w:rsid w:val="00146CAD"/>
    <w:rsid w:val="00147642"/>
    <w:rsid w:val="001510BF"/>
    <w:rsid w:val="00151CD0"/>
    <w:rsid w:val="00152CCC"/>
    <w:rsid w:val="00154B42"/>
    <w:rsid w:val="00155E72"/>
    <w:rsid w:val="00156B33"/>
    <w:rsid w:val="0016069F"/>
    <w:rsid w:val="00160C71"/>
    <w:rsid w:val="00161624"/>
    <w:rsid w:val="00164C64"/>
    <w:rsid w:val="00167148"/>
    <w:rsid w:val="00167600"/>
    <w:rsid w:val="00170477"/>
    <w:rsid w:val="00170816"/>
    <w:rsid w:val="00170884"/>
    <w:rsid w:val="001721FA"/>
    <w:rsid w:val="001746A8"/>
    <w:rsid w:val="00176703"/>
    <w:rsid w:val="00180097"/>
    <w:rsid w:val="001834E2"/>
    <w:rsid w:val="001851CC"/>
    <w:rsid w:val="001858B9"/>
    <w:rsid w:val="00187DAB"/>
    <w:rsid w:val="0019098E"/>
    <w:rsid w:val="00190B24"/>
    <w:rsid w:val="001933CA"/>
    <w:rsid w:val="00194050"/>
    <w:rsid w:val="001958C5"/>
    <w:rsid w:val="001A007C"/>
    <w:rsid w:val="001A2333"/>
    <w:rsid w:val="001A7639"/>
    <w:rsid w:val="001B13DC"/>
    <w:rsid w:val="001B1C02"/>
    <w:rsid w:val="001B2504"/>
    <w:rsid w:val="001B257A"/>
    <w:rsid w:val="001B46B0"/>
    <w:rsid w:val="001B597A"/>
    <w:rsid w:val="001B7407"/>
    <w:rsid w:val="001C0EB4"/>
    <w:rsid w:val="001C1759"/>
    <w:rsid w:val="001C1F41"/>
    <w:rsid w:val="001C206B"/>
    <w:rsid w:val="001C26A0"/>
    <w:rsid w:val="001C3EFE"/>
    <w:rsid w:val="001C42BC"/>
    <w:rsid w:val="001C44C9"/>
    <w:rsid w:val="001D0FEB"/>
    <w:rsid w:val="001D1662"/>
    <w:rsid w:val="001D256C"/>
    <w:rsid w:val="001D3346"/>
    <w:rsid w:val="001D3878"/>
    <w:rsid w:val="001D50B3"/>
    <w:rsid w:val="001D597E"/>
    <w:rsid w:val="001D7E73"/>
    <w:rsid w:val="001E0160"/>
    <w:rsid w:val="001E06E6"/>
    <w:rsid w:val="001E13BC"/>
    <w:rsid w:val="001E1469"/>
    <w:rsid w:val="001E1936"/>
    <w:rsid w:val="001E19DB"/>
    <w:rsid w:val="001E334E"/>
    <w:rsid w:val="001E3617"/>
    <w:rsid w:val="001E3B7A"/>
    <w:rsid w:val="001E475E"/>
    <w:rsid w:val="001E4D12"/>
    <w:rsid w:val="001E6423"/>
    <w:rsid w:val="001E7F02"/>
    <w:rsid w:val="001F35D7"/>
    <w:rsid w:val="001F3895"/>
    <w:rsid w:val="001F3B05"/>
    <w:rsid w:val="001F522E"/>
    <w:rsid w:val="001F78EB"/>
    <w:rsid w:val="002002F2"/>
    <w:rsid w:val="00201F56"/>
    <w:rsid w:val="00202D14"/>
    <w:rsid w:val="002041B3"/>
    <w:rsid w:val="002052CB"/>
    <w:rsid w:val="00205648"/>
    <w:rsid w:val="0020740C"/>
    <w:rsid w:val="00207A4C"/>
    <w:rsid w:val="00211018"/>
    <w:rsid w:val="0021182E"/>
    <w:rsid w:val="00211C6F"/>
    <w:rsid w:val="00213082"/>
    <w:rsid w:val="00216E0F"/>
    <w:rsid w:val="002229F4"/>
    <w:rsid w:val="00222C1B"/>
    <w:rsid w:val="0022451C"/>
    <w:rsid w:val="00227CB6"/>
    <w:rsid w:val="00230761"/>
    <w:rsid w:val="00235390"/>
    <w:rsid w:val="00235A17"/>
    <w:rsid w:val="00235F07"/>
    <w:rsid w:val="00236046"/>
    <w:rsid w:val="00237204"/>
    <w:rsid w:val="00237B0F"/>
    <w:rsid w:val="00241BCE"/>
    <w:rsid w:val="00243229"/>
    <w:rsid w:val="00244830"/>
    <w:rsid w:val="00244909"/>
    <w:rsid w:val="00244E47"/>
    <w:rsid w:val="0024734C"/>
    <w:rsid w:val="00250685"/>
    <w:rsid w:val="00250E8C"/>
    <w:rsid w:val="0025110F"/>
    <w:rsid w:val="002511ED"/>
    <w:rsid w:val="002524ED"/>
    <w:rsid w:val="00252B69"/>
    <w:rsid w:val="0025421F"/>
    <w:rsid w:val="002547B5"/>
    <w:rsid w:val="00254E68"/>
    <w:rsid w:val="00255418"/>
    <w:rsid w:val="002560A7"/>
    <w:rsid w:val="0025656A"/>
    <w:rsid w:val="00260D45"/>
    <w:rsid w:val="002620BC"/>
    <w:rsid w:val="00262426"/>
    <w:rsid w:val="002628EA"/>
    <w:rsid w:val="00262A2B"/>
    <w:rsid w:val="00263595"/>
    <w:rsid w:val="00264027"/>
    <w:rsid w:val="002648C5"/>
    <w:rsid w:val="00265E86"/>
    <w:rsid w:val="00266A48"/>
    <w:rsid w:val="002676E6"/>
    <w:rsid w:val="0026790C"/>
    <w:rsid w:val="00271C88"/>
    <w:rsid w:val="00272104"/>
    <w:rsid w:val="00272589"/>
    <w:rsid w:val="00272B46"/>
    <w:rsid w:val="00272FED"/>
    <w:rsid w:val="00273A41"/>
    <w:rsid w:val="00275B1B"/>
    <w:rsid w:val="00275D55"/>
    <w:rsid w:val="00276E52"/>
    <w:rsid w:val="002774E0"/>
    <w:rsid w:val="00277B4B"/>
    <w:rsid w:val="00281461"/>
    <w:rsid w:val="0028243D"/>
    <w:rsid w:val="00282A15"/>
    <w:rsid w:val="00282D1A"/>
    <w:rsid w:val="002832C1"/>
    <w:rsid w:val="00283F29"/>
    <w:rsid w:val="00285808"/>
    <w:rsid w:val="002866F3"/>
    <w:rsid w:val="002913D3"/>
    <w:rsid w:val="00291567"/>
    <w:rsid w:val="00292743"/>
    <w:rsid w:val="00293BB4"/>
    <w:rsid w:val="00293D5B"/>
    <w:rsid w:val="0029514A"/>
    <w:rsid w:val="0029591E"/>
    <w:rsid w:val="002965B1"/>
    <w:rsid w:val="002A1B39"/>
    <w:rsid w:val="002A23EB"/>
    <w:rsid w:val="002A48FE"/>
    <w:rsid w:val="002B0E37"/>
    <w:rsid w:val="002B1F8D"/>
    <w:rsid w:val="002B296F"/>
    <w:rsid w:val="002B32C5"/>
    <w:rsid w:val="002B6BBE"/>
    <w:rsid w:val="002C09D2"/>
    <w:rsid w:val="002C17DD"/>
    <w:rsid w:val="002C251B"/>
    <w:rsid w:val="002C3456"/>
    <w:rsid w:val="002C3F32"/>
    <w:rsid w:val="002C5C40"/>
    <w:rsid w:val="002C72F0"/>
    <w:rsid w:val="002C76BF"/>
    <w:rsid w:val="002C7F37"/>
    <w:rsid w:val="002D0380"/>
    <w:rsid w:val="002D347A"/>
    <w:rsid w:val="002D3E63"/>
    <w:rsid w:val="002D3F75"/>
    <w:rsid w:val="002D4F3B"/>
    <w:rsid w:val="002D5C81"/>
    <w:rsid w:val="002D5DBD"/>
    <w:rsid w:val="002D77A5"/>
    <w:rsid w:val="002D7ADC"/>
    <w:rsid w:val="002E24A3"/>
    <w:rsid w:val="002E2DD9"/>
    <w:rsid w:val="002E3F60"/>
    <w:rsid w:val="002E58D5"/>
    <w:rsid w:val="002E6C0C"/>
    <w:rsid w:val="002E717B"/>
    <w:rsid w:val="002F0B80"/>
    <w:rsid w:val="002F1CC2"/>
    <w:rsid w:val="002F2021"/>
    <w:rsid w:val="002F2729"/>
    <w:rsid w:val="002F2E21"/>
    <w:rsid w:val="002F35EA"/>
    <w:rsid w:val="002F6247"/>
    <w:rsid w:val="002F69CB"/>
    <w:rsid w:val="002F744F"/>
    <w:rsid w:val="002F7C3F"/>
    <w:rsid w:val="002F7FF5"/>
    <w:rsid w:val="00300FD8"/>
    <w:rsid w:val="003013E3"/>
    <w:rsid w:val="003020AA"/>
    <w:rsid w:val="00302B10"/>
    <w:rsid w:val="00305E48"/>
    <w:rsid w:val="0030644F"/>
    <w:rsid w:val="00306D8A"/>
    <w:rsid w:val="0031010C"/>
    <w:rsid w:val="003103AA"/>
    <w:rsid w:val="003104BC"/>
    <w:rsid w:val="00311374"/>
    <w:rsid w:val="0031492C"/>
    <w:rsid w:val="00314988"/>
    <w:rsid w:val="00314A05"/>
    <w:rsid w:val="0031515D"/>
    <w:rsid w:val="00320914"/>
    <w:rsid w:val="0032258D"/>
    <w:rsid w:val="003227FC"/>
    <w:rsid w:val="00322F55"/>
    <w:rsid w:val="00323FCD"/>
    <w:rsid w:val="0032469C"/>
    <w:rsid w:val="0032622F"/>
    <w:rsid w:val="00326406"/>
    <w:rsid w:val="00326CAD"/>
    <w:rsid w:val="00326F46"/>
    <w:rsid w:val="00327311"/>
    <w:rsid w:val="00334E94"/>
    <w:rsid w:val="003371D3"/>
    <w:rsid w:val="00337A25"/>
    <w:rsid w:val="00337E46"/>
    <w:rsid w:val="0034058E"/>
    <w:rsid w:val="00340BCE"/>
    <w:rsid w:val="00342602"/>
    <w:rsid w:val="003428EE"/>
    <w:rsid w:val="00342C27"/>
    <w:rsid w:val="00343E58"/>
    <w:rsid w:val="003447E2"/>
    <w:rsid w:val="003459EC"/>
    <w:rsid w:val="0035006A"/>
    <w:rsid w:val="00350288"/>
    <w:rsid w:val="00353A72"/>
    <w:rsid w:val="00354669"/>
    <w:rsid w:val="00356DD6"/>
    <w:rsid w:val="00357482"/>
    <w:rsid w:val="00360448"/>
    <w:rsid w:val="00361899"/>
    <w:rsid w:val="00362F8C"/>
    <w:rsid w:val="00363B15"/>
    <w:rsid w:val="00364B82"/>
    <w:rsid w:val="00364E50"/>
    <w:rsid w:val="00365B3E"/>
    <w:rsid w:val="00366B8A"/>
    <w:rsid w:val="003700C2"/>
    <w:rsid w:val="00373093"/>
    <w:rsid w:val="00374932"/>
    <w:rsid w:val="0037762B"/>
    <w:rsid w:val="0038029D"/>
    <w:rsid w:val="00381C8F"/>
    <w:rsid w:val="00382033"/>
    <w:rsid w:val="00382BA9"/>
    <w:rsid w:val="0038323B"/>
    <w:rsid w:val="0039048A"/>
    <w:rsid w:val="00390679"/>
    <w:rsid w:val="00391154"/>
    <w:rsid w:val="0039132E"/>
    <w:rsid w:val="0039327B"/>
    <w:rsid w:val="00393346"/>
    <w:rsid w:val="0039408D"/>
    <w:rsid w:val="00394209"/>
    <w:rsid w:val="003A135F"/>
    <w:rsid w:val="003A20C0"/>
    <w:rsid w:val="003A6E40"/>
    <w:rsid w:val="003B1F61"/>
    <w:rsid w:val="003B4B93"/>
    <w:rsid w:val="003B4CA4"/>
    <w:rsid w:val="003B4EC3"/>
    <w:rsid w:val="003B53DB"/>
    <w:rsid w:val="003B761C"/>
    <w:rsid w:val="003C04C2"/>
    <w:rsid w:val="003C0AF9"/>
    <w:rsid w:val="003C0C2E"/>
    <w:rsid w:val="003C2723"/>
    <w:rsid w:val="003C2931"/>
    <w:rsid w:val="003C4799"/>
    <w:rsid w:val="003C539C"/>
    <w:rsid w:val="003C5F38"/>
    <w:rsid w:val="003C64E7"/>
    <w:rsid w:val="003C68BD"/>
    <w:rsid w:val="003C75EF"/>
    <w:rsid w:val="003D069C"/>
    <w:rsid w:val="003D077F"/>
    <w:rsid w:val="003D220E"/>
    <w:rsid w:val="003D3BC1"/>
    <w:rsid w:val="003E0E43"/>
    <w:rsid w:val="003E13DD"/>
    <w:rsid w:val="003E13DF"/>
    <w:rsid w:val="003E1854"/>
    <w:rsid w:val="003E192C"/>
    <w:rsid w:val="003E293A"/>
    <w:rsid w:val="003E47D8"/>
    <w:rsid w:val="003E5FAF"/>
    <w:rsid w:val="003E6033"/>
    <w:rsid w:val="003E619D"/>
    <w:rsid w:val="003E6D4C"/>
    <w:rsid w:val="003E73E9"/>
    <w:rsid w:val="003F05EE"/>
    <w:rsid w:val="003F10D9"/>
    <w:rsid w:val="003F4DB4"/>
    <w:rsid w:val="003F6178"/>
    <w:rsid w:val="003F6CD0"/>
    <w:rsid w:val="003F791D"/>
    <w:rsid w:val="00400C91"/>
    <w:rsid w:val="00401189"/>
    <w:rsid w:val="00402809"/>
    <w:rsid w:val="00402D54"/>
    <w:rsid w:val="00404937"/>
    <w:rsid w:val="00405161"/>
    <w:rsid w:val="00405AA6"/>
    <w:rsid w:val="00407434"/>
    <w:rsid w:val="004106BF"/>
    <w:rsid w:val="00411081"/>
    <w:rsid w:val="00411CA5"/>
    <w:rsid w:val="004127FC"/>
    <w:rsid w:val="00413B8E"/>
    <w:rsid w:val="0041720E"/>
    <w:rsid w:val="00417BAA"/>
    <w:rsid w:val="0042044C"/>
    <w:rsid w:val="00421A66"/>
    <w:rsid w:val="004230FF"/>
    <w:rsid w:val="0042478F"/>
    <w:rsid w:val="00426B95"/>
    <w:rsid w:val="00427183"/>
    <w:rsid w:val="004273A6"/>
    <w:rsid w:val="0042744E"/>
    <w:rsid w:val="00431129"/>
    <w:rsid w:val="0043267B"/>
    <w:rsid w:val="0043271C"/>
    <w:rsid w:val="0043343C"/>
    <w:rsid w:val="00434DFD"/>
    <w:rsid w:val="0043639A"/>
    <w:rsid w:val="004401CE"/>
    <w:rsid w:val="00440BEC"/>
    <w:rsid w:val="0044121B"/>
    <w:rsid w:val="00445CBA"/>
    <w:rsid w:val="00452245"/>
    <w:rsid w:val="00452865"/>
    <w:rsid w:val="00454849"/>
    <w:rsid w:val="004548D1"/>
    <w:rsid w:val="00454C46"/>
    <w:rsid w:val="00455295"/>
    <w:rsid w:val="00455B31"/>
    <w:rsid w:val="00456632"/>
    <w:rsid w:val="00457CE2"/>
    <w:rsid w:val="00460216"/>
    <w:rsid w:val="0046503D"/>
    <w:rsid w:val="00465FE8"/>
    <w:rsid w:val="00466480"/>
    <w:rsid w:val="0046769E"/>
    <w:rsid w:val="004707E1"/>
    <w:rsid w:val="00472374"/>
    <w:rsid w:val="00473526"/>
    <w:rsid w:val="0047454A"/>
    <w:rsid w:val="004755AE"/>
    <w:rsid w:val="00476FD3"/>
    <w:rsid w:val="00483776"/>
    <w:rsid w:val="00483AB1"/>
    <w:rsid w:val="00484774"/>
    <w:rsid w:val="00484877"/>
    <w:rsid w:val="00485280"/>
    <w:rsid w:val="00486032"/>
    <w:rsid w:val="004928BB"/>
    <w:rsid w:val="004949C2"/>
    <w:rsid w:val="00494EED"/>
    <w:rsid w:val="00497D37"/>
    <w:rsid w:val="004A1131"/>
    <w:rsid w:val="004A4514"/>
    <w:rsid w:val="004A789F"/>
    <w:rsid w:val="004A7CF2"/>
    <w:rsid w:val="004A7E9A"/>
    <w:rsid w:val="004B4B95"/>
    <w:rsid w:val="004B626C"/>
    <w:rsid w:val="004B65A1"/>
    <w:rsid w:val="004B7744"/>
    <w:rsid w:val="004C04B9"/>
    <w:rsid w:val="004C16A8"/>
    <w:rsid w:val="004C2102"/>
    <w:rsid w:val="004C2150"/>
    <w:rsid w:val="004C2815"/>
    <w:rsid w:val="004C63EA"/>
    <w:rsid w:val="004C6B9C"/>
    <w:rsid w:val="004D0183"/>
    <w:rsid w:val="004D068A"/>
    <w:rsid w:val="004D36AE"/>
    <w:rsid w:val="004E273E"/>
    <w:rsid w:val="004E2949"/>
    <w:rsid w:val="004E2C9A"/>
    <w:rsid w:val="004E3E51"/>
    <w:rsid w:val="004E5475"/>
    <w:rsid w:val="004E5854"/>
    <w:rsid w:val="004E7152"/>
    <w:rsid w:val="004E732B"/>
    <w:rsid w:val="004E7B0B"/>
    <w:rsid w:val="004F0736"/>
    <w:rsid w:val="004F0F61"/>
    <w:rsid w:val="004F1711"/>
    <w:rsid w:val="004F1A6B"/>
    <w:rsid w:val="004F1D22"/>
    <w:rsid w:val="004F2B88"/>
    <w:rsid w:val="004F317A"/>
    <w:rsid w:val="004F3E0E"/>
    <w:rsid w:val="004F5D86"/>
    <w:rsid w:val="004F6278"/>
    <w:rsid w:val="004F63E0"/>
    <w:rsid w:val="00500801"/>
    <w:rsid w:val="00500A71"/>
    <w:rsid w:val="005028F1"/>
    <w:rsid w:val="00502BAC"/>
    <w:rsid w:val="00505797"/>
    <w:rsid w:val="00505EA1"/>
    <w:rsid w:val="00506E6C"/>
    <w:rsid w:val="00510170"/>
    <w:rsid w:val="00511FEC"/>
    <w:rsid w:val="00512EE6"/>
    <w:rsid w:val="005132F7"/>
    <w:rsid w:val="00514648"/>
    <w:rsid w:val="00517503"/>
    <w:rsid w:val="00517BC4"/>
    <w:rsid w:val="00520ABE"/>
    <w:rsid w:val="00521FA4"/>
    <w:rsid w:val="00522663"/>
    <w:rsid w:val="005226D9"/>
    <w:rsid w:val="00522979"/>
    <w:rsid w:val="00522B47"/>
    <w:rsid w:val="005250DC"/>
    <w:rsid w:val="00525C7C"/>
    <w:rsid w:val="00525E4B"/>
    <w:rsid w:val="00525FB7"/>
    <w:rsid w:val="00527504"/>
    <w:rsid w:val="00527515"/>
    <w:rsid w:val="00530ADF"/>
    <w:rsid w:val="00531434"/>
    <w:rsid w:val="005316D7"/>
    <w:rsid w:val="00531CAC"/>
    <w:rsid w:val="00532EFB"/>
    <w:rsid w:val="005335FD"/>
    <w:rsid w:val="00534EB0"/>
    <w:rsid w:val="00535404"/>
    <w:rsid w:val="00537067"/>
    <w:rsid w:val="00537945"/>
    <w:rsid w:val="0054088E"/>
    <w:rsid w:val="005424D0"/>
    <w:rsid w:val="0054419D"/>
    <w:rsid w:val="00544B8C"/>
    <w:rsid w:val="0054523D"/>
    <w:rsid w:val="00547471"/>
    <w:rsid w:val="00550E36"/>
    <w:rsid w:val="00552E2C"/>
    <w:rsid w:val="005539B5"/>
    <w:rsid w:val="00553BA3"/>
    <w:rsid w:val="00553C03"/>
    <w:rsid w:val="00554E23"/>
    <w:rsid w:val="00556814"/>
    <w:rsid w:val="0055696D"/>
    <w:rsid w:val="00556FAC"/>
    <w:rsid w:val="005620BE"/>
    <w:rsid w:val="00563560"/>
    <w:rsid w:val="00563CCF"/>
    <w:rsid w:val="005660D9"/>
    <w:rsid w:val="005677C7"/>
    <w:rsid w:val="00567A93"/>
    <w:rsid w:val="00571D37"/>
    <w:rsid w:val="00572B1C"/>
    <w:rsid w:val="005730FE"/>
    <w:rsid w:val="00573366"/>
    <w:rsid w:val="00575744"/>
    <w:rsid w:val="00576F1A"/>
    <w:rsid w:val="0058063D"/>
    <w:rsid w:val="00580A8B"/>
    <w:rsid w:val="005831B5"/>
    <w:rsid w:val="0058359D"/>
    <w:rsid w:val="00583771"/>
    <w:rsid w:val="005846AE"/>
    <w:rsid w:val="00584A63"/>
    <w:rsid w:val="00587BCC"/>
    <w:rsid w:val="005900B1"/>
    <w:rsid w:val="00590A39"/>
    <w:rsid w:val="00591A11"/>
    <w:rsid w:val="00593D4C"/>
    <w:rsid w:val="00593F97"/>
    <w:rsid w:val="00594141"/>
    <w:rsid w:val="00594369"/>
    <w:rsid w:val="00594D0F"/>
    <w:rsid w:val="0059629F"/>
    <w:rsid w:val="005976E6"/>
    <w:rsid w:val="005A0B0C"/>
    <w:rsid w:val="005A1914"/>
    <w:rsid w:val="005A3B4F"/>
    <w:rsid w:val="005A3E9D"/>
    <w:rsid w:val="005A3EFF"/>
    <w:rsid w:val="005A6D87"/>
    <w:rsid w:val="005A6DF5"/>
    <w:rsid w:val="005A73FD"/>
    <w:rsid w:val="005A7D4C"/>
    <w:rsid w:val="005B0B87"/>
    <w:rsid w:val="005B1116"/>
    <w:rsid w:val="005B27A6"/>
    <w:rsid w:val="005B393B"/>
    <w:rsid w:val="005B49F2"/>
    <w:rsid w:val="005B5740"/>
    <w:rsid w:val="005B593A"/>
    <w:rsid w:val="005B5BF1"/>
    <w:rsid w:val="005B62B7"/>
    <w:rsid w:val="005B681B"/>
    <w:rsid w:val="005B777D"/>
    <w:rsid w:val="005B7DEA"/>
    <w:rsid w:val="005C051A"/>
    <w:rsid w:val="005C3AF2"/>
    <w:rsid w:val="005C441E"/>
    <w:rsid w:val="005C4AE8"/>
    <w:rsid w:val="005C61CB"/>
    <w:rsid w:val="005C69E1"/>
    <w:rsid w:val="005D043D"/>
    <w:rsid w:val="005D133A"/>
    <w:rsid w:val="005D1586"/>
    <w:rsid w:val="005D2032"/>
    <w:rsid w:val="005D222B"/>
    <w:rsid w:val="005D357F"/>
    <w:rsid w:val="005D386D"/>
    <w:rsid w:val="005D5EFD"/>
    <w:rsid w:val="005D6588"/>
    <w:rsid w:val="005E09E3"/>
    <w:rsid w:val="005E1D08"/>
    <w:rsid w:val="005E3342"/>
    <w:rsid w:val="005E4E31"/>
    <w:rsid w:val="005E58A0"/>
    <w:rsid w:val="005F0147"/>
    <w:rsid w:val="005F2E6F"/>
    <w:rsid w:val="005F4666"/>
    <w:rsid w:val="005F5929"/>
    <w:rsid w:val="005F6B9E"/>
    <w:rsid w:val="005F7DEE"/>
    <w:rsid w:val="005F7DF5"/>
    <w:rsid w:val="006017EE"/>
    <w:rsid w:val="00601A97"/>
    <w:rsid w:val="00602450"/>
    <w:rsid w:val="00602C72"/>
    <w:rsid w:val="00604D39"/>
    <w:rsid w:val="00606E6E"/>
    <w:rsid w:val="00607E44"/>
    <w:rsid w:val="00610F5D"/>
    <w:rsid w:val="006110E0"/>
    <w:rsid w:val="006112A7"/>
    <w:rsid w:val="00611435"/>
    <w:rsid w:val="006114B4"/>
    <w:rsid w:val="00611791"/>
    <w:rsid w:val="00611F3E"/>
    <w:rsid w:val="006127BD"/>
    <w:rsid w:val="0061315C"/>
    <w:rsid w:val="00614B80"/>
    <w:rsid w:val="006178CB"/>
    <w:rsid w:val="006211C8"/>
    <w:rsid w:val="006225F6"/>
    <w:rsid w:val="00622F7E"/>
    <w:rsid w:val="00623987"/>
    <w:rsid w:val="006256C8"/>
    <w:rsid w:val="00625BEA"/>
    <w:rsid w:val="00626443"/>
    <w:rsid w:val="00626DC1"/>
    <w:rsid w:val="00627DA2"/>
    <w:rsid w:val="00630819"/>
    <w:rsid w:val="00633073"/>
    <w:rsid w:val="00633FAF"/>
    <w:rsid w:val="0064148A"/>
    <w:rsid w:val="006417AF"/>
    <w:rsid w:val="00641B0C"/>
    <w:rsid w:val="0064259E"/>
    <w:rsid w:val="00642B1D"/>
    <w:rsid w:val="00645DF1"/>
    <w:rsid w:val="006510AE"/>
    <w:rsid w:val="00651698"/>
    <w:rsid w:val="006524E0"/>
    <w:rsid w:val="00654581"/>
    <w:rsid w:val="006556CD"/>
    <w:rsid w:val="006559A2"/>
    <w:rsid w:val="00655E3F"/>
    <w:rsid w:val="00656603"/>
    <w:rsid w:val="00657816"/>
    <w:rsid w:val="006578B9"/>
    <w:rsid w:val="0066163B"/>
    <w:rsid w:val="006637B4"/>
    <w:rsid w:val="006639A8"/>
    <w:rsid w:val="00664CDA"/>
    <w:rsid w:val="00667399"/>
    <w:rsid w:val="00667A8C"/>
    <w:rsid w:val="00667AA2"/>
    <w:rsid w:val="00674475"/>
    <w:rsid w:val="00675CE6"/>
    <w:rsid w:val="00676222"/>
    <w:rsid w:val="0067693F"/>
    <w:rsid w:val="006778B7"/>
    <w:rsid w:val="006778F0"/>
    <w:rsid w:val="00681292"/>
    <w:rsid w:val="00681EB0"/>
    <w:rsid w:val="00681F33"/>
    <w:rsid w:val="006824D1"/>
    <w:rsid w:val="00683501"/>
    <w:rsid w:val="00683FE3"/>
    <w:rsid w:val="00684503"/>
    <w:rsid w:val="00685D0E"/>
    <w:rsid w:val="0068744B"/>
    <w:rsid w:val="00695BA9"/>
    <w:rsid w:val="006965C9"/>
    <w:rsid w:val="00696A0D"/>
    <w:rsid w:val="00697733"/>
    <w:rsid w:val="00697D57"/>
    <w:rsid w:val="006A06D3"/>
    <w:rsid w:val="006A21B5"/>
    <w:rsid w:val="006A3591"/>
    <w:rsid w:val="006A7796"/>
    <w:rsid w:val="006B152B"/>
    <w:rsid w:val="006B15E5"/>
    <w:rsid w:val="006B22C9"/>
    <w:rsid w:val="006B4E62"/>
    <w:rsid w:val="006B54E0"/>
    <w:rsid w:val="006B6077"/>
    <w:rsid w:val="006B6CB2"/>
    <w:rsid w:val="006B7E3E"/>
    <w:rsid w:val="006C0CB9"/>
    <w:rsid w:val="006C146F"/>
    <w:rsid w:val="006C2360"/>
    <w:rsid w:val="006C46D2"/>
    <w:rsid w:val="006C46D5"/>
    <w:rsid w:val="006C5859"/>
    <w:rsid w:val="006D027B"/>
    <w:rsid w:val="006D0BDF"/>
    <w:rsid w:val="006D0DA5"/>
    <w:rsid w:val="006D403E"/>
    <w:rsid w:val="006D4A6E"/>
    <w:rsid w:val="006E43F3"/>
    <w:rsid w:val="006E4FFD"/>
    <w:rsid w:val="006E6000"/>
    <w:rsid w:val="006E6361"/>
    <w:rsid w:val="006E6CE9"/>
    <w:rsid w:val="006F3464"/>
    <w:rsid w:val="00702D93"/>
    <w:rsid w:val="00705C1D"/>
    <w:rsid w:val="00706ADC"/>
    <w:rsid w:val="00711736"/>
    <w:rsid w:val="00711D01"/>
    <w:rsid w:val="00712A3C"/>
    <w:rsid w:val="007141BC"/>
    <w:rsid w:val="00714205"/>
    <w:rsid w:val="007171AC"/>
    <w:rsid w:val="007179D3"/>
    <w:rsid w:val="0072261E"/>
    <w:rsid w:val="00722DD7"/>
    <w:rsid w:val="00722F22"/>
    <w:rsid w:val="007277BE"/>
    <w:rsid w:val="007331A6"/>
    <w:rsid w:val="00733275"/>
    <w:rsid w:val="007348DB"/>
    <w:rsid w:val="00735ADE"/>
    <w:rsid w:val="00737607"/>
    <w:rsid w:val="00740818"/>
    <w:rsid w:val="00740B00"/>
    <w:rsid w:val="00740FD7"/>
    <w:rsid w:val="00741A5F"/>
    <w:rsid w:val="00742920"/>
    <w:rsid w:val="00744646"/>
    <w:rsid w:val="00745578"/>
    <w:rsid w:val="007455EF"/>
    <w:rsid w:val="00745ABD"/>
    <w:rsid w:val="007460BC"/>
    <w:rsid w:val="00746C13"/>
    <w:rsid w:val="007475F3"/>
    <w:rsid w:val="00750CB6"/>
    <w:rsid w:val="0075188E"/>
    <w:rsid w:val="007530D4"/>
    <w:rsid w:val="00754E76"/>
    <w:rsid w:val="0075704E"/>
    <w:rsid w:val="007576B1"/>
    <w:rsid w:val="00761F6B"/>
    <w:rsid w:val="00762EEC"/>
    <w:rsid w:val="007631E1"/>
    <w:rsid w:val="00763BDA"/>
    <w:rsid w:val="007657F2"/>
    <w:rsid w:val="00765C04"/>
    <w:rsid w:val="0076646E"/>
    <w:rsid w:val="00766A5A"/>
    <w:rsid w:val="00767458"/>
    <w:rsid w:val="00771C1A"/>
    <w:rsid w:val="007740F6"/>
    <w:rsid w:val="007755DA"/>
    <w:rsid w:val="00775A82"/>
    <w:rsid w:val="00775AB5"/>
    <w:rsid w:val="00776D28"/>
    <w:rsid w:val="007801A6"/>
    <w:rsid w:val="007830C9"/>
    <w:rsid w:val="0078349C"/>
    <w:rsid w:val="00785CFA"/>
    <w:rsid w:val="00785D3F"/>
    <w:rsid w:val="007877DA"/>
    <w:rsid w:val="00787E43"/>
    <w:rsid w:val="00791073"/>
    <w:rsid w:val="00792DA6"/>
    <w:rsid w:val="00793B9C"/>
    <w:rsid w:val="00794148"/>
    <w:rsid w:val="007944BA"/>
    <w:rsid w:val="007A2612"/>
    <w:rsid w:val="007A4491"/>
    <w:rsid w:val="007A6AAA"/>
    <w:rsid w:val="007A6B29"/>
    <w:rsid w:val="007A6D54"/>
    <w:rsid w:val="007A7094"/>
    <w:rsid w:val="007A7457"/>
    <w:rsid w:val="007A7FFD"/>
    <w:rsid w:val="007B0376"/>
    <w:rsid w:val="007B2CB7"/>
    <w:rsid w:val="007B48AD"/>
    <w:rsid w:val="007B7227"/>
    <w:rsid w:val="007C26D9"/>
    <w:rsid w:val="007C4ADF"/>
    <w:rsid w:val="007C67FA"/>
    <w:rsid w:val="007C6B54"/>
    <w:rsid w:val="007C73A5"/>
    <w:rsid w:val="007D049A"/>
    <w:rsid w:val="007D119D"/>
    <w:rsid w:val="007D2023"/>
    <w:rsid w:val="007D308A"/>
    <w:rsid w:val="007D37BD"/>
    <w:rsid w:val="007D6011"/>
    <w:rsid w:val="007D7C2F"/>
    <w:rsid w:val="007D7CCE"/>
    <w:rsid w:val="007E1062"/>
    <w:rsid w:val="007E1D42"/>
    <w:rsid w:val="007E1F0B"/>
    <w:rsid w:val="007E2307"/>
    <w:rsid w:val="007E300E"/>
    <w:rsid w:val="007E3AA1"/>
    <w:rsid w:val="007E3E0C"/>
    <w:rsid w:val="007E46C9"/>
    <w:rsid w:val="007E4AA2"/>
    <w:rsid w:val="007E4D65"/>
    <w:rsid w:val="007E4EDE"/>
    <w:rsid w:val="007E4F09"/>
    <w:rsid w:val="007E5A91"/>
    <w:rsid w:val="007E76A4"/>
    <w:rsid w:val="007F03F2"/>
    <w:rsid w:val="007F2608"/>
    <w:rsid w:val="007F29F9"/>
    <w:rsid w:val="007F40F8"/>
    <w:rsid w:val="007F45BC"/>
    <w:rsid w:val="007F6AB0"/>
    <w:rsid w:val="007F7855"/>
    <w:rsid w:val="007F7E34"/>
    <w:rsid w:val="008010FF"/>
    <w:rsid w:val="00801DF6"/>
    <w:rsid w:val="00802D80"/>
    <w:rsid w:val="008037F6"/>
    <w:rsid w:val="00803B64"/>
    <w:rsid w:val="00804063"/>
    <w:rsid w:val="008062C6"/>
    <w:rsid w:val="008065B6"/>
    <w:rsid w:val="00807E0B"/>
    <w:rsid w:val="008116D1"/>
    <w:rsid w:val="0081176F"/>
    <w:rsid w:val="00812FBE"/>
    <w:rsid w:val="00813C9B"/>
    <w:rsid w:val="00814759"/>
    <w:rsid w:val="0081487C"/>
    <w:rsid w:val="00814AA8"/>
    <w:rsid w:val="00814FA7"/>
    <w:rsid w:val="00815002"/>
    <w:rsid w:val="00817502"/>
    <w:rsid w:val="008178AF"/>
    <w:rsid w:val="00817E7D"/>
    <w:rsid w:val="00821E6E"/>
    <w:rsid w:val="00823B36"/>
    <w:rsid w:val="0082411A"/>
    <w:rsid w:val="00825DE7"/>
    <w:rsid w:val="00825EC6"/>
    <w:rsid w:val="00826203"/>
    <w:rsid w:val="00826ACA"/>
    <w:rsid w:val="008271B4"/>
    <w:rsid w:val="008319B9"/>
    <w:rsid w:val="00833B15"/>
    <w:rsid w:val="00835007"/>
    <w:rsid w:val="008364A4"/>
    <w:rsid w:val="00837046"/>
    <w:rsid w:val="00837396"/>
    <w:rsid w:val="00840DBC"/>
    <w:rsid w:val="00842B36"/>
    <w:rsid w:val="00844AF3"/>
    <w:rsid w:val="008454A1"/>
    <w:rsid w:val="0084567B"/>
    <w:rsid w:val="008458CF"/>
    <w:rsid w:val="008468B0"/>
    <w:rsid w:val="008473D6"/>
    <w:rsid w:val="00851AB9"/>
    <w:rsid w:val="00851BA8"/>
    <w:rsid w:val="008522D2"/>
    <w:rsid w:val="00854F17"/>
    <w:rsid w:val="00855899"/>
    <w:rsid w:val="00861666"/>
    <w:rsid w:val="00862F19"/>
    <w:rsid w:val="008655DB"/>
    <w:rsid w:val="008674BA"/>
    <w:rsid w:val="00867F17"/>
    <w:rsid w:val="00870DA0"/>
    <w:rsid w:val="00871070"/>
    <w:rsid w:val="0087557B"/>
    <w:rsid w:val="00877373"/>
    <w:rsid w:val="008835C2"/>
    <w:rsid w:val="008858FF"/>
    <w:rsid w:val="008861A8"/>
    <w:rsid w:val="00887867"/>
    <w:rsid w:val="008912E2"/>
    <w:rsid w:val="00893486"/>
    <w:rsid w:val="0089444B"/>
    <w:rsid w:val="00895450"/>
    <w:rsid w:val="00895B50"/>
    <w:rsid w:val="008A103E"/>
    <w:rsid w:val="008A15C4"/>
    <w:rsid w:val="008A34A9"/>
    <w:rsid w:val="008A5F20"/>
    <w:rsid w:val="008A6071"/>
    <w:rsid w:val="008A77CE"/>
    <w:rsid w:val="008A7B67"/>
    <w:rsid w:val="008B0CF5"/>
    <w:rsid w:val="008B0D5C"/>
    <w:rsid w:val="008B0E21"/>
    <w:rsid w:val="008B1A04"/>
    <w:rsid w:val="008B3856"/>
    <w:rsid w:val="008B46FC"/>
    <w:rsid w:val="008B4B56"/>
    <w:rsid w:val="008B5E47"/>
    <w:rsid w:val="008C00CF"/>
    <w:rsid w:val="008C0947"/>
    <w:rsid w:val="008C0DEC"/>
    <w:rsid w:val="008C1A0B"/>
    <w:rsid w:val="008C351F"/>
    <w:rsid w:val="008C380B"/>
    <w:rsid w:val="008D1B9B"/>
    <w:rsid w:val="008D25AD"/>
    <w:rsid w:val="008D2AD8"/>
    <w:rsid w:val="008D4D83"/>
    <w:rsid w:val="008D6ECD"/>
    <w:rsid w:val="008D6F99"/>
    <w:rsid w:val="008D77BD"/>
    <w:rsid w:val="008D7D4C"/>
    <w:rsid w:val="008E24E0"/>
    <w:rsid w:val="008E2541"/>
    <w:rsid w:val="008E3756"/>
    <w:rsid w:val="008E7A71"/>
    <w:rsid w:val="008F231C"/>
    <w:rsid w:val="008F3FBE"/>
    <w:rsid w:val="008F47DD"/>
    <w:rsid w:val="008F509F"/>
    <w:rsid w:val="008F56AC"/>
    <w:rsid w:val="008F7147"/>
    <w:rsid w:val="008F7218"/>
    <w:rsid w:val="00901C5A"/>
    <w:rsid w:val="00902D4B"/>
    <w:rsid w:val="00903D31"/>
    <w:rsid w:val="00903DD1"/>
    <w:rsid w:val="00904606"/>
    <w:rsid w:val="00905F4F"/>
    <w:rsid w:val="009104ED"/>
    <w:rsid w:val="00911153"/>
    <w:rsid w:val="009138C0"/>
    <w:rsid w:val="009138D7"/>
    <w:rsid w:val="00915B2E"/>
    <w:rsid w:val="00916826"/>
    <w:rsid w:val="00917ACA"/>
    <w:rsid w:val="009206C9"/>
    <w:rsid w:val="00920957"/>
    <w:rsid w:val="009230A2"/>
    <w:rsid w:val="009239C3"/>
    <w:rsid w:val="009245D0"/>
    <w:rsid w:val="00925D18"/>
    <w:rsid w:val="009269C1"/>
    <w:rsid w:val="0092700F"/>
    <w:rsid w:val="00931866"/>
    <w:rsid w:val="00932BAD"/>
    <w:rsid w:val="0093438F"/>
    <w:rsid w:val="00936FB7"/>
    <w:rsid w:val="00941752"/>
    <w:rsid w:val="009433C9"/>
    <w:rsid w:val="00943601"/>
    <w:rsid w:val="00943EE8"/>
    <w:rsid w:val="0094455A"/>
    <w:rsid w:val="00944DF3"/>
    <w:rsid w:val="00950751"/>
    <w:rsid w:val="00953452"/>
    <w:rsid w:val="00954142"/>
    <w:rsid w:val="00956070"/>
    <w:rsid w:val="00957371"/>
    <w:rsid w:val="00961E4B"/>
    <w:rsid w:val="00962812"/>
    <w:rsid w:val="0096290F"/>
    <w:rsid w:val="0096474D"/>
    <w:rsid w:val="009654C5"/>
    <w:rsid w:val="00967158"/>
    <w:rsid w:val="00967B66"/>
    <w:rsid w:val="00970009"/>
    <w:rsid w:val="00970F81"/>
    <w:rsid w:val="009713C6"/>
    <w:rsid w:val="00973DDA"/>
    <w:rsid w:val="00977C0A"/>
    <w:rsid w:val="00980118"/>
    <w:rsid w:val="009809B7"/>
    <w:rsid w:val="00981732"/>
    <w:rsid w:val="00981BCA"/>
    <w:rsid w:val="0098267A"/>
    <w:rsid w:val="00982851"/>
    <w:rsid w:val="009850FC"/>
    <w:rsid w:val="00987125"/>
    <w:rsid w:val="009926C4"/>
    <w:rsid w:val="009936E3"/>
    <w:rsid w:val="00994982"/>
    <w:rsid w:val="0099504F"/>
    <w:rsid w:val="009951AD"/>
    <w:rsid w:val="0099577B"/>
    <w:rsid w:val="009A0AC9"/>
    <w:rsid w:val="009A36F4"/>
    <w:rsid w:val="009A38CD"/>
    <w:rsid w:val="009A545C"/>
    <w:rsid w:val="009A5DEC"/>
    <w:rsid w:val="009A63EC"/>
    <w:rsid w:val="009A647D"/>
    <w:rsid w:val="009A6E12"/>
    <w:rsid w:val="009A6FB7"/>
    <w:rsid w:val="009B4221"/>
    <w:rsid w:val="009B6682"/>
    <w:rsid w:val="009B7284"/>
    <w:rsid w:val="009B748C"/>
    <w:rsid w:val="009C1806"/>
    <w:rsid w:val="009C5992"/>
    <w:rsid w:val="009C6EFC"/>
    <w:rsid w:val="009D0018"/>
    <w:rsid w:val="009D0536"/>
    <w:rsid w:val="009D10A7"/>
    <w:rsid w:val="009D2BAF"/>
    <w:rsid w:val="009D4602"/>
    <w:rsid w:val="009D4C9B"/>
    <w:rsid w:val="009E0548"/>
    <w:rsid w:val="009E1886"/>
    <w:rsid w:val="009E238E"/>
    <w:rsid w:val="009E4F94"/>
    <w:rsid w:val="009E5BEE"/>
    <w:rsid w:val="009E67EE"/>
    <w:rsid w:val="009E6863"/>
    <w:rsid w:val="009E7597"/>
    <w:rsid w:val="009F1B08"/>
    <w:rsid w:val="009F2645"/>
    <w:rsid w:val="009F2FDC"/>
    <w:rsid w:val="009F40F9"/>
    <w:rsid w:val="009F49F4"/>
    <w:rsid w:val="009F6A4B"/>
    <w:rsid w:val="009F6E85"/>
    <w:rsid w:val="009F77E2"/>
    <w:rsid w:val="00A0026A"/>
    <w:rsid w:val="00A00CE0"/>
    <w:rsid w:val="00A02721"/>
    <w:rsid w:val="00A03C9A"/>
    <w:rsid w:val="00A04C9B"/>
    <w:rsid w:val="00A11B29"/>
    <w:rsid w:val="00A125A7"/>
    <w:rsid w:val="00A126C4"/>
    <w:rsid w:val="00A13D8D"/>
    <w:rsid w:val="00A1450D"/>
    <w:rsid w:val="00A14F8B"/>
    <w:rsid w:val="00A16D4D"/>
    <w:rsid w:val="00A174ED"/>
    <w:rsid w:val="00A17D47"/>
    <w:rsid w:val="00A20551"/>
    <w:rsid w:val="00A2259F"/>
    <w:rsid w:val="00A230AF"/>
    <w:rsid w:val="00A24432"/>
    <w:rsid w:val="00A25E12"/>
    <w:rsid w:val="00A302AC"/>
    <w:rsid w:val="00A31F74"/>
    <w:rsid w:val="00A32039"/>
    <w:rsid w:val="00A32934"/>
    <w:rsid w:val="00A33E12"/>
    <w:rsid w:val="00A33E62"/>
    <w:rsid w:val="00A34280"/>
    <w:rsid w:val="00A34AB4"/>
    <w:rsid w:val="00A3559C"/>
    <w:rsid w:val="00A37E4A"/>
    <w:rsid w:val="00A43281"/>
    <w:rsid w:val="00A432D2"/>
    <w:rsid w:val="00A43483"/>
    <w:rsid w:val="00A45F73"/>
    <w:rsid w:val="00A46AEE"/>
    <w:rsid w:val="00A478F2"/>
    <w:rsid w:val="00A50E2F"/>
    <w:rsid w:val="00A51033"/>
    <w:rsid w:val="00A517D2"/>
    <w:rsid w:val="00A518C4"/>
    <w:rsid w:val="00A51910"/>
    <w:rsid w:val="00A5344A"/>
    <w:rsid w:val="00A55B45"/>
    <w:rsid w:val="00A564D6"/>
    <w:rsid w:val="00A61FA5"/>
    <w:rsid w:val="00A63F59"/>
    <w:rsid w:val="00A6471D"/>
    <w:rsid w:val="00A64BA8"/>
    <w:rsid w:val="00A64D45"/>
    <w:rsid w:val="00A654F5"/>
    <w:rsid w:val="00A66686"/>
    <w:rsid w:val="00A66B5B"/>
    <w:rsid w:val="00A72975"/>
    <w:rsid w:val="00A73D24"/>
    <w:rsid w:val="00A74AFF"/>
    <w:rsid w:val="00A75CC4"/>
    <w:rsid w:val="00A76F4C"/>
    <w:rsid w:val="00A77AED"/>
    <w:rsid w:val="00A81560"/>
    <w:rsid w:val="00A81FCD"/>
    <w:rsid w:val="00A829B8"/>
    <w:rsid w:val="00A84C36"/>
    <w:rsid w:val="00A84D89"/>
    <w:rsid w:val="00A85384"/>
    <w:rsid w:val="00A864F8"/>
    <w:rsid w:val="00A87154"/>
    <w:rsid w:val="00A91887"/>
    <w:rsid w:val="00A92719"/>
    <w:rsid w:val="00A9386E"/>
    <w:rsid w:val="00A944C4"/>
    <w:rsid w:val="00A96170"/>
    <w:rsid w:val="00A966A6"/>
    <w:rsid w:val="00A9717A"/>
    <w:rsid w:val="00A97193"/>
    <w:rsid w:val="00AA1256"/>
    <w:rsid w:val="00AA39E1"/>
    <w:rsid w:val="00AA4146"/>
    <w:rsid w:val="00AA54A9"/>
    <w:rsid w:val="00AA77DA"/>
    <w:rsid w:val="00AA7B69"/>
    <w:rsid w:val="00AB2E29"/>
    <w:rsid w:val="00AB2E8C"/>
    <w:rsid w:val="00AB3ABC"/>
    <w:rsid w:val="00AB4FE5"/>
    <w:rsid w:val="00AB5863"/>
    <w:rsid w:val="00AB7D70"/>
    <w:rsid w:val="00AC0501"/>
    <w:rsid w:val="00AC1A39"/>
    <w:rsid w:val="00AC1DEF"/>
    <w:rsid w:val="00AC41A8"/>
    <w:rsid w:val="00AC4E78"/>
    <w:rsid w:val="00AC5179"/>
    <w:rsid w:val="00AC5D69"/>
    <w:rsid w:val="00AD28C7"/>
    <w:rsid w:val="00AD5DB4"/>
    <w:rsid w:val="00AD60F3"/>
    <w:rsid w:val="00AD6BE0"/>
    <w:rsid w:val="00AE0571"/>
    <w:rsid w:val="00AE0B6F"/>
    <w:rsid w:val="00AE1C5B"/>
    <w:rsid w:val="00AE2E79"/>
    <w:rsid w:val="00AE3EF0"/>
    <w:rsid w:val="00AE547F"/>
    <w:rsid w:val="00AE5693"/>
    <w:rsid w:val="00AE735C"/>
    <w:rsid w:val="00AF02B9"/>
    <w:rsid w:val="00AF067E"/>
    <w:rsid w:val="00AF3308"/>
    <w:rsid w:val="00AF3A48"/>
    <w:rsid w:val="00AF762D"/>
    <w:rsid w:val="00B0018A"/>
    <w:rsid w:val="00B01B86"/>
    <w:rsid w:val="00B04BCB"/>
    <w:rsid w:val="00B06471"/>
    <w:rsid w:val="00B07306"/>
    <w:rsid w:val="00B10552"/>
    <w:rsid w:val="00B10B20"/>
    <w:rsid w:val="00B10FD8"/>
    <w:rsid w:val="00B11109"/>
    <w:rsid w:val="00B11D35"/>
    <w:rsid w:val="00B12C17"/>
    <w:rsid w:val="00B16A3F"/>
    <w:rsid w:val="00B17583"/>
    <w:rsid w:val="00B2166A"/>
    <w:rsid w:val="00B22828"/>
    <w:rsid w:val="00B23120"/>
    <w:rsid w:val="00B23C0D"/>
    <w:rsid w:val="00B24CAE"/>
    <w:rsid w:val="00B26776"/>
    <w:rsid w:val="00B27048"/>
    <w:rsid w:val="00B30334"/>
    <w:rsid w:val="00B307A0"/>
    <w:rsid w:val="00B30962"/>
    <w:rsid w:val="00B309C1"/>
    <w:rsid w:val="00B31AB7"/>
    <w:rsid w:val="00B33DC0"/>
    <w:rsid w:val="00B34127"/>
    <w:rsid w:val="00B345AB"/>
    <w:rsid w:val="00B35BC1"/>
    <w:rsid w:val="00B37DD8"/>
    <w:rsid w:val="00B37EDD"/>
    <w:rsid w:val="00B40C6A"/>
    <w:rsid w:val="00B42273"/>
    <w:rsid w:val="00B451B5"/>
    <w:rsid w:val="00B501E7"/>
    <w:rsid w:val="00B518D5"/>
    <w:rsid w:val="00B51B3B"/>
    <w:rsid w:val="00B528D1"/>
    <w:rsid w:val="00B5350D"/>
    <w:rsid w:val="00B54EC0"/>
    <w:rsid w:val="00B557FA"/>
    <w:rsid w:val="00B5754E"/>
    <w:rsid w:val="00B60C8F"/>
    <w:rsid w:val="00B60CCA"/>
    <w:rsid w:val="00B62488"/>
    <w:rsid w:val="00B62F73"/>
    <w:rsid w:val="00B659D4"/>
    <w:rsid w:val="00B667A3"/>
    <w:rsid w:val="00B66C2A"/>
    <w:rsid w:val="00B66E34"/>
    <w:rsid w:val="00B7070F"/>
    <w:rsid w:val="00B726EF"/>
    <w:rsid w:val="00B74099"/>
    <w:rsid w:val="00B749BD"/>
    <w:rsid w:val="00B80918"/>
    <w:rsid w:val="00B82E3F"/>
    <w:rsid w:val="00B83E69"/>
    <w:rsid w:val="00B87970"/>
    <w:rsid w:val="00B93D4C"/>
    <w:rsid w:val="00B96959"/>
    <w:rsid w:val="00B969E1"/>
    <w:rsid w:val="00BA124B"/>
    <w:rsid w:val="00BA30F0"/>
    <w:rsid w:val="00BA331F"/>
    <w:rsid w:val="00BA5012"/>
    <w:rsid w:val="00BA5AEE"/>
    <w:rsid w:val="00BA6BCC"/>
    <w:rsid w:val="00BA722F"/>
    <w:rsid w:val="00BA7300"/>
    <w:rsid w:val="00BA7957"/>
    <w:rsid w:val="00BB0278"/>
    <w:rsid w:val="00BB13A2"/>
    <w:rsid w:val="00BB1F58"/>
    <w:rsid w:val="00BB2D74"/>
    <w:rsid w:val="00BB3227"/>
    <w:rsid w:val="00BB3D22"/>
    <w:rsid w:val="00BB4873"/>
    <w:rsid w:val="00BC1167"/>
    <w:rsid w:val="00BC1BE6"/>
    <w:rsid w:val="00BC26CA"/>
    <w:rsid w:val="00BC2F2F"/>
    <w:rsid w:val="00BC4917"/>
    <w:rsid w:val="00BC5C23"/>
    <w:rsid w:val="00BC7C29"/>
    <w:rsid w:val="00BD3011"/>
    <w:rsid w:val="00BD474B"/>
    <w:rsid w:val="00BD4E6C"/>
    <w:rsid w:val="00BD511B"/>
    <w:rsid w:val="00BD59B6"/>
    <w:rsid w:val="00BD5CFA"/>
    <w:rsid w:val="00BD5FFE"/>
    <w:rsid w:val="00BE03E1"/>
    <w:rsid w:val="00BE1D3B"/>
    <w:rsid w:val="00BE28DC"/>
    <w:rsid w:val="00BE5579"/>
    <w:rsid w:val="00BE6A6E"/>
    <w:rsid w:val="00BE7E26"/>
    <w:rsid w:val="00BF0902"/>
    <w:rsid w:val="00BF1016"/>
    <w:rsid w:val="00BF140E"/>
    <w:rsid w:val="00BF14D2"/>
    <w:rsid w:val="00BF2087"/>
    <w:rsid w:val="00BF2959"/>
    <w:rsid w:val="00BF41C2"/>
    <w:rsid w:val="00BF4C75"/>
    <w:rsid w:val="00BF5AD1"/>
    <w:rsid w:val="00BF5B5D"/>
    <w:rsid w:val="00BF6D10"/>
    <w:rsid w:val="00BF6E7A"/>
    <w:rsid w:val="00BF6EBC"/>
    <w:rsid w:val="00BF7DE4"/>
    <w:rsid w:val="00C00CF8"/>
    <w:rsid w:val="00C0174A"/>
    <w:rsid w:val="00C03D4D"/>
    <w:rsid w:val="00C0409E"/>
    <w:rsid w:val="00C04EF7"/>
    <w:rsid w:val="00C04F8F"/>
    <w:rsid w:val="00C06332"/>
    <w:rsid w:val="00C10F7D"/>
    <w:rsid w:val="00C12276"/>
    <w:rsid w:val="00C14808"/>
    <w:rsid w:val="00C153C6"/>
    <w:rsid w:val="00C15E93"/>
    <w:rsid w:val="00C1608B"/>
    <w:rsid w:val="00C16860"/>
    <w:rsid w:val="00C232AA"/>
    <w:rsid w:val="00C23B80"/>
    <w:rsid w:val="00C24925"/>
    <w:rsid w:val="00C2593D"/>
    <w:rsid w:val="00C26D7C"/>
    <w:rsid w:val="00C2751D"/>
    <w:rsid w:val="00C30AD9"/>
    <w:rsid w:val="00C34D42"/>
    <w:rsid w:val="00C36995"/>
    <w:rsid w:val="00C370AC"/>
    <w:rsid w:val="00C372C8"/>
    <w:rsid w:val="00C43BD9"/>
    <w:rsid w:val="00C44F2D"/>
    <w:rsid w:val="00C451F1"/>
    <w:rsid w:val="00C463D8"/>
    <w:rsid w:val="00C50F70"/>
    <w:rsid w:val="00C53034"/>
    <w:rsid w:val="00C531D1"/>
    <w:rsid w:val="00C55813"/>
    <w:rsid w:val="00C55B78"/>
    <w:rsid w:val="00C55F59"/>
    <w:rsid w:val="00C576F5"/>
    <w:rsid w:val="00C615AA"/>
    <w:rsid w:val="00C624A9"/>
    <w:rsid w:val="00C62780"/>
    <w:rsid w:val="00C62ACC"/>
    <w:rsid w:val="00C63769"/>
    <w:rsid w:val="00C6379C"/>
    <w:rsid w:val="00C647BA"/>
    <w:rsid w:val="00C67A70"/>
    <w:rsid w:val="00C72AAD"/>
    <w:rsid w:val="00C7357E"/>
    <w:rsid w:val="00C739B4"/>
    <w:rsid w:val="00C742FF"/>
    <w:rsid w:val="00C74516"/>
    <w:rsid w:val="00C75811"/>
    <w:rsid w:val="00C7583F"/>
    <w:rsid w:val="00C75C69"/>
    <w:rsid w:val="00C76FA5"/>
    <w:rsid w:val="00C77985"/>
    <w:rsid w:val="00C80856"/>
    <w:rsid w:val="00C818CE"/>
    <w:rsid w:val="00C8357A"/>
    <w:rsid w:val="00C85476"/>
    <w:rsid w:val="00C8695D"/>
    <w:rsid w:val="00C86ADF"/>
    <w:rsid w:val="00C876EC"/>
    <w:rsid w:val="00C87CE7"/>
    <w:rsid w:val="00C925F5"/>
    <w:rsid w:val="00C926E4"/>
    <w:rsid w:val="00C92EB1"/>
    <w:rsid w:val="00C93106"/>
    <w:rsid w:val="00C93EC8"/>
    <w:rsid w:val="00C94502"/>
    <w:rsid w:val="00C97762"/>
    <w:rsid w:val="00C97892"/>
    <w:rsid w:val="00C97B7A"/>
    <w:rsid w:val="00CA0026"/>
    <w:rsid w:val="00CA049D"/>
    <w:rsid w:val="00CA61F7"/>
    <w:rsid w:val="00CA6608"/>
    <w:rsid w:val="00CB149C"/>
    <w:rsid w:val="00CB17EA"/>
    <w:rsid w:val="00CB1B3C"/>
    <w:rsid w:val="00CB2736"/>
    <w:rsid w:val="00CB2AA7"/>
    <w:rsid w:val="00CB2C17"/>
    <w:rsid w:val="00CB339D"/>
    <w:rsid w:val="00CB380E"/>
    <w:rsid w:val="00CB462E"/>
    <w:rsid w:val="00CB6AC1"/>
    <w:rsid w:val="00CC24D9"/>
    <w:rsid w:val="00CC3C75"/>
    <w:rsid w:val="00CC5BAA"/>
    <w:rsid w:val="00CC65C0"/>
    <w:rsid w:val="00CC6E30"/>
    <w:rsid w:val="00CD1360"/>
    <w:rsid w:val="00CD159B"/>
    <w:rsid w:val="00CD1C25"/>
    <w:rsid w:val="00CD5D49"/>
    <w:rsid w:val="00CD6E51"/>
    <w:rsid w:val="00CE1BEC"/>
    <w:rsid w:val="00CE2DA8"/>
    <w:rsid w:val="00CE3CBC"/>
    <w:rsid w:val="00CE3CE2"/>
    <w:rsid w:val="00CE434E"/>
    <w:rsid w:val="00CE5AE5"/>
    <w:rsid w:val="00CE626B"/>
    <w:rsid w:val="00CE6806"/>
    <w:rsid w:val="00CE6EC9"/>
    <w:rsid w:val="00CE768B"/>
    <w:rsid w:val="00CE7CF9"/>
    <w:rsid w:val="00CF0C82"/>
    <w:rsid w:val="00CF1C02"/>
    <w:rsid w:val="00CF1D08"/>
    <w:rsid w:val="00CF355C"/>
    <w:rsid w:val="00CF37E8"/>
    <w:rsid w:val="00CF3CAF"/>
    <w:rsid w:val="00CF3F7B"/>
    <w:rsid w:val="00CF62A3"/>
    <w:rsid w:val="00CF7518"/>
    <w:rsid w:val="00D01847"/>
    <w:rsid w:val="00D043BC"/>
    <w:rsid w:val="00D06835"/>
    <w:rsid w:val="00D07B17"/>
    <w:rsid w:val="00D10477"/>
    <w:rsid w:val="00D14866"/>
    <w:rsid w:val="00D15FDE"/>
    <w:rsid w:val="00D20A7A"/>
    <w:rsid w:val="00D22214"/>
    <w:rsid w:val="00D22BBB"/>
    <w:rsid w:val="00D2390C"/>
    <w:rsid w:val="00D24075"/>
    <w:rsid w:val="00D25F7E"/>
    <w:rsid w:val="00D27054"/>
    <w:rsid w:val="00D306E2"/>
    <w:rsid w:val="00D310E5"/>
    <w:rsid w:val="00D31523"/>
    <w:rsid w:val="00D3155F"/>
    <w:rsid w:val="00D3327D"/>
    <w:rsid w:val="00D33B03"/>
    <w:rsid w:val="00D34323"/>
    <w:rsid w:val="00D3593A"/>
    <w:rsid w:val="00D41EC8"/>
    <w:rsid w:val="00D45BFF"/>
    <w:rsid w:val="00D45C15"/>
    <w:rsid w:val="00D5356F"/>
    <w:rsid w:val="00D53B4A"/>
    <w:rsid w:val="00D54D9F"/>
    <w:rsid w:val="00D60552"/>
    <w:rsid w:val="00D61D3F"/>
    <w:rsid w:val="00D64537"/>
    <w:rsid w:val="00D64E62"/>
    <w:rsid w:val="00D665B3"/>
    <w:rsid w:val="00D67A1A"/>
    <w:rsid w:val="00D72CB0"/>
    <w:rsid w:val="00D7378A"/>
    <w:rsid w:val="00D740E9"/>
    <w:rsid w:val="00D764A0"/>
    <w:rsid w:val="00D7697F"/>
    <w:rsid w:val="00D76E5C"/>
    <w:rsid w:val="00D77C92"/>
    <w:rsid w:val="00D81730"/>
    <w:rsid w:val="00D85075"/>
    <w:rsid w:val="00D86231"/>
    <w:rsid w:val="00D876F7"/>
    <w:rsid w:val="00D87A51"/>
    <w:rsid w:val="00D910C8"/>
    <w:rsid w:val="00D931C4"/>
    <w:rsid w:val="00D93BE0"/>
    <w:rsid w:val="00D9450D"/>
    <w:rsid w:val="00D95973"/>
    <w:rsid w:val="00DA0933"/>
    <w:rsid w:val="00DA09E0"/>
    <w:rsid w:val="00DA0C22"/>
    <w:rsid w:val="00DA275B"/>
    <w:rsid w:val="00DA2879"/>
    <w:rsid w:val="00DA4846"/>
    <w:rsid w:val="00DA521E"/>
    <w:rsid w:val="00DA53B8"/>
    <w:rsid w:val="00DA7ACB"/>
    <w:rsid w:val="00DA7CCC"/>
    <w:rsid w:val="00DB12E4"/>
    <w:rsid w:val="00DB29C3"/>
    <w:rsid w:val="00DB415E"/>
    <w:rsid w:val="00DB5C79"/>
    <w:rsid w:val="00DB5E03"/>
    <w:rsid w:val="00DB6443"/>
    <w:rsid w:val="00DC1AFC"/>
    <w:rsid w:val="00DC2F45"/>
    <w:rsid w:val="00DC3793"/>
    <w:rsid w:val="00DC584C"/>
    <w:rsid w:val="00DD06A8"/>
    <w:rsid w:val="00DD4691"/>
    <w:rsid w:val="00DD774D"/>
    <w:rsid w:val="00DE0E4C"/>
    <w:rsid w:val="00DE0F5B"/>
    <w:rsid w:val="00DE0F9E"/>
    <w:rsid w:val="00DE2283"/>
    <w:rsid w:val="00DE3386"/>
    <w:rsid w:val="00DE3C1A"/>
    <w:rsid w:val="00DE4515"/>
    <w:rsid w:val="00DE4816"/>
    <w:rsid w:val="00DE5F0E"/>
    <w:rsid w:val="00DE6AC3"/>
    <w:rsid w:val="00DE70FE"/>
    <w:rsid w:val="00DF13D4"/>
    <w:rsid w:val="00DF1644"/>
    <w:rsid w:val="00DF34C7"/>
    <w:rsid w:val="00DF40D4"/>
    <w:rsid w:val="00DF5F6C"/>
    <w:rsid w:val="00DF7433"/>
    <w:rsid w:val="00DF7AE9"/>
    <w:rsid w:val="00DF7C4A"/>
    <w:rsid w:val="00E00F3B"/>
    <w:rsid w:val="00E020DD"/>
    <w:rsid w:val="00E02889"/>
    <w:rsid w:val="00E03E94"/>
    <w:rsid w:val="00E04C87"/>
    <w:rsid w:val="00E05323"/>
    <w:rsid w:val="00E111C7"/>
    <w:rsid w:val="00E118E2"/>
    <w:rsid w:val="00E12D85"/>
    <w:rsid w:val="00E13FDF"/>
    <w:rsid w:val="00E1479A"/>
    <w:rsid w:val="00E15D83"/>
    <w:rsid w:val="00E16667"/>
    <w:rsid w:val="00E20190"/>
    <w:rsid w:val="00E20895"/>
    <w:rsid w:val="00E208A0"/>
    <w:rsid w:val="00E22E9E"/>
    <w:rsid w:val="00E2365F"/>
    <w:rsid w:val="00E23A7C"/>
    <w:rsid w:val="00E26191"/>
    <w:rsid w:val="00E26703"/>
    <w:rsid w:val="00E27167"/>
    <w:rsid w:val="00E32089"/>
    <w:rsid w:val="00E321C2"/>
    <w:rsid w:val="00E3255E"/>
    <w:rsid w:val="00E3456C"/>
    <w:rsid w:val="00E3631E"/>
    <w:rsid w:val="00E3788E"/>
    <w:rsid w:val="00E3798E"/>
    <w:rsid w:val="00E43298"/>
    <w:rsid w:val="00E450E3"/>
    <w:rsid w:val="00E5035E"/>
    <w:rsid w:val="00E5089F"/>
    <w:rsid w:val="00E513F9"/>
    <w:rsid w:val="00E523C4"/>
    <w:rsid w:val="00E5327D"/>
    <w:rsid w:val="00E54162"/>
    <w:rsid w:val="00E56B4B"/>
    <w:rsid w:val="00E60A61"/>
    <w:rsid w:val="00E616E9"/>
    <w:rsid w:val="00E63C73"/>
    <w:rsid w:val="00E6461A"/>
    <w:rsid w:val="00E64802"/>
    <w:rsid w:val="00E64E4C"/>
    <w:rsid w:val="00E65CD8"/>
    <w:rsid w:val="00E6742D"/>
    <w:rsid w:val="00E67F8A"/>
    <w:rsid w:val="00E70CBA"/>
    <w:rsid w:val="00E711C2"/>
    <w:rsid w:val="00E71AC5"/>
    <w:rsid w:val="00E71D76"/>
    <w:rsid w:val="00E72087"/>
    <w:rsid w:val="00E72EC1"/>
    <w:rsid w:val="00E72FE8"/>
    <w:rsid w:val="00E733A6"/>
    <w:rsid w:val="00E736A3"/>
    <w:rsid w:val="00E7779B"/>
    <w:rsid w:val="00E77F25"/>
    <w:rsid w:val="00E8165F"/>
    <w:rsid w:val="00E81A8A"/>
    <w:rsid w:val="00E83778"/>
    <w:rsid w:val="00E85DB1"/>
    <w:rsid w:val="00E867EB"/>
    <w:rsid w:val="00E87AF7"/>
    <w:rsid w:val="00E903FE"/>
    <w:rsid w:val="00E9231A"/>
    <w:rsid w:val="00E93003"/>
    <w:rsid w:val="00E95827"/>
    <w:rsid w:val="00E9612B"/>
    <w:rsid w:val="00E96C45"/>
    <w:rsid w:val="00E97703"/>
    <w:rsid w:val="00E97C23"/>
    <w:rsid w:val="00EA0904"/>
    <w:rsid w:val="00EA2BDF"/>
    <w:rsid w:val="00EA303B"/>
    <w:rsid w:val="00EB0D2E"/>
    <w:rsid w:val="00EB353D"/>
    <w:rsid w:val="00EB362A"/>
    <w:rsid w:val="00EB7A38"/>
    <w:rsid w:val="00EC0B1D"/>
    <w:rsid w:val="00EC1522"/>
    <w:rsid w:val="00EC17AA"/>
    <w:rsid w:val="00EC36B5"/>
    <w:rsid w:val="00EC3E52"/>
    <w:rsid w:val="00EC4BE1"/>
    <w:rsid w:val="00ED2147"/>
    <w:rsid w:val="00ED2B8B"/>
    <w:rsid w:val="00ED3437"/>
    <w:rsid w:val="00ED362C"/>
    <w:rsid w:val="00ED3784"/>
    <w:rsid w:val="00ED4D4C"/>
    <w:rsid w:val="00EE015E"/>
    <w:rsid w:val="00EE1C35"/>
    <w:rsid w:val="00EE2106"/>
    <w:rsid w:val="00EE2D21"/>
    <w:rsid w:val="00EE306B"/>
    <w:rsid w:val="00EE569A"/>
    <w:rsid w:val="00EE7535"/>
    <w:rsid w:val="00EF05E5"/>
    <w:rsid w:val="00EF1369"/>
    <w:rsid w:val="00EF13F4"/>
    <w:rsid w:val="00EF1BA1"/>
    <w:rsid w:val="00EF228E"/>
    <w:rsid w:val="00EF3A72"/>
    <w:rsid w:val="00EF3AB0"/>
    <w:rsid w:val="00EF403E"/>
    <w:rsid w:val="00F016E6"/>
    <w:rsid w:val="00F01DE1"/>
    <w:rsid w:val="00F030D0"/>
    <w:rsid w:val="00F04EBB"/>
    <w:rsid w:val="00F0652E"/>
    <w:rsid w:val="00F11C66"/>
    <w:rsid w:val="00F13A97"/>
    <w:rsid w:val="00F13F9F"/>
    <w:rsid w:val="00F14B3B"/>
    <w:rsid w:val="00F1774A"/>
    <w:rsid w:val="00F20705"/>
    <w:rsid w:val="00F21862"/>
    <w:rsid w:val="00F22314"/>
    <w:rsid w:val="00F24223"/>
    <w:rsid w:val="00F2424B"/>
    <w:rsid w:val="00F24E04"/>
    <w:rsid w:val="00F26B16"/>
    <w:rsid w:val="00F26E10"/>
    <w:rsid w:val="00F271CE"/>
    <w:rsid w:val="00F27D74"/>
    <w:rsid w:val="00F32602"/>
    <w:rsid w:val="00F336D4"/>
    <w:rsid w:val="00F33EE0"/>
    <w:rsid w:val="00F35CB6"/>
    <w:rsid w:val="00F35E24"/>
    <w:rsid w:val="00F36234"/>
    <w:rsid w:val="00F36E9A"/>
    <w:rsid w:val="00F405C9"/>
    <w:rsid w:val="00F411F1"/>
    <w:rsid w:val="00F4345D"/>
    <w:rsid w:val="00F43A14"/>
    <w:rsid w:val="00F47193"/>
    <w:rsid w:val="00F50DCD"/>
    <w:rsid w:val="00F53CB5"/>
    <w:rsid w:val="00F546D4"/>
    <w:rsid w:val="00F56A6E"/>
    <w:rsid w:val="00F56F3F"/>
    <w:rsid w:val="00F57AF5"/>
    <w:rsid w:val="00F63168"/>
    <w:rsid w:val="00F63262"/>
    <w:rsid w:val="00F64CF3"/>
    <w:rsid w:val="00F6631E"/>
    <w:rsid w:val="00F66DDB"/>
    <w:rsid w:val="00F677F7"/>
    <w:rsid w:val="00F679D9"/>
    <w:rsid w:val="00F7239D"/>
    <w:rsid w:val="00F7568F"/>
    <w:rsid w:val="00F75956"/>
    <w:rsid w:val="00F765DF"/>
    <w:rsid w:val="00F77514"/>
    <w:rsid w:val="00F77633"/>
    <w:rsid w:val="00F81146"/>
    <w:rsid w:val="00F81980"/>
    <w:rsid w:val="00F8551B"/>
    <w:rsid w:val="00F85ACE"/>
    <w:rsid w:val="00F85C3B"/>
    <w:rsid w:val="00F8641F"/>
    <w:rsid w:val="00F869B9"/>
    <w:rsid w:val="00F9438E"/>
    <w:rsid w:val="00FA2273"/>
    <w:rsid w:val="00FA2AF2"/>
    <w:rsid w:val="00FA3C19"/>
    <w:rsid w:val="00FA5043"/>
    <w:rsid w:val="00FA79A0"/>
    <w:rsid w:val="00FB0AC9"/>
    <w:rsid w:val="00FB1DBA"/>
    <w:rsid w:val="00FB1DEC"/>
    <w:rsid w:val="00FB23E4"/>
    <w:rsid w:val="00FB2487"/>
    <w:rsid w:val="00FB3616"/>
    <w:rsid w:val="00FB3CE2"/>
    <w:rsid w:val="00FB48EA"/>
    <w:rsid w:val="00FB6833"/>
    <w:rsid w:val="00FC1C64"/>
    <w:rsid w:val="00FC3E9B"/>
    <w:rsid w:val="00FC41DC"/>
    <w:rsid w:val="00FC6B73"/>
    <w:rsid w:val="00FD219A"/>
    <w:rsid w:val="00FD4D87"/>
    <w:rsid w:val="00FD5F88"/>
    <w:rsid w:val="00FD6796"/>
    <w:rsid w:val="00FD7AA7"/>
    <w:rsid w:val="00FD7E38"/>
    <w:rsid w:val="00FD7EE2"/>
    <w:rsid w:val="00FE224B"/>
    <w:rsid w:val="00FE6452"/>
    <w:rsid w:val="00FE6946"/>
    <w:rsid w:val="00FF1C98"/>
    <w:rsid w:val="00FF226F"/>
    <w:rsid w:val="00FF2B6B"/>
    <w:rsid w:val="00FF3BD3"/>
    <w:rsid w:val="00FF4433"/>
    <w:rsid w:val="00FF5106"/>
    <w:rsid w:val="00FF57A3"/>
    <w:rsid w:val="00FF5C9A"/>
    <w:rsid w:val="00FF61B5"/>
    <w:rsid w:val="00FF6747"/>
    <w:rsid w:val="00FF79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FE9F4"/>
  <w15:docId w15:val="{34D9D40D-2383-4BFB-82FC-920F6B94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1081"/>
    <w:rPr>
      <w:sz w:val="24"/>
      <w:szCs w:val="24"/>
    </w:rPr>
  </w:style>
  <w:style w:type="paragraph" w:styleId="Naslov1">
    <w:name w:val="heading 1"/>
    <w:basedOn w:val="Navaden"/>
    <w:next w:val="Navaden"/>
    <w:qFormat/>
    <w:rsid w:val="00A81560"/>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9F2645"/>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611435"/>
    <w:pPr>
      <w:keepNext/>
      <w:spacing w:before="240" w:after="60"/>
      <w:outlineLvl w:val="2"/>
    </w:pPr>
    <w:rPr>
      <w:rFonts w:ascii="Arial" w:hAnsi="Arial" w:cs="Arial"/>
      <w:b/>
      <w:bCs/>
      <w:szCs w:val="26"/>
    </w:rPr>
  </w:style>
  <w:style w:type="paragraph" w:styleId="Naslov4">
    <w:name w:val="heading 4"/>
    <w:basedOn w:val="Navaden"/>
    <w:next w:val="Navaden"/>
    <w:link w:val="Naslov4Znak"/>
    <w:qFormat/>
    <w:rsid w:val="0007466D"/>
    <w:pPr>
      <w:keepNext/>
      <w:keepLines/>
      <w:spacing w:before="60" w:after="240"/>
      <w:outlineLvl w:val="3"/>
    </w:pPr>
    <w:rPr>
      <w:b/>
      <w:bCs/>
      <w:spacing w:val="20"/>
      <w:sz w:val="36"/>
      <w:szCs w:val="28"/>
      <w:lang w:eastAsia="en-US"/>
    </w:rPr>
  </w:style>
  <w:style w:type="paragraph" w:styleId="Naslov5">
    <w:name w:val="heading 5"/>
    <w:basedOn w:val="Navaden"/>
    <w:next w:val="Navaden"/>
    <w:link w:val="Naslov5Znak"/>
    <w:qFormat/>
    <w:rsid w:val="00611435"/>
    <w:pPr>
      <w:spacing w:before="240" w:after="60"/>
      <w:outlineLvl w:val="4"/>
    </w:pPr>
    <w:rPr>
      <w:rFonts w:ascii="Arial" w:hAnsi="Arial"/>
      <w:b/>
      <w:bCs/>
      <w:i/>
      <w:iCs/>
      <w:szCs w:val="26"/>
    </w:rPr>
  </w:style>
  <w:style w:type="paragraph" w:styleId="Naslov6">
    <w:name w:val="heading 6"/>
    <w:basedOn w:val="Navaden"/>
    <w:next w:val="Navaden"/>
    <w:link w:val="Naslov6Znak"/>
    <w:qFormat/>
    <w:rsid w:val="00641B0C"/>
    <w:pPr>
      <w:spacing w:before="240" w:after="60"/>
      <w:outlineLvl w:val="5"/>
    </w:pPr>
    <w:rPr>
      <w:b/>
      <w:bCs/>
      <w:sz w:val="22"/>
      <w:szCs w:val="22"/>
      <w:lang w:eastAsia="en-US"/>
    </w:rPr>
  </w:style>
  <w:style w:type="paragraph" w:styleId="Naslov7">
    <w:name w:val="heading 7"/>
    <w:basedOn w:val="Navaden"/>
    <w:next w:val="Navaden"/>
    <w:link w:val="Naslov7Znak"/>
    <w:qFormat/>
    <w:rsid w:val="00641B0C"/>
    <w:pPr>
      <w:spacing w:before="240" w:after="60"/>
      <w:outlineLvl w:val="6"/>
    </w:pPr>
  </w:style>
  <w:style w:type="paragraph" w:styleId="Naslov8">
    <w:name w:val="heading 8"/>
    <w:basedOn w:val="Navaden"/>
    <w:next w:val="Navaden"/>
    <w:link w:val="Naslov8Znak"/>
    <w:qFormat/>
    <w:rsid w:val="00641B0C"/>
    <w:pPr>
      <w:spacing w:before="240" w:after="60"/>
      <w:outlineLvl w:val="7"/>
    </w:pPr>
    <w:rPr>
      <w:i/>
      <w:iCs/>
      <w:lang w:eastAsia="en-US"/>
    </w:rPr>
  </w:style>
  <w:style w:type="paragraph" w:styleId="Naslov9">
    <w:name w:val="heading 9"/>
    <w:basedOn w:val="Naslov6"/>
    <w:next w:val="Navaden"/>
    <w:link w:val="Naslov9Znak"/>
    <w:qFormat/>
    <w:rsid w:val="0007466D"/>
    <w:pPr>
      <w:keepNext/>
      <w:keepLines/>
      <w:overflowPunct w:val="0"/>
      <w:autoSpaceDE w:val="0"/>
      <w:autoSpaceDN w:val="0"/>
      <w:adjustRightInd w:val="0"/>
      <w:spacing w:after="120"/>
      <w:ind w:left="284"/>
      <w:textAlignment w:val="baseline"/>
      <w:outlineLvl w:val="8"/>
    </w:pPr>
    <w:rPr>
      <w:bCs w:val="0"/>
      <w:iCs/>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link w:val="NogaZnak"/>
    <w:uiPriority w:val="99"/>
    <w:rsid w:val="00EA303B"/>
    <w:pPr>
      <w:tabs>
        <w:tab w:val="center" w:pos="4536"/>
        <w:tab w:val="right" w:pos="9072"/>
      </w:tabs>
    </w:pPr>
  </w:style>
  <w:style w:type="paragraph" w:styleId="Telobesedila">
    <w:name w:val="Body Text"/>
    <w:basedOn w:val="Navaden"/>
    <w:link w:val="TelobesedilaZnak"/>
    <w:rsid w:val="00411081"/>
    <w:rPr>
      <w:rFonts w:ascii="Garamond" w:hAnsi="Garamond"/>
      <w:b/>
      <w:sz w:val="26"/>
      <w:szCs w:val="20"/>
    </w:rPr>
  </w:style>
  <w:style w:type="table" w:customStyle="1" w:styleId="Tabelamrea1">
    <w:name w:val="Tabela – mreža1"/>
    <w:basedOn w:val="Navadnatabela"/>
    <w:rsid w:val="00B6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qFormat/>
    <w:rsid w:val="00A31F74"/>
    <w:pPr>
      <w:jc w:val="center"/>
    </w:pPr>
    <w:rPr>
      <w:b/>
      <w:szCs w:val="20"/>
    </w:rPr>
  </w:style>
  <w:style w:type="paragraph" w:styleId="Telobesedila2">
    <w:name w:val="Body Text 2"/>
    <w:basedOn w:val="Navaden"/>
    <w:rsid w:val="00A81560"/>
    <w:pPr>
      <w:spacing w:after="120" w:line="480" w:lineRule="auto"/>
    </w:pPr>
  </w:style>
  <w:style w:type="paragraph" w:styleId="Telobesedila-zamik3">
    <w:name w:val="Body Text Indent 3"/>
    <w:basedOn w:val="Navaden"/>
    <w:rsid w:val="00A81560"/>
    <w:pPr>
      <w:spacing w:after="120"/>
      <w:ind w:left="283"/>
    </w:pPr>
    <w:rPr>
      <w:sz w:val="16"/>
      <w:szCs w:val="16"/>
    </w:rPr>
  </w:style>
  <w:style w:type="paragraph" w:customStyle="1" w:styleId="WW-Telobesedila2">
    <w:name w:val="WW-Telo besedila 2"/>
    <w:basedOn w:val="Navaden"/>
    <w:rsid w:val="00A81560"/>
    <w:pPr>
      <w:suppressAutoHyphens/>
      <w:jc w:val="both"/>
    </w:pPr>
    <w:rPr>
      <w:rFonts w:ascii="Arial" w:hAnsi="Arial"/>
      <w:szCs w:val="20"/>
    </w:rPr>
  </w:style>
  <w:style w:type="paragraph" w:styleId="Telobesedila3">
    <w:name w:val="Body Text 3"/>
    <w:basedOn w:val="Navaden"/>
    <w:link w:val="Telobesedila3Znak"/>
    <w:rsid w:val="0058063D"/>
    <w:pPr>
      <w:spacing w:after="120"/>
    </w:pPr>
    <w:rPr>
      <w:sz w:val="16"/>
      <w:szCs w:val="16"/>
    </w:rPr>
  </w:style>
  <w:style w:type="paragraph" w:styleId="Telobesedila-zamik2">
    <w:name w:val="Body Text Indent 2"/>
    <w:basedOn w:val="Navaden"/>
    <w:link w:val="Telobesedila-zamik2Znak"/>
    <w:rsid w:val="00BD5FFE"/>
    <w:pPr>
      <w:spacing w:after="120" w:line="480" w:lineRule="auto"/>
      <w:ind w:left="283"/>
    </w:pPr>
  </w:style>
  <w:style w:type="paragraph" w:customStyle="1" w:styleId="Style1">
    <w:name w:val="Style 1"/>
    <w:basedOn w:val="Navaden"/>
    <w:rsid w:val="00BD5FFE"/>
    <w:rPr>
      <w:color w:val="000000"/>
      <w:sz w:val="20"/>
      <w:szCs w:val="20"/>
    </w:rPr>
  </w:style>
  <w:style w:type="paragraph" w:styleId="Naslov">
    <w:name w:val="Title"/>
    <w:basedOn w:val="Navaden"/>
    <w:qFormat/>
    <w:rsid w:val="00CB2AA7"/>
    <w:pPr>
      <w:jc w:val="center"/>
    </w:pPr>
    <w:rPr>
      <w:rFonts w:cs="Arial"/>
      <w:b/>
      <w:bCs/>
      <w:sz w:val="32"/>
    </w:rPr>
  </w:style>
  <w:style w:type="character" w:styleId="tevilkastrani">
    <w:name w:val="page number"/>
    <w:basedOn w:val="Privzetapisavaodstavka"/>
    <w:rsid w:val="00C36995"/>
  </w:style>
  <w:style w:type="paragraph" w:customStyle="1" w:styleId="ZnakZnakCharZnakZnakZnak">
    <w:name w:val="Znak Znak Char Znak Znak Znak"/>
    <w:basedOn w:val="Navaden"/>
    <w:rsid w:val="00C647BA"/>
    <w:rPr>
      <w:rFonts w:ascii="Garamond" w:hAnsi="Garamond"/>
      <w:sz w:val="22"/>
      <w:szCs w:val="20"/>
    </w:rPr>
  </w:style>
  <w:style w:type="character" w:customStyle="1" w:styleId="TelobesedilaZnak">
    <w:name w:val="Telo besedila Znak"/>
    <w:link w:val="Telobesedila"/>
    <w:rsid w:val="00C647BA"/>
    <w:rPr>
      <w:rFonts w:ascii="Garamond" w:hAnsi="Garamond"/>
      <w:b/>
      <w:sz w:val="26"/>
      <w:lang w:val="sl-SI" w:eastAsia="sl-SI" w:bidi="ar-SA"/>
    </w:rPr>
  </w:style>
  <w:style w:type="character" w:customStyle="1" w:styleId="Naslov5Znak">
    <w:name w:val="Naslov 5 Znak"/>
    <w:link w:val="Naslov5"/>
    <w:rsid w:val="00611435"/>
    <w:rPr>
      <w:rFonts w:ascii="Arial" w:hAnsi="Arial"/>
      <w:b/>
      <w:bCs/>
      <w:i/>
      <w:iCs/>
      <w:sz w:val="24"/>
      <w:szCs w:val="26"/>
    </w:rPr>
  </w:style>
  <w:style w:type="character" w:customStyle="1" w:styleId="Naslov6Znak">
    <w:name w:val="Naslov 6 Znak"/>
    <w:link w:val="Naslov6"/>
    <w:rsid w:val="00641B0C"/>
    <w:rPr>
      <w:b/>
      <w:bCs/>
      <w:sz w:val="22"/>
      <w:szCs w:val="22"/>
      <w:lang w:eastAsia="en-US"/>
    </w:rPr>
  </w:style>
  <w:style w:type="character" w:customStyle="1" w:styleId="Naslov7Znak">
    <w:name w:val="Naslov 7 Znak"/>
    <w:link w:val="Naslov7"/>
    <w:rsid w:val="00641B0C"/>
    <w:rPr>
      <w:sz w:val="24"/>
      <w:szCs w:val="24"/>
    </w:rPr>
  </w:style>
  <w:style w:type="character" w:customStyle="1" w:styleId="Naslov8Znak">
    <w:name w:val="Naslov 8 Znak"/>
    <w:link w:val="Naslov8"/>
    <w:rsid w:val="00641B0C"/>
    <w:rPr>
      <w:i/>
      <w:iCs/>
      <w:sz w:val="24"/>
      <w:szCs w:val="24"/>
      <w:lang w:eastAsia="en-US"/>
    </w:rPr>
  </w:style>
  <w:style w:type="paragraph" w:customStyle="1" w:styleId="Telobesedila21">
    <w:name w:val="Telo besedila 21"/>
    <w:basedOn w:val="Navaden"/>
    <w:rsid w:val="00641B0C"/>
    <w:pPr>
      <w:jc w:val="both"/>
    </w:pPr>
    <w:rPr>
      <w:szCs w:val="20"/>
    </w:rPr>
  </w:style>
  <w:style w:type="paragraph" w:styleId="Besedilooblaka">
    <w:name w:val="Balloon Text"/>
    <w:basedOn w:val="Navaden"/>
    <w:link w:val="BesedilooblakaZnak"/>
    <w:rsid w:val="00641B0C"/>
    <w:rPr>
      <w:rFonts w:ascii="Tahoma" w:hAnsi="Tahoma" w:cs="Tahoma"/>
      <w:sz w:val="16"/>
      <w:szCs w:val="16"/>
    </w:rPr>
  </w:style>
  <w:style w:type="character" w:customStyle="1" w:styleId="BesedilooblakaZnak">
    <w:name w:val="Besedilo oblačka Znak"/>
    <w:link w:val="Besedilooblaka"/>
    <w:rsid w:val="00641B0C"/>
    <w:rPr>
      <w:rFonts w:ascii="Tahoma" w:hAnsi="Tahoma" w:cs="Tahoma"/>
      <w:sz w:val="16"/>
      <w:szCs w:val="16"/>
    </w:rPr>
  </w:style>
  <w:style w:type="paragraph" w:styleId="Navadensplet">
    <w:name w:val="Normal (Web)"/>
    <w:basedOn w:val="Navaden"/>
    <w:uiPriority w:val="99"/>
    <w:rsid w:val="00641B0C"/>
    <w:pPr>
      <w:spacing w:before="100" w:beforeAutospacing="1" w:after="100" w:afterAutospacing="1"/>
    </w:pPr>
  </w:style>
  <w:style w:type="paragraph" w:styleId="Odstavekseznama">
    <w:name w:val="List Paragraph"/>
    <w:basedOn w:val="Navaden"/>
    <w:uiPriority w:val="34"/>
    <w:qFormat/>
    <w:rsid w:val="00641B0C"/>
    <w:pPr>
      <w:widowControl w:val="0"/>
      <w:suppressAutoHyphens/>
      <w:ind w:left="708"/>
      <w:jc w:val="both"/>
    </w:pPr>
    <w:rPr>
      <w:rFonts w:ascii="Arial" w:eastAsia="Lucida Sans Unicode" w:hAnsi="Arial"/>
      <w:sz w:val="20"/>
      <w:lang w:eastAsia="en-US"/>
    </w:rPr>
  </w:style>
  <w:style w:type="character" w:customStyle="1" w:styleId="Telobesedila-zamik2Znak">
    <w:name w:val="Telo besedila - zamik 2 Znak"/>
    <w:link w:val="Telobesedila-zamik2"/>
    <w:rsid w:val="00641B0C"/>
    <w:rPr>
      <w:sz w:val="24"/>
      <w:szCs w:val="24"/>
    </w:rPr>
  </w:style>
  <w:style w:type="character" w:styleId="Hiperpovezava">
    <w:name w:val="Hyperlink"/>
    <w:uiPriority w:val="99"/>
    <w:rsid w:val="00641B0C"/>
    <w:rPr>
      <w:color w:val="0000FF"/>
      <w:u w:val="single"/>
    </w:rPr>
  </w:style>
  <w:style w:type="paragraph" w:customStyle="1" w:styleId="Znak">
    <w:name w:val="Znak"/>
    <w:basedOn w:val="Navaden"/>
    <w:rsid w:val="00641B0C"/>
    <w:pPr>
      <w:spacing w:after="160" w:line="240" w:lineRule="exact"/>
    </w:pPr>
    <w:rPr>
      <w:rFonts w:ascii="Tahoma" w:hAnsi="Tahoma" w:cs="Tahoma"/>
      <w:sz w:val="20"/>
      <w:szCs w:val="20"/>
      <w:lang w:val="en-US" w:eastAsia="en-US"/>
    </w:rPr>
  </w:style>
  <w:style w:type="paragraph" w:customStyle="1" w:styleId="esegmentp">
    <w:name w:val="esegment_p"/>
    <w:basedOn w:val="Navaden"/>
    <w:rsid w:val="00641B0C"/>
    <w:pPr>
      <w:spacing w:after="210"/>
      <w:ind w:firstLine="240"/>
      <w:jc w:val="both"/>
    </w:pPr>
    <w:rPr>
      <w:color w:val="313131"/>
    </w:rPr>
  </w:style>
  <w:style w:type="character" w:customStyle="1" w:styleId="highlight1">
    <w:name w:val="highlight1"/>
    <w:rsid w:val="00641B0C"/>
    <w:rPr>
      <w:color w:val="FF0000"/>
      <w:shd w:val="clear" w:color="auto" w:fill="FFFFFF"/>
    </w:rPr>
  </w:style>
  <w:style w:type="paragraph" w:customStyle="1" w:styleId="Slog3">
    <w:name w:val="Slog3"/>
    <w:basedOn w:val="Navaden"/>
    <w:autoRedefine/>
    <w:rsid w:val="00641B0C"/>
    <w:pPr>
      <w:tabs>
        <w:tab w:val="left" w:pos="0"/>
        <w:tab w:val="left" w:pos="720"/>
      </w:tabs>
      <w:ind w:left="720" w:hanging="720"/>
      <w:jc w:val="both"/>
    </w:pPr>
    <w:rPr>
      <w:rFonts w:ascii="Arial" w:hAnsi="Arial" w:cs="Arial"/>
      <w:sz w:val="22"/>
      <w:szCs w:val="22"/>
    </w:rPr>
  </w:style>
  <w:style w:type="paragraph" w:customStyle="1" w:styleId="Znak1">
    <w:name w:val="Znak1"/>
    <w:basedOn w:val="Navaden"/>
    <w:rsid w:val="00641B0C"/>
    <w:pPr>
      <w:spacing w:after="160" w:line="240" w:lineRule="exact"/>
    </w:pPr>
    <w:rPr>
      <w:rFonts w:ascii="Tahoma" w:hAnsi="Tahoma" w:cs="Tahoma"/>
      <w:sz w:val="20"/>
      <w:szCs w:val="20"/>
      <w:lang w:val="en-US" w:eastAsia="en-US"/>
    </w:rPr>
  </w:style>
  <w:style w:type="paragraph" w:customStyle="1" w:styleId="Heading11">
    <w:name w:val="Heading 11"/>
    <w:basedOn w:val="Navaden"/>
    <w:next w:val="Navaden"/>
    <w:uiPriority w:val="99"/>
    <w:rsid w:val="00641B0C"/>
    <w:pPr>
      <w:keepNext/>
      <w:keepLines/>
      <w:overflowPunct w:val="0"/>
      <w:autoSpaceDE w:val="0"/>
      <w:autoSpaceDN w:val="0"/>
      <w:adjustRightInd w:val="0"/>
      <w:spacing w:before="120" w:after="120"/>
      <w:ind w:left="284"/>
      <w:textAlignment w:val="baseline"/>
    </w:pPr>
    <w:rPr>
      <w:b/>
      <w:i/>
      <w:sz w:val="20"/>
      <w:szCs w:val="20"/>
      <w:lang w:eastAsia="en-US"/>
    </w:rPr>
  </w:style>
  <w:style w:type="paragraph" w:customStyle="1" w:styleId="AHeading10">
    <w:name w:val="A_Heading_10"/>
    <w:basedOn w:val="Navaden"/>
    <w:rsid w:val="00641B0C"/>
    <w:pPr>
      <w:keepNext/>
      <w:keepLines/>
      <w:overflowPunct w:val="0"/>
      <w:autoSpaceDE w:val="0"/>
      <w:autoSpaceDN w:val="0"/>
      <w:adjustRightInd w:val="0"/>
      <w:spacing w:before="160" w:after="60"/>
      <w:ind w:left="284"/>
      <w:textAlignment w:val="baseline"/>
      <w:outlineLvl w:val="8"/>
    </w:pPr>
    <w:rPr>
      <w:b/>
      <w:iCs/>
      <w:sz w:val="28"/>
      <w:szCs w:val="20"/>
      <w:lang w:eastAsia="en-US"/>
    </w:rPr>
  </w:style>
  <w:style w:type="paragraph" w:customStyle="1" w:styleId="AHeading5">
    <w:name w:val="A_Heading_5"/>
    <w:basedOn w:val="Naslov5"/>
    <w:next w:val="Navaden"/>
    <w:rsid w:val="00641B0C"/>
    <w:pPr>
      <w:keepNext/>
      <w:keepLines/>
      <w:pBdr>
        <w:top w:val="single" w:sz="4" w:space="1" w:color="auto"/>
        <w:bottom w:val="single" w:sz="4" w:space="1" w:color="auto"/>
      </w:pBdr>
      <w:overflowPunct w:val="0"/>
      <w:autoSpaceDE w:val="0"/>
      <w:autoSpaceDN w:val="0"/>
      <w:adjustRightInd w:val="0"/>
      <w:spacing w:before="60" w:after="120"/>
      <w:textAlignment w:val="baseline"/>
    </w:pPr>
    <w:rPr>
      <w:bCs w:val="0"/>
      <w:i w:val="0"/>
      <w:iCs w:val="0"/>
      <w:sz w:val="32"/>
      <w:szCs w:val="20"/>
      <w:lang w:eastAsia="en-US"/>
    </w:rPr>
  </w:style>
  <w:style w:type="paragraph" w:customStyle="1" w:styleId="AHeading6">
    <w:name w:val="A_Heading_6"/>
    <w:basedOn w:val="Naslov6"/>
    <w:next w:val="Navaden"/>
    <w:rsid w:val="00641B0C"/>
    <w:pPr>
      <w:keepNext/>
      <w:keepLines/>
      <w:pBdr>
        <w:top w:val="single" w:sz="4" w:space="1" w:color="auto"/>
        <w:bottom w:val="single" w:sz="4" w:space="1" w:color="auto"/>
      </w:pBdr>
      <w:overflowPunct w:val="0"/>
      <w:autoSpaceDE w:val="0"/>
      <w:autoSpaceDN w:val="0"/>
      <w:adjustRightInd w:val="0"/>
      <w:spacing w:after="120"/>
      <w:textAlignment w:val="baseline"/>
    </w:pPr>
    <w:rPr>
      <w:bCs w:val="0"/>
      <w:iCs/>
      <w:sz w:val="32"/>
      <w:szCs w:val="20"/>
    </w:rPr>
  </w:style>
  <w:style w:type="paragraph" w:customStyle="1" w:styleId="AHeading7">
    <w:name w:val="A_Heading_7"/>
    <w:basedOn w:val="Naslov7"/>
    <w:next w:val="Navaden"/>
    <w:rsid w:val="00641B0C"/>
    <w:pPr>
      <w:keepNext/>
      <w:keepLines/>
      <w:pBdr>
        <w:top w:val="single" w:sz="4" w:space="1" w:color="auto"/>
        <w:bottom w:val="single" w:sz="4" w:space="1" w:color="auto"/>
      </w:pBdr>
      <w:overflowPunct w:val="0"/>
      <w:autoSpaceDE w:val="0"/>
      <w:autoSpaceDN w:val="0"/>
      <w:adjustRightInd w:val="0"/>
      <w:spacing w:after="120"/>
      <w:textAlignment w:val="baseline"/>
    </w:pPr>
    <w:rPr>
      <w:b/>
      <w:bCs/>
      <w:sz w:val="28"/>
      <w:szCs w:val="20"/>
      <w:lang w:eastAsia="en-US"/>
    </w:rPr>
  </w:style>
  <w:style w:type="paragraph" w:customStyle="1" w:styleId="AHeading8">
    <w:name w:val="A_Heading_8"/>
    <w:basedOn w:val="Naslov8"/>
    <w:next w:val="Navaden"/>
    <w:rsid w:val="00641B0C"/>
    <w:pPr>
      <w:keepNext/>
      <w:keepLines/>
      <w:overflowPunct w:val="0"/>
      <w:autoSpaceDE w:val="0"/>
      <w:autoSpaceDN w:val="0"/>
      <w:adjustRightInd w:val="0"/>
      <w:spacing w:after="0"/>
      <w:textAlignment w:val="baseline"/>
    </w:pPr>
    <w:rPr>
      <w:b/>
      <w:i w:val="0"/>
      <w:iCs w:val="0"/>
      <w:sz w:val="28"/>
      <w:szCs w:val="20"/>
    </w:rPr>
  </w:style>
  <w:style w:type="paragraph" w:styleId="Brezrazmikov">
    <w:name w:val="No Spacing"/>
    <w:uiPriority w:val="1"/>
    <w:qFormat/>
    <w:rsid w:val="007801A6"/>
    <w:pPr>
      <w:overflowPunct w:val="0"/>
      <w:autoSpaceDE w:val="0"/>
      <w:autoSpaceDN w:val="0"/>
      <w:adjustRightInd w:val="0"/>
      <w:ind w:left="284"/>
    </w:pPr>
    <w:rPr>
      <w:lang w:eastAsia="en-US"/>
    </w:rPr>
  </w:style>
  <w:style w:type="character" w:customStyle="1" w:styleId="Naslov4Znak">
    <w:name w:val="Naslov 4 Znak"/>
    <w:link w:val="Naslov4"/>
    <w:rsid w:val="0007466D"/>
    <w:rPr>
      <w:b/>
      <w:bCs/>
      <w:spacing w:val="20"/>
      <w:sz w:val="36"/>
      <w:szCs w:val="28"/>
      <w:lang w:eastAsia="en-US"/>
    </w:rPr>
  </w:style>
  <w:style w:type="character" w:customStyle="1" w:styleId="Naslov9Znak">
    <w:name w:val="Naslov 9 Znak"/>
    <w:link w:val="Naslov9"/>
    <w:rsid w:val="0007466D"/>
    <w:rPr>
      <w:b/>
      <w:iCs/>
      <w:sz w:val="28"/>
      <w:lang w:eastAsia="en-US"/>
    </w:rPr>
  </w:style>
  <w:style w:type="paragraph" w:customStyle="1" w:styleId="HeadingSPU">
    <w:name w:val="Heading SPU"/>
    <w:basedOn w:val="Navaden"/>
    <w:next w:val="Navaden"/>
    <w:rsid w:val="0007466D"/>
    <w:pPr>
      <w:keepNext/>
      <w:pBdr>
        <w:top w:val="single" w:sz="4" w:space="1" w:color="auto"/>
        <w:bottom w:val="single" w:sz="4" w:space="1" w:color="auto"/>
      </w:pBdr>
      <w:shd w:val="clear" w:color="auto" w:fill="E0E0E0"/>
      <w:overflowPunct w:val="0"/>
      <w:autoSpaceDE w:val="0"/>
      <w:autoSpaceDN w:val="0"/>
      <w:adjustRightInd w:val="0"/>
      <w:spacing w:before="60" w:after="120"/>
      <w:ind w:left="284"/>
      <w:textAlignment w:val="baseline"/>
    </w:pPr>
    <w:rPr>
      <w:b/>
      <w:bCs/>
      <w:sz w:val="32"/>
      <w:szCs w:val="20"/>
      <w:lang w:eastAsia="en-US"/>
    </w:rPr>
  </w:style>
  <w:style w:type="paragraph" w:customStyle="1" w:styleId="Bullet">
    <w:name w:val="Bullet"/>
    <w:basedOn w:val="Bullet1"/>
    <w:rsid w:val="0007466D"/>
    <w:pPr>
      <w:tabs>
        <w:tab w:val="clear" w:pos="900"/>
        <w:tab w:val="left" w:pos="540"/>
      </w:tabs>
      <w:ind w:left="556" w:hanging="278"/>
    </w:pPr>
  </w:style>
  <w:style w:type="paragraph" w:customStyle="1" w:styleId="Bullet1">
    <w:name w:val="Bullet 1"/>
    <w:basedOn w:val="Navaden"/>
    <w:rsid w:val="0007466D"/>
    <w:pPr>
      <w:tabs>
        <w:tab w:val="left" w:pos="900"/>
      </w:tabs>
      <w:overflowPunct w:val="0"/>
      <w:autoSpaceDE w:val="0"/>
      <w:autoSpaceDN w:val="0"/>
      <w:adjustRightInd w:val="0"/>
      <w:spacing w:after="120"/>
      <w:ind w:left="900" w:hanging="294"/>
      <w:textAlignment w:val="baseline"/>
    </w:pPr>
    <w:rPr>
      <w:sz w:val="20"/>
      <w:szCs w:val="20"/>
      <w:lang w:eastAsia="en-US"/>
    </w:rPr>
  </w:style>
  <w:style w:type="paragraph" w:customStyle="1" w:styleId="KAZALO">
    <w:name w:val="KAZALO"/>
    <w:basedOn w:val="Navaden"/>
    <w:next w:val="Navaden"/>
    <w:rsid w:val="0007466D"/>
    <w:pPr>
      <w:keepNext/>
      <w:overflowPunct w:val="0"/>
      <w:autoSpaceDE w:val="0"/>
      <w:autoSpaceDN w:val="0"/>
      <w:adjustRightInd w:val="0"/>
      <w:spacing w:before="60" w:after="240"/>
      <w:ind w:left="284"/>
      <w:jc w:val="center"/>
      <w:textAlignment w:val="baseline"/>
    </w:pPr>
    <w:rPr>
      <w:b/>
      <w:bCs/>
      <w:sz w:val="28"/>
      <w:szCs w:val="20"/>
      <w:lang w:eastAsia="en-US"/>
    </w:rPr>
  </w:style>
  <w:style w:type="paragraph" w:customStyle="1" w:styleId="Bullet2">
    <w:name w:val="Bullet 2"/>
    <w:basedOn w:val="Navaden"/>
    <w:rsid w:val="0007466D"/>
    <w:pPr>
      <w:tabs>
        <w:tab w:val="left" w:pos="1148"/>
      </w:tabs>
      <w:overflowPunct w:val="0"/>
      <w:autoSpaceDE w:val="0"/>
      <w:autoSpaceDN w:val="0"/>
      <w:adjustRightInd w:val="0"/>
      <w:spacing w:after="120"/>
      <w:ind w:left="1162" w:hanging="262"/>
      <w:textAlignment w:val="baseline"/>
    </w:pPr>
    <w:rPr>
      <w:sz w:val="20"/>
      <w:szCs w:val="20"/>
      <w:lang w:eastAsia="en-US"/>
    </w:rPr>
  </w:style>
  <w:style w:type="paragraph" w:styleId="Kazalovsebine1">
    <w:name w:val="toc 1"/>
    <w:basedOn w:val="Navaden"/>
    <w:next w:val="Navaden"/>
    <w:autoRedefine/>
    <w:uiPriority w:val="39"/>
    <w:rsid w:val="0007466D"/>
    <w:pPr>
      <w:overflowPunct w:val="0"/>
      <w:autoSpaceDE w:val="0"/>
      <w:autoSpaceDN w:val="0"/>
      <w:adjustRightInd w:val="0"/>
      <w:spacing w:before="120" w:after="120"/>
      <w:textAlignment w:val="baseline"/>
    </w:pPr>
    <w:rPr>
      <w:b/>
      <w:bCs/>
      <w:caps/>
      <w:sz w:val="20"/>
      <w:szCs w:val="20"/>
      <w:lang w:eastAsia="en-US"/>
    </w:rPr>
  </w:style>
  <w:style w:type="paragraph" w:styleId="Kazalovsebine3">
    <w:name w:val="toc 3"/>
    <w:basedOn w:val="Navaden"/>
    <w:next w:val="Navaden"/>
    <w:autoRedefine/>
    <w:uiPriority w:val="39"/>
    <w:rsid w:val="0007466D"/>
    <w:pPr>
      <w:overflowPunct w:val="0"/>
      <w:autoSpaceDE w:val="0"/>
      <w:autoSpaceDN w:val="0"/>
      <w:adjustRightInd w:val="0"/>
      <w:spacing w:before="60" w:after="120"/>
      <w:ind w:left="400"/>
      <w:textAlignment w:val="baseline"/>
    </w:pPr>
    <w:rPr>
      <w:i/>
      <w:iCs/>
      <w:sz w:val="20"/>
      <w:szCs w:val="20"/>
      <w:lang w:eastAsia="en-US"/>
    </w:rPr>
  </w:style>
  <w:style w:type="paragraph" w:styleId="Kazalovsebine4">
    <w:name w:val="toc 4"/>
    <w:basedOn w:val="Navaden"/>
    <w:next w:val="Navaden"/>
    <w:autoRedefine/>
    <w:uiPriority w:val="39"/>
    <w:rsid w:val="0007466D"/>
    <w:pPr>
      <w:overflowPunct w:val="0"/>
      <w:autoSpaceDE w:val="0"/>
      <w:autoSpaceDN w:val="0"/>
      <w:adjustRightInd w:val="0"/>
      <w:spacing w:before="60" w:after="120"/>
      <w:ind w:left="600"/>
      <w:textAlignment w:val="baseline"/>
    </w:pPr>
    <w:rPr>
      <w:sz w:val="18"/>
      <w:szCs w:val="18"/>
      <w:lang w:eastAsia="en-US"/>
    </w:rPr>
  </w:style>
  <w:style w:type="paragraph" w:styleId="Kazalovsebine2">
    <w:name w:val="toc 2"/>
    <w:basedOn w:val="Navaden"/>
    <w:next w:val="Navaden"/>
    <w:uiPriority w:val="39"/>
    <w:rsid w:val="0007466D"/>
    <w:pPr>
      <w:overflowPunct w:val="0"/>
      <w:autoSpaceDE w:val="0"/>
      <w:autoSpaceDN w:val="0"/>
      <w:adjustRightInd w:val="0"/>
      <w:spacing w:before="60" w:after="120"/>
      <w:ind w:left="200"/>
      <w:textAlignment w:val="baseline"/>
    </w:pPr>
    <w:rPr>
      <w:smallCaps/>
      <w:sz w:val="20"/>
      <w:szCs w:val="20"/>
      <w:lang w:eastAsia="en-US"/>
    </w:rPr>
  </w:style>
  <w:style w:type="paragraph" w:styleId="Kazalovsebine5">
    <w:name w:val="toc 5"/>
    <w:basedOn w:val="Navaden"/>
    <w:next w:val="Navaden"/>
    <w:uiPriority w:val="39"/>
    <w:rsid w:val="0007466D"/>
    <w:pPr>
      <w:overflowPunct w:val="0"/>
      <w:autoSpaceDE w:val="0"/>
      <w:autoSpaceDN w:val="0"/>
      <w:adjustRightInd w:val="0"/>
      <w:spacing w:before="60" w:after="120"/>
      <w:ind w:left="800"/>
      <w:textAlignment w:val="baseline"/>
    </w:pPr>
    <w:rPr>
      <w:sz w:val="18"/>
      <w:szCs w:val="18"/>
      <w:lang w:eastAsia="en-US"/>
    </w:rPr>
  </w:style>
  <w:style w:type="paragraph" w:styleId="Kazalovsebine6">
    <w:name w:val="toc 6"/>
    <w:basedOn w:val="Navaden"/>
    <w:next w:val="Navaden"/>
    <w:uiPriority w:val="39"/>
    <w:rsid w:val="0007466D"/>
    <w:pPr>
      <w:overflowPunct w:val="0"/>
      <w:autoSpaceDE w:val="0"/>
      <w:autoSpaceDN w:val="0"/>
      <w:adjustRightInd w:val="0"/>
      <w:spacing w:before="60" w:after="120"/>
      <w:ind w:left="1000"/>
      <w:textAlignment w:val="baseline"/>
    </w:pPr>
    <w:rPr>
      <w:sz w:val="18"/>
      <w:szCs w:val="18"/>
      <w:lang w:eastAsia="en-US"/>
    </w:rPr>
  </w:style>
  <w:style w:type="paragraph" w:styleId="Kazalovsebine7">
    <w:name w:val="toc 7"/>
    <w:basedOn w:val="Navaden"/>
    <w:next w:val="Navaden"/>
    <w:uiPriority w:val="39"/>
    <w:rsid w:val="0007466D"/>
    <w:pPr>
      <w:overflowPunct w:val="0"/>
      <w:autoSpaceDE w:val="0"/>
      <w:autoSpaceDN w:val="0"/>
      <w:adjustRightInd w:val="0"/>
      <w:spacing w:before="60" w:after="120"/>
      <w:ind w:left="1200"/>
      <w:textAlignment w:val="baseline"/>
    </w:pPr>
    <w:rPr>
      <w:sz w:val="18"/>
      <w:szCs w:val="18"/>
      <w:lang w:eastAsia="en-US"/>
    </w:rPr>
  </w:style>
  <w:style w:type="paragraph" w:styleId="Kazalovsebine8">
    <w:name w:val="toc 8"/>
    <w:basedOn w:val="Navaden"/>
    <w:next w:val="Navaden"/>
    <w:autoRedefine/>
    <w:uiPriority w:val="39"/>
    <w:rsid w:val="0007466D"/>
    <w:pPr>
      <w:overflowPunct w:val="0"/>
      <w:autoSpaceDE w:val="0"/>
      <w:autoSpaceDN w:val="0"/>
      <w:adjustRightInd w:val="0"/>
      <w:spacing w:before="60" w:after="120"/>
      <w:ind w:left="1400"/>
      <w:textAlignment w:val="baseline"/>
    </w:pPr>
    <w:rPr>
      <w:sz w:val="18"/>
      <w:szCs w:val="18"/>
      <w:lang w:eastAsia="en-US"/>
    </w:rPr>
  </w:style>
  <w:style w:type="paragraph" w:styleId="Kazalovsebine9">
    <w:name w:val="toc 9"/>
    <w:basedOn w:val="Navaden"/>
    <w:next w:val="Navaden"/>
    <w:autoRedefine/>
    <w:uiPriority w:val="39"/>
    <w:rsid w:val="0007466D"/>
    <w:pPr>
      <w:overflowPunct w:val="0"/>
      <w:autoSpaceDE w:val="0"/>
      <w:autoSpaceDN w:val="0"/>
      <w:adjustRightInd w:val="0"/>
      <w:spacing w:before="60" w:after="120"/>
      <w:ind w:left="1600"/>
      <w:textAlignment w:val="baseline"/>
    </w:pPr>
    <w:rPr>
      <w:sz w:val="18"/>
      <w:szCs w:val="18"/>
      <w:lang w:eastAsia="en-US"/>
    </w:rPr>
  </w:style>
  <w:style w:type="paragraph" w:customStyle="1" w:styleId="HeadingPRJ">
    <w:name w:val="Heading PRJ"/>
    <w:basedOn w:val="Navaden"/>
    <w:next w:val="Navaden"/>
    <w:rsid w:val="0007466D"/>
    <w:pPr>
      <w:keepNext/>
      <w:tabs>
        <w:tab w:val="left" w:pos="1620"/>
      </w:tabs>
      <w:overflowPunct w:val="0"/>
      <w:autoSpaceDE w:val="0"/>
      <w:autoSpaceDN w:val="0"/>
      <w:adjustRightInd w:val="0"/>
      <w:spacing w:before="360" w:after="60"/>
      <w:ind w:left="1620" w:hanging="1620"/>
      <w:textAlignment w:val="baseline"/>
    </w:pPr>
    <w:rPr>
      <w:b/>
      <w:bCs/>
      <w:szCs w:val="20"/>
      <w:lang w:eastAsia="en-US"/>
    </w:rPr>
  </w:style>
  <w:style w:type="paragraph" w:styleId="z-vrhobrazca">
    <w:name w:val="HTML Top of Form"/>
    <w:basedOn w:val="Navaden"/>
    <w:next w:val="Navaden"/>
    <w:link w:val="z-vrhobrazcaZnak"/>
    <w:hidden/>
    <w:rsid w:val="0007466D"/>
    <w:pPr>
      <w:pBdr>
        <w:bottom w:val="single" w:sz="6" w:space="1" w:color="auto"/>
      </w:pBdr>
      <w:spacing w:after="120"/>
      <w:jc w:val="center"/>
    </w:pPr>
    <w:rPr>
      <w:rFonts w:ascii="Arial" w:hAnsi="Arial" w:cs="Arial"/>
      <w:vanish/>
      <w:sz w:val="16"/>
      <w:szCs w:val="16"/>
    </w:rPr>
  </w:style>
  <w:style w:type="character" w:customStyle="1" w:styleId="z-vrhobrazcaZnak">
    <w:name w:val="z-vrh obrazca Znak"/>
    <w:link w:val="z-vrhobrazca"/>
    <w:rsid w:val="0007466D"/>
    <w:rPr>
      <w:rFonts w:ascii="Arial" w:hAnsi="Arial" w:cs="Arial"/>
      <w:vanish/>
      <w:sz w:val="16"/>
      <w:szCs w:val="16"/>
    </w:rPr>
  </w:style>
  <w:style w:type="paragraph" w:styleId="z-dnoobrazca">
    <w:name w:val="HTML Bottom of Form"/>
    <w:basedOn w:val="Navaden"/>
    <w:next w:val="Navaden"/>
    <w:link w:val="z-dnoobrazcaZnak"/>
    <w:hidden/>
    <w:rsid w:val="0007466D"/>
    <w:pPr>
      <w:pBdr>
        <w:top w:val="single" w:sz="6" w:space="1" w:color="auto"/>
      </w:pBdr>
      <w:spacing w:after="120"/>
      <w:jc w:val="center"/>
    </w:pPr>
    <w:rPr>
      <w:rFonts w:ascii="Arial" w:hAnsi="Arial" w:cs="Arial"/>
      <w:vanish/>
      <w:sz w:val="16"/>
      <w:szCs w:val="16"/>
    </w:rPr>
  </w:style>
  <w:style w:type="character" w:customStyle="1" w:styleId="z-dnoobrazcaZnak">
    <w:name w:val="z-dno obrazca Znak"/>
    <w:link w:val="z-dnoobrazca"/>
    <w:rsid w:val="0007466D"/>
    <w:rPr>
      <w:rFonts w:ascii="Arial" w:hAnsi="Arial" w:cs="Arial"/>
      <w:vanish/>
      <w:sz w:val="16"/>
      <w:szCs w:val="16"/>
    </w:rPr>
  </w:style>
  <w:style w:type="paragraph" w:customStyle="1" w:styleId="Default">
    <w:name w:val="Default"/>
    <w:rsid w:val="0007466D"/>
    <w:pPr>
      <w:autoSpaceDE w:val="0"/>
      <w:autoSpaceDN w:val="0"/>
      <w:adjustRightInd w:val="0"/>
    </w:pPr>
    <w:rPr>
      <w:color w:val="000000"/>
      <w:sz w:val="24"/>
      <w:szCs w:val="24"/>
    </w:rPr>
  </w:style>
  <w:style w:type="paragraph" w:customStyle="1" w:styleId="Naslov10">
    <w:name w:val="Naslov1"/>
    <w:basedOn w:val="Navaden"/>
    <w:next w:val="Navaden"/>
    <w:rsid w:val="0007466D"/>
    <w:pPr>
      <w:overflowPunct w:val="0"/>
      <w:autoSpaceDE w:val="0"/>
      <w:autoSpaceDN w:val="0"/>
      <w:adjustRightInd w:val="0"/>
      <w:spacing w:before="60" w:after="120"/>
      <w:ind w:left="284"/>
      <w:jc w:val="center"/>
      <w:textAlignment w:val="baseline"/>
    </w:pPr>
    <w:rPr>
      <w:b/>
      <w:bCs/>
      <w:caps/>
      <w:spacing w:val="60"/>
      <w:sz w:val="48"/>
      <w:szCs w:val="48"/>
      <w:lang w:eastAsia="en-US"/>
    </w:rPr>
  </w:style>
  <w:style w:type="paragraph" w:customStyle="1" w:styleId="Heading10">
    <w:name w:val="Heading 10"/>
    <w:basedOn w:val="Naslov9"/>
    <w:next w:val="Navaden"/>
    <w:rsid w:val="0007466D"/>
  </w:style>
  <w:style w:type="paragraph" w:customStyle="1" w:styleId="AHeading11">
    <w:name w:val="A_Heading_11"/>
    <w:basedOn w:val="Navaden"/>
    <w:next w:val="Navaden"/>
    <w:rsid w:val="0007466D"/>
    <w:pPr>
      <w:keepNext/>
      <w:keepLines/>
      <w:overflowPunct w:val="0"/>
      <w:autoSpaceDE w:val="0"/>
      <w:autoSpaceDN w:val="0"/>
      <w:adjustRightInd w:val="0"/>
      <w:spacing w:before="180" w:after="60"/>
      <w:ind w:left="284"/>
      <w:textAlignment w:val="baseline"/>
    </w:pPr>
    <w:rPr>
      <w:b/>
      <w:i/>
      <w:sz w:val="20"/>
      <w:szCs w:val="20"/>
      <w:lang w:eastAsia="en-US"/>
    </w:rPr>
  </w:style>
  <w:style w:type="paragraph" w:customStyle="1" w:styleId="AHeading3">
    <w:name w:val="A_Heading_3"/>
    <w:basedOn w:val="Naslov3"/>
    <w:next w:val="Navaden"/>
    <w:rsid w:val="0007466D"/>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07466D"/>
  </w:style>
  <w:style w:type="paragraph" w:customStyle="1" w:styleId="AHeading9">
    <w:name w:val="A_Heading_9"/>
    <w:basedOn w:val="Naslov9"/>
    <w:next w:val="Navaden"/>
    <w:rsid w:val="0007466D"/>
  </w:style>
  <w:style w:type="paragraph" w:customStyle="1" w:styleId="AKAZALO">
    <w:name w:val="A_KAZALO"/>
    <w:basedOn w:val="Navaden"/>
    <w:rsid w:val="0007466D"/>
    <w:pPr>
      <w:keepNext/>
      <w:overflowPunct w:val="0"/>
      <w:autoSpaceDE w:val="0"/>
      <w:autoSpaceDN w:val="0"/>
      <w:adjustRightInd w:val="0"/>
      <w:spacing w:before="60" w:after="240"/>
      <w:ind w:left="284"/>
      <w:jc w:val="center"/>
      <w:textAlignment w:val="baseline"/>
    </w:pPr>
    <w:rPr>
      <w:b/>
      <w:bCs/>
      <w:sz w:val="28"/>
      <w:szCs w:val="20"/>
      <w:lang w:eastAsia="en-US"/>
    </w:rPr>
  </w:style>
  <w:style w:type="paragraph" w:customStyle="1" w:styleId="ANaslov">
    <w:name w:val="A_Naslov"/>
    <w:basedOn w:val="Naslov"/>
    <w:next w:val="Navaden"/>
    <w:rsid w:val="0007466D"/>
    <w:pPr>
      <w:overflowPunct w:val="0"/>
      <w:autoSpaceDE w:val="0"/>
      <w:autoSpaceDN w:val="0"/>
      <w:adjustRightInd w:val="0"/>
      <w:textAlignment w:val="baseline"/>
      <w:outlineLvl w:val="0"/>
    </w:pPr>
    <w:rPr>
      <w:spacing w:val="60"/>
      <w:kern w:val="28"/>
      <w:sz w:val="48"/>
      <w:szCs w:val="32"/>
      <w:lang w:eastAsia="en-US"/>
    </w:rPr>
  </w:style>
  <w:style w:type="paragraph" w:customStyle="1" w:styleId="ANaslov1">
    <w:name w:val="A_Naslov_1"/>
    <w:basedOn w:val="Naslov1"/>
    <w:next w:val="Navaden"/>
    <w:rsid w:val="0007466D"/>
    <w:pPr>
      <w:keepLines/>
      <w:overflowPunct w:val="0"/>
      <w:autoSpaceDE w:val="0"/>
      <w:autoSpaceDN w:val="0"/>
      <w:adjustRightInd w:val="0"/>
      <w:spacing w:before="60" w:after="240"/>
      <w:jc w:val="center"/>
      <w:textAlignment w:val="baseline"/>
    </w:pPr>
    <w:rPr>
      <w:rFonts w:ascii="Times New Roman" w:hAnsi="Times New Roman" w:cs="Times New Roman"/>
      <w:iCs/>
      <w:spacing w:val="60"/>
      <w:sz w:val="44"/>
      <w:szCs w:val="20"/>
      <w:lang w:eastAsia="en-US"/>
    </w:rPr>
  </w:style>
  <w:style w:type="paragraph" w:customStyle="1" w:styleId="bodytext2">
    <w:name w:val="bodytext2"/>
    <w:basedOn w:val="Navaden"/>
    <w:rsid w:val="0007466D"/>
    <w:pPr>
      <w:spacing w:before="100" w:beforeAutospacing="1" w:after="100" w:afterAutospacing="1"/>
    </w:pPr>
  </w:style>
  <w:style w:type="paragraph" w:customStyle="1" w:styleId="AHeading1">
    <w:name w:val="A_Heading_1"/>
    <w:basedOn w:val="Naslov2"/>
    <w:next w:val="Navaden"/>
    <w:rsid w:val="0007466D"/>
    <w:pPr>
      <w:overflowPunct w:val="0"/>
      <w:autoSpaceDE w:val="0"/>
      <w:autoSpaceDN w:val="0"/>
      <w:adjustRightInd w:val="0"/>
      <w:spacing w:after="120"/>
      <w:jc w:val="center"/>
      <w:textAlignment w:val="baseline"/>
    </w:pPr>
    <w:rPr>
      <w:rFonts w:ascii="Times New Roman" w:hAnsi="Times New Roman" w:cs="Times New Roman"/>
      <w:bCs w:val="0"/>
      <w:i w:val="0"/>
      <w:iCs w:val="0"/>
      <w:spacing w:val="30"/>
      <w:sz w:val="48"/>
      <w:szCs w:val="20"/>
      <w:lang w:eastAsia="en-US"/>
    </w:rPr>
  </w:style>
  <w:style w:type="paragraph" w:customStyle="1" w:styleId="AHeading2">
    <w:name w:val="A_Heading_2"/>
    <w:basedOn w:val="Naslov2"/>
    <w:next w:val="Navaden"/>
    <w:rsid w:val="0007466D"/>
    <w:pPr>
      <w:overflowPunct w:val="0"/>
      <w:autoSpaceDE w:val="0"/>
      <w:autoSpaceDN w:val="0"/>
      <w:adjustRightInd w:val="0"/>
      <w:spacing w:after="120"/>
      <w:textAlignment w:val="baseline"/>
    </w:pPr>
    <w:rPr>
      <w:rFonts w:ascii="Times New Roman" w:hAnsi="Times New Roman" w:cs="Times New Roman"/>
      <w:bCs w:val="0"/>
      <w:i w:val="0"/>
      <w:iCs w:val="0"/>
      <w:spacing w:val="30"/>
      <w:sz w:val="40"/>
      <w:szCs w:val="20"/>
      <w:lang w:eastAsia="en-US"/>
    </w:rPr>
  </w:style>
  <w:style w:type="paragraph" w:customStyle="1" w:styleId="navadenpostrani">
    <w:name w:val="navadenpostrani"/>
    <w:basedOn w:val="Navaden"/>
    <w:rsid w:val="0007466D"/>
    <w:pPr>
      <w:spacing w:before="100" w:beforeAutospacing="1" w:after="100" w:afterAutospacing="1"/>
    </w:pPr>
  </w:style>
  <w:style w:type="paragraph" w:customStyle="1" w:styleId="AHeading2a">
    <w:name w:val="A_Heading_2a"/>
    <w:basedOn w:val="AHeading2"/>
    <w:rsid w:val="0007466D"/>
    <w:rPr>
      <w:spacing w:val="0"/>
      <w:sz w:val="28"/>
      <w:szCs w:val="28"/>
    </w:rPr>
  </w:style>
  <w:style w:type="paragraph" w:customStyle="1" w:styleId="AHeading10a">
    <w:name w:val="A_Heading_10a"/>
    <w:basedOn w:val="AHeading10"/>
    <w:rsid w:val="0007466D"/>
    <w:pPr>
      <w:spacing w:after="0"/>
    </w:pPr>
  </w:style>
  <w:style w:type="numbering" w:customStyle="1" w:styleId="ListStyleNumber">
    <w:name w:val="ListStyleNumber"/>
    <w:rsid w:val="0007466D"/>
    <w:pPr>
      <w:numPr>
        <w:numId w:val="1"/>
      </w:numPr>
    </w:pPr>
  </w:style>
  <w:style w:type="paragraph" w:customStyle="1" w:styleId="Vrednost">
    <w:name w:val="Vrednost"/>
    <w:basedOn w:val="Navaden"/>
    <w:next w:val="Navaden"/>
    <w:rsid w:val="0007466D"/>
    <w:pPr>
      <w:overflowPunct w:val="0"/>
      <w:autoSpaceDE w:val="0"/>
      <w:autoSpaceDN w:val="0"/>
      <w:adjustRightInd w:val="0"/>
      <w:spacing w:before="60" w:after="120"/>
      <w:ind w:left="284"/>
      <w:jc w:val="right"/>
      <w:textAlignment w:val="baseline"/>
    </w:pPr>
    <w:rPr>
      <w:b/>
      <w:sz w:val="20"/>
      <w:szCs w:val="20"/>
      <w:lang w:eastAsia="en-US"/>
    </w:rPr>
  </w:style>
  <w:style w:type="character" w:customStyle="1" w:styleId="Telobesedila3Znak">
    <w:name w:val="Telo besedila 3 Znak"/>
    <w:link w:val="Telobesedila3"/>
    <w:rsid w:val="0007466D"/>
    <w:rPr>
      <w:sz w:val="16"/>
      <w:szCs w:val="16"/>
    </w:rPr>
  </w:style>
  <w:style w:type="character" w:styleId="Pripombasklic">
    <w:name w:val="annotation reference"/>
    <w:basedOn w:val="Privzetapisavaodstavka"/>
    <w:rsid w:val="00262A2B"/>
    <w:rPr>
      <w:sz w:val="16"/>
      <w:szCs w:val="16"/>
    </w:rPr>
  </w:style>
  <w:style w:type="paragraph" w:styleId="Pripombabesedilo">
    <w:name w:val="annotation text"/>
    <w:basedOn w:val="Navaden"/>
    <w:link w:val="PripombabesediloZnak"/>
    <w:rsid w:val="00262A2B"/>
    <w:rPr>
      <w:sz w:val="20"/>
      <w:szCs w:val="20"/>
    </w:rPr>
  </w:style>
  <w:style w:type="character" w:customStyle="1" w:styleId="PripombabesediloZnak">
    <w:name w:val="Pripomba – besedilo Znak"/>
    <w:basedOn w:val="Privzetapisavaodstavka"/>
    <w:link w:val="Pripombabesedilo"/>
    <w:rsid w:val="00262A2B"/>
  </w:style>
  <w:style w:type="paragraph" w:styleId="Zadevapripombe">
    <w:name w:val="annotation subject"/>
    <w:basedOn w:val="Pripombabesedilo"/>
    <w:next w:val="Pripombabesedilo"/>
    <w:link w:val="ZadevapripombeZnak"/>
    <w:rsid w:val="00262A2B"/>
    <w:rPr>
      <w:b/>
      <w:bCs/>
    </w:rPr>
  </w:style>
  <w:style w:type="character" w:customStyle="1" w:styleId="ZadevapripombeZnak">
    <w:name w:val="Zadeva pripombe Znak"/>
    <w:basedOn w:val="PripombabesediloZnak"/>
    <w:link w:val="Zadevapripombe"/>
    <w:rsid w:val="00262A2B"/>
    <w:rPr>
      <w:b/>
      <w:bCs/>
    </w:rPr>
  </w:style>
  <w:style w:type="table" w:styleId="Tabelamrea">
    <w:name w:val="Table Grid"/>
    <w:basedOn w:val="Navadnatabela"/>
    <w:rsid w:val="00DC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semiHidden/>
    <w:unhideWhenUsed/>
    <w:rsid w:val="009D2BAF"/>
    <w:rPr>
      <w:color w:val="800080" w:themeColor="followedHyperlink"/>
      <w:u w:val="single"/>
    </w:rPr>
  </w:style>
  <w:style w:type="character" w:customStyle="1" w:styleId="NogaZnak">
    <w:name w:val="Noga Znak"/>
    <w:basedOn w:val="Privzetapisavaodstavka"/>
    <w:link w:val="Noga"/>
    <w:uiPriority w:val="99"/>
    <w:rsid w:val="00973DDA"/>
    <w:rPr>
      <w:sz w:val="24"/>
      <w:szCs w:val="24"/>
    </w:rPr>
  </w:style>
  <w:style w:type="paragraph" w:customStyle="1" w:styleId="odstavek">
    <w:name w:val="odstavek"/>
    <w:basedOn w:val="Navaden"/>
    <w:rsid w:val="00F7239D"/>
    <w:pPr>
      <w:spacing w:before="100" w:beforeAutospacing="1" w:after="100" w:afterAutospacing="1"/>
    </w:pPr>
  </w:style>
  <w:style w:type="paragraph" w:customStyle="1" w:styleId="paragraph">
    <w:name w:val="paragraph"/>
    <w:basedOn w:val="Navaden"/>
    <w:rsid w:val="007141BC"/>
    <w:pPr>
      <w:spacing w:before="100" w:beforeAutospacing="1" w:after="100" w:afterAutospacing="1"/>
    </w:pPr>
  </w:style>
  <w:style w:type="character" w:customStyle="1" w:styleId="normaltextrun">
    <w:name w:val="normaltextrun"/>
    <w:basedOn w:val="Privzetapisavaodstavka"/>
    <w:rsid w:val="007141BC"/>
  </w:style>
  <w:style w:type="character" w:customStyle="1" w:styleId="eop">
    <w:name w:val="eop"/>
    <w:basedOn w:val="Privzetapisavaodstavka"/>
    <w:rsid w:val="00714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3321">
      <w:bodyDiv w:val="1"/>
      <w:marLeft w:val="0"/>
      <w:marRight w:val="0"/>
      <w:marTop w:val="0"/>
      <w:marBottom w:val="0"/>
      <w:divBdr>
        <w:top w:val="none" w:sz="0" w:space="0" w:color="auto"/>
        <w:left w:val="none" w:sz="0" w:space="0" w:color="auto"/>
        <w:bottom w:val="none" w:sz="0" w:space="0" w:color="auto"/>
        <w:right w:val="none" w:sz="0" w:space="0" w:color="auto"/>
      </w:divBdr>
    </w:div>
    <w:div w:id="86535479">
      <w:bodyDiv w:val="1"/>
      <w:marLeft w:val="0"/>
      <w:marRight w:val="0"/>
      <w:marTop w:val="0"/>
      <w:marBottom w:val="0"/>
      <w:divBdr>
        <w:top w:val="none" w:sz="0" w:space="0" w:color="auto"/>
        <w:left w:val="none" w:sz="0" w:space="0" w:color="auto"/>
        <w:bottom w:val="none" w:sz="0" w:space="0" w:color="auto"/>
        <w:right w:val="none" w:sz="0" w:space="0" w:color="auto"/>
      </w:divBdr>
    </w:div>
    <w:div w:id="131794515">
      <w:bodyDiv w:val="1"/>
      <w:marLeft w:val="0"/>
      <w:marRight w:val="0"/>
      <w:marTop w:val="0"/>
      <w:marBottom w:val="0"/>
      <w:divBdr>
        <w:top w:val="none" w:sz="0" w:space="0" w:color="auto"/>
        <w:left w:val="none" w:sz="0" w:space="0" w:color="auto"/>
        <w:bottom w:val="none" w:sz="0" w:space="0" w:color="auto"/>
        <w:right w:val="none" w:sz="0" w:space="0" w:color="auto"/>
      </w:divBdr>
    </w:div>
    <w:div w:id="238684028">
      <w:bodyDiv w:val="1"/>
      <w:marLeft w:val="0"/>
      <w:marRight w:val="0"/>
      <w:marTop w:val="0"/>
      <w:marBottom w:val="0"/>
      <w:divBdr>
        <w:top w:val="none" w:sz="0" w:space="0" w:color="auto"/>
        <w:left w:val="none" w:sz="0" w:space="0" w:color="auto"/>
        <w:bottom w:val="none" w:sz="0" w:space="0" w:color="auto"/>
        <w:right w:val="none" w:sz="0" w:space="0" w:color="auto"/>
      </w:divBdr>
    </w:div>
    <w:div w:id="287669868">
      <w:bodyDiv w:val="1"/>
      <w:marLeft w:val="0"/>
      <w:marRight w:val="0"/>
      <w:marTop w:val="0"/>
      <w:marBottom w:val="0"/>
      <w:divBdr>
        <w:top w:val="none" w:sz="0" w:space="0" w:color="auto"/>
        <w:left w:val="none" w:sz="0" w:space="0" w:color="auto"/>
        <w:bottom w:val="none" w:sz="0" w:space="0" w:color="auto"/>
        <w:right w:val="none" w:sz="0" w:space="0" w:color="auto"/>
      </w:divBdr>
    </w:div>
    <w:div w:id="288172966">
      <w:bodyDiv w:val="1"/>
      <w:marLeft w:val="0"/>
      <w:marRight w:val="0"/>
      <w:marTop w:val="0"/>
      <w:marBottom w:val="0"/>
      <w:divBdr>
        <w:top w:val="none" w:sz="0" w:space="0" w:color="auto"/>
        <w:left w:val="none" w:sz="0" w:space="0" w:color="auto"/>
        <w:bottom w:val="none" w:sz="0" w:space="0" w:color="auto"/>
        <w:right w:val="none" w:sz="0" w:space="0" w:color="auto"/>
      </w:divBdr>
    </w:div>
    <w:div w:id="353656049">
      <w:bodyDiv w:val="1"/>
      <w:marLeft w:val="0"/>
      <w:marRight w:val="0"/>
      <w:marTop w:val="0"/>
      <w:marBottom w:val="0"/>
      <w:divBdr>
        <w:top w:val="none" w:sz="0" w:space="0" w:color="auto"/>
        <w:left w:val="none" w:sz="0" w:space="0" w:color="auto"/>
        <w:bottom w:val="none" w:sz="0" w:space="0" w:color="auto"/>
        <w:right w:val="none" w:sz="0" w:space="0" w:color="auto"/>
      </w:divBdr>
    </w:div>
    <w:div w:id="369303370">
      <w:bodyDiv w:val="1"/>
      <w:marLeft w:val="0"/>
      <w:marRight w:val="0"/>
      <w:marTop w:val="0"/>
      <w:marBottom w:val="0"/>
      <w:divBdr>
        <w:top w:val="none" w:sz="0" w:space="0" w:color="auto"/>
        <w:left w:val="none" w:sz="0" w:space="0" w:color="auto"/>
        <w:bottom w:val="none" w:sz="0" w:space="0" w:color="auto"/>
        <w:right w:val="none" w:sz="0" w:space="0" w:color="auto"/>
      </w:divBdr>
    </w:div>
    <w:div w:id="426314994">
      <w:bodyDiv w:val="1"/>
      <w:marLeft w:val="0"/>
      <w:marRight w:val="0"/>
      <w:marTop w:val="0"/>
      <w:marBottom w:val="0"/>
      <w:divBdr>
        <w:top w:val="none" w:sz="0" w:space="0" w:color="auto"/>
        <w:left w:val="none" w:sz="0" w:space="0" w:color="auto"/>
        <w:bottom w:val="none" w:sz="0" w:space="0" w:color="auto"/>
        <w:right w:val="none" w:sz="0" w:space="0" w:color="auto"/>
      </w:divBdr>
    </w:div>
    <w:div w:id="438960395">
      <w:bodyDiv w:val="1"/>
      <w:marLeft w:val="0"/>
      <w:marRight w:val="0"/>
      <w:marTop w:val="0"/>
      <w:marBottom w:val="0"/>
      <w:divBdr>
        <w:top w:val="none" w:sz="0" w:space="0" w:color="auto"/>
        <w:left w:val="none" w:sz="0" w:space="0" w:color="auto"/>
        <w:bottom w:val="none" w:sz="0" w:space="0" w:color="auto"/>
        <w:right w:val="none" w:sz="0" w:space="0" w:color="auto"/>
      </w:divBdr>
    </w:div>
    <w:div w:id="481626745">
      <w:bodyDiv w:val="1"/>
      <w:marLeft w:val="0"/>
      <w:marRight w:val="0"/>
      <w:marTop w:val="0"/>
      <w:marBottom w:val="0"/>
      <w:divBdr>
        <w:top w:val="none" w:sz="0" w:space="0" w:color="auto"/>
        <w:left w:val="none" w:sz="0" w:space="0" w:color="auto"/>
        <w:bottom w:val="none" w:sz="0" w:space="0" w:color="auto"/>
        <w:right w:val="none" w:sz="0" w:space="0" w:color="auto"/>
      </w:divBdr>
    </w:div>
    <w:div w:id="601381627">
      <w:bodyDiv w:val="1"/>
      <w:marLeft w:val="0"/>
      <w:marRight w:val="0"/>
      <w:marTop w:val="0"/>
      <w:marBottom w:val="0"/>
      <w:divBdr>
        <w:top w:val="none" w:sz="0" w:space="0" w:color="auto"/>
        <w:left w:val="none" w:sz="0" w:space="0" w:color="auto"/>
        <w:bottom w:val="none" w:sz="0" w:space="0" w:color="auto"/>
        <w:right w:val="none" w:sz="0" w:space="0" w:color="auto"/>
      </w:divBdr>
    </w:div>
    <w:div w:id="778990714">
      <w:bodyDiv w:val="1"/>
      <w:marLeft w:val="0"/>
      <w:marRight w:val="0"/>
      <w:marTop w:val="0"/>
      <w:marBottom w:val="0"/>
      <w:divBdr>
        <w:top w:val="none" w:sz="0" w:space="0" w:color="auto"/>
        <w:left w:val="none" w:sz="0" w:space="0" w:color="auto"/>
        <w:bottom w:val="none" w:sz="0" w:space="0" w:color="auto"/>
        <w:right w:val="none" w:sz="0" w:space="0" w:color="auto"/>
      </w:divBdr>
    </w:div>
    <w:div w:id="779951715">
      <w:bodyDiv w:val="1"/>
      <w:marLeft w:val="0"/>
      <w:marRight w:val="0"/>
      <w:marTop w:val="0"/>
      <w:marBottom w:val="0"/>
      <w:divBdr>
        <w:top w:val="none" w:sz="0" w:space="0" w:color="auto"/>
        <w:left w:val="none" w:sz="0" w:space="0" w:color="auto"/>
        <w:bottom w:val="none" w:sz="0" w:space="0" w:color="auto"/>
        <w:right w:val="none" w:sz="0" w:space="0" w:color="auto"/>
      </w:divBdr>
    </w:div>
    <w:div w:id="794064233">
      <w:bodyDiv w:val="1"/>
      <w:marLeft w:val="0"/>
      <w:marRight w:val="0"/>
      <w:marTop w:val="0"/>
      <w:marBottom w:val="0"/>
      <w:divBdr>
        <w:top w:val="none" w:sz="0" w:space="0" w:color="auto"/>
        <w:left w:val="none" w:sz="0" w:space="0" w:color="auto"/>
        <w:bottom w:val="none" w:sz="0" w:space="0" w:color="auto"/>
        <w:right w:val="none" w:sz="0" w:space="0" w:color="auto"/>
      </w:divBdr>
    </w:div>
    <w:div w:id="965938892">
      <w:bodyDiv w:val="1"/>
      <w:marLeft w:val="0"/>
      <w:marRight w:val="0"/>
      <w:marTop w:val="0"/>
      <w:marBottom w:val="0"/>
      <w:divBdr>
        <w:top w:val="none" w:sz="0" w:space="0" w:color="auto"/>
        <w:left w:val="none" w:sz="0" w:space="0" w:color="auto"/>
        <w:bottom w:val="none" w:sz="0" w:space="0" w:color="auto"/>
        <w:right w:val="none" w:sz="0" w:space="0" w:color="auto"/>
      </w:divBdr>
    </w:div>
    <w:div w:id="1080832310">
      <w:bodyDiv w:val="1"/>
      <w:marLeft w:val="0"/>
      <w:marRight w:val="0"/>
      <w:marTop w:val="0"/>
      <w:marBottom w:val="0"/>
      <w:divBdr>
        <w:top w:val="none" w:sz="0" w:space="0" w:color="auto"/>
        <w:left w:val="none" w:sz="0" w:space="0" w:color="auto"/>
        <w:bottom w:val="none" w:sz="0" w:space="0" w:color="auto"/>
        <w:right w:val="none" w:sz="0" w:space="0" w:color="auto"/>
      </w:divBdr>
    </w:div>
    <w:div w:id="1112213168">
      <w:bodyDiv w:val="1"/>
      <w:marLeft w:val="0"/>
      <w:marRight w:val="0"/>
      <w:marTop w:val="0"/>
      <w:marBottom w:val="0"/>
      <w:divBdr>
        <w:top w:val="none" w:sz="0" w:space="0" w:color="auto"/>
        <w:left w:val="none" w:sz="0" w:space="0" w:color="auto"/>
        <w:bottom w:val="none" w:sz="0" w:space="0" w:color="auto"/>
        <w:right w:val="none" w:sz="0" w:space="0" w:color="auto"/>
      </w:divBdr>
    </w:div>
    <w:div w:id="1435831807">
      <w:bodyDiv w:val="1"/>
      <w:marLeft w:val="0"/>
      <w:marRight w:val="0"/>
      <w:marTop w:val="0"/>
      <w:marBottom w:val="0"/>
      <w:divBdr>
        <w:top w:val="none" w:sz="0" w:space="0" w:color="auto"/>
        <w:left w:val="none" w:sz="0" w:space="0" w:color="auto"/>
        <w:bottom w:val="none" w:sz="0" w:space="0" w:color="auto"/>
        <w:right w:val="none" w:sz="0" w:space="0" w:color="auto"/>
      </w:divBdr>
    </w:div>
    <w:div w:id="1493372709">
      <w:bodyDiv w:val="1"/>
      <w:marLeft w:val="0"/>
      <w:marRight w:val="0"/>
      <w:marTop w:val="0"/>
      <w:marBottom w:val="0"/>
      <w:divBdr>
        <w:top w:val="none" w:sz="0" w:space="0" w:color="auto"/>
        <w:left w:val="none" w:sz="0" w:space="0" w:color="auto"/>
        <w:bottom w:val="none" w:sz="0" w:space="0" w:color="auto"/>
        <w:right w:val="none" w:sz="0" w:space="0" w:color="auto"/>
      </w:divBdr>
    </w:div>
    <w:div w:id="1533422983">
      <w:bodyDiv w:val="1"/>
      <w:marLeft w:val="0"/>
      <w:marRight w:val="0"/>
      <w:marTop w:val="0"/>
      <w:marBottom w:val="0"/>
      <w:divBdr>
        <w:top w:val="none" w:sz="0" w:space="0" w:color="auto"/>
        <w:left w:val="none" w:sz="0" w:space="0" w:color="auto"/>
        <w:bottom w:val="none" w:sz="0" w:space="0" w:color="auto"/>
        <w:right w:val="none" w:sz="0" w:space="0" w:color="auto"/>
      </w:divBdr>
    </w:div>
    <w:div w:id="1550220988">
      <w:bodyDiv w:val="1"/>
      <w:marLeft w:val="0"/>
      <w:marRight w:val="0"/>
      <w:marTop w:val="0"/>
      <w:marBottom w:val="0"/>
      <w:divBdr>
        <w:top w:val="none" w:sz="0" w:space="0" w:color="auto"/>
        <w:left w:val="none" w:sz="0" w:space="0" w:color="auto"/>
        <w:bottom w:val="none" w:sz="0" w:space="0" w:color="auto"/>
        <w:right w:val="none" w:sz="0" w:space="0" w:color="auto"/>
      </w:divBdr>
    </w:div>
    <w:div w:id="1619533640">
      <w:bodyDiv w:val="1"/>
      <w:marLeft w:val="0"/>
      <w:marRight w:val="0"/>
      <w:marTop w:val="0"/>
      <w:marBottom w:val="0"/>
      <w:divBdr>
        <w:top w:val="none" w:sz="0" w:space="0" w:color="auto"/>
        <w:left w:val="none" w:sz="0" w:space="0" w:color="auto"/>
        <w:bottom w:val="none" w:sz="0" w:space="0" w:color="auto"/>
        <w:right w:val="none" w:sz="0" w:space="0" w:color="auto"/>
      </w:divBdr>
    </w:div>
    <w:div w:id="1619798578">
      <w:bodyDiv w:val="1"/>
      <w:marLeft w:val="0"/>
      <w:marRight w:val="0"/>
      <w:marTop w:val="0"/>
      <w:marBottom w:val="0"/>
      <w:divBdr>
        <w:top w:val="none" w:sz="0" w:space="0" w:color="auto"/>
        <w:left w:val="none" w:sz="0" w:space="0" w:color="auto"/>
        <w:bottom w:val="none" w:sz="0" w:space="0" w:color="auto"/>
        <w:right w:val="none" w:sz="0" w:space="0" w:color="auto"/>
      </w:divBdr>
    </w:div>
    <w:div w:id="1667711263">
      <w:bodyDiv w:val="1"/>
      <w:marLeft w:val="0"/>
      <w:marRight w:val="0"/>
      <w:marTop w:val="0"/>
      <w:marBottom w:val="0"/>
      <w:divBdr>
        <w:top w:val="none" w:sz="0" w:space="0" w:color="auto"/>
        <w:left w:val="none" w:sz="0" w:space="0" w:color="auto"/>
        <w:bottom w:val="none" w:sz="0" w:space="0" w:color="auto"/>
        <w:right w:val="none" w:sz="0" w:space="0" w:color="auto"/>
      </w:divBdr>
    </w:div>
    <w:div w:id="1689597400">
      <w:bodyDiv w:val="1"/>
      <w:marLeft w:val="0"/>
      <w:marRight w:val="0"/>
      <w:marTop w:val="0"/>
      <w:marBottom w:val="0"/>
      <w:divBdr>
        <w:top w:val="none" w:sz="0" w:space="0" w:color="auto"/>
        <w:left w:val="none" w:sz="0" w:space="0" w:color="auto"/>
        <w:bottom w:val="none" w:sz="0" w:space="0" w:color="auto"/>
        <w:right w:val="none" w:sz="0" w:space="0" w:color="auto"/>
      </w:divBdr>
    </w:div>
    <w:div w:id="1890609177">
      <w:bodyDiv w:val="1"/>
      <w:marLeft w:val="0"/>
      <w:marRight w:val="0"/>
      <w:marTop w:val="0"/>
      <w:marBottom w:val="0"/>
      <w:divBdr>
        <w:top w:val="none" w:sz="0" w:space="0" w:color="auto"/>
        <w:left w:val="none" w:sz="0" w:space="0" w:color="auto"/>
        <w:bottom w:val="none" w:sz="0" w:space="0" w:color="auto"/>
        <w:right w:val="none" w:sz="0" w:space="0" w:color="auto"/>
      </w:divBdr>
    </w:div>
    <w:div w:id="1929195537">
      <w:bodyDiv w:val="1"/>
      <w:marLeft w:val="0"/>
      <w:marRight w:val="0"/>
      <w:marTop w:val="0"/>
      <w:marBottom w:val="0"/>
      <w:divBdr>
        <w:top w:val="none" w:sz="0" w:space="0" w:color="auto"/>
        <w:left w:val="none" w:sz="0" w:space="0" w:color="auto"/>
        <w:bottom w:val="none" w:sz="0" w:space="0" w:color="auto"/>
        <w:right w:val="none" w:sz="0" w:space="0" w:color="auto"/>
      </w:divBdr>
    </w:div>
    <w:div w:id="2031250157">
      <w:bodyDiv w:val="1"/>
      <w:marLeft w:val="0"/>
      <w:marRight w:val="0"/>
      <w:marTop w:val="0"/>
      <w:marBottom w:val="0"/>
      <w:divBdr>
        <w:top w:val="none" w:sz="0" w:space="0" w:color="auto"/>
        <w:left w:val="none" w:sz="0" w:space="0" w:color="auto"/>
        <w:bottom w:val="none" w:sz="0" w:space="0" w:color="auto"/>
        <w:right w:val="none" w:sz="0" w:space="0" w:color="auto"/>
      </w:divBdr>
    </w:div>
    <w:div w:id="2050522708">
      <w:bodyDiv w:val="1"/>
      <w:marLeft w:val="0"/>
      <w:marRight w:val="0"/>
      <w:marTop w:val="0"/>
      <w:marBottom w:val="0"/>
      <w:divBdr>
        <w:top w:val="none" w:sz="0" w:space="0" w:color="auto"/>
        <w:left w:val="none" w:sz="0" w:space="0" w:color="auto"/>
        <w:bottom w:val="none" w:sz="0" w:space="0" w:color="auto"/>
        <w:right w:val="none" w:sz="0" w:space="0" w:color="auto"/>
      </w:divBdr>
    </w:div>
    <w:div w:id="2075199265">
      <w:bodyDiv w:val="1"/>
      <w:marLeft w:val="0"/>
      <w:marRight w:val="0"/>
      <w:marTop w:val="0"/>
      <w:marBottom w:val="0"/>
      <w:divBdr>
        <w:top w:val="none" w:sz="0" w:space="0" w:color="auto"/>
        <w:left w:val="none" w:sz="0" w:space="0" w:color="auto"/>
        <w:bottom w:val="none" w:sz="0" w:space="0" w:color="auto"/>
        <w:right w:val="none" w:sz="0" w:space="0" w:color="auto"/>
      </w:divBdr>
    </w:div>
    <w:div w:id="208725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5-01-0505" TargetMode="External"/><Relationship Id="rId18" Type="http://schemas.openxmlformats.org/officeDocument/2006/relationships/hyperlink" Target="http://www.uradni-list.si/1/objava.jsp?sop=2011-01-0449" TargetMode="External"/><Relationship Id="rId26" Type="http://schemas.openxmlformats.org/officeDocument/2006/relationships/hyperlink" Target="http://www.uradni-list.si/1/objava.jsp?sop=2023-01-2386" TargetMode="External"/><Relationship Id="rId39" Type="http://schemas.openxmlformats.org/officeDocument/2006/relationships/theme" Target="theme/theme1.xml"/><Relationship Id="rId21" Type="http://schemas.openxmlformats.org/officeDocument/2006/relationships/hyperlink" Target="http://www.uradni-list.si/1/objava.jsp?sop=2015-01-2277"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20-01-1195" TargetMode="External"/><Relationship Id="rId25" Type="http://schemas.openxmlformats.org/officeDocument/2006/relationships/hyperlink" Target="http://www.uradni-list.si/1/objava.jsp?sop=2023-01-0348" TargetMode="External"/><Relationship Id="rId33" Type="http://schemas.openxmlformats.org/officeDocument/2006/relationships/chart" Target="charts/chart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0-01-0901" TargetMode="External"/><Relationship Id="rId20" Type="http://schemas.openxmlformats.org/officeDocument/2006/relationships/hyperlink" Target="http://www.uradni-list.si/1/objava.jsp?sop=2013-01-367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2763" TargetMode="External"/><Relationship Id="rId24" Type="http://schemas.openxmlformats.org/officeDocument/2006/relationships/hyperlink" Target="http://www.uradni-list.si/1/objava.jsp?sop=2020-01-3501" TargetMode="External"/><Relationship Id="rId32" Type="http://schemas.openxmlformats.org/officeDocument/2006/relationships/chart" Target="charts/chart2.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uradni-list.si/1/objava.jsp?sop=2018-01-1356" TargetMode="External"/><Relationship Id="rId23" Type="http://schemas.openxmlformats.org/officeDocument/2006/relationships/hyperlink" Target="http://www.uradni-list.si/1/objava.jsp?sop=2018-01-0544" TargetMode="External"/><Relationship Id="rId28" Type="http://schemas.openxmlformats.org/officeDocument/2006/relationships/footer" Target="footer2.xml"/><Relationship Id="rId36" Type="http://schemas.openxmlformats.org/officeDocument/2006/relationships/header" Target="header3.xml"/><Relationship Id="rId10" Type="http://schemas.openxmlformats.org/officeDocument/2006/relationships/hyperlink" Target="http://www.uradni-list.si/1/objava.jsp?sop=2009-01-3437" TargetMode="External"/><Relationship Id="rId19" Type="http://schemas.openxmlformats.org/officeDocument/2006/relationships/hyperlink" Target="http://www.uradni-list.si/1/objava.jsp?sop=2013-21-0433" TargetMode="Externa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uradni-list.si/1/objava.jsp?sop=2008-01-3347" TargetMode="External"/><Relationship Id="rId14" Type="http://schemas.openxmlformats.org/officeDocument/2006/relationships/hyperlink" Target="http://www.uradni-list.si/1/objava.jsp?sop=2018-01-0457" TargetMode="External"/><Relationship Id="rId22" Type="http://schemas.openxmlformats.org/officeDocument/2006/relationships/hyperlink" Target="http://www.uradni-list.si/1/objava.jsp?sop=2015-01-3772"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8" Type="http://schemas.openxmlformats.org/officeDocument/2006/relationships/hyperlink" Target="http://www.uradni-list.si/1/objava.jsp?sop=2007-01-4692"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brijel\Desktop\mestni%20svet.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mestnaobcinang-my.sharepoint.com/personal/mateja_ipavec_nova-gorica_si/Documents/Documents/Mateja/1.%20PRORA&#268;UN/2024,2025/1.%20BRANJE/grafi/graf%20za%20prihodke%20&#8211;%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estnaobcinang-my.sharepoint.com/personal/mateja_ipavec_nova-gorica_si/Documents/Documents/Mateja/1.%20PRORA&#268;UN/2024,2025/1.%20BRANJE/grafi/graf%20za%20odhodke%20&#8211;%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st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Prihodki</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title>
    <c:autoTitleDeleted val="0"/>
    <c:plotArea>
      <c:layout/>
      <c:pieChart>
        <c:varyColors val="1"/>
        <c:ser>
          <c:idx val="0"/>
          <c:order val="0"/>
          <c:tx>
            <c:strRef>
              <c:f>'[graf za prihodke – 25.xlsx]GRAF ZA PRIHODKE'!$B$10</c:f>
              <c:strCache>
                <c:ptCount val="1"/>
                <c:pt idx="0">
                  <c:v>PREDLOG PRORAČUNA 2023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FF-46E4-AE7F-1CC38E07BB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FF-46E4-AE7F-1CC38E07BB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FF-46E4-AE7F-1CC38E07BB6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4FF-46E4-AE7F-1CC38E07BB6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4FF-46E4-AE7F-1CC38E07BB6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4FF-46E4-AE7F-1CC38E07BB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 za prihodke – 25.xlsx]GRAF ZA PRIHODKE'!$A$11:$A$16</c:f>
              <c:strCache>
                <c:ptCount val="6"/>
                <c:pt idx="0">
                  <c:v>70 - davčni prihodki</c:v>
                </c:pt>
                <c:pt idx="1">
                  <c:v>71 - nedavčni prihodki</c:v>
                </c:pt>
                <c:pt idx="2">
                  <c:v>72 - kapitalski prihodki</c:v>
                </c:pt>
                <c:pt idx="3">
                  <c:v>73 - prejete donacije</c:v>
                </c:pt>
                <c:pt idx="4">
                  <c:v>74 - transferni prihodki</c:v>
                </c:pt>
                <c:pt idx="5">
                  <c:v>78 - prejete sredstva iz EU</c:v>
                </c:pt>
              </c:strCache>
            </c:strRef>
          </c:cat>
          <c:val>
            <c:numRef>
              <c:f>'[graf za prihodke – 25.xlsx]GRAF ZA PRIHODKE'!$B$11:$B$16</c:f>
              <c:numCache>
                <c:formatCode>#,##0</c:formatCode>
                <c:ptCount val="6"/>
                <c:pt idx="0">
                  <c:v>26343357</c:v>
                </c:pt>
                <c:pt idx="1">
                  <c:v>12144632</c:v>
                </c:pt>
                <c:pt idx="2">
                  <c:v>1150000</c:v>
                </c:pt>
                <c:pt idx="3">
                  <c:v>13400</c:v>
                </c:pt>
                <c:pt idx="4">
                  <c:v>9120653</c:v>
                </c:pt>
                <c:pt idx="5">
                  <c:v>219282</c:v>
                </c:pt>
              </c:numCache>
            </c:numRef>
          </c:val>
          <c:extLst>
            <c:ext xmlns:c16="http://schemas.microsoft.com/office/drawing/2014/chart" uri="{C3380CC4-5D6E-409C-BE32-E72D297353CC}">
              <c16:uniqueId val="{0000000C-94FF-46E4-AE7F-1CC38E07BB6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Odhodki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6CA-43F5-860B-3E252D452B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6CA-43F5-860B-3E252D452B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6CA-43F5-860B-3E252D452B6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6CA-43F5-860B-3E252D452B6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 za odhodke – 25.xlsx]ODHODKI'!$A$18:$A$21</c:f>
              <c:strCache>
                <c:ptCount val="4"/>
                <c:pt idx="0">
                  <c:v>40 - tekoči odhodki</c:v>
                </c:pt>
                <c:pt idx="1">
                  <c:v>41 - tekoči transferi</c:v>
                </c:pt>
                <c:pt idx="2">
                  <c:v>42 - investicijski odhodki</c:v>
                </c:pt>
                <c:pt idx="3">
                  <c:v>43 - investicijski transferi</c:v>
                </c:pt>
              </c:strCache>
            </c:strRef>
          </c:cat>
          <c:val>
            <c:numRef>
              <c:f>'[graf za odhodke – 25.xlsx]ODHODKI'!$B$18:$B$21</c:f>
              <c:numCache>
                <c:formatCode>General</c:formatCode>
                <c:ptCount val="4"/>
                <c:pt idx="0">
                  <c:v>12715559</c:v>
                </c:pt>
                <c:pt idx="1">
                  <c:v>19473139</c:v>
                </c:pt>
                <c:pt idx="2">
                  <c:v>13923790</c:v>
                </c:pt>
                <c:pt idx="3">
                  <c:v>1476600</c:v>
                </c:pt>
              </c:numCache>
            </c:numRef>
          </c:val>
          <c:extLst>
            <c:ext xmlns:c16="http://schemas.microsoft.com/office/drawing/2014/chart" uri="{C3380CC4-5D6E-409C-BE32-E72D297353CC}">
              <c16:uniqueId val="{00000008-66CA-43F5-860B-3E252D452B6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List2!$B$1:$B$6</c:f>
              <c:strCache>
                <c:ptCount val="6"/>
                <c:pt idx="0">
                  <c:v>EPK GO!2025 - infrastruktura</c:v>
                </c:pt>
                <c:pt idx="1">
                  <c:v>Nakup električnih avtobusov za izvajanje mestnega prometa</c:v>
                </c:pt>
                <c:pt idx="2">
                  <c:v>Fekalna kanalizacija Mestna občina Nova Gorica</c:v>
                </c:pt>
                <c:pt idx="3">
                  <c:v>Zelena transformacija Mestne občine Nova Gorica</c:v>
                </c:pt>
                <c:pt idx="4">
                  <c:v>Izvedba 4 učilnic na OŠ Šempas</c:v>
                </c:pt>
                <c:pt idx="5">
                  <c:v>Investicija Glasbena šola Nova Gorica - II. faza</c:v>
                </c:pt>
              </c:strCache>
            </c:strRef>
          </c:cat>
          <c:val>
            <c:numRef>
              <c:f>List2!$C$1:$C$6</c:f>
              <c:numCache>
                <c:formatCode>#,##0</c:formatCode>
                <c:ptCount val="6"/>
                <c:pt idx="0">
                  <c:v>3938989</c:v>
                </c:pt>
                <c:pt idx="1">
                  <c:v>2080000</c:v>
                </c:pt>
                <c:pt idx="2">
                  <c:v>1923000</c:v>
                </c:pt>
                <c:pt idx="3">
                  <c:v>750000</c:v>
                </c:pt>
                <c:pt idx="4">
                  <c:v>571200</c:v>
                </c:pt>
                <c:pt idx="5">
                  <c:v>566000</c:v>
                </c:pt>
              </c:numCache>
            </c:numRef>
          </c:val>
          <c:extLst>
            <c:ext xmlns:c16="http://schemas.microsoft.com/office/drawing/2014/chart" uri="{C3380CC4-5D6E-409C-BE32-E72D297353CC}">
              <c16:uniqueId val="{00000000-E571-4663-BF69-82539F2CD04B}"/>
            </c:ext>
          </c:extLst>
        </c:ser>
        <c:dLbls>
          <c:showLegendKey val="0"/>
          <c:showVal val="0"/>
          <c:showCatName val="0"/>
          <c:showSerName val="0"/>
          <c:showPercent val="0"/>
          <c:showBubbleSize val="0"/>
        </c:dLbls>
        <c:gapWidth val="182"/>
        <c:axId val="416919168"/>
        <c:axId val="416915928"/>
      </c:barChart>
      <c:catAx>
        <c:axId val="416919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416915928"/>
        <c:crosses val="autoZero"/>
        <c:auto val="1"/>
        <c:lblAlgn val="ctr"/>
        <c:lblOffset val="100"/>
        <c:noMultiLvlLbl val="0"/>
      </c:catAx>
      <c:valAx>
        <c:axId val="41691592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16919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9AA7-30C5-49BC-9A1E-629C47A7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mestni svet</Template>
  <TotalTime>117</TotalTime>
  <Pages>18</Pages>
  <Words>5697</Words>
  <Characters>37392</Characters>
  <Application>Microsoft Office Word</Application>
  <DocSecurity>0</DocSecurity>
  <Lines>311</Lines>
  <Paragraphs>86</Paragraphs>
  <ScaleCrop>false</ScaleCrop>
  <HeadingPairs>
    <vt:vector size="2" baseType="variant">
      <vt:variant>
        <vt:lpstr>Naslov</vt:lpstr>
      </vt:variant>
      <vt:variant>
        <vt:i4>1</vt:i4>
      </vt:variant>
    </vt:vector>
  </HeadingPairs>
  <TitlesOfParts>
    <vt:vector size="1" baseType="lpstr">
      <vt:lpstr/>
    </vt:vector>
  </TitlesOfParts>
  <Company>MITFORMA d.o.o.</Company>
  <LinksUpToDate>false</LinksUpToDate>
  <CharactersWithSpaces>43003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Miran Ljucovič</cp:lastModifiedBy>
  <cp:revision>102</cp:revision>
  <cp:lastPrinted>2019-11-25T10:14:00Z</cp:lastPrinted>
  <dcterms:created xsi:type="dcterms:W3CDTF">2023-02-02T09:59:00Z</dcterms:created>
  <dcterms:modified xsi:type="dcterms:W3CDTF">2023-11-09T18:55:00Z</dcterms:modified>
</cp:coreProperties>
</file>