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C8A4" w14:textId="3CC6ABA9" w:rsidR="00C759CC" w:rsidRPr="00D019AF" w:rsidRDefault="00C759CC" w:rsidP="00C759CC">
      <w:pPr>
        <w:pStyle w:val="Rigadintestazione"/>
        <w:tabs>
          <w:tab w:val="clear" w:pos="4819"/>
        </w:tabs>
        <w:rPr>
          <w:rFonts w:ascii="Uni Sans Bold" w:hAnsi="Uni Sans Bold" w:cs="Uni Sans Bold"/>
          <w:b/>
          <w:bCs/>
          <w:color w:val="26509A"/>
          <w:sz w:val="18"/>
          <w:szCs w:val="18"/>
          <w:lang w:val="sl-SI"/>
        </w:rPr>
      </w:pPr>
      <w:bookmarkStart w:id="0" w:name="_GoBack"/>
      <w:bookmarkEnd w:id="0"/>
      <w:r w:rsidRPr="00E86598">
        <w:rPr>
          <w:rFonts w:ascii="Uni Sans Bold" w:eastAsia="Uni Sans Bold" w:hAnsi="Uni Sans Bold" w:cs="Uni Sans Bold"/>
          <w:b/>
          <w:color w:val="26509A"/>
          <w:sz w:val="18"/>
          <w:szCs w:val="18"/>
          <w:lang w:val="sl-SI" w:bidi="sl-SI"/>
        </w:rPr>
        <w:t xml:space="preserve">                                                                  </w:t>
      </w:r>
    </w:p>
    <w:p w14:paraId="32A83847" w14:textId="77777777" w:rsidR="00C759CC" w:rsidRPr="00D019AF" w:rsidRDefault="00C759CC" w:rsidP="00C759CC">
      <w:pPr>
        <w:spacing w:before="113" w:after="113"/>
        <w:jc w:val="both"/>
        <w:rPr>
          <w:rFonts w:asciiTheme="minorHAnsi" w:hAnsiTheme="minorHAnsi" w:cstheme="minorHAnsi"/>
          <w:b/>
          <w:bCs/>
          <w:sz w:val="22"/>
          <w:szCs w:val="22"/>
          <w:lang w:val="sl-SI"/>
        </w:rPr>
      </w:pPr>
    </w:p>
    <w:p w14:paraId="2C23967E" w14:textId="7F042B34" w:rsidR="00C759CC" w:rsidRPr="00356DD4" w:rsidRDefault="00356DD4" w:rsidP="00C759CC">
      <w:pPr>
        <w:spacing w:before="113" w:after="113"/>
        <w:jc w:val="both"/>
        <w:rPr>
          <w:rFonts w:asciiTheme="minorHAnsi" w:hAnsiTheme="minorHAnsi" w:cstheme="minorHAnsi"/>
          <w:b/>
          <w:bCs/>
          <w:sz w:val="22"/>
          <w:szCs w:val="22"/>
          <w:lang w:val="sl-SI"/>
        </w:rPr>
      </w:pPr>
      <w:r w:rsidRPr="00375C8F">
        <w:rPr>
          <w:rFonts w:asciiTheme="minorHAnsi" w:hAnsiTheme="minorHAnsi" w:cstheme="minorHAnsi"/>
          <w:b/>
          <w:bCs/>
          <w:sz w:val="22"/>
          <w:szCs w:val="22"/>
          <w:lang w:val="sl-SI" w:bidi="sl-SI"/>
        </w:rPr>
        <w:t>JAVNI ZAVOD GO! 2025 - EVROPSKA PRESTOLNICA KULTURE, NOVA GORICA</w:t>
      </w:r>
    </w:p>
    <w:p w14:paraId="6C513BB5" w14:textId="181FED3D" w:rsidR="00C759CC"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 xml:space="preserve">Trg Edvarda Kardelja 1, 5000 Nova Gorica, Slovenija, davčna številka: 26854872, </w:t>
      </w:r>
      <w:r w:rsidR="00356DD4">
        <w:rPr>
          <w:rFonts w:asciiTheme="minorHAnsi" w:hAnsiTheme="minorHAnsi" w:cstheme="minorHAnsi"/>
          <w:sz w:val="22"/>
          <w:szCs w:val="22"/>
          <w:lang w:val="sl-SI" w:bidi="sl-SI"/>
        </w:rPr>
        <w:t>matična</w:t>
      </w:r>
      <w:r w:rsidR="00356DD4" w:rsidRPr="00E86598">
        <w:rPr>
          <w:rFonts w:asciiTheme="minorHAnsi" w:hAnsiTheme="minorHAnsi" w:cstheme="minorHAnsi"/>
          <w:sz w:val="22"/>
          <w:szCs w:val="22"/>
          <w:lang w:val="sl-SI" w:bidi="sl-SI"/>
        </w:rPr>
        <w:t xml:space="preserve"> </w:t>
      </w:r>
      <w:r w:rsidRPr="00E86598">
        <w:rPr>
          <w:rFonts w:asciiTheme="minorHAnsi" w:hAnsiTheme="minorHAnsi" w:cstheme="minorHAnsi"/>
          <w:sz w:val="22"/>
          <w:szCs w:val="22"/>
          <w:lang w:val="sl-SI" w:bidi="sl-SI"/>
        </w:rPr>
        <w:t xml:space="preserve">št.: 9020047000, ki </w:t>
      </w:r>
      <w:r w:rsidR="00E86598" w:rsidRPr="00E86598">
        <w:rPr>
          <w:rFonts w:asciiTheme="minorHAnsi" w:hAnsiTheme="minorHAnsi" w:cstheme="minorHAnsi"/>
          <w:sz w:val="22"/>
          <w:szCs w:val="22"/>
          <w:lang w:val="sl-SI" w:bidi="sl-SI"/>
        </w:rPr>
        <w:t>ga</w:t>
      </w:r>
      <w:r w:rsidRPr="00E86598">
        <w:rPr>
          <w:rFonts w:asciiTheme="minorHAnsi" w:hAnsiTheme="minorHAnsi" w:cstheme="minorHAnsi"/>
          <w:sz w:val="22"/>
          <w:szCs w:val="22"/>
          <w:lang w:val="sl-SI" w:bidi="sl-SI"/>
        </w:rPr>
        <w:t xml:space="preserve"> zastopa direktor Gorazd Božič</w:t>
      </w:r>
    </w:p>
    <w:p w14:paraId="036C8A17" w14:textId="77777777" w:rsidR="00C759CC"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(v nadaljevanju: Zavod GO! 2025)</w:t>
      </w:r>
    </w:p>
    <w:p w14:paraId="75FA473B" w14:textId="77777777" w:rsidR="00C759CC"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 xml:space="preserve">in </w:t>
      </w:r>
    </w:p>
    <w:p w14:paraId="1D8B8916" w14:textId="04902E3D" w:rsidR="00C759CC" w:rsidRPr="00D019AF" w:rsidRDefault="00C759CC" w:rsidP="00C759CC">
      <w:pPr>
        <w:spacing w:before="113" w:after="113"/>
        <w:jc w:val="both"/>
        <w:rPr>
          <w:rFonts w:asciiTheme="minorHAnsi" w:hAnsiTheme="minorHAnsi" w:cstheme="minorHAnsi"/>
          <w:b/>
          <w:sz w:val="22"/>
          <w:szCs w:val="22"/>
          <w:lang w:val="sl-SI" w:bidi="sl-SI"/>
        </w:rPr>
      </w:pPr>
      <w:r w:rsidRPr="00D019AF">
        <w:rPr>
          <w:rFonts w:asciiTheme="minorHAnsi" w:hAnsiTheme="minorHAnsi" w:cstheme="minorHAnsi"/>
          <w:b/>
          <w:sz w:val="22"/>
          <w:szCs w:val="22"/>
          <w:lang w:val="sl-SI" w:bidi="sl-SI"/>
        </w:rPr>
        <w:t xml:space="preserve">EVROPSKO ZDRUŽENJE ZA TERITORIALNO SODELOVANJE »OBMOČJE OBČIN: </w:t>
      </w:r>
      <w:r w:rsidR="00B318A1">
        <w:rPr>
          <w:rFonts w:asciiTheme="minorHAnsi" w:hAnsiTheme="minorHAnsi" w:cstheme="minorHAnsi"/>
          <w:b/>
          <w:sz w:val="22"/>
          <w:szCs w:val="22"/>
          <w:lang w:val="sl-SI" w:bidi="sl-SI"/>
        </w:rPr>
        <w:t>COMUNE DI GORIZIA</w:t>
      </w:r>
      <w:r w:rsidRPr="00D019AF">
        <w:rPr>
          <w:rFonts w:asciiTheme="minorHAnsi" w:hAnsiTheme="minorHAnsi" w:cstheme="minorHAnsi"/>
          <w:b/>
          <w:sz w:val="22"/>
          <w:szCs w:val="22"/>
          <w:lang w:val="sl-SI" w:bidi="sl-SI"/>
        </w:rPr>
        <w:t xml:space="preserve"> (I), MESTNA OBČINA NOVA GORICA (SLO) IN OBČINA ŠEMPETER-VRTOJBA (SLO)« / »TERRITORIO DEI COMUNI: COMUNE DI GORIZIA (I), MESTNA OBČINA NOVA GORICA (SLO) IN OBČINA ŠEMPETER-VRTOJBA (SLO)«</w:t>
      </w:r>
    </w:p>
    <w:p w14:paraId="0D16E524" w14:textId="3DB62B56" w:rsidR="00C759CC"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 xml:space="preserve">Ulica Cadorna 36, Gorica, Italija, davčna številka 91036160314, ki </w:t>
      </w:r>
      <w:r w:rsidR="00E86598" w:rsidRPr="00E86598">
        <w:rPr>
          <w:rFonts w:asciiTheme="minorHAnsi" w:hAnsiTheme="minorHAnsi" w:cstheme="minorHAnsi"/>
          <w:sz w:val="22"/>
          <w:szCs w:val="22"/>
          <w:lang w:val="sl-SI" w:bidi="sl-SI"/>
        </w:rPr>
        <w:t>ga</w:t>
      </w:r>
      <w:r w:rsidRPr="00E86598">
        <w:rPr>
          <w:rFonts w:asciiTheme="minorHAnsi" w:hAnsiTheme="minorHAnsi" w:cstheme="minorHAnsi"/>
          <w:sz w:val="22"/>
          <w:szCs w:val="22"/>
          <w:lang w:val="sl-SI" w:bidi="sl-SI"/>
        </w:rPr>
        <w:t xml:space="preserve"> zastopa direktorica Romina Kocina</w:t>
      </w:r>
    </w:p>
    <w:p w14:paraId="426148E1" w14:textId="77777777" w:rsidR="00C759CC"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(v nadaljevanju: EZTS GO)</w:t>
      </w:r>
    </w:p>
    <w:p w14:paraId="2935BF6C" w14:textId="5BC9FB82" w:rsidR="00C759CC" w:rsidRDefault="00356DD4"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sklepata naslednji </w:t>
      </w:r>
    </w:p>
    <w:p w14:paraId="6EC29A3E" w14:textId="0F75622B" w:rsidR="00356DD4" w:rsidRDefault="00356DD4" w:rsidP="00C759CC">
      <w:pPr>
        <w:spacing w:before="113" w:after="113"/>
        <w:jc w:val="both"/>
        <w:rPr>
          <w:rFonts w:asciiTheme="minorHAnsi" w:hAnsiTheme="minorHAnsi" w:cstheme="minorHAnsi"/>
          <w:sz w:val="22"/>
          <w:szCs w:val="22"/>
          <w:lang w:val="sl-SI"/>
        </w:rPr>
      </w:pPr>
    </w:p>
    <w:p w14:paraId="66F78C5A" w14:textId="2EFABF16" w:rsidR="00356DD4" w:rsidRPr="00D019AF" w:rsidRDefault="00375C8F" w:rsidP="00356DD4">
      <w:pPr>
        <w:spacing w:before="113" w:after="113" w:line="276" w:lineRule="auto"/>
        <w:jc w:val="center"/>
        <w:rPr>
          <w:rFonts w:ascii="Arial" w:hAnsi="Arial" w:cs="Arial"/>
          <w:b/>
          <w:bCs/>
          <w:color w:val="26509A"/>
          <w:sz w:val="36"/>
          <w:szCs w:val="36"/>
          <w:lang w:val="sl-SI"/>
        </w:rPr>
      </w:pPr>
      <w:r>
        <w:rPr>
          <w:rFonts w:ascii="Arial" w:eastAsia="Arial" w:hAnsi="Arial" w:cs="Arial"/>
          <w:b/>
          <w:color w:val="26509A"/>
          <w:sz w:val="36"/>
          <w:szCs w:val="36"/>
          <w:lang w:val="sl-SI" w:bidi="sl-SI"/>
        </w:rPr>
        <w:t>POGODBO</w:t>
      </w:r>
    </w:p>
    <w:p w14:paraId="41D045A4" w14:textId="77777777" w:rsidR="00356DD4" w:rsidRPr="00D019AF" w:rsidRDefault="00356DD4" w:rsidP="00356DD4">
      <w:pPr>
        <w:spacing w:before="113" w:after="113" w:line="276" w:lineRule="auto"/>
        <w:jc w:val="center"/>
        <w:rPr>
          <w:rFonts w:ascii="Arial" w:hAnsi="Arial" w:cs="Arial"/>
          <w:b/>
          <w:bCs/>
          <w:color w:val="26509A"/>
          <w:sz w:val="28"/>
          <w:szCs w:val="28"/>
          <w:lang w:val="sl-SI"/>
        </w:rPr>
      </w:pPr>
      <w:r w:rsidRPr="00E86598">
        <w:rPr>
          <w:rFonts w:ascii="Arial" w:eastAsia="Arial" w:hAnsi="Arial" w:cs="Arial"/>
          <w:b/>
          <w:color w:val="26509A"/>
          <w:sz w:val="28"/>
          <w:szCs w:val="28"/>
          <w:lang w:val="sl-SI" w:bidi="sl-SI"/>
        </w:rPr>
        <w:t>O IZVAJANJU AKTIVNOSTI</w:t>
      </w:r>
      <w:r>
        <w:rPr>
          <w:rFonts w:ascii="Arial" w:eastAsia="Arial" w:hAnsi="Arial" w:cs="Arial"/>
          <w:b/>
          <w:color w:val="26509A"/>
          <w:sz w:val="28"/>
          <w:szCs w:val="28"/>
          <w:lang w:val="sl-SI" w:bidi="sl-SI"/>
        </w:rPr>
        <w:t xml:space="preserve"> NA PROJEKTU</w:t>
      </w:r>
      <w:r w:rsidRPr="00E86598">
        <w:rPr>
          <w:rFonts w:ascii="Arial" w:eastAsia="Arial" w:hAnsi="Arial" w:cs="Arial"/>
          <w:b/>
          <w:color w:val="26509A"/>
          <w:sz w:val="28"/>
          <w:szCs w:val="28"/>
          <w:lang w:val="sl-SI" w:bidi="sl-SI"/>
        </w:rPr>
        <w:t xml:space="preserve"> EVROPSK</w:t>
      </w:r>
      <w:r>
        <w:rPr>
          <w:rFonts w:ascii="Arial" w:eastAsia="Arial" w:hAnsi="Arial" w:cs="Arial"/>
          <w:b/>
          <w:color w:val="26509A"/>
          <w:sz w:val="28"/>
          <w:szCs w:val="28"/>
          <w:lang w:val="sl-SI" w:bidi="sl-SI"/>
        </w:rPr>
        <w:t>A</w:t>
      </w:r>
      <w:r w:rsidRPr="00E86598">
        <w:rPr>
          <w:rFonts w:ascii="Arial" w:eastAsia="Arial" w:hAnsi="Arial" w:cs="Arial"/>
          <w:b/>
          <w:color w:val="26509A"/>
          <w:sz w:val="28"/>
          <w:szCs w:val="28"/>
          <w:lang w:val="sl-SI" w:bidi="sl-SI"/>
        </w:rPr>
        <w:t xml:space="preserve"> PRESTOLNICA KULTURE 2025</w:t>
      </w:r>
      <w:r>
        <w:rPr>
          <w:rFonts w:ascii="Arial" w:eastAsia="Arial" w:hAnsi="Arial" w:cs="Arial"/>
          <w:b/>
          <w:color w:val="26509A"/>
          <w:sz w:val="28"/>
          <w:szCs w:val="28"/>
          <w:lang w:val="sl-SI" w:bidi="sl-SI"/>
        </w:rPr>
        <w:t xml:space="preserve">, </w:t>
      </w:r>
      <w:r w:rsidRPr="00E86598">
        <w:rPr>
          <w:rFonts w:ascii="Arial" w:eastAsia="Arial" w:hAnsi="Arial" w:cs="Arial"/>
          <w:b/>
          <w:color w:val="26509A"/>
          <w:sz w:val="28"/>
          <w:szCs w:val="28"/>
          <w:lang w:val="sl-SI" w:bidi="sl-SI"/>
        </w:rPr>
        <w:t>NOVA GORICA</w:t>
      </w:r>
    </w:p>
    <w:p w14:paraId="2543CC23" w14:textId="77777777" w:rsidR="00356DD4" w:rsidRDefault="00356DD4" w:rsidP="00C759CC">
      <w:pPr>
        <w:spacing w:before="113" w:after="113"/>
        <w:jc w:val="both"/>
        <w:rPr>
          <w:rFonts w:asciiTheme="minorHAnsi" w:hAnsiTheme="minorHAnsi" w:cstheme="minorHAnsi"/>
          <w:sz w:val="22"/>
          <w:szCs w:val="22"/>
          <w:lang w:val="sl-SI"/>
        </w:rPr>
      </w:pPr>
    </w:p>
    <w:p w14:paraId="50108AF2" w14:textId="6CD28FE2" w:rsidR="00356DD4" w:rsidRPr="00375C8F" w:rsidRDefault="00356DD4"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1. člen</w:t>
      </w:r>
    </w:p>
    <w:p w14:paraId="43E23865" w14:textId="5DB6EED8" w:rsidR="003C2140" w:rsidRPr="00D019AF" w:rsidRDefault="003C2140" w:rsidP="003C2140">
      <w:pPr>
        <w:spacing w:line="276" w:lineRule="auto"/>
        <w:jc w:val="both"/>
        <w:rPr>
          <w:rFonts w:asciiTheme="minorHAnsi" w:hAnsiTheme="minorHAnsi" w:cstheme="minorHAnsi"/>
          <w:sz w:val="22"/>
          <w:szCs w:val="22"/>
          <w:lang w:val="sl-SI" w:bidi="sl-SI"/>
        </w:rPr>
      </w:pPr>
      <w:r>
        <w:rPr>
          <w:rFonts w:asciiTheme="minorHAnsi" w:hAnsiTheme="minorHAnsi" w:cstheme="minorHAnsi"/>
          <w:sz w:val="22"/>
          <w:szCs w:val="22"/>
          <w:lang w:val="sl-SI" w:bidi="sl-SI"/>
        </w:rPr>
        <w:t>S</w:t>
      </w:r>
      <w:r w:rsidRPr="00D019AF">
        <w:rPr>
          <w:rFonts w:asciiTheme="minorHAnsi" w:hAnsiTheme="minorHAnsi" w:cstheme="minorHAnsi"/>
          <w:sz w:val="22"/>
          <w:szCs w:val="22"/>
          <w:lang w:val="sl-SI" w:bidi="sl-SI"/>
        </w:rPr>
        <w:t xml:space="preserve">tranki </w:t>
      </w:r>
      <w:r w:rsidR="00356DD4">
        <w:rPr>
          <w:rFonts w:asciiTheme="minorHAnsi" w:hAnsiTheme="minorHAnsi" w:cstheme="minorHAnsi"/>
          <w:sz w:val="22"/>
          <w:szCs w:val="22"/>
          <w:lang w:val="sl-SI" w:bidi="sl-SI"/>
        </w:rPr>
        <w:t xml:space="preserve"> </w:t>
      </w:r>
      <w:r w:rsidRPr="00D019AF">
        <w:rPr>
          <w:rFonts w:asciiTheme="minorHAnsi" w:hAnsiTheme="minorHAnsi" w:cstheme="minorHAnsi"/>
          <w:sz w:val="22"/>
          <w:szCs w:val="22"/>
          <w:lang w:val="sl-SI" w:bidi="sl-SI"/>
        </w:rPr>
        <w:t>uvodoma ugotavljata, da:</w:t>
      </w:r>
    </w:p>
    <w:p w14:paraId="4DE5C98C" w14:textId="4C1FE8C7" w:rsidR="00C759CC" w:rsidRPr="00D019AF" w:rsidRDefault="00356DD4" w:rsidP="00C759CC">
      <w:pPr>
        <w:spacing w:before="113" w:after="113"/>
        <w:jc w:val="both"/>
        <w:rPr>
          <w:rFonts w:asciiTheme="minorHAnsi" w:hAnsiTheme="minorHAnsi" w:cstheme="minorHAnsi"/>
          <w:sz w:val="22"/>
          <w:szCs w:val="22"/>
          <w:lang w:val="sl-SI" w:bidi="sl-SI"/>
        </w:rPr>
      </w:pPr>
      <w:r>
        <w:rPr>
          <w:rFonts w:asciiTheme="minorHAnsi" w:hAnsiTheme="minorHAnsi" w:cstheme="minorHAnsi"/>
          <w:sz w:val="22"/>
          <w:szCs w:val="22"/>
          <w:lang w:val="sl-SI" w:bidi="sl-SI"/>
        </w:rPr>
        <w:t xml:space="preserve">- so </w:t>
      </w:r>
      <w:r w:rsidR="00C759CC" w:rsidRPr="00D019AF">
        <w:rPr>
          <w:rFonts w:asciiTheme="minorHAnsi" w:hAnsiTheme="minorHAnsi" w:cstheme="minorHAnsi"/>
          <w:sz w:val="22"/>
          <w:szCs w:val="22"/>
          <w:lang w:val="sl-SI" w:bidi="sl-SI"/>
        </w:rPr>
        <w:t xml:space="preserve">Evropsko združenje za teritorialno sodelovanje »Območje občin: </w:t>
      </w:r>
      <w:proofErr w:type="spellStart"/>
      <w:r w:rsidR="00BA07B0">
        <w:rPr>
          <w:rFonts w:asciiTheme="minorHAnsi" w:hAnsiTheme="minorHAnsi" w:cstheme="minorHAnsi"/>
          <w:sz w:val="22"/>
          <w:szCs w:val="22"/>
          <w:lang w:val="sl-SI" w:bidi="sl-SI"/>
        </w:rPr>
        <w:t>Comune</w:t>
      </w:r>
      <w:proofErr w:type="spellEnd"/>
      <w:r w:rsidR="00BA07B0">
        <w:rPr>
          <w:rFonts w:asciiTheme="minorHAnsi" w:hAnsiTheme="minorHAnsi" w:cstheme="minorHAnsi"/>
          <w:sz w:val="22"/>
          <w:szCs w:val="22"/>
          <w:lang w:val="sl-SI" w:bidi="sl-SI"/>
        </w:rPr>
        <w:t xml:space="preserve"> di </w:t>
      </w:r>
      <w:proofErr w:type="spellStart"/>
      <w:r w:rsidR="00BA07B0">
        <w:rPr>
          <w:rFonts w:asciiTheme="minorHAnsi" w:hAnsiTheme="minorHAnsi" w:cstheme="minorHAnsi"/>
          <w:sz w:val="22"/>
          <w:szCs w:val="22"/>
          <w:lang w:val="sl-SI" w:bidi="sl-SI"/>
        </w:rPr>
        <w:t>Gorizia</w:t>
      </w:r>
      <w:proofErr w:type="spellEnd"/>
      <w:r w:rsidR="00C759CC" w:rsidRPr="00D019AF">
        <w:rPr>
          <w:rFonts w:asciiTheme="minorHAnsi" w:hAnsiTheme="minorHAnsi" w:cstheme="minorHAnsi"/>
          <w:sz w:val="22"/>
          <w:szCs w:val="22"/>
          <w:lang w:val="sl-SI" w:bidi="sl-SI"/>
        </w:rPr>
        <w:t xml:space="preserve"> (I), Mestna občina Nova Gorica (SLO) in Občina Šempeter-Vrtojba (SLO)« / »</w:t>
      </w:r>
      <w:proofErr w:type="spellStart"/>
      <w:r w:rsidR="00C759CC" w:rsidRPr="00D019AF">
        <w:rPr>
          <w:rFonts w:asciiTheme="minorHAnsi" w:hAnsiTheme="minorHAnsi" w:cstheme="minorHAnsi"/>
          <w:sz w:val="22"/>
          <w:szCs w:val="22"/>
          <w:lang w:val="sl-SI" w:bidi="sl-SI"/>
        </w:rPr>
        <w:t>Territorio</w:t>
      </w:r>
      <w:proofErr w:type="spellEnd"/>
      <w:r w:rsidR="00C759CC" w:rsidRPr="00D019AF">
        <w:rPr>
          <w:rFonts w:asciiTheme="minorHAnsi" w:hAnsiTheme="minorHAnsi" w:cstheme="minorHAnsi"/>
          <w:sz w:val="22"/>
          <w:szCs w:val="22"/>
          <w:lang w:val="sl-SI" w:bidi="sl-SI"/>
        </w:rPr>
        <w:t xml:space="preserve"> </w:t>
      </w:r>
      <w:proofErr w:type="spellStart"/>
      <w:r w:rsidR="00C759CC" w:rsidRPr="00D019AF">
        <w:rPr>
          <w:rFonts w:asciiTheme="minorHAnsi" w:hAnsiTheme="minorHAnsi" w:cstheme="minorHAnsi"/>
          <w:sz w:val="22"/>
          <w:szCs w:val="22"/>
          <w:lang w:val="sl-SI" w:bidi="sl-SI"/>
        </w:rPr>
        <w:t>dei</w:t>
      </w:r>
      <w:proofErr w:type="spellEnd"/>
      <w:r w:rsidR="00C759CC" w:rsidRPr="00D019AF">
        <w:rPr>
          <w:rFonts w:asciiTheme="minorHAnsi" w:hAnsiTheme="minorHAnsi" w:cstheme="minorHAnsi"/>
          <w:sz w:val="22"/>
          <w:szCs w:val="22"/>
          <w:lang w:val="sl-SI" w:bidi="sl-SI"/>
        </w:rPr>
        <w:t xml:space="preserve"> </w:t>
      </w:r>
      <w:proofErr w:type="spellStart"/>
      <w:r w:rsidR="00C759CC" w:rsidRPr="00D019AF">
        <w:rPr>
          <w:rFonts w:asciiTheme="minorHAnsi" w:hAnsiTheme="minorHAnsi" w:cstheme="minorHAnsi"/>
          <w:sz w:val="22"/>
          <w:szCs w:val="22"/>
          <w:lang w:val="sl-SI" w:bidi="sl-SI"/>
        </w:rPr>
        <w:t>comuni</w:t>
      </w:r>
      <w:proofErr w:type="spellEnd"/>
      <w:r w:rsidR="00C759CC" w:rsidRPr="00D019AF">
        <w:rPr>
          <w:rFonts w:asciiTheme="minorHAnsi" w:hAnsiTheme="minorHAnsi" w:cstheme="minorHAnsi"/>
          <w:sz w:val="22"/>
          <w:szCs w:val="22"/>
          <w:lang w:val="sl-SI" w:bidi="sl-SI"/>
        </w:rPr>
        <w:t xml:space="preserve">: </w:t>
      </w:r>
      <w:proofErr w:type="spellStart"/>
      <w:r w:rsidR="00C759CC" w:rsidRPr="00D019AF">
        <w:rPr>
          <w:rFonts w:asciiTheme="minorHAnsi" w:hAnsiTheme="minorHAnsi" w:cstheme="minorHAnsi"/>
          <w:sz w:val="22"/>
          <w:szCs w:val="22"/>
          <w:lang w:val="sl-SI" w:bidi="sl-SI"/>
        </w:rPr>
        <w:t>Comune</w:t>
      </w:r>
      <w:proofErr w:type="spellEnd"/>
      <w:r w:rsidR="00C759CC" w:rsidRPr="00D019AF">
        <w:rPr>
          <w:rFonts w:asciiTheme="minorHAnsi" w:hAnsiTheme="minorHAnsi" w:cstheme="minorHAnsi"/>
          <w:sz w:val="22"/>
          <w:szCs w:val="22"/>
          <w:lang w:val="sl-SI" w:bidi="sl-SI"/>
        </w:rPr>
        <w:t xml:space="preserve"> di </w:t>
      </w:r>
      <w:proofErr w:type="spellStart"/>
      <w:r w:rsidR="00C759CC" w:rsidRPr="00D019AF">
        <w:rPr>
          <w:rFonts w:asciiTheme="minorHAnsi" w:hAnsiTheme="minorHAnsi" w:cstheme="minorHAnsi"/>
          <w:sz w:val="22"/>
          <w:szCs w:val="22"/>
          <w:lang w:val="sl-SI" w:bidi="sl-SI"/>
        </w:rPr>
        <w:t>Gorizia</w:t>
      </w:r>
      <w:proofErr w:type="spellEnd"/>
      <w:r w:rsidR="00C759CC" w:rsidRPr="00D019AF">
        <w:rPr>
          <w:rFonts w:asciiTheme="minorHAnsi" w:hAnsiTheme="minorHAnsi" w:cstheme="minorHAnsi"/>
          <w:sz w:val="22"/>
          <w:szCs w:val="22"/>
          <w:lang w:val="sl-SI" w:bidi="sl-SI"/>
        </w:rPr>
        <w:t xml:space="preserve"> (I), Mestna občina Nova Gorica (SLO) in Občina Šempeter-Vrtojba (SLO)« (v nadaljevanju: EZTS GO) ustanovile Občina Gorica (I), Mestna občina Nova Gorica</w:t>
      </w:r>
      <w:r w:rsidR="00051D2B">
        <w:rPr>
          <w:rFonts w:asciiTheme="minorHAnsi" w:hAnsiTheme="minorHAnsi" w:cstheme="minorHAnsi"/>
          <w:sz w:val="22"/>
          <w:szCs w:val="22"/>
          <w:lang w:val="sl-SI" w:bidi="sl-SI"/>
        </w:rPr>
        <w:t xml:space="preserve"> (v nadaljevanju: MONG)</w:t>
      </w:r>
      <w:r w:rsidR="00C759CC" w:rsidRPr="00D019AF">
        <w:rPr>
          <w:rFonts w:asciiTheme="minorHAnsi" w:hAnsiTheme="minorHAnsi" w:cstheme="minorHAnsi"/>
          <w:sz w:val="22"/>
          <w:szCs w:val="22"/>
          <w:lang w:val="sl-SI" w:bidi="sl-SI"/>
        </w:rPr>
        <w:t xml:space="preserve"> (Slo) in Občina Šempeter-Vrtojba (Slo) v skladu z Uredbo (ES) št. 1082/2006 Evropskega parlamenta in Sveta z dne 5. julija 2006, ter v skladu z zakonom Italijanske republike št. 88 z dne 7. julija 2009  in Uredbo Republike Slovenije</w:t>
      </w:r>
      <w:r w:rsidR="00BC6DEA">
        <w:rPr>
          <w:rFonts w:asciiTheme="minorHAnsi" w:hAnsiTheme="minorHAnsi" w:cstheme="minorHAnsi"/>
          <w:sz w:val="22"/>
          <w:szCs w:val="22"/>
          <w:lang w:val="sl-SI" w:bidi="sl-SI"/>
        </w:rPr>
        <w:t xml:space="preserve"> o ustanavljanju evropskega združenja za teritorialno sodelovanje, stran 2920</w:t>
      </w:r>
      <w:r w:rsidR="00C759CC" w:rsidRPr="00D019AF">
        <w:rPr>
          <w:rFonts w:asciiTheme="minorHAnsi" w:hAnsiTheme="minorHAnsi" w:cstheme="minorHAnsi"/>
          <w:sz w:val="22"/>
          <w:szCs w:val="22"/>
          <w:lang w:val="sl-SI" w:bidi="sl-SI"/>
        </w:rPr>
        <w:t xml:space="preserve"> (Uradni list Republike Slovenije št. 31/2008 z dne 28. marca 2008). Vpisan je v Register EZTS, ki ga vodi predsedstvo Sveta ministrov pri Vladi Italijanske republike </w:t>
      </w:r>
      <w:r w:rsidR="00051D2B">
        <w:rPr>
          <w:rFonts w:asciiTheme="minorHAnsi" w:hAnsiTheme="minorHAnsi" w:cstheme="minorHAnsi"/>
          <w:sz w:val="22"/>
          <w:szCs w:val="22"/>
          <w:lang w:val="sl-SI" w:bidi="sl-SI"/>
        </w:rPr>
        <w:t>–</w:t>
      </w:r>
      <w:r w:rsidR="00C759CC" w:rsidRPr="00D019AF">
        <w:rPr>
          <w:rFonts w:asciiTheme="minorHAnsi" w:hAnsiTheme="minorHAnsi" w:cstheme="minorHAnsi"/>
          <w:sz w:val="22"/>
          <w:szCs w:val="22"/>
          <w:lang w:val="sl-SI" w:bidi="sl-SI"/>
        </w:rPr>
        <w:t xml:space="preserve"> Oddelek za deželne zadeve, in sicer gre za vpis št. 3 z dne 15. septembra in spremembo z dne 17. februarja 2014; </w:t>
      </w:r>
    </w:p>
    <w:p w14:paraId="0371EB50" w14:textId="76947D35" w:rsidR="00C759CC" w:rsidRPr="00D019AF" w:rsidRDefault="00BC6DEA" w:rsidP="00C759CC">
      <w:pPr>
        <w:spacing w:before="113" w:after="113"/>
        <w:jc w:val="both"/>
        <w:rPr>
          <w:rFonts w:asciiTheme="minorHAnsi" w:hAnsiTheme="minorHAnsi" w:cstheme="minorHAnsi"/>
          <w:sz w:val="22"/>
          <w:szCs w:val="22"/>
          <w:lang w:val="sl-SI" w:bidi="sl-SI"/>
        </w:rPr>
      </w:pPr>
      <w:r>
        <w:rPr>
          <w:rFonts w:asciiTheme="minorHAnsi" w:hAnsiTheme="minorHAnsi" w:cstheme="minorHAnsi"/>
          <w:sz w:val="22"/>
          <w:szCs w:val="22"/>
          <w:lang w:val="sl-SI" w:bidi="sl-SI"/>
        </w:rPr>
        <w:t>- v</w:t>
      </w:r>
      <w:r w:rsidR="00C759CC" w:rsidRPr="00D019AF">
        <w:rPr>
          <w:rFonts w:asciiTheme="minorHAnsi" w:hAnsiTheme="minorHAnsi" w:cstheme="minorHAnsi"/>
          <w:sz w:val="22"/>
          <w:szCs w:val="22"/>
          <w:lang w:val="sl-SI" w:bidi="sl-SI"/>
        </w:rPr>
        <w:t xml:space="preserve"> skladu s 4. členom statuta EZTS GO zanj velja italijanska zakonodaja, ki ureja osebe javnega prava;</w:t>
      </w:r>
    </w:p>
    <w:p w14:paraId="445CFB4F" w14:textId="59080078" w:rsidR="00C759CC" w:rsidRPr="00D019AF" w:rsidRDefault="00BC6DEA" w:rsidP="00C759CC">
      <w:pPr>
        <w:spacing w:before="113" w:after="113"/>
        <w:jc w:val="both"/>
        <w:rPr>
          <w:rFonts w:asciiTheme="minorHAnsi" w:hAnsiTheme="minorHAnsi" w:cstheme="minorHAnsi"/>
          <w:sz w:val="22"/>
          <w:szCs w:val="22"/>
          <w:lang w:val="sl-SI" w:bidi="sl-SI"/>
        </w:rPr>
      </w:pPr>
      <w:r>
        <w:rPr>
          <w:rFonts w:asciiTheme="minorHAnsi" w:hAnsiTheme="minorHAnsi" w:cstheme="minorHAnsi"/>
          <w:sz w:val="22"/>
          <w:szCs w:val="22"/>
          <w:lang w:val="sl-SI" w:bidi="sl-SI"/>
        </w:rPr>
        <w:t>- je v</w:t>
      </w:r>
      <w:r w:rsidR="00C759CC" w:rsidRPr="00D019AF">
        <w:rPr>
          <w:rFonts w:asciiTheme="minorHAnsi" w:hAnsiTheme="minorHAnsi" w:cstheme="minorHAnsi"/>
          <w:sz w:val="22"/>
          <w:szCs w:val="22"/>
          <w:lang w:val="sl-SI" w:bidi="sl-SI"/>
        </w:rPr>
        <w:t xml:space="preserve"> skladu s 3. členom statuta EZTS GO njegova glavna naloga implementacija programov za teritorialno povezovanje in izvajanje projektov, ki jih sofinancira Evropska unija in drugi finančni mehanizmi;</w:t>
      </w:r>
    </w:p>
    <w:p w14:paraId="3E21D5B9" w14:textId="68E200F3" w:rsidR="00C759CC" w:rsidRPr="00D019AF" w:rsidRDefault="00BC6DEA" w:rsidP="00C759CC">
      <w:pPr>
        <w:spacing w:before="113" w:after="113"/>
        <w:jc w:val="both"/>
        <w:rPr>
          <w:rFonts w:asciiTheme="minorHAnsi" w:hAnsiTheme="minorHAnsi" w:cstheme="minorHAnsi"/>
          <w:sz w:val="22"/>
          <w:szCs w:val="22"/>
          <w:lang w:val="sl-SI" w:bidi="sl-SI"/>
        </w:rPr>
      </w:pPr>
      <w:r>
        <w:rPr>
          <w:rFonts w:asciiTheme="minorHAnsi" w:hAnsiTheme="minorHAnsi" w:cstheme="minorHAnsi"/>
          <w:sz w:val="22"/>
          <w:szCs w:val="22"/>
          <w:lang w:val="sl-SI" w:bidi="sl-SI"/>
        </w:rPr>
        <w:t>- z</w:t>
      </w:r>
      <w:r w:rsidR="00C759CC" w:rsidRPr="00E86598">
        <w:rPr>
          <w:rFonts w:asciiTheme="minorHAnsi" w:hAnsiTheme="minorHAnsi" w:cstheme="minorHAnsi"/>
          <w:sz w:val="22"/>
          <w:szCs w:val="22"/>
          <w:lang w:val="sl-SI" w:bidi="sl-SI"/>
        </w:rPr>
        <w:t>adnji odstavek čl. 2 »Poslanstvo in naloge« Konvencije za ustanovitev EZTS GO določa, da EZTS podpira širjenje kulture kot nepogrešljivega orodja za medsebojno poznavanje in spoštovanje.</w:t>
      </w:r>
    </w:p>
    <w:p w14:paraId="3310F3BF" w14:textId="3FB3A533" w:rsidR="00C759CC" w:rsidRPr="00E86598" w:rsidRDefault="00BC6DEA"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 sta </w:t>
      </w:r>
      <w:r w:rsidR="00051D2B">
        <w:rPr>
          <w:rFonts w:asciiTheme="minorHAnsi" w:hAnsiTheme="minorHAnsi" w:cstheme="minorHAnsi"/>
          <w:sz w:val="22"/>
          <w:szCs w:val="22"/>
          <w:lang w:val="sl-SI"/>
        </w:rPr>
        <w:t>MONG</w:t>
      </w:r>
      <w:r w:rsidR="00C759CC" w:rsidRPr="00D019AF">
        <w:rPr>
          <w:rFonts w:asciiTheme="minorHAnsi" w:hAnsiTheme="minorHAnsi" w:cstheme="minorHAnsi"/>
          <w:sz w:val="22"/>
          <w:szCs w:val="22"/>
          <w:lang w:val="sl-SI"/>
        </w:rPr>
        <w:t xml:space="preserve"> in Občina Gorica </w:t>
      </w:r>
      <w:r>
        <w:rPr>
          <w:rFonts w:asciiTheme="minorHAnsi" w:hAnsiTheme="minorHAnsi" w:cstheme="minorHAnsi"/>
          <w:sz w:val="22"/>
          <w:szCs w:val="22"/>
          <w:lang w:val="sl-SI"/>
        </w:rPr>
        <w:t xml:space="preserve">dne </w:t>
      </w:r>
      <w:r w:rsidR="00C759CC" w:rsidRPr="00D019AF">
        <w:rPr>
          <w:rFonts w:asciiTheme="minorHAnsi" w:hAnsiTheme="minorHAnsi" w:cstheme="minorHAnsi"/>
          <w:sz w:val="22"/>
          <w:szCs w:val="22"/>
          <w:lang w:val="sl-SI"/>
        </w:rPr>
        <w:t xml:space="preserve">25. </w:t>
      </w:r>
      <w:r>
        <w:rPr>
          <w:rFonts w:asciiTheme="minorHAnsi" w:hAnsiTheme="minorHAnsi" w:cstheme="minorHAnsi"/>
          <w:sz w:val="22"/>
          <w:szCs w:val="22"/>
          <w:lang w:val="sl-SI"/>
        </w:rPr>
        <w:t>maja</w:t>
      </w:r>
      <w:r w:rsidR="00C759CC" w:rsidRPr="00D019AF">
        <w:rPr>
          <w:rFonts w:asciiTheme="minorHAnsi" w:hAnsiTheme="minorHAnsi" w:cstheme="minorHAnsi"/>
          <w:sz w:val="22"/>
          <w:szCs w:val="22"/>
          <w:lang w:val="sl-SI"/>
        </w:rPr>
        <w:t xml:space="preserve"> 2019</w:t>
      </w:r>
      <w:r w:rsidR="00E86598">
        <w:rPr>
          <w:rFonts w:asciiTheme="minorHAnsi" w:hAnsiTheme="minorHAnsi" w:cstheme="minorHAnsi"/>
          <w:sz w:val="22"/>
          <w:szCs w:val="22"/>
          <w:lang w:val="sl-SI"/>
        </w:rPr>
        <w:t>,</w:t>
      </w:r>
      <w:r w:rsidR="00C759CC" w:rsidRPr="00D019AF">
        <w:rPr>
          <w:rFonts w:asciiTheme="minorHAnsi" w:hAnsiTheme="minorHAnsi" w:cstheme="minorHAnsi"/>
          <w:sz w:val="22"/>
          <w:szCs w:val="22"/>
          <w:lang w:val="sl-SI"/>
        </w:rPr>
        <w:t xml:space="preserve"> v duhu enakopravnega partnerstva</w:t>
      </w:r>
      <w:r w:rsidR="00E86598">
        <w:rPr>
          <w:rFonts w:asciiTheme="minorHAnsi" w:hAnsiTheme="minorHAnsi" w:cstheme="minorHAnsi"/>
          <w:sz w:val="22"/>
          <w:szCs w:val="22"/>
          <w:lang w:val="sl-SI"/>
        </w:rPr>
        <w:t>, sklenili</w:t>
      </w:r>
      <w:r w:rsidR="00D019AF">
        <w:rPr>
          <w:rFonts w:asciiTheme="minorHAnsi" w:hAnsiTheme="minorHAnsi" w:cstheme="minorHAnsi"/>
          <w:sz w:val="22"/>
          <w:szCs w:val="22"/>
          <w:lang w:val="sl-SI"/>
        </w:rPr>
        <w:t xml:space="preserve"> </w:t>
      </w:r>
      <w:r w:rsidR="00E86598">
        <w:rPr>
          <w:rFonts w:asciiTheme="minorHAnsi" w:hAnsiTheme="minorHAnsi" w:cstheme="minorHAnsi"/>
          <w:sz w:val="22"/>
          <w:szCs w:val="22"/>
          <w:lang w:val="sl-SI"/>
        </w:rPr>
        <w:t>»</w:t>
      </w:r>
      <w:r w:rsidR="00C759CC" w:rsidRPr="00D019AF">
        <w:rPr>
          <w:rFonts w:asciiTheme="minorHAnsi" w:hAnsiTheme="minorHAnsi" w:cstheme="minorHAnsi"/>
          <w:sz w:val="22"/>
          <w:szCs w:val="22"/>
          <w:lang w:val="sl-SI"/>
        </w:rPr>
        <w:t>Dogovor o sodelovanju pri kandidaturi za naziv Evropska prestolnica kulture 2025</w:t>
      </w:r>
      <w:r w:rsidR="00E86598">
        <w:rPr>
          <w:rFonts w:asciiTheme="minorHAnsi" w:hAnsiTheme="minorHAnsi" w:cstheme="minorHAnsi"/>
          <w:sz w:val="22"/>
          <w:szCs w:val="22"/>
          <w:lang w:val="sl-SI"/>
        </w:rPr>
        <w:t>«</w:t>
      </w:r>
      <w:r w:rsidR="00C759CC" w:rsidRPr="00D019AF">
        <w:rPr>
          <w:rFonts w:asciiTheme="minorHAnsi" w:hAnsiTheme="minorHAnsi" w:cstheme="minorHAnsi"/>
          <w:sz w:val="22"/>
          <w:szCs w:val="22"/>
          <w:lang w:val="sl-SI"/>
        </w:rPr>
        <w:t xml:space="preserve"> </w:t>
      </w:r>
      <w:r w:rsidR="00200B0B">
        <w:rPr>
          <w:rFonts w:asciiTheme="minorHAnsi" w:hAnsiTheme="minorHAnsi" w:cstheme="minorHAnsi"/>
          <w:sz w:val="22"/>
          <w:szCs w:val="22"/>
          <w:lang w:val="sl-SI"/>
        </w:rPr>
        <w:t>(v nadaljevanju</w:t>
      </w:r>
      <w:r w:rsidR="00051D2B">
        <w:rPr>
          <w:rFonts w:asciiTheme="minorHAnsi" w:hAnsiTheme="minorHAnsi" w:cstheme="minorHAnsi"/>
          <w:sz w:val="22"/>
          <w:szCs w:val="22"/>
          <w:lang w:val="sl-SI"/>
        </w:rPr>
        <w:t>:</w:t>
      </w:r>
      <w:r w:rsidR="00200B0B">
        <w:rPr>
          <w:rFonts w:asciiTheme="minorHAnsi" w:hAnsiTheme="minorHAnsi" w:cstheme="minorHAnsi"/>
          <w:sz w:val="22"/>
          <w:szCs w:val="22"/>
          <w:lang w:val="sl-SI"/>
        </w:rPr>
        <w:t xml:space="preserve"> EPK 2025), </w:t>
      </w:r>
      <w:r w:rsidR="00C759CC" w:rsidRPr="00D019AF">
        <w:rPr>
          <w:rFonts w:asciiTheme="minorHAnsi" w:hAnsiTheme="minorHAnsi" w:cstheme="minorHAnsi"/>
          <w:sz w:val="22"/>
          <w:szCs w:val="22"/>
          <w:lang w:val="sl-SI"/>
        </w:rPr>
        <w:t>z namenom, da se združita v skupnem prizadevanju za kulturni, ekonomski in socialni razvoj. Povezuje ju želja, da bi bili obe občini odprti, ustvarjalni in konkurenčni skupnosti, ki ponujata visoko kakovost življenja ter priložnosti za napredovanje in uspeh svojim občanom in potencialnim novim prebivalcem</w:t>
      </w:r>
      <w:r w:rsidR="00E86598">
        <w:rPr>
          <w:rFonts w:asciiTheme="minorHAnsi" w:hAnsiTheme="minorHAnsi" w:cstheme="minorHAnsi"/>
          <w:sz w:val="22"/>
          <w:szCs w:val="22"/>
          <w:lang w:val="sl-SI"/>
        </w:rPr>
        <w:t>,</w:t>
      </w:r>
      <w:r w:rsidR="00C759CC" w:rsidRPr="00D019AF">
        <w:rPr>
          <w:rFonts w:asciiTheme="minorHAnsi" w:hAnsiTheme="minorHAnsi" w:cstheme="minorHAnsi"/>
          <w:sz w:val="22"/>
          <w:szCs w:val="22"/>
          <w:lang w:val="sl-SI"/>
        </w:rPr>
        <w:t xml:space="preserve"> tudi s krepitvijo </w:t>
      </w:r>
      <w:r w:rsidR="00C759CC" w:rsidRPr="00D019AF">
        <w:rPr>
          <w:rFonts w:asciiTheme="minorHAnsi" w:hAnsiTheme="minorHAnsi" w:cstheme="minorHAnsi"/>
          <w:sz w:val="22"/>
          <w:szCs w:val="22"/>
          <w:lang w:val="sl-SI"/>
        </w:rPr>
        <w:lastRenderedPageBreak/>
        <w:t>skupnih naložb za razvoj Evropskega združenja za teritorialno sodelovanje EZTS GO, ki je bilo ustanovljeno s tem namenom;</w:t>
      </w:r>
    </w:p>
    <w:p w14:paraId="2C63C28D" w14:textId="51892587" w:rsidR="00C759CC" w:rsidRPr="00E86598" w:rsidRDefault="00BC6DEA"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bidi="sl-SI"/>
        </w:rPr>
        <w:t>- je p</w:t>
      </w:r>
      <w:r w:rsidR="00C759CC" w:rsidRPr="00E86598">
        <w:rPr>
          <w:rFonts w:asciiTheme="minorHAnsi" w:hAnsiTheme="minorHAnsi" w:cstheme="minorHAnsi"/>
          <w:sz w:val="22"/>
          <w:szCs w:val="22"/>
          <w:lang w:val="sl-SI" w:bidi="sl-SI"/>
        </w:rPr>
        <w:t>o opravljenem izbirnem postopku v zadnjih mesecih leta 2020</w:t>
      </w:r>
      <w:r w:rsidR="00E86598">
        <w:rPr>
          <w:rFonts w:asciiTheme="minorHAnsi" w:hAnsiTheme="minorHAnsi" w:cstheme="minorHAnsi"/>
          <w:sz w:val="22"/>
          <w:szCs w:val="22"/>
          <w:lang w:val="sl-SI" w:bidi="sl-SI"/>
        </w:rPr>
        <w:t>,</w:t>
      </w:r>
      <w:r w:rsidR="00C759CC" w:rsidRPr="00E86598">
        <w:rPr>
          <w:rFonts w:asciiTheme="minorHAnsi" w:hAnsiTheme="minorHAnsi" w:cstheme="minorHAnsi"/>
          <w:sz w:val="22"/>
          <w:szCs w:val="22"/>
          <w:lang w:val="sl-SI" w:bidi="sl-SI"/>
        </w:rPr>
        <w:t xml:space="preserve"> žirija mednarodnih strokovnjakov</w:t>
      </w:r>
      <w:r>
        <w:rPr>
          <w:rFonts w:asciiTheme="minorHAnsi" w:hAnsiTheme="minorHAnsi" w:cstheme="minorHAnsi"/>
          <w:sz w:val="22"/>
          <w:szCs w:val="22"/>
          <w:lang w:val="sl-SI" w:bidi="sl-SI"/>
        </w:rPr>
        <w:t xml:space="preserve"> dne</w:t>
      </w:r>
      <w:r w:rsidR="00C759CC" w:rsidRPr="00E86598">
        <w:rPr>
          <w:rFonts w:asciiTheme="minorHAnsi" w:hAnsiTheme="minorHAnsi" w:cstheme="minorHAnsi"/>
          <w:sz w:val="22"/>
          <w:szCs w:val="22"/>
          <w:lang w:val="sl-SI" w:bidi="sl-SI"/>
        </w:rPr>
        <w:t xml:space="preserve"> 18. decembra 2020</w:t>
      </w:r>
      <w:r>
        <w:rPr>
          <w:rFonts w:asciiTheme="minorHAnsi" w:hAnsiTheme="minorHAnsi" w:cstheme="minorHAnsi"/>
          <w:sz w:val="22"/>
          <w:szCs w:val="22"/>
          <w:lang w:val="sl-SI" w:bidi="sl-SI"/>
        </w:rPr>
        <w:t xml:space="preserve"> </w:t>
      </w:r>
      <w:r w:rsidR="00E86598">
        <w:rPr>
          <w:rFonts w:asciiTheme="minorHAnsi" w:hAnsiTheme="minorHAnsi" w:cstheme="minorHAnsi"/>
          <w:sz w:val="22"/>
          <w:szCs w:val="22"/>
          <w:lang w:val="sl-SI" w:bidi="sl-SI"/>
        </w:rPr>
        <w:t>izbrala</w:t>
      </w:r>
      <w:r w:rsidR="00E86598" w:rsidRPr="00E86598">
        <w:rPr>
          <w:rFonts w:asciiTheme="minorHAnsi" w:hAnsiTheme="minorHAnsi" w:cstheme="minorHAnsi"/>
          <w:sz w:val="22"/>
          <w:szCs w:val="22"/>
          <w:lang w:val="sl-SI" w:bidi="sl-SI"/>
        </w:rPr>
        <w:t xml:space="preserve"> </w:t>
      </w:r>
      <w:r w:rsidR="00C759CC" w:rsidRPr="00E86598">
        <w:rPr>
          <w:rFonts w:asciiTheme="minorHAnsi" w:hAnsiTheme="minorHAnsi" w:cstheme="minorHAnsi"/>
          <w:sz w:val="22"/>
          <w:szCs w:val="22"/>
          <w:lang w:val="sl-SI" w:bidi="sl-SI"/>
        </w:rPr>
        <w:t>mesto Nova Gorica</w:t>
      </w:r>
      <w:r w:rsidR="00E86598">
        <w:rPr>
          <w:rFonts w:asciiTheme="minorHAnsi" w:hAnsiTheme="minorHAnsi" w:cstheme="minorHAnsi"/>
          <w:sz w:val="22"/>
          <w:szCs w:val="22"/>
          <w:lang w:val="sl-SI" w:bidi="sl-SI"/>
        </w:rPr>
        <w:t>,</w:t>
      </w:r>
      <w:r w:rsidR="00C759CC" w:rsidRPr="00E86598">
        <w:rPr>
          <w:rFonts w:asciiTheme="minorHAnsi" w:hAnsiTheme="minorHAnsi" w:cstheme="minorHAnsi"/>
          <w:sz w:val="22"/>
          <w:szCs w:val="22"/>
          <w:lang w:val="sl-SI" w:bidi="sl-SI"/>
        </w:rPr>
        <w:t xml:space="preserve"> v </w:t>
      </w:r>
      <w:r w:rsidR="00E86598">
        <w:rPr>
          <w:rFonts w:asciiTheme="minorHAnsi" w:hAnsiTheme="minorHAnsi" w:cstheme="minorHAnsi"/>
          <w:sz w:val="22"/>
          <w:szCs w:val="22"/>
          <w:lang w:val="sl-SI" w:bidi="sl-SI"/>
        </w:rPr>
        <w:t>partnerstvu</w:t>
      </w:r>
      <w:r w:rsidR="00E86598" w:rsidRPr="00E86598">
        <w:rPr>
          <w:rFonts w:asciiTheme="minorHAnsi" w:hAnsiTheme="minorHAnsi" w:cstheme="minorHAnsi"/>
          <w:sz w:val="22"/>
          <w:szCs w:val="22"/>
          <w:lang w:val="sl-SI" w:bidi="sl-SI"/>
        </w:rPr>
        <w:t xml:space="preserve"> </w:t>
      </w:r>
      <w:r w:rsidR="00C759CC" w:rsidRPr="00E86598">
        <w:rPr>
          <w:rFonts w:asciiTheme="minorHAnsi" w:hAnsiTheme="minorHAnsi" w:cstheme="minorHAnsi"/>
          <w:sz w:val="22"/>
          <w:szCs w:val="22"/>
          <w:lang w:val="sl-SI" w:bidi="sl-SI"/>
        </w:rPr>
        <w:t>z Gorico</w:t>
      </w:r>
      <w:r w:rsidR="00E86598">
        <w:rPr>
          <w:rFonts w:asciiTheme="minorHAnsi" w:hAnsiTheme="minorHAnsi" w:cstheme="minorHAnsi"/>
          <w:sz w:val="22"/>
          <w:szCs w:val="22"/>
          <w:lang w:val="sl-SI" w:bidi="sl-SI"/>
        </w:rPr>
        <w:t>,</w:t>
      </w:r>
      <w:r w:rsidR="00C759CC" w:rsidRPr="00E86598">
        <w:rPr>
          <w:rFonts w:asciiTheme="minorHAnsi" w:hAnsiTheme="minorHAnsi" w:cstheme="minorHAnsi"/>
          <w:sz w:val="22"/>
          <w:szCs w:val="22"/>
          <w:lang w:val="sl-SI" w:bidi="sl-SI"/>
        </w:rPr>
        <w:t xml:space="preserve"> za </w:t>
      </w:r>
      <w:r w:rsidR="00E86598">
        <w:rPr>
          <w:rFonts w:asciiTheme="minorHAnsi" w:hAnsiTheme="minorHAnsi" w:cstheme="minorHAnsi"/>
          <w:sz w:val="22"/>
          <w:szCs w:val="22"/>
          <w:lang w:val="sl-SI" w:bidi="sl-SI"/>
        </w:rPr>
        <w:t>slovenskega nosilca</w:t>
      </w:r>
      <w:r w:rsidR="00E86598" w:rsidRPr="00E86598">
        <w:rPr>
          <w:rFonts w:asciiTheme="minorHAnsi" w:hAnsiTheme="minorHAnsi" w:cstheme="minorHAnsi"/>
          <w:sz w:val="22"/>
          <w:szCs w:val="22"/>
          <w:lang w:val="sl-SI" w:bidi="sl-SI"/>
        </w:rPr>
        <w:t xml:space="preserve"> </w:t>
      </w:r>
      <w:r w:rsidR="00C759CC" w:rsidRPr="00E86598">
        <w:rPr>
          <w:rFonts w:asciiTheme="minorHAnsi" w:hAnsiTheme="minorHAnsi" w:cstheme="minorHAnsi"/>
          <w:sz w:val="22"/>
          <w:szCs w:val="22"/>
          <w:lang w:val="sl-SI" w:bidi="sl-SI"/>
        </w:rPr>
        <w:t xml:space="preserve">naziva </w:t>
      </w:r>
      <w:r w:rsidR="00200B0B">
        <w:rPr>
          <w:rFonts w:asciiTheme="minorHAnsi" w:hAnsiTheme="minorHAnsi" w:cstheme="minorHAnsi"/>
          <w:sz w:val="22"/>
          <w:szCs w:val="22"/>
          <w:lang w:val="sl-SI" w:bidi="sl-SI"/>
        </w:rPr>
        <w:t>EPK</w:t>
      </w:r>
      <w:r w:rsidR="00C759CC" w:rsidRPr="00E86598">
        <w:rPr>
          <w:rFonts w:asciiTheme="minorHAnsi" w:hAnsiTheme="minorHAnsi" w:cstheme="minorHAnsi"/>
          <w:sz w:val="22"/>
          <w:szCs w:val="22"/>
          <w:lang w:val="sl-SI" w:bidi="sl-SI"/>
        </w:rPr>
        <w:t xml:space="preserve"> 2025.</w:t>
      </w:r>
    </w:p>
    <w:p w14:paraId="0A2B5EBD" w14:textId="1D551646" w:rsidR="00C759CC" w:rsidRPr="00B318A1" w:rsidRDefault="00BC6DEA" w:rsidP="00C759CC">
      <w:pPr>
        <w:spacing w:before="113" w:after="113"/>
        <w:jc w:val="both"/>
        <w:rPr>
          <w:rFonts w:asciiTheme="minorHAnsi" w:hAnsiTheme="minorHAnsi" w:cstheme="minorHAnsi"/>
          <w:sz w:val="22"/>
          <w:szCs w:val="22"/>
          <w:lang w:val="sl-SI"/>
        </w:rPr>
      </w:pPr>
      <w:r w:rsidRPr="00B318A1">
        <w:rPr>
          <w:rFonts w:asciiTheme="minorHAnsi" w:hAnsiTheme="minorHAnsi" w:cstheme="minorHAnsi"/>
          <w:sz w:val="22"/>
          <w:szCs w:val="22"/>
          <w:lang w:val="sl-SI" w:bidi="sl-SI"/>
        </w:rPr>
        <w:t xml:space="preserve">- je bil </w:t>
      </w:r>
      <w:r w:rsidR="00C759CC" w:rsidRPr="00B318A1">
        <w:rPr>
          <w:rFonts w:asciiTheme="minorHAnsi" w:hAnsiTheme="minorHAnsi" w:cstheme="minorHAnsi"/>
          <w:sz w:val="22"/>
          <w:szCs w:val="22"/>
          <w:lang w:val="sl-SI" w:bidi="sl-SI"/>
        </w:rPr>
        <w:t>EZTS GO opredeljen kot izvajalski organ za Evropsko prestolnico kulture 2025 v  prijavni knjigi (</w:t>
      </w:r>
      <w:proofErr w:type="spellStart"/>
      <w:r w:rsidR="00C759CC" w:rsidRPr="00B318A1">
        <w:rPr>
          <w:rFonts w:asciiTheme="minorHAnsi" w:hAnsiTheme="minorHAnsi" w:cstheme="minorHAnsi"/>
          <w:sz w:val="22"/>
          <w:szCs w:val="22"/>
          <w:lang w:val="sl-SI" w:bidi="sl-SI"/>
        </w:rPr>
        <w:t>t.i</w:t>
      </w:r>
      <w:proofErr w:type="spellEnd"/>
      <w:r w:rsidR="00C759CC" w:rsidRPr="00B318A1">
        <w:rPr>
          <w:rFonts w:asciiTheme="minorHAnsi" w:hAnsiTheme="minorHAnsi" w:cstheme="minorHAnsi"/>
          <w:sz w:val="22"/>
          <w:szCs w:val="22"/>
          <w:lang w:val="sl-SI" w:bidi="sl-SI"/>
        </w:rPr>
        <w:t xml:space="preserve">. </w:t>
      </w:r>
      <w:proofErr w:type="spellStart"/>
      <w:r w:rsidR="00C759CC" w:rsidRPr="00B318A1">
        <w:rPr>
          <w:rFonts w:asciiTheme="minorHAnsi" w:hAnsiTheme="minorHAnsi" w:cstheme="minorHAnsi"/>
          <w:sz w:val="22"/>
          <w:szCs w:val="22"/>
          <w:lang w:val="sl-SI" w:bidi="sl-SI"/>
        </w:rPr>
        <w:t>bid</w:t>
      </w:r>
      <w:proofErr w:type="spellEnd"/>
      <w:r w:rsidR="00C759CC" w:rsidRPr="00B318A1">
        <w:rPr>
          <w:rFonts w:asciiTheme="minorHAnsi" w:hAnsiTheme="minorHAnsi" w:cstheme="minorHAnsi"/>
          <w:sz w:val="22"/>
          <w:szCs w:val="22"/>
          <w:lang w:val="sl-SI" w:bidi="sl-SI"/>
        </w:rPr>
        <w:t xml:space="preserve"> </w:t>
      </w:r>
      <w:proofErr w:type="spellStart"/>
      <w:r w:rsidR="00C759CC" w:rsidRPr="00B318A1">
        <w:rPr>
          <w:rFonts w:asciiTheme="minorHAnsi" w:hAnsiTheme="minorHAnsi" w:cstheme="minorHAnsi"/>
          <w:sz w:val="22"/>
          <w:szCs w:val="22"/>
          <w:lang w:val="sl-SI" w:bidi="sl-SI"/>
        </w:rPr>
        <w:t>book</w:t>
      </w:r>
      <w:proofErr w:type="spellEnd"/>
      <w:r w:rsidR="00C759CC" w:rsidRPr="00B318A1">
        <w:rPr>
          <w:rFonts w:asciiTheme="minorHAnsi" w:hAnsiTheme="minorHAnsi" w:cstheme="minorHAnsi"/>
          <w:sz w:val="22"/>
          <w:szCs w:val="22"/>
          <w:lang w:val="sl-SI" w:bidi="sl-SI"/>
        </w:rPr>
        <w:t>)</w:t>
      </w:r>
      <w:r w:rsidR="00E86598" w:rsidRPr="00B318A1">
        <w:rPr>
          <w:rFonts w:asciiTheme="minorHAnsi" w:hAnsiTheme="minorHAnsi" w:cstheme="minorHAnsi"/>
          <w:sz w:val="22"/>
          <w:szCs w:val="22"/>
          <w:lang w:val="sl-SI" w:bidi="sl-SI"/>
        </w:rPr>
        <w:t xml:space="preserve"> z naslovom »GO! </w:t>
      </w:r>
      <w:proofErr w:type="spellStart"/>
      <w:r w:rsidR="00E86598" w:rsidRPr="00B318A1">
        <w:rPr>
          <w:rFonts w:asciiTheme="minorHAnsi" w:hAnsiTheme="minorHAnsi" w:cstheme="minorHAnsi"/>
          <w:sz w:val="22"/>
          <w:szCs w:val="22"/>
          <w:lang w:val="sl-SI" w:bidi="sl-SI"/>
        </w:rPr>
        <w:t>Borderless</w:t>
      </w:r>
      <w:proofErr w:type="spellEnd"/>
      <w:r w:rsidR="00E86598" w:rsidRPr="00B318A1">
        <w:rPr>
          <w:rFonts w:asciiTheme="minorHAnsi" w:hAnsiTheme="minorHAnsi" w:cstheme="minorHAnsi"/>
          <w:sz w:val="22"/>
          <w:szCs w:val="22"/>
          <w:lang w:val="sl-SI" w:bidi="sl-SI"/>
        </w:rPr>
        <w:t>«</w:t>
      </w:r>
      <w:r w:rsidR="00C759CC" w:rsidRPr="00B318A1">
        <w:rPr>
          <w:rFonts w:asciiTheme="minorHAnsi" w:hAnsiTheme="minorHAnsi" w:cstheme="minorHAnsi"/>
          <w:sz w:val="22"/>
          <w:szCs w:val="22"/>
          <w:lang w:val="sl-SI" w:bidi="sl-SI"/>
        </w:rPr>
        <w:t xml:space="preserve">, </w:t>
      </w:r>
      <w:r w:rsidR="00200B0B" w:rsidRPr="00B318A1">
        <w:rPr>
          <w:rFonts w:asciiTheme="minorHAnsi" w:hAnsiTheme="minorHAnsi" w:cstheme="minorHAnsi"/>
          <w:sz w:val="22"/>
          <w:szCs w:val="22"/>
          <w:lang w:val="sl-SI" w:bidi="sl-SI"/>
        </w:rPr>
        <w:t>torej</w:t>
      </w:r>
      <w:r w:rsidRPr="00B318A1">
        <w:rPr>
          <w:rFonts w:asciiTheme="minorHAnsi" w:hAnsiTheme="minorHAnsi" w:cstheme="minorHAnsi"/>
          <w:sz w:val="22"/>
          <w:szCs w:val="22"/>
          <w:lang w:val="sl-SI" w:bidi="sl-SI"/>
        </w:rPr>
        <w:t xml:space="preserve"> </w:t>
      </w:r>
      <w:r w:rsidR="00200B0B" w:rsidRPr="00B318A1">
        <w:rPr>
          <w:rFonts w:asciiTheme="minorHAnsi" w:hAnsiTheme="minorHAnsi" w:cstheme="minorHAnsi"/>
          <w:sz w:val="22"/>
          <w:szCs w:val="22"/>
          <w:lang w:val="sl-SI" w:bidi="sl-SI"/>
        </w:rPr>
        <w:t xml:space="preserve">za razpisni dokumentaciji mesta Nova Gorica na javnem razpisu Ministrstva za kulturo Republike Slovenije za podelitev naziva EPK 2025. Zato ima prijavna knjiga »GO! </w:t>
      </w:r>
      <w:proofErr w:type="spellStart"/>
      <w:r w:rsidR="00200B0B" w:rsidRPr="00B318A1">
        <w:rPr>
          <w:rFonts w:asciiTheme="minorHAnsi" w:hAnsiTheme="minorHAnsi" w:cstheme="minorHAnsi"/>
          <w:sz w:val="22"/>
          <w:szCs w:val="22"/>
          <w:lang w:val="sl-SI" w:bidi="sl-SI"/>
        </w:rPr>
        <w:t>Borderless</w:t>
      </w:r>
      <w:proofErr w:type="spellEnd"/>
      <w:r w:rsidR="00200B0B" w:rsidRPr="00B318A1">
        <w:rPr>
          <w:rFonts w:asciiTheme="minorHAnsi" w:hAnsiTheme="minorHAnsi" w:cstheme="minorHAnsi"/>
          <w:sz w:val="22"/>
          <w:szCs w:val="22"/>
          <w:lang w:val="sl-SI" w:bidi="sl-SI"/>
        </w:rPr>
        <w:t>« status</w:t>
      </w:r>
      <w:r w:rsidR="00C759CC" w:rsidRPr="00B318A1">
        <w:rPr>
          <w:rFonts w:asciiTheme="minorHAnsi" w:hAnsiTheme="minorHAnsi" w:cstheme="minorHAnsi"/>
          <w:sz w:val="22"/>
          <w:szCs w:val="22"/>
          <w:lang w:val="sl-SI" w:bidi="sl-SI"/>
        </w:rPr>
        <w:t xml:space="preserve"> uradn</w:t>
      </w:r>
      <w:r w:rsidR="00200B0B" w:rsidRPr="00B318A1">
        <w:rPr>
          <w:rFonts w:asciiTheme="minorHAnsi" w:hAnsiTheme="minorHAnsi" w:cstheme="minorHAnsi"/>
          <w:sz w:val="22"/>
          <w:szCs w:val="22"/>
          <w:lang w:val="sl-SI" w:bidi="sl-SI"/>
        </w:rPr>
        <w:t>ega</w:t>
      </w:r>
      <w:r w:rsidR="00C759CC" w:rsidRPr="00B318A1">
        <w:rPr>
          <w:rFonts w:asciiTheme="minorHAnsi" w:hAnsiTheme="minorHAnsi" w:cstheme="minorHAnsi"/>
          <w:sz w:val="22"/>
          <w:szCs w:val="22"/>
          <w:lang w:val="sl-SI" w:bidi="sl-SI"/>
        </w:rPr>
        <w:t xml:space="preserve"> dogovor</w:t>
      </w:r>
      <w:r w:rsidR="00200B0B" w:rsidRPr="00B318A1">
        <w:rPr>
          <w:rFonts w:asciiTheme="minorHAnsi" w:hAnsiTheme="minorHAnsi" w:cstheme="minorHAnsi"/>
          <w:sz w:val="22"/>
          <w:szCs w:val="22"/>
          <w:lang w:val="sl-SI" w:bidi="sl-SI"/>
        </w:rPr>
        <w:t>a</w:t>
      </w:r>
      <w:r w:rsidR="00C759CC" w:rsidRPr="00B318A1">
        <w:rPr>
          <w:rFonts w:asciiTheme="minorHAnsi" w:hAnsiTheme="minorHAnsi" w:cstheme="minorHAnsi"/>
          <w:sz w:val="22"/>
          <w:szCs w:val="22"/>
          <w:lang w:val="sl-SI" w:bidi="sl-SI"/>
        </w:rPr>
        <w:t xml:space="preserve"> z Evropsko komisijo za izvedbo EPK</w:t>
      </w:r>
      <w:r w:rsidR="00200B0B" w:rsidRPr="00B318A1">
        <w:rPr>
          <w:rFonts w:asciiTheme="minorHAnsi" w:hAnsiTheme="minorHAnsi" w:cstheme="minorHAnsi"/>
          <w:sz w:val="22"/>
          <w:szCs w:val="22"/>
          <w:lang w:val="sl-SI" w:bidi="sl-SI"/>
        </w:rPr>
        <w:t xml:space="preserve"> 2025</w:t>
      </w:r>
      <w:r w:rsidR="00C759CC" w:rsidRPr="00B318A1">
        <w:rPr>
          <w:rFonts w:asciiTheme="minorHAnsi" w:hAnsiTheme="minorHAnsi" w:cstheme="minorHAnsi"/>
          <w:sz w:val="22"/>
          <w:szCs w:val="22"/>
          <w:lang w:val="sl-SI" w:bidi="sl-SI"/>
        </w:rPr>
        <w:t>.</w:t>
      </w:r>
    </w:p>
    <w:p w14:paraId="3CDE1F06" w14:textId="3BA74A0E" w:rsidR="00C759CC" w:rsidRPr="00E86598" w:rsidRDefault="00C759CC" w:rsidP="00C759CC">
      <w:pPr>
        <w:spacing w:before="113" w:after="113"/>
        <w:jc w:val="both"/>
        <w:rPr>
          <w:rFonts w:asciiTheme="minorHAnsi" w:hAnsiTheme="minorHAnsi" w:cstheme="minorBidi"/>
          <w:sz w:val="22"/>
          <w:szCs w:val="22"/>
          <w:lang w:val="sl-SI" w:bidi="sl-SI"/>
        </w:rPr>
      </w:pPr>
      <w:r w:rsidRPr="00B318A1">
        <w:rPr>
          <w:rFonts w:asciiTheme="minorHAnsi" w:hAnsiTheme="minorHAnsi" w:cstheme="minorBidi"/>
          <w:sz w:val="22"/>
          <w:szCs w:val="22"/>
          <w:lang w:val="sl-SI" w:bidi="sl-SI"/>
        </w:rPr>
        <w:t xml:space="preserve">Po pogovorih z Ministrstvom za kulturo Republike Slovenije je bilo v letu 2021 potrebno spremeniti izvedbeno strukturo projekta, saj se je ministrstvo odločilo, da bo nosilka EPK 2025 </w:t>
      </w:r>
      <w:r w:rsidR="00051D2B" w:rsidRPr="00B318A1">
        <w:rPr>
          <w:rFonts w:asciiTheme="minorHAnsi" w:hAnsiTheme="minorHAnsi" w:cstheme="minorBidi"/>
          <w:sz w:val="22"/>
          <w:szCs w:val="22"/>
          <w:lang w:val="sl-SI" w:bidi="sl-SI"/>
        </w:rPr>
        <w:t>MONG</w:t>
      </w:r>
      <w:r w:rsidRPr="00B318A1">
        <w:rPr>
          <w:rFonts w:asciiTheme="minorHAnsi" w:hAnsiTheme="minorHAnsi" w:cstheme="minorBidi"/>
          <w:sz w:val="22"/>
          <w:szCs w:val="22"/>
          <w:lang w:val="sl-SI" w:bidi="sl-SI"/>
        </w:rPr>
        <w:t xml:space="preserve"> tudi </w:t>
      </w:r>
      <w:r w:rsidR="00200B0B" w:rsidRPr="00B318A1">
        <w:rPr>
          <w:rFonts w:asciiTheme="minorHAnsi" w:hAnsiTheme="minorHAnsi" w:cstheme="minorBidi"/>
          <w:sz w:val="22"/>
          <w:szCs w:val="22"/>
          <w:lang w:val="sl-SI" w:bidi="sl-SI"/>
        </w:rPr>
        <w:t xml:space="preserve">edina </w:t>
      </w:r>
      <w:r w:rsidRPr="00B318A1">
        <w:rPr>
          <w:rFonts w:asciiTheme="minorHAnsi" w:hAnsiTheme="minorHAnsi" w:cstheme="minorBidi"/>
          <w:sz w:val="22"/>
          <w:szCs w:val="22"/>
          <w:lang w:val="sl-SI" w:bidi="sl-SI"/>
        </w:rPr>
        <w:t xml:space="preserve">prejemnica sredstev proračunskih sredstev Republike Slovenije s strani Ministrstva za kulturo in da bo za izvedbo programov v okviru projekta EPK 2025 </w:t>
      </w:r>
      <w:r w:rsidR="00200B0B" w:rsidRPr="00B318A1">
        <w:rPr>
          <w:rFonts w:asciiTheme="minorHAnsi" w:hAnsiTheme="minorHAnsi" w:cstheme="minorBidi"/>
          <w:sz w:val="22"/>
          <w:szCs w:val="22"/>
          <w:lang w:val="sl-SI" w:bidi="sl-SI"/>
        </w:rPr>
        <w:t>potrebno ustanoviti</w:t>
      </w:r>
      <w:r w:rsidRPr="00B318A1">
        <w:rPr>
          <w:rFonts w:asciiTheme="minorHAnsi" w:hAnsiTheme="minorHAnsi" w:cstheme="minorBidi"/>
          <w:sz w:val="22"/>
          <w:szCs w:val="22"/>
          <w:lang w:val="sl-SI" w:bidi="sl-SI"/>
        </w:rPr>
        <w:t xml:space="preserve"> nov javni zavod.</w:t>
      </w:r>
    </w:p>
    <w:p w14:paraId="30590305" w14:textId="021B99C5" w:rsidR="00C759CC" w:rsidRPr="00E86598" w:rsidRDefault="003D3003" w:rsidP="00C759CC">
      <w:pPr>
        <w:spacing w:before="113" w:after="113"/>
        <w:jc w:val="both"/>
        <w:rPr>
          <w:rFonts w:asciiTheme="minorHAnsi" w:hAnsiTheme="minorHAnsi" w:cstheme="minorBidi"/>
          <w:sz w:val="22"/>
          <w:szCs w:val="22"/>
          <w:lang w:val="sl-SI"/>
        </w:rPr>
      </w:pPr>
      <w:r>
        <w:rPr>
          <w:rFonts w:asciiTheme="minorHAnsi" w:hAnsiTheme="minorHAnsi" w:cstheme="minorBidi"/>
          <w:sz w:val="22"/>
          <w:szCs w:val="22"/>
          <w:lang w:val="sl-SI" w:bidi="sl-SI"/>
        </w:rPr>
        <w:t xml:space="preserve">- </w:t>
      </w:r>
      <w:r w:rsidR="00200B0B">
        <w:rPr>
          <w:rFonts w:asciiTheme="minorHAnsi" w:hAnsiTheme="minorHAnsi" w:cstheme="minorBidi"/>
          <w:sz w:val="22"/>
          <w:szCs w:val="22"/>
          <w:lang w:val="sl-SI" w:bidi="sl-SI"/>
        </w:rPr>
        <w:t>je</w:t>
      </w:r>
      <w:r w:rsidR="00C759CC" w:rsidRPr="00E86598">
        <w:rPr>
          <w:rFonts w:asciiTheme="minorHAnsi" w:hAnsiTheme="minorHAnsi" w:cstheme="minorBidi"/>
          <w:sz w:val="22"/>
          <w:szCs w:val="22"/>
          <w:lang w:val="sl-SI" w:bidi="sl-SI"/>
        </w:rPr>
        <w:t xml:space="preserve"> </w:t>
      </w:r>
      <w:r w:rsidR="00200B0B" w:rsidRPr="00E86598">
        <w:rPr>
          <w:rFonts w:asciiTheme="minorHAnsi" w:hAnsiTheme="minorHAnsi" w:cstheme="minorBidi"/>
          <w:sz w:val="22"/>
          <w:szCs w:val="22"/>
          <w:lang w:val="sl-SI" w:bidi="sl-SI"/>
        </w:rPr>
        <w:t>M</w:t>
      </w:r>
      <w:r w:rsidR="00051D2B">
        <w:rPr>
          <w:rFonts w:asciiTheme="minorHAnsi" w:hAnsiTheme="minorHAnsi" w:cstheme="minorBidi"/>
          <w:sz w:val="22"/>
          <w:szCs w:val="22"/>
          <w:lang w:val="sl-SI" w:bidi="sl-SI"/>
        </w:rPr>
        <w:t>ONG</w:t>
      </w:r>
      <w:r w:rsidR="00200B0B" w:rsidRPr="00E86598">
        <w:rPr>
          <w:rFonts w:asciiTheme="minorHAnsi" w:hAnsiTheme="minorHAnsi" w:cstheme="minorBidi"/>
          <w:sz w:val="22"/>
          <w:szCs w:val="22"/>
          <w:lang w:val="sl-SI" w:bidi="sl-SI"/>
        </w:rPr>
        <w:t xml:space="preserve"> </w:t>
      </w:r>
      <w:r w:rsidR="00051D2B" w:rsidRPr="00D019AF">
        <w:rPr>
          <w:rFonts w:asciiTheme="minorHAnsi" w:hAnsiTheme="minorHAnsi" w:cstheme="minorBidi"/>
          <w:sz w:val="22"/>
          <w:szCs w:val="22"/>
          <w:lang w:val="sl-SI" w:bidi="sl-SI"/>
        </w:rPr>
        <w:t xml:space="preserve">na 31. redni seji Mestnega sveta MONG, </w:t>
      </w:r>
      <w:r>
        <w:rPr>
          <w:rFonts w:asciiTheme="minorHAnsi" w:hAnsiTheme="minorHAnsi" w:cstheme="minorBidi"/>
          <w:sz w:val="22"/>
          <w:szCs w:val="22"/>
          <w:lang w:val="sl-SI" w:bidi="sl-SI"/>
        </w:rPr>
        <w:t xml:space="preserve">dne </w:t>
      </w:r>
      <w:r w:rsidR="00051D2B" w:rsidRPr="00D019AF">
        <w:rPr>
          <w:rFonts w:asciiTheme="minorHAnsi" w:hAnsiTheme="minorHAnsi" w:cstheme="minorBidi"/>
          <w:sz w:val="22"/>
          <w:szCs w:val="22"/>
          <w:lang w:val="sl-SI" w:bidi="sl-SI"/>
        </w:rPr>
        <w:t>20. 10. 2021</w:t>
      </w:r>
      <w:r>
        <w:rPr>
          <w:rFonts w:asciiTheme="minorHAnsi" w:hAnsiTheme="minorHAnsi" w:cstheme="minorBidi"/>
          <w:sz w:val="22"/>
          <w:szCs w:val="22"/>
          <w:lang w:val="sl-SI" w:bidi="sl-SI"/>
        </w:rPr>
        <w:t xml:space="preserve"> ustanovila </w:t>
      </w:r>
      <w:r w:rsidRPr="00E86598">
        <w:rPr>
          <w:rFonts w:asciiTheme="minorHAnsi" w:hAnsiTheme="minorHAnsi" w:cstheme="minorBidi"/>
          <w:sz w:val="22"/>
          <w:szCs w:val="22"/>
          <w:lang w:val="sl-SI" w:bidi="sl-SI"/>
        </w:rPr>
        <w:t>Javni zavod GO! 2025 - Evropsk</w:t>
      </w:r>
      <w:r w:rsidRPr="00D019AF">
        <w:rPr>
          <w:rFonts w:asciiTheme="minorHAnsi" w:hAnsiTheme="minorHAnsi" w:cstheme="minorBidi"/>
          <w:sz w:val="22"/>
          <w:szCs w:val="22"/>
          <w:lang w:val="sl-SI" w:bidi="sl-SI"/>
        </w:rPr>
        <w:t>a</w:t>
      </w:r>
      <w:r w:rsidRPr="00E86598">
        <w:rPr>
          <w:rFonts w:asciiTheme="minorHAnsi" w:hAnsiTheme="minorHAnsi" w:cstheme="minorBidi"/>
          <w:sz w:val="22"/>
          <w:szCs w:val="22"/>
          <w:lang w:val="sl-SI" w:bidi="sl-SI"/>
        </w:rPr>
        <w:t xml:space="preserve"> prestolnic</w:t>
      </w:r>
      <w:r w:rsidRPr="00D019AF">
        <w:rPr>
          <w:rFonts w:asciiTheme="minorHAnsi" w:hAnsiTheme="minorHAnsi" w:cstheme="minorBidi"/>
          <w:sz w:val="22"/>
          <w:szCs w:val="22"/>
          <w:lang w:val="sl-SI" w:bidi="sl-SI"/>
        </w:rPr>
        <w:t>a</w:t>
      </w:r>
      <w:r w:rsidRPr="00E86598">
        <w:rPr>
          <w:rFonts w:asciiTheme="minorHAnsi" w:hAnsiTheme="minorHAnsi" w:cstheme="minorBidi"/>
          <w:sz w:val="22"/>
          <w:szCs w:val="22"/>
          <w:lang w:val="sl-SI" w:bidi="sl-SI"/>
        </w:rPr>
        <w:t xml:space="preserve"> kulture, Nova Gorica</w:t>
      </w:r>
      <w:r w:rsidR="00051D2B" w:rsidRPr="00D019AF">
        <w:rPr>
          <w:rFonts w:asciiTheme="minorHAnsi" w:hAnsiTheme="minorHAnsi" w:cstheme="minorBidi"/>
          <w:sz w:val="22"/>
          <w:szCs w:val="22"/>
          <w:lang w:val="sl-SI" w:bidi="sl-SI"/>
        </w:rPr>
        <w:t xml:space="preserve"> </w:t>
      </w:r>
      <w:r w:rsidR="00C759CC" w:rsidRPr="00E86598">
        <w:rPr>
          <w:rFonts w:asciiTheme="minorHAnsi" w:hAnsiTheme="minorHAnsi" w:cstheme="minorBidi"/>
          <w:sz w:val="22"/>
          <w:szCs w:val="22"/>
          <w:lang w:val="sl-SI" w:bidi="sl-SI"/>
        </w:rPr>
        <w:t>in</w:t>
      </w:r>
      <w:r w:rsidR="00051D2B">
        <w:rPr>
          <w:rFonts w:asciiTheme="minorHAnsi" w:hAnsiTheme="minorHAnsi" w:cstheme="minorBidi"/>
          <w:sz w:val="22"/>
          <w:szCs w:val="22"/>
          <w:lang w:val="sl-SI" w:bidi="sl-SI"/>
        </w:rPr>
        <w:t xml:space="preserve"> ga</w:t>
      </w:r>
      <w:r w:rsidR="00C759CC" w:rsidRPr="00E86598">
        <w:rPr>
          <w:rFonts w:asciiTheme="minorHAnsi" w:hAnsiTheme="minorHAnsi" w:cstheme="minorBidi"/>
          <w:sz w:val="22"/>
          <w:szCs w:val="22"/>
          <w:lang w:val="sl-SI" w:bidi="sl-SI"/>
        </w:rPr>
        <w:t xml:space="preserve"> 13. 12. 2021 vpisala v </w:t>
      </w:r>
      <w:r>
        <w:rPr>
          <w:rFonts w:asciiTheme="minorHAnsi" w:hAnsiTheme="minorHAnsi" w:cstheme="minorBidi"/>
          <w:sz w:val="22"/>
          <w:szCs w:val="22"/>
          <w:lang w:val="sl-SI" w:bidi="sl-SI"/>
        </w:rPr>
        <w:t>sodni</w:t>
      </w:r>
      <w:r w:rsidRPr="00E86598">
        <w:rPr>
          <w:rFonts w:asciiTheme="minorHAnsi" w:hAnsiTheme="minorHAnsi" w:cstheme="minorBidi"/>
          <w:sz w:val="22"/>
          <w:szCs w:val="22"/>
          <w:lang w:val="sl-SI" w:bidi="sl-SI"/>
        </w:rPr>
        <w:t xml:space="preserve"> </w:t>
      </w:r>
      <w:r w:rsidR="00C759CC" w:rsidRPr="00E86598">
        <w:rPr>
          <w:rFonts w:asciiTheme="minorHAnsi" w:hAnsiTheme="minorHAnsi" w:cstheme="minorBidi"/>
          <w:sz w:val="22"/>
          <w:szCs w:val="22"/>
          <w:lang w:val="sl-SI" w:bidi="sl-SI"/>
        </w:rPr>
        <w:t xml:space="preserve">register. Zavod GO! 2025 je ustanovljen z namenom vodenja, načrtovanja, priprave, organizacije in izvajanja projekta Evropska prestolnica kulture 2025 za ves čas trajanja projekta. </w:t>
      </w:r>
    </w:p>
    <w:p w14:paraId="31704187" w14:textId="2B1AE898" w:rsidR="00BC7C0A" w:rsidRDefault="003D3003" w:rsidP="00C759CC">
      <w:pPr>
        <w:spacing w:before="113" w:after="113"/>
        <w:jc w:val="both"/>
        <w:rPr>
          <w:rFonts w:asciiTheme="minorHAnsi" w:hAnsiTheme="minorHAnsi" w:cstheme="minorBidi"/>
          <w:sz w:val="22"/>
          <w:szCs w:val="22"/>
          <w:lang w:val="sl-SI" w:bidi="sl-SI"/>
        </w:rPr>
      </w:pPr>
      <w:r>
        <w:rPr>
          <w:rFonts w:asciiTheme="minorHAnsi" w:hAnsiTheme="minorHAnsi" w:cstheme="minorBidi"/>
          <w:sz w:val="22"/>
          <w:szCs w:val="22"/>
          <w:lang w:val="sl-SI" w:bidi="sl-SI"/>
        </w:rPr>
        <w:t xml:space="preserve"> - p</w:t>
      </w:r>
      <w:r w:rsidR="00C759CC" w:rsidRPr="00E86598">
        <w:rPr>
          <w:rFonts w:asciiTheme="minorHAnsi" w:hAnsiTheme="minorHAnsi" w:cstheme="minorBidi"/>
          <w:sz w:val="22"/>
          <w:szCs w:val="22"/>
          <w:lang w:val="sl-SI" w:bidi="sl-SI"/>
        </w:rPr>
        <w:t>ri opravljanju svojih nalog Zavod GO! 2025 sodeluje z EZTS GO</w:t>
      </w:r>
      <w:r>
        <w:rPr>
          <w:rFonts w:asciiTheme="minorHAnsi" w:hAnsiTheme="minorHAnsi" w:cstheme="minorBidi"/>
          <w:sz w:val="22"/>
          <w:szCs w:val="22"/>
          <w:lang w:val="sl-SI" w:bidi="sl-SI"/>
        </w:rPr>
        <w:t xml:space="preserve">, zato stranki dogovora urejata </w:t>
      </w:r>
      <w:r w:rsidR="00C759CC" w:rsidRPr="00E86598">
        <w:rPr>
          <w:rFonts w:asciiTheme="minorHAnsi" w:hAnsiTheme="minorHAnsi" w:cstheme="minorBidi"/>
          <w:sz w:val="22"/>
          <w:szCs w:val="22"/>
          <w:lang w:val="sl-SI" w:bidi="sl-SI"/>
        </w:rPr>
        <w:t>medsebojna razmerja s to pogodbo</w:t>
      </w:r>
      <w:r w:rsidR="00051D2B">
        <w:rPr>
          <w:rFonts w:asciiTheme="minorHAnsi" w:hAnsiTheme="minorHAnsi" w:cstheme="minorBidi"/>
          <w:sz w:val="22"/>
          <w:szCs w:val="22"/>
          <w:lang w:val="sl-SI" w:bidi="sl-SI"/>
        </w:rPr>
        <w:t xml:space="preserve">, </w:t>
      </w:r>
    </w:p>
    <w:p w14:paraId="5CAD9CCC" w14:textId="59E75FEA" w:rsidR="00C759CC" w:rsidRPr="00E86598" w:rsidRDefault="00BC7C0A" w:rsidP="00C759CC">
      <w:pPr>
        <w:spacing w:before="113" w:after="113"/>
        <w:jc w:val="both"/>
        <w:rPr>
          <w:rFonts w:asciiTheme="minorHAnsi" w:hAnsiTheme="minorHAnsi" w:cstheme="minorBidi"/>
          <w:sz w:val="22"/>
          <w:szCs w:val="22"/>
          <w:lang w:val="sl-SI"/>
        </w:rPr>
      </w:pPr>
      <w:r>
        <w:rPr>
          <w:rFonts w:asciiTheme="minorHAnsi" w:hAnsiTheme="minorHAnsi" w:cstheme="minorBidi"/>
          <w:sz w:val="22"/>
          <w:szCs w:val="22"/>
          <w:lang w:val="sl-SI" w:bidi="sl-SI"/>
        </w:rPr>
        <w:t xml:space="preserve">- da pred </w:t>
      </w:r>
      <w:r w:rsidRPr="005E58CC">
        <w:rPr>
          <w:rFonts w:asciiTheme="minorHAnsi" w:hAnsiTheme="minorHAnsi" w:cstheme="minorBidi"/>
          <w:sz w:val="22"/>
          <w:szCs w:val="22"/>
          <w:lang w:val="sl-SI" w:bidi="sl-SI"/>
        </w:rPr>
        <w:t>veljavnostjo t</w:t>
      </w:r>
      <w:r w:rsidR="005E58CC" w:rsidRPr="005E58CC">
        <w:rPr>
          <w:rFonts w:asciiTheme="minorHAnsi" w:hAnsiTheme="minorHAnsi" w:cstheme="minorBidi"/>
          <w:sz w:val="22"/>
          <w:szCs w:val="22"/>
          <w:lang w:val="sl-SI" w:bidi="sl-SI"/>
        </w:rPr>
        <w:t>o pog</w:t>
      </w:r>
      <w:r w:rsidR="005E58CC">
        <w:rPr>
          <w:rFonts w:asciiTheme="minorHAnsi" w:hAnsiTheme="minorHAnsi" w:cstheme="minorBidi"/>
          <w:sz w:val="22"/>
          <w:szCs w:val="22"/>
          <w:lang w:val="sl-SI" w:bidi="sl-SI"/>
        </w:rPr>
        <w:t xml:space="preserve">odbo </w:t>
      </w:r>
      <w:r w:rsidR="00051D2B">
        <w:rPr>
          <w:rFonts w:asciiTheme="minorHAnsi" w:hAnsiTheme="minorHAnsi" w:cstheme="minorBidi"/>
          <w:sz w:val="22"/>
          <w:szCs w:val="22"/>
          <w:lang w:val="sl-SI" w:bidi="sl-SI"/>
        </w:rPr>
        <w:t>potrdi Mestni svet MONG</w:t>
      </w:r>
      <w:r>
        <w:rPr>
          <w:rFonts w:asciiTheme="minorHAnsi" w:hAnsiTheme="minorHAnsi" w:cstheme="minorBidi"/>
          <w:sz w:val="22"/>
          <w:szCs w:val="22"/>
          <w:lang w:val="sl-SI" w:bidi="sl-SI"/>
        </w:rPr>
        <w:t>.</w:t>
      </w:r>
    </w:p>
    <w:p w14:paraId="0B6532B4" w14:textId="7FE7AF00" w:rsidR="00C759CC" w:rsidRDefault="00C759CC" w:rsidP="00C759CC">
      <w:pPr>
        <w:spacing w:before="113" w:after="113"/>
        <w:jc w:val="both"/>
        <w:rPr>
          <w:rFonts w:asciiTheme="minorHAnsi" w:hAnsiTheme="minorHAnsi" w:cstheme="minorHAnsi"/>
          <w:sz w:val="22"/>
          <w:szCs w:val="22"/>
          <w:lang w:val="sl-SI"/>
        </w:rPr>
      </w:pPr>
    </w:p>
    <w:p w14:paraId="76318470" w14:textId="6E725778" w:rsidR="00BC7C0A" w:rsidRPr="00375C8F" w:rsidRDefault="00BC7C0A"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2. člen</w:t>
      </w:r>
    </w:p>
    <w:p w14:paraId="4456C8C8" w14:textId="2AF4109E" w:rsidR="00C759CC" w:rsidRPr="00E86598"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 xml:space="preserve">Projekt </w:t>
      </w:r>
      <w:r w:rsidR="00BC7C0A">
        <w:rPr>
          <w:rFonts w:asciiTheme="minorHAnsi" w:hAnsiTheme="minorHAnsi" w:cstheme="minorHAnsi"/>
          <w:sz w:val="22"/>
          <w:szCs w:val="22"/>
          <w:lang w:val="sl-SI" w:bidi="sl-SI"/>
        </w:rPr>
        <w:t>EPK</w:t>
      </w:r>
      <w:r w:rsidRPr="00E86598">
        <w:rPr>
          <w:rFonts w:asciiTheme="minorHAnsi" w:hAnsiTheme="minorHAnsi" w:cstheme="minorHAnsi"/>
          <w:sz w:val="22"/>
          <w:szCs w:val="22"/>
          <w:lang w:val="sl-SI" w:bidi="sl-SI"/>
        </w:rPr>
        <w:t xml:space="preserve"> 2025 opredeljujejo:</w:t>
      </w:r>
    </w:p>
    <w:p w14:paraId="50616CA2" w14:textId="77777777" w:rsidR="00C759CC" w:rsidRPr="00D019AF" w:rsidRDefault="00C759CC" w:rsidP="00C759CC">
      <w:pPr>
        <w:pStyle w:val="Odstavekseznama"/>
        <w:numPr>
          <w:ilvl w:val="0"/>
          <w:numId w:val="39"/>
        </w:numPr>
        <w:spacing w:before="113" w:after="113"/>
        <w:jc w:val="both"/>
        <w:rPr>
          <w:sz w:val="22"/>
          <w:szCs w:val="22"/>
          <w:lang w:val="sl-SI" w:bidi="sl-SI"/>
        </w:rPr>
      </w:pPr>
      <w:r w:rsidRPr="00D019AF">
        <w:rPr>
          <w:sz w:val="22"/>
          <w:szCs w:val="22"/>
          <w:lang w:val="sl-SI" w:bidi="sl-SI"/>
        </w:rPr>
        <w:t>Sklep Evropskega parlamenta in Sveta št. 445/2014/EU,</w:t>
      </w:r>
    </w:p>
    <w:p w14:paraId="449163BC" w14:textId="77777777" w:rsidR="00C759CC" w:rsidRPr="00D019AF" w:rsidRDefault="00C759CC" w:rsidP="00C759CC">
      <w:pPr>
        <w:pStyle w:val="Odstavekseznama"/>
        <w:numPr>
          <w:ilvl w:val="0"/>
          <w:numId w:val="39"/>
        </w:numPr>
        <w:spacing w:before="113" w:after="113"/>
        <w:jc w:val="both"/>
        <w:rPr>
          <w:sz w:val="22"/>
          <w:szCs w:val="22"/>
          <w:lang w:val="sl-SI" w:bidi="sl-SI"/>
        </w:rPr>
      </w:pPr>
      <w:r w:rsidRPr="00D019AF">
        <w:rPr>
          <w:sz w:val="22"/>
          <w:szCs w:val="22"/>
          <w:lang w:val="sl-SI" w:bidi="sl-SI"/>
        </w:rPr>
        <w:t xml:space="preserve">končna prijava v razpisu za podelitev naziva Evropska prestolnica kulture 2025 (prijavna knjiga GO! </w:t>
      </w:r>
      <w:proofErr w:type="spellStart"/>
      <w:r w:rsidRPr="00D019AF">
        <w:rPr>
          <w:sz w:val="22"/>
          <w:szCs w:val="22"/>
          <w:lang w:val="sl-SI" w:bidi="sl-SI"/>
        </w:rPr>
        <w:t>Borderless</w:t>
      </w:r>
      <w:proofErr w:type="spellEnd"/>
      <w:r w:rsidRPr="00D019AF">
        <w:rPr>
          <w:sz w:val="22"/>
          <w:szCs w:val="22"/>
          <w:lang w:val="sl-SI" w:bidi="sl-SI"/>
        </w:rPr>
        <w:t>)</w:t>
      </w:r>
    </w:p>
    <w:p w14:paraId="18ABF7D2" w14:textId="77777777" w:rsidR="00C759CC" w:rsidRPr="00D019AF" w:rsidRDefault="00C759CC" w:rsidP="00C759CC">
      <w:pPr>
        <w:pStyle w:val="Odstavekseznama"/>
        <w:numPr>
          <w:ilvl w:val="0"/>
          <w:numId w:val="39"/>
        </w:numPr>
        <w:spacing w:before="113" w:after="113"/>
        <w:jc w:val="both"/>
        <w:rPr>
          <w:sz w:val="22"/>
          <w:szCs w:val="22"/>
          <w:lang w:val="sl-SI" w:bidi="sl-SI"/>
        </w:rPr>
      </w:pPr>
      <w:r w:rsidRPr="00D019AF">
        <w:rPr>
          <w:sz w:val="22"/>
          <w:szCs w:val="22"/>
          <w:lang w:val="sl-SI" w:bidi="sl-SI"/>
        </w:rPr>
        <w:t>veljavni Lokalni program kulture Mestne občine Nova Gorica</w:t>
      </w:r>
    </w:p>
    <w:p w14:paraId="184EE292" w14:textId="77777777" w:rsidR="00C759CC" w:rsidRPr="00E86598" w:rsidRDefault="00C759CC" w:rsidP="00C759CC">
      <w:pPr>
        <w:spacing w:before="113" w:after="113"/>
        <w:jc w:val="both"/>
        <w:rPr>
          <w:rFonts w:asciiTheme="minorHAnsi" w:hAnsiTheme="minorHAnsi" w:cstheme="minorHAnsi"/>
          <w:sz w:val="22"/>
          <w:szCs w:val="22"/>
          <w:lang w:val="sl-SI"/>
        </w:rPr>
      </w:pPr>
    </w:p>
    <w:p w14:paraId="4CA757C5" w14:textId="11FC6242" w:rsidR="00051D2B" w:rsidRPr="005E58CC" w:rsidRDefault="0051448A"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rPr>
        <w:t>Na podlagi</w:t>
      </w:r>
      <w:r w:rsidR="00C759CC" w:rsidRPr="00D019AF">
        <w:rPr>
          <w:rFonts w:asciiTheme="minorHAnsi" w:hAnsiTheme="minorHAnsi" w:cstheme="minorHAnsi"/>
          <w:sz w:val="22"/>
          <w:szCs w:val="22"/>
          <w:lang w:val="sl-SI"/>
        </w:rPr>
        <w:t xml:space="preserve"> 6. odst</w:t>
      </w:r>
      <w:r>
        <w:rPr>
          <w:rFonts w:asciiTheme="minorHAnsi" w:hAnsiTheme="minorHAnsi" w:cstheme="minorHAnsi"/>
          <w:sz w:val="22"/>
          <w:szCs w:val="22"/>
          <w:lang w:val="sl-SI"/>
        </w:rPr>
        <w:t>avka</w:t>
      </w:r>
      <w:r w:rsidR="00C759CC" w:rsidRPr="00D019AF">
        <w:rPr>
          <w:rFonts w:asciiTheme="minorHAnsi" w:hAnsiTheme="minorHAnsi" w:cstheme="minorHAnsi"/>
          <w:sz w:val="22"/>
          <w:szCs w:val="22"/>
          <w:lang w:val="sl-SI"/>
        </w:rPr>
        <w:t xml:space="preserve"> 5</w:t>
      </w:r>
      <w:r w:rsidR="00C759CC" w:rsidRPr="005E58CC">
        <w:rPr>
          <w:rFonts w:asciiTheme="minorHAnsi" w:hAnsiTheme="minorHAnsi" w:cstheme="minorHAnsi"/>
          <w:sz w:val="22"/>
          <w:szCs w:val="22"/>
          <w:lang w:val="sl-SI"/>
        </w:rPr>
        <w:t>. čl</w:t>
      </w:r>
      <w:r w:rsidRPr="005E58CC">
        <w:rPr>
          <w:rFonts w:asciiTheme="minorHAnsi" w:hAnsiTheme="minorHAnsi" w:cstheme="minorHAnsi"/>
          <w:sz w:val="22"/>
          <w:szCs w:val="22"/>
          <w:lang w:val="sl-SI"/>
        </w:rPr>
        <w:t>ena</w:t>
      </w:r>
      <w:r w:rsidR="00C759CC" w:rsidRPr="005E58CC">
        <w:rPr>
          <w:rFonts w:asciiTheme="minorHAnsi" w:hAnsiTheme="minorHAnsi" w:cstheme="minorHAnsi"/>
          <w:sz w:val="22"/>
          <w:szCs w:val="22"/>
          <w:lang w:val="sl-SI"/>
        </w:rPr>
        <w:t xml:space="preserve"> Zakonodajnega odloka št. 50 z dne 18. 4. 2016 (na italijanski strani) in 6. odst</w:t>
      </w:r>
      <w:r w:rsidRPr="005E58CC">
        <w:rPr>
          <w:rFonts w:asciiTheme="minorHAnsi" w:hAnsiTheme="minorHAnsi" w:cstheme="minorHAnsi"/>
          <w:sz w:val="22"/>
          <w:szCs w:val="22"/>
          <w:lang w:val="sl-SI"/>
        </w:rPr>
        <w:t>avka</w:t>
      </w:r>
      <w:r w:rsidR="00C759CC" w:rsidRPr="005E58CC">
        <w:rPr>
          <w:rFonts w:asciiTheme="minorHAnsi" w:hAnsiTheme="minorHAnsi" w:cstheme="minorHAnsi"/>
          <w:sz w:val="22"/>
          <w:szCs w:val="22"/>
          <w:lang w:val="sl-SI"/>
        </w:rPr>
        <w:t xml:space="preserve"> 28. čl</w:t>
      </w:r>
      <w:r w:rsidRPr="005E58CC">
        <w:rPr>
          <w:rFonts w:asciiTheme="minorHAnsi" w:hAnsiTheme="minorHAnsi" w:cstheme="minorHAnsi"/>
          <w:sz w:val="22"/>
          <w:szCs w:val="22"/>
          <w:lang w:val="sl-SI"/>
        </w:rPr>
        <w:t>ena</w:t>
      </w:r>
      <w:r w:rsidR="00C759CC" w:rsidRPr="005E58CC">
        <w:rPr>
          <w:rFonts w:asciiTheme="minorHAnsi" w:hAnsiTheme="minorHAnsi" w:cstheme="minorHAnsi"/>
          <w:sz w:val="22"/>
          <w:szCs w:val="22"/>
          <w:lang w:val="sl-SI"/>
        </w:rPr>
        <w:t xml:space="preserve"> Zakona o javn</w:t>
      </w:r>
      <w:r w:rsidRPr="005E58CC">
        <w:rPr>
          <w:rFonts w:asciiTheme="minorHAnsi" w:hAnsiTheme="minorHAnsi" w:cstheme="minorHAnsi"/>
          <w:sz w:val="22"/>
          <w:szCs w:val="22"/>
          <w:lang w:val="sl-SI"/>
        </w:rPr>
        <w:t xml:space="preserve">em naročanju </w:t>
      </w:r>
      <w:r w:rsidR="00BC7C0A" w:rsidRPr="005E58CC">
        <w:rPr>
          <w:rFonts w:asciiTheme="minorHAnsi" w:hAnsiTheme="minorHAnsi" w:cstheme="minorHAnsi"/>
          <w:sz w:val="22"/>
          <w:szCs w:val="22"/>
          <w:lang w:val="sl-SI"/>
        </w:rPr>
        <w:t xml:space="preserve">(UL RS, št. 91/15 in </w:t>
      </w:r>
      <w:proofErr w:type="spellStart"/>
      <w:r w:rsidR="00BC7C0A" w:rsidRPr="005E58CC">
        <w:rPr>
          <w:rFonts w:asciiTheme="minorHAnsi" w:hAnsiTheme="minorHAnsi" w:cstheme="minorHAnsi"/>
          <w:sz w:val="22"/>
          <w:szCs w:val="22"/>
          <w:lang w:val="sl-SI"/>
        </w:rPr>
        <w:t>nasl</w:t>
      </w:r>
      <w:proofErr w:type="spellEnd"/>
      <w:r w:rsidR="00BC7C0A" w:rsidRPr="005E58CC">
        <w:rPr>
          <w:rFonts w:asciiTheme="minorHAnsi" w:hAnsiTheme="minorHAnsi" w:cstheme="minorHAnsi"/>
          <w:sz w:val="22"/>
          <w:szCs w:val="22"/>
          <w:lang w:val="sl-SI"/>
        </w:rPr>
        <w:t>.</w:t>
      </w:r>
      <w:r w:rsidRPr="005E58CC">
        <w:rPr>
          <w:rFonts w:asciiTheme="minorHAnsi" w:hAnsiTheme="minorHAnsi" w:cstheme="minorHAnsi"/>
          <w:sz w:val="22"/>
          <w:szCs w:val="22"/>
          <w:lang w:val="sl-SI"/>
        </w:rPr>
        <w:t xml:space="preserve"> - ZJN-3</w:t>
      </w:r>
      <w:r w:rsidR="00BC7C0A" w:rsidRPr="005E58CC">
        <w:rPr>
          <w:rFonts w:asciiTheme="minorHAnsi" w:hAnsiTheme="minorHAnsi" w:cstheme="minorHAnsi"/>
          <w:sz w:val="22"/>
          <w:szCs w:val="22"/>
          <w:lang w:val="sl-SI"/>
        </w:rPr>
        <w:t xml:space="preserve">) </w:t>
      </w:r>
      <w:r w:rsidR="00C759CC" w:rsidRPr="005E58CC">
        <w:rPr>
          <w:rFonts w:asciiTheme="minorHAnsi" w:hAnsiTheme="minorHAnsi" w:cstheme="minorHAnsi"/>
          <w:sz w:val="22"/>
          <w:szCs w:val="22"/>
          <w:lang w:val="sl-SI"/>
        </w:rPr>
        <w:t xml:space="preserve">z dne 18. 11. 2015 (na slovenski strani) </w:t>
      </w:r>
      <w:r w:rsidRPr="005E58CC">
        <w:rPr>
          <w:rFonts w:asciiTheme="minorHAnsi" w:hAnsiTheme="minorHAnsi" w:cstheme="minorHAnsi"/>
          <w:sz w:val="22"/>
          <w:szCs w:val="22"/>
          <w:lang w:val="sl-SI"/>
        </w:rPr>
        <w:t>se navedena zakonodaja s področja javnega naročanja za potrebe sklenitve te</w:t>
      </w:r>
      <w:r w:rsidR="005E58CC" w:rsidRPr="005E58CC">
        <w:rPr>
          <w:rFonts w:asciiTheme="minorHAnsi" w:hAnsiTheme="minorHAnsi" w:cstheme="minorHAnsi"/>
          <w:sz w:val="22"/>
          <w:szCs w:val="22"/>
          <w:lang w:val="sl-SI"/>
        </w:rPr>
        <w:t xml:space="preserve"> pogodbe </w:t>
      </w:r>
      <w:r w:rsidRPr="005E58CC">
        <w:rPr>
          <w:rFonts w:asciiTheme="minorHAnsi" w:hAnsiTheme="minorHAnsi" w:cstheme="minorHAnsi"/>
          <w:sz w:val="22"/>
          <w:szCs w:val="22"/>
          <w:lang w:val="sl-SI"/>
        </w:rPr>
        <w:t xml:space="preserve">ne uporablja, </w:t>
      </w:r>
      <w:r w:rsidR="00C759CC" w:rsidRPr="005E58CC">
        <w:rPr>
          <w:rFonts w:asciiTheme="minorHAnsi" w:hAnsiTheme="minorHAnsi" w:cstheme="minorHAnsi"/>
          <w:sz w:val="22"/>
          <w:szCs w:val="22"/>
          <w:lang w:val="sl-SI"/>
        </w:rPr>
        <w:t>v kolikor:</w:t>
      </w:r>
    </w:p>
    <w:p w14:paraId="78FD4129" w14:textId="42109BFA" w:rsidR="00051D2B" w:rsidRPr="00D019AF" w:rsidRDefault="00051D2B" w:rsidP="00051D2B">
      <w:pPr>
        <w:spacing w:before="113" w:after="113"/>
        <w:jc w:val="both"/>
        <w:rPr>
          <w:rFonts w:asciiTheme="minorHAnsi" w:hAnsiTheme="minorHAnsi" w:cstheme="minorHAnsi"/>
          <w:sz w:val="22"/>
          <w:szCs w:val="22"/>
          <w:lang w:val="sl-SI"/>
        </w:rPr>
      </w:pPr>
      <w:r w:rsidRPr="005E58CC">
        <w:rPr>
          <w:rFonts w:asciiTheme="minorHAnsi" w:hAnsiTheme="minorHAnsi" w:cstheme="minorHAnsi"/>
          <w:sz w:val="22"/>
          <w:szCs w:val="22"/>
          <w:lang w:val="sl-SI"/>
        </w:rPr>
        <w:t xml:space="preserve"> (i) </w:t>
      </w:r>
      <w:r w:rsidR="005E58CC" w:rsidRPr="005E58CC">
        <w:rPr>
          <w:rFonts w:asciiTheme="minorHAnsi" w:hAnsiTheme="minorHAnsi" w:cstheme="minorHAnsi"/>
          <w:sz w:val="22"/>
          <w:szCs w:val="22"/>
          <w:lang w:val="sl-SI"/>
        </w:rPr>
        <w:t>pogodba</w:t>
      </w:r>
      <w:r w:rsidR="00C759CC" w:rsidRPr="005E58CC">
        <w:rPr>
          <w:rFonts w:asciiTheme="minorHAnsi" w:hAnsiTheme="minorHAnsi" w:cstheme="minorHAnsi"/>
          <w:sz w:val="22"/>
          <w:szCs w:val="22"/>
          <w:lang w:val="sl-SI"/>
        </w:rPr>
        <w:t xml:space="preserve"> vzpostavlja sodelovanje med Zavodom GO! 2025 in EZTS GO v vlogi naročnikov, katerih cilj je zagotoviti izvajanje javne storitve</w:t>
      </w:r>
      <w:r w:rsidR="00C759CC" w:rsidRPr="00D019AF">
        <w:rPr>
          <w:rFonts w:asciiTheme="minorHAnsi" w:hAnsiTheme="minorHAnsi" w:cstheme="minorHAnsi"/>
          <w:sz w:val="22"/>
          <w:szCs w:val="22"/>
          <w:lang w:val="sl-SI"/>
        </w:rPr>
        <w:t xml:space="preserve"> za uresničitev Projekta Nova Gorica in Gorica »Evropska prestolnica kulture 2025«;</w:t>
      </w:r>
    </w:p>
    <w:p w14:paraId="040F1B2A" w14:textId="4704CFC7" w:rsidR="00051D2B" w:rsidRPr="00D019AF" w:rsidRDefault="00C759CC" w:rsidP="00051D2B">
      <w:pPr>
        <w:rPr>
          <w:rFonts w:asciiTheme="minorHAnsi" w:hAnsiTheme="minorHAnsi" w:cstheme="minorHAnsi"/>
          <w:sz w:val="22"/>
          <w:szCs w:val="22"/>
          <w:lang w:val="sl-SI"/>
        </w:rPr>
      </w:pPr>
      <w:r w:rsidRPr="00D019AF">
        <w:rPr>
          <w:rFonts w:asciiTheme="minorHAnsi" w:hAnsiTheme="minorHAnsi" w:cstheme="minorHAnsi"/>
          <w:sz w:val="22"/>
          <w:szCs w:val="22"/>
          <w:lang w:val="sl-SI"/>
        </w:rPr>
        <w:t xml:space="preserve">(ii) sporazum o takem sodelovanju vodi izključno javni interes, saj </w:t>
      </w:r>
      <w:r w:rsidR="005E58CC">
        <w:rPr>
          <w:rFonts w:asciiTheme="minorHAnsi" w:hAnsiTheme="minorHAnsi" w:cstheme="minorHAnsi"/>
          <w:sz w:val="22"/>
          <w:szCs w:val="22"/>
          <w:lang w:val="sl-SI"/>
        </w:rPr>
        <w:t>pogodba</w:t>
      </w:r>
      <w:r w:rsidRPr="00D019AF">
        <w:rPr>
          <w:rFonts w:asciiTheme="minorHAnsi" w:hAnsiTheme="minorHAnsi" w:cstheme="minorHAnsi"/>
          <w:sz w:val="22"/>
          <w:szCs w:val="22"/>
          <w:lang w:val="sl-SI"/>
        </w:rPr>
        <w:t xml:space="preserve"> razvija obliko upravljanja, ki krepi intervencije v korist državljanov na območju EZTS GO;</w:t>
      </w:r>
    </w:p>
    <w:p w14:paraId="2556C61F" w14:textId="70F5CE4D" w:rsidR="00C759CC" w:rsidRPr="00D019AF" w:rsidRDefault="00C759CC" w:rsidP="00D019AF">
      <w:pPr>
        <w:rPr>
          <w:rFonts w:asciiTheme="minorHAnsi" w:hAnsiTheme="minorHAnsi" w:cstheme="minorHAnsi"/>
          <w:sz w:val="22"/>
          <w:szCs w:val="22"/>
          <w:lang w:val="sl-SI"/>
        </w:rPr>
      </w:pPr>
      <w:r w:rsidRPr="00D019AF">
        <w:rPr>
          <w:rFonts w:asciiTheme="minorHAnsi" w:hAnsiTheme="minorHAnsi" w:cstheme="minorHAnsi"/>
          <w:sz w:val="22"/>
          <w:szCs w:val="22"/>
          <w:lang w:val="sl-SI"/>
        </w:rPr>
        <w:t xml:space="preserve">(iii) Zavodom GO! 2025 in EZTS GO ne izvajata dejavnosti sodelovanja na institucionalno odprtem trgu. </w:t>
      </w:r>
    </w:p>
    <w:p w14:paraId="0CFB46E4" w14:textId="327D67D7" w:rsidR="00C759CC" w:rsidRDefault="00C759CC" w:rsidP="00C759CC">
      <w:pPr>
        <w:spacing w:before="113" w:after="113"/>
        <w:jc w:val="both"/>
        <w:rPr>
          <w:rFonts w:asciiTheme="minorHAnsi" w:hAnsiTheme="minorHAnsi" w:cstheme="minorHAnsi"/>
          <w:sz w:val="22"/>
          <w:szCs w:val="22"/>
          <w:lang w:val="sl-SI"/>
        </w:rPr>
      </w:pPr>
      <w:bookmarkStart w:id="1" w:name="_Hlk116647750"/>
      <w:r w:rsidRPr="00BD594A">
        <w:rPr>
          <w:rFonts w:asciiTheme="minorHAnsi" w:hAnsiTheme="minorHAnsi" w:cstheme="minorHAnsi"/>
          <w:sz w:val="22"/>
          <w:szCs w:val="22"/>
          <w:lang w:val="sl-SI"/>
        </w:rPr>
        <w:t>Glede na 15. člen "Sporazumi med javnimi upravami" zakona št. 241/1990 (italijanska zakonodaja).</w:t>
      </w:r>
    </w:p>
    <w:bookmarkEnd w:id="1"/>
    <w:p w14:paraId="10057D66" w14:textId="77777777" w:rsidR="0051448A" w:rsidRPr="00D019AF" w:rsidRDefault="0051448A" w:rsidP="00C759CC">
      <w:pPr>
        <w:spacing w:before="113" w:after="113"/>
        <w:jc w:val="both"/>
        <w:rPr>
          <w:rFonts w:asciiTheme="minorHAnsi" w:hAnsiTheme="minorHAnsi" w:cstheme="minorHAnsi"/>
          <w:sz w:val="22"/>
          <w:szCs w:val="22"/>
          <w:lang w:val="sl-SI"/>
        </w:rPr>
      </w:pPr>
    </w:p>
    <w:p w14:paraId="58456E16" w14:textId="2E06D0DC" w:rsidR="0051448A" w:rsidRPr="00375C8F" w:rsidRDefault="0051448A"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3. člen</w:t>
      </w:r>
    </w:p>
    <w:p w14:paraId="73E72C4C" w14:textId="1AA4BB77" w:rsidR="00975A3D"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rPr>
        <w:t xml:space="preserve">Ta </w:t>
      </w:r>
      <w:r w:rsidR="005E58CC">
        <w:rPr>
          <w:rFonts w:asciiTheme="minorHAnsi" w:hAnsiTheme="minorHAnsi" w:cstheme="minorHAnsi"/>
          <w:sz w:val="22"/>
          <w:szCs w:val="22"/>
          <w:lang w:val="sl-SI"/>
        </w:rPr>
        <w:t>pogodba</w:t>
      </w:r>
      <w:r w:rsidRPr="00E86598">
        <w:rPr>
          <w:rFonts w:asciiTheme="minorHAnsi" w:hAnsiTheme="minorHAnsi" w:cstheme="minorHAnsi"/>
          <w:sz w:val="22"/>
          <w:szCs w:val="22"/>
          <w:lang w:val="sl-SI"/>
        </w:rPr>
        <w:t xml:space="preserve"> ureja </w:t>
      </w:r>
      <w:r w:rsidR="0051448A">
        <w:rPr>
          <w:rFonts w:asciiTheme="minorHAnsi" w:hAnsiTheme="minorHAnsi" w:cstheme="minorHAnsi"/>
          <w:sz w:val="22"/>
          <w:szCs w:val="22"/>
          <w:lang w:val="sl-SI"/>
        </w:rPr>
        <w:t xml:space="preserve">sodelovanje med strankama dogovora  pri </w:t>
      </w:r>
      <w:r w:rsidRPr="00E86598">
        <w:rPr>
          <w:rFonts w:asciiTheme="minorHAnsi" w:hAnsiTheme="minorHAnsi" w:cstheme="minorHAnsi"/>
          <w:sz w:val="22"/>
          <w:szCs w:val="22"/>
          <w:lang w:val="sl-SI"/>
        </w:rPr>
        <w:t>načrtovanj</w:t>
      </w:r>
      <w:r w:rsidR="0051448A">
        <w:rPr>
          <w:rFonts w:asciiTheme="minorHAnsi" w:hAnsiTheme="minorHAnsi" w:cstheme="minorHAnsi"/>
          <w:sz w:val="22"/>
          <w:szCs w:val="22"/>
          <w:lang w:val="sl-SI"/>
        </w:rPr>
        <w:t>u</w:t>
      </w:r>
      <w:r w:rsidRPr="00E86598">
        <w:rPr>
          <w:rFonts w:asciiTheme="minorHAnsi" w:hAnsiTheme="minorHAnsi" w:cstheme="minorHAnsi"/>
          <w:sz w:val="22"/>
          <w:szCs w:val="22"/>
          <w:lang w:val="sl-SI"/>
        </w:rPr>
        <w:t>, izvedb</w:t>
      </w:r>
      <w:r w:rsidR="0051448A">
        <w:rPr>
          <w:rFonts w:asciiTheme="minorHAnsi" w:hAnsiTheme="minorHAnsi" w:cstheme="minorHAnsi"/>
          <w:sz w:val="22"/>
          <w:szCs w:val="22"/>
          <w:lang w:val="sl-SI"/>
        </w:rPr>
        <w:t>i</w:t>
      </w:r>
      <w:r w:rsidRPr="00E86598">
        <w:rPr>
          <w:rFonts w:asciiTheme="minorHAnsi" w:hAnsiTheme="minorHAnsi" w:cstheme="minorHAnsi"/>
          <w:sz w:val="22"/>
          <w:szCs w:val="22"/>
          <w:lang w:val="sl-SI"/>
        </w:rPr>
        <w:t xml:space="preserve"> in evalvacij</w:t>
      </w:r>
      <w:r w:rsidR="0051448A">
        <w:rPr>
          <w:rFonts w:asciiTheme="minorHAnsi" w:hAnsiTheme="minorHAnsi" w:cstheme="minorHAnsi"/>
          <w:sz w:val="22"/>
          <w:szCs w:val="22"/>
          <w:lang w:val="sl-SI"/>
        </w:rPr>
        <w:t>i</w:t>
      </w:r>
      <w:r w:rsidRPr="00E86598">
        <w:rPr>
          <w:rFonts w:asciiTheme="minorHAnsi" w:hAnsiTheme="minorHAnsi" w:cstheme="minorHAnsi"/>
          <w:sz w:val="22"/>
          <w:szCs w:val="22"/>
          <w:lang w:val="sl-SI"/>
        </w:rPr>
        <w:t xml:space="preserve"> projekta EPK 2025.</w:t>
      </w:r>
    </w:p>
    <w:p w14:paraId="32204198" w14:textId="77777777" w:rsidR="00975A3D" w:rsidRPr="00E86598" w:rsidRDefault="00975A3D" w:rsidP="00C759CC">
      <w:pPr>
        <w:spacing w:before="113" w:after="113"/>
        <w:jc w:val="both"/>
        <w:rPr>
          <w:rFonts w:asciiTheme="minorHAnsi" w:hAnsiTheme="minorHAnsi" w:cstheme="minorHAnsi"/>
          <w:sz w:val="22"/>
          <w:szCs w:val="22"/>
          <w:lang w:val="sl-SI"/>
        </w:rPr>
      </w:pPr>
    </w:p>
    <w:p w14:paraId="09345724" w14:textId="5CB9FD40" w:rsidR="0051448A" w:rsidRPr="00375C8F" w:rsidRDefault="0051448A"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lastRenderedPageBreak/>
        <w:t>4. člen</w:t>
      </w:r>
    </w:p>
    <w:p w14:paraId="7A043B25" w14:textId="75629B1A" w:rsidR="00C759CC" w:rsidRPr="00975A3D" w:rsidRDefault="005E58CC"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rPr>
        <w:t>Pogodba</w:t>
      </w:r>
      <w:r w:rsidR="00C759CC" w:rsidRPr="00975A3D">
        <w:rPr>
          <w:rFonts w:asciiTheme="minorHAnsi" w:hAnsiTheme="minorHAnsi" w:cstheme="minorHAnsi"/>
          <w:sz w:val="22"/>
          <w:szCs w:val="22"/>
          <w:lang w:val="sl-SI"/>
        </w:rPr>
        <w:t xml:space="preserve"> </w:t>
      </w:r>
      <w:r w:rsidR="0051448A" w:rsidRPr="00975A3D">
        <w:rPr>
          <w:rFonts w:asciiTheme="minorHAnsi" w:hAnsiTheme="minorHAnsi" w:cstheme="minorHAnsi"/>
          <w:sz w:val="22"/>
          <w:szCs w:val="22"/>
          <w:lang w:val="sl-SI"/>
        </w:rPr>
        <w:t xml:space="preserve">začne veljati z dnem podpisa obeh strank in </w:t>
      </w:r>
      <w:r w:rsidR="00C759CC" w:rsidRPr="00975A3D">
        <w:rPr>
          <w:rFonts w:asciiTheme="minorHAnsi" w:hAnsiTheme="minorHAnsi" w:cstheme="minorHAnsi"/>
          <w:sz w:val="22"/>
          <w:szCs w:val="22"/>
          <w:lang w:val="sl-SI"/>
        </w:rPr>
        <w:t xml:space="preserve">preneha veljati z zaključkom načrtovanih aktivnosti za EPK 2025 </w:t>
      </w:r>
      <w:r w:rsidR="0051448A" w:rsidRPr="00975A3D">
        <w:rPr>
          <w:rFonts w:asciiTheme="minorHAnsi" w:hAnsiTheme="minorHAnsi" w:cstheme="minorHAnsi"/>
          <w:sz w:val="22"/>
          <w:szCs w:val="22"/>
          <w:lang w:val="sl-SI"/>
        </w:rPr>
        <w:t xml:space="preserve">oziroma </w:t>
      </w:r>
      <w:r w:rsidR="00C759CC" w:rsidRPr="00975A3D">
        <w:rPr>
          <w:rFonts w:asciiTheme="minorHAnsi" w:hAnsiTheme="minorHAnsi" w:cstheme="minorHAnsi"/>
          <w:sz w:val="22"/>
          <w:szCs w:val="22"/>
          <w:lang w:val="sl-SI"/>
        </w:rPr>
        <w:t>prenehanjem delovanja Zavoda GO! 2025.</w:t>
      </w:r>
    </w:p>
    <w:p w14:paraId="6525BBD4" w14:textId="5DCA4A18" w:rsidR="0051448A" w:rsidRPr="00D019AF"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rPr>
        <w:t>Po prenehanju delovanja Zavoda GO! 2025</w:t>
      </w:r>
      <w:r w:rsidR="00A31414">
        <w:rPr>
          <w:rFonts w:asciiTheme="minorHAnsi" w:hAnsiTheme="minorHAnsi" w:cstheme="minorHAnsi"/>
          <w:sz w:val="22"/>
          <w:szCs w:val="22"/>
          <w:lang w:val="sl-SI"/>
        </w:rPr>
        <w:t>,</w:t>
      </w:r>
      <w:r w:rsidRPr="00E86598">
        <w:rPr>
          <w:rFonts w:asciiTheme="minorHAnsi" w:hAnsiTheme="minorHAnsi" w:cstheme="minorHAnsi"/>
          <w:sz w:val="22"/>
          <w:szCs w:val="22"/>
          <w:lang w:val="sl-SI"/>
        </w:rPr>
        <w:t xml:space="preserve"> EZTS GO še naprej </w:t>
      </w:r>
      <w:r w:rsidRPr="00BD594A">
        <w:rPr>
          <w:rFonts w:asciiTheme="minorHAnsi" w:hAnsiTheme="minorHAnsi" w:cstheme="minorHAnsi"/>
          <w:sz w:val="22"/>
          <w:szCs w:val="22"/>
          <w:lang w:val="sl-SI"/>
        </w:rPr>
        <w:t>zagotavlja dolgoročni učinek</w:t>
      </w:r>
      <w:r w:rsidR="00A31414" w:rsidRPr="00BD594A">
        <w:rPr>
          <w:rFonts w:asciiTheme="minorHAnsi" w:hAnsiTheme="minorHAnsi" w:cstheme="minorHAnsi"/>
          <w:sz w:val="22"/>
          <w:szCs w:val="22"/>
          <w:lang w:val="sl-SI"/>
        </w:rPr>
        <w:t>, oz.</w:t>
      </w:r>
      <w:r w:rsidRPr="00BD594A">
        <w:rPr>
          <w:rFonts w:asciiTheme="minorHAnsi" w:hAnsiTheme="minorHAnsi" w:cstheme="minorHAnsi"/>
          <w:sz w:val="22"/>
          <w:szCs w:val="22"/>
          <w:lang w:val="sl-SI"/>
        </w:rPr>
        <w:t xml:space="preserve"> </w:t>
      </w:r>
      <w:r w:rsidR="00A31414" w:rsidRPr="00BD594A">
        <w:rPr>
          <w:rFonts w:asciiTheme="minorHAnsi" w:hAnsiTheme="minorHAnsi" w:cstheme="minorHAnsi"/>
          <w:sz w:val="22"/>
          <w:szCs w:val="22"/>
          <w:lang w:val="sl-SI"/>
        </w:rPr>
        <w:t>»</w:t>
      </w:r>
      <w:proofErr w:type="spellStart"/>
      <w:r w:rsidRPr="00BD594A">
        <w:rPr>
          <w:rFonts w:asciiTheme="minorHAnsi" w:hAnsiTheme="minorHAnsi" w:cstheme="minorHAnsi"/>
          <w:sz w:val="22"/>
          <w:szCs w:val="22"/>
          <w:lang w:val="sl-SI"/>
        </w:rPr>
        <w:t>legacy</w:t>
      </w:r>
      <w:proofErr w:type="spellEnd"/>
      <w:r w:rsidR="00A31414" w:rsidRPr="00BD594A">
        <w:rPr>
          <w:rFonts w:asciiTheme="minorHAnsi" w:hAnsiTheme="minorHAnsi" w:cstheme="minorHAnsi"/>
          <w:sz w:val="22"/>
          <w:szCs w:val="22"/>
          <w:lang w:val="sl-SI"/>
        </w:rPr>
        <w:t>«</w:t>
      </w:r>
      <w:r w:rsidRPr="00BD594A">
        <w:rPr>
          <w:rFonts w:asciiTheme="minorHAnsi" w:hAnsiTheme="minorHAnsi" w:cstheme="minorHAnsi"/>
          <w:sz w:val="22"/>
          <w:szCs w:val="22"/>
          <w:lang w:val="sl-SI"/>
        </w:rPr>
        <w:t xml:space="preserve"> </w:t>
      </w:r>
      <w:bookmarkStart w:id="2" w:name="_Hlk116648174"/>
      <w:r w:rsidRPr="00BD594A">
        <w:rPr>
          <w:rFonts w:asciiTheme="minorHAnsi" w:hAnsiTheme="minorHAnsi" w:cstheme="minorHAnsi"/>
          <w:sz w:val="22"/>
          <w:szCs w:val="22"/>
          <w:lang w:val="sl-SI"/>
        </w:rPr>
        <w:t>projekt</w:t>
      </w:r>
      <w:r w:rsidR="00AF5141" w:rsidRPr="00BD594A">
        <w:rPr>
          <w:rFonts w:asciiTheme="minorHAnsi" w:hAnsiTheme="minorHAnsi" w:cstheme="minorHAnsi"/>
          <w:sz w:val="22"/>
          <w:szCs w:val="22"/>
          <w:lang w:val="sl-SI"/>
        </w:rPr>
        <w:t>ov, katerih nosilec</w:t>
      </w:r>
      <w:r w:rsidR="005E58CC" w:rsidRPr="00BD594A">
        <w:rPr>
          <w:rFonts w:asciiTheme="minorHAnsi" w:hAnsiTheme="minorHAnsi" w:cstheme="minorHAnsi"/>
          <w:sz w:val="22"/>
          <w:szCs w:val="22"/>
          <w:lang w:val="sl-SI"/>
        </w:rPr>
        <w:t xml:space="preserve"> sta</w:t>
      </w:r>
      <w:r w:rsidR="00AF5141" w:rsidRPr="00BD594A">
        <w:rPr>
          <w:rFonts w:asciiTheme="minorHAnsi" w:hAnsiTheme="minorHAnsi" w:cstheme="minorHAnsi"/>
          <w:sz w:val="22"/>
          <w:szCs w:val="22"/>
          <w:lang w:val="sl-SI"/>
        </w:rPr>
        <w:t xml:space="preserve"> ali Zavod GO! 2025 ali EZTS GO.</w:t>
      </w:r>
      <w:bookmarkEnd w:id="2"/>
    </w:p>
    <w:p w14:paraId="2AF9DD36" w14:textId="393C17C3" w:rsidR="0051448A" w:rsidRPr="00375C8F" w:rsidRDefault="0051448A"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5. člen</w:t>
      </w:r>
    </w:p>
    <w:p w14:paraId="73D17977" w14:textId="67D07854" w:rsidR="00C759CC" w:rsidRPr="00D019AF" w:rsidRDefault="002960E8" w:rsidP="00C759CC">
      <w:pPr>
        <w:spacing w:before="113" w:after="113"/>
        <w:jc w:val="both"/>
        <w:rPr>
          <w:rFonts w:asciiTheme="minorHAnsi" w:hAnsiTheme="minorHAnsi" w:cstheme="minorBidi"/>
          <w:sz w:val="22"/>
          <w:szCs w:val="22"/>
          <w:lang w:val="sl-SI"/>
        </w:rPr>
      </w:pPr>
      <w:r w:rsidRPr="00975A3D">
        <w:rPr>
          <w:rFonts w:asciiTheme="minorHAnsi" w:hAnsiTheme="minorHAnsi" w:cstheme="minorHAnsi"/>
          <w:sz w:val="22"/>
          <w:szCs w:val="22"/>
          <w:lang w:val="sl-SI"/>
        </w:rPr>
        <w:t>S</w:t>
      </w:r>
      <w:r w:rsidR="00C759CC" w:rsidRPr="00975A3D">
        <w:rPr>
          <w:rFonts w:asciiTheme="minorHAnsi" w:hAnsiTheme="minorHAnsi" w:cstheme="minorHAnsi"/>
          <w:sz w:val="22"/>
          <w:szCs w:val="22"/>
          <w:lang w:val="sl-SI"/>
        </w:rPr>
        <w:t>plošne aktivnosti</w:t>
      </w:r>
      <w:r w:rsidR="00C759CC" w:rsidRPr="00E86598">
        <w:rPr>
          <w:rFonts w:asciiTheme="minorHAnsi" w:hAnsiTheme="minorHAnsi" w:cstheme="minorBidi"/>
          <w:sz w:val="22"/>
          <w:szCs w:val="22"/>
          <w:lang w:val="sl-SI" w:bidi="sl-SI"/>
        </w:rPr>
        <w:t xml:space="preserve">, predvidene za izvedbo EPK 2025, </w:t>
      </w:r>
      <w:r>
        <w:rPr>
          <w:rFonts w:asciiTheme="minorHAnsi" w:hAnsiTheme="minorHAnsi" w:cstheme="minorBidi"/>
          <w:sz w:val="22"/>
          <w:szCs w:val="22"/>
          <w:lang w:val="sl-SI" w:bidi="sl-SI"/>
        </w:rPr>
        <w:t xml:space="preserve">so </w:t>
      </w:r>
      <w:r w:rsidR="00C759CC" w:rsidRPr="00E86598">
        <w:rPr>
          <w:rFonts w:asciiTheme="minorHAnsi" w:hAnsiTheme="minorHAnsi" w:cstheme="minorBidi"/>
          <w:sz w:val="22"/>
          <w:szCs w:val="22"/>
          <w:lang w:val="sl-SI" w:bidi="sl-SI"/>
        </w:rPr>
        <w:t>naslednje:</w:t>
      </w:r>
    </w:p>
    <w:p w14:paraId="462DC4D0"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produkcija in koprodukcija umetniških in kulturnih vsebin uradnega programa GO! 2025;</w:t>
      </w:r>
    </w:p>
    <w:p w14:paraId="64E43FB2"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organizacija in vodenje delavnic, konferenc, kongresov, strokovnih svetovanj, razstav, seminarjev in drugih izobraževalnih dejavnosti za širšo javnost in zlasti za zainteresirane strani na področju kulture z namenom krepitve zmogljivosti kulturnega sektorja;</w:t>
      </w:r>
    </w:p>
    <w:p w14:paraId="236C6B3A"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pedagoška in znanstvenoraziskovalna dejavnost na vseh področjih kulture in družbe;</w:t>
      </w:r>
    </w:p>
    <w:p w14:paraId="115A6890"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objavljanje knjig in avdiovizualnih del;</w:t>
      </w:r>
    </w:p>
    <w:p w14:paraId="546A23A5"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sodelovanje z vsebinami in gradivi v razvojnih procesih na področju kulture, družbenega razvoja, gospodarstva in prostorskega načrtovanja;</w:t>
      </w:r>
    </w:p>
    <w:p w14:paraId="06E647C9"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stiki z institucijami s področja kulture in gospodarstva v Sloveniji, Italiji in tujini;</w:t>
      </w:r>
    </w:p>
    <w:p w14:paraId="4B5CB180"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vzpostavljanje in vodenje mednarodnih partnerstev;</w:t>
      </w:r>
    </w:p>
    <w:p w14:paraId="3E126047" w14:textId="77777777" w:rsidR="00C759CC" w:rsidRPr="00D019AF" w:rsidRDefault="00C759CC" w:rsidP="00C759CC">
      <w:pPr>
        <w:pStyle w:val="Odstavekseznama"/>
        <w:numPr>
          <w:ilvl w:val="0"/>
          <w:numId w:val="29"/>
        </w:numPr>
        <w:suppressAutoHyphens/>
        <w:spacing w:before="113" w:after="113"/>
        <w:jc w:val="both"/>
        <w:rPr>
          <w:sz w:val="22"/>
          <w:szCs w:val="22"/>
          <w:lang w:val="sl-SI"/>
        </w:rPr>
      </w:pPr>
      <w:r w:rsidRPr="00E86598">
        <w:rPr>
          <w:sz w:val="22"/>
          <w:szCs w:val="22"/>
          <w:lang w:val="sl-SI" w:bidi="sl-SI"/>
        </w:rPr>
        <w:t>izdelava in upravljanje digitalnih platform (spletna stran, socialno omrežje in mreženje za vodenje in organizacijo dogodkov) za komuniciranje z javnostjo in promocijo EPK 2025;</w:t>
      </w:r>
    </w:p>
    <w:p w14:paraId="62046965" w14:textId="77777777" w:rsidR="00C759CC" w:rsidRPr="00D019AF" w:rsidRDefault="00C759CC" w:rsidP="00C759CC">
      <w:pPr>
        <w:pStyle w:val="Odstavekseznama"/>
        <w:numPr>
          <w:ilvl w:val="0"/>
          <w:numId w:val="29"/>
        </w:numPr>
        <w:suppressAutoHyphens/>
        <w:spacing w:before="113" w:after="113"/>
        <w:jc w:val="both"/>
        <w:rPr>
          <w:rFonts w:cstheme="minorHAnsi"/>
          <w:sz w:val="22"/>
          <w:szCs w:val="22"/>
          <w:lang w:val="sl-SI"/>
        </w:rPr>
      </w:pPr>
      <w:r w:rsidRPr="00E86598">
        <w:rPr>
          <w:rFonts w:cstheme="minorHAnsi"/>
          <w:sz w:val="22"/>
          <w:szCs w:val="22"/>
          <w:lang w:val="sl-SI" w:bidi="sl-SI"/>
        </w:rPr>
        <w:t>izvedba trženjskega načrta, izdelava in uporaba trženjskih produktov;</w:t>
      </w:r>
    </w:p>
    <w:p w14:paraId="5E4C2D38" w14:textId="3E20A428" w:rsidR="00C759CC" w:rsidRPr="00E86598" w:rsidRDefault="00C759CC" w:rsidP="002E3584">
      <w:pPr>
        <w:spacing w:before="113" w:after="113"/>
        <w:jc w:val="both"/>
        <w:rPr>
          <w:rFonts w:asciiTheme="minorHAnsi" w:hAnsiTheme="minorHAnsi" w:cstheme="minorBidi"/>
          <w:sz w:val="22"/>
          <w:szCs w:val="22"/>
          <w:lang w:val="sl-SI"/>
        </w:rPr>
      </w:pPr>
      <w:r w:rsidRPr="00E86598">
        <w:rPr>
          <w:rFonts w:asciiTheme="minorHAnsi" w:hAnsiTheme="minorHAnsi" w:cstheme="minorBidi"/>
          <w:sz w:val="22"/>
          <w:szCs w:val="22"/>
          <w:lang w:val="sl-SI" w:bidi="sl-SI"/>
        </w:rPr>
        <w:t xml:space="preserve">Seznam je okviren in ni </w:t>
      </w:r>
      <w:r w:rsidR="00A31414">
        <w:rPr>
          <w:rFonts w:asciiTheme="minorHAnsi" w:hAnsiTheme="minorHAnsi" w:cstheme="minorBidi"/>
          <w:sz w:val="22"/>
          <w:szCs w:val="22"/>
          <w:lang w:val="sl-SI" w:bidi="sl-SI"/>
        </w:rPr>
        <w:t>dokončen</w:t>
      </w:r>
      <w:r w:rsidRPr="00E86598">
        <w:rPr>
          <w:rFonts w:asciiTheme="minorHAnsi" w:hAnsiTheme="minorHAnsi" w:cstheme="minorBidi"/>
          <w:sz w:val="22"/>
          <w:szCs w:val="22"/>
          <w:lang w:val="sl-SI" w:bidi="sl-SI"/>
        </w:rPr>
        <w:t xml:space="preserve">. </w:t>
      </w:r>
    </w:p>
    <w:p w14:paraId="2B6F9BE8" w14:textId="77777777" w:rsidR="00C759CC" w:rsidRPr="00D019AF" w:rsidRDefault="00C759CC" w:rsidP="00C759CC">
      <w:pPr>
        <w:spacing w:before="113" w:after="113"/>
        <w:jc w:val="both"/>
        <w:rPr>
          <w:rFonts w:asciiTheme="minorHAnsi" w:hAnsiTheme="minorHAnsi" w:cstheme="minorBidi"/>
          <w:sz w:val="22"/>
          <w:szCs w:val="22"/>
          <w:lang w:val="sl-SI"/>
        </w:rPr>
      </w:pPr>
      <w:r w:rsidRPr="00E86598">
        <w:rPr>
          <w:rFonts w:asciiTheme="minorHAnsi" w:hAnsiTheme="minorHAnsi" w:cstheme="minorBidi"/>
          <w:sz w:val="22"/>
          <w:szCs w:val="22"/>
          <w:lang w:val="sl-SI" w:bidi="sl-SI"/>
        </w:rPr>
        <w:t>Glede na zahtevnost in obsežnost projekta so bile pripravljene številne smernice, ki so podrobneje razdelane v prijavni knjigi. Ugotovljene glavne razvojne metode so namenjene:</w:t>
      </w:r>
    </w:p>
    <w:p w14:paraId="73BCCF98" w14:textId="066DDE12" w:rsidR="00C759CC" w:rsidRPr="00D019AF" w:rsidRDefault="00C759CC" w:rsidP="00C759CC">
      <w:pPr>
        <w:pStyle w:val="Odstavekseznama"/>
        <w:numPr>
          <w:ilvl w:val="0"/>
          <w:numId w:val="30"/>
        </w:numPr>
        <w:suppressAutoHyphens/>
        <w:spacing w:before="113" w:after="113"/>
        <w:jc w:val="both"/>
        <w:rPr>
          <w:sz w:val="22"/>
          <w:szCs w:val="22"/>
          <w:lang w:val="sl-SI"/>
        </w:rPr>
      </w:pPr>
      <w:r w:rsidRPr="00E86598">
        <w:rPr>
          <w:sz w:val="22"/>
          <w:szCs w:val="22"/>
          <w:lang w:val="sl-SI" w:bidi="sl-SI"/>
        </w:rPr>
        <w:t>umestit</w:t>
      </w:r>
      <w:r w:rsidR="00A31414">
        <w:rPr>
          <w:sz w:val="22"/>
          <w:szCs w:val="22"/>
          <w:lang w:val="sl-SI" w:bidi="sl-SI"/>
        </w:rPr>
        <w:t>vi</w:t>
      </w:r>
      <w:r w:rsidRPr="00E86598">
        <w:rPr>
          <w:sz w:val="22"/>
          <w:szCs w:val="22"/>
          <w:lang w:val="sl-SI" w:bidi="sl-SI"/>
        </w:rPr>
        <w:t xml:space="preserve"> EPK 2025 v nacionalni in evropski kontekst;</w:t>
      </w:r>
    </w:p>
    <w:p w14:paraId="2D7502E4" w14:textId="3FED1994" w:rsidR="00C759CC" w:rsidRPr="00D019AF" w:rsidRDefault="00C759CC" w:rsidP="00C759CC">
      <w:pPr>
        <w:pStyle w:val="Odstavekseznama"/>
        <w:numPr>
          <w:ilvl w:val="0"/>
          <w:numId w:val="30"/>
        </w:numPr>
        <w:suppressAutoHyphens/>
        <w:spacing w:before="113" w:after="113"/>
        <w:jc w:val="both"/>
        <w:rPr>
          <w:sz w:val="22"/>
          <w:szCs w:val="22"/>
          <w:lang w:val="sl-SI"/>
        </w:rPr>
      </w:pPr>
      <w:r w:rsidRPr="00E86598">
        <w:rPr>
          <w:sz w:val="22"/>
          <w:szCs w:val="22"/>
          <w:lang w:val="sl-SI" w:bidi="sl-SI"/>
        </w:rPr>
        <w:t>zagotovit</w:t>
      </w:r>
      <w:r w:rsidR="00A31414">
        <w:rPr>
          <w:sz w:val="22"/>
          <w:szCs w:val="22"/>
          <w:lang w:val="sl-SI" w:bidi="sl-SI"/>
        </w:rPr>
        <w:t>vi</w:t>
      </w:r>
      <w:r w:rsidRPr="00E86598">
        <w:rPr>
          <w:sz w:val="22"/>
          <w:szCs w:val="22"/>
          <w:lang w:val="sl-SI" w:bidi="sl-SI"/>
        </w:rPr>
        <w:t xml:space="preserve"> trajnost</w:t>
      </w:r>
      <w:r w:rsidR="00A31414">
        <w:rPr>
          <w:sz w:val="22"/>
          <w:szCs w:val="22"/>
          <w:lang w:val="sl-SI" w:bidi="sl-SI"/>
        </w:rPr>
        <w:t>i</w:t>
      </w:r>
      <w:r w:rsidRPr="00E86598">
        <w:rPr>
          <w:sz w:val="22"/>
          <w:szCs w:val="22"/>
          <w:lang w:val="sl-SI" w:bidi="sl-SI"/>
        </w:rPr>
        <w:t xml:space="preserve"> projektov po letu 2025;</w:t>
      </w:r>
    </w:p>
    <w:p w14:paraId="7CFCA44A" w14:textId="42E8FFC0" w:rsidR="00C759CC" w:rsidRPr="00D019AF" w:rsidRDefault="00C759CC" w:rsidP="00C759CC">
      <w:pPr>
        <w:pStyle w:val="Odstavekseznama"/>
        <w:numPr>
          <w:ilvl w:val="0"/>
          <w:numId w:val="30"/>
        </w:numPr>
        <w:suppressAutoHyphens/>
        <w:spacing w:before="113" w:after="113"/>
        <w:jc w:val="both"/>
        <w:rPr>
          <w:sz w:val="22"/>
          <w:szCs w:val="22"/>
          <w:lang w:val="sl-SI"/>
        </w:rPr>
      </w:pPr>
      <w:r w:rsidRPr="00E86598">
        <w:rPr>
          <w:sz w:val="22"/>
          <w:szCs w:val="22"/>
          <w:lang w:val="sl-SI" w:bidi="sl-SI"/>
        </w:rPr>
        <w:t>zagotovit</w:t>
      </w:r>
      <w:r w:rsidR="00A31414">
        <w:rPr>
          <w:sz w:val="22"/>
          <w:szCs w:val="22"/>
          <w:lang w:val="sl-SI" w:bidi="sl-SI"/>
        </w:rPr>
        <w:t>vi</w:t>
      </w:r>
      <w:r w:rsidRPr="00E86598">
        <w:rPr>
          <w:sz w:val="22"/>
          <w:szCs w:val="22"/>
          <w:lang w:val="sl-SI" w:bidi="sl-SI"/>
        </w:rPr>
        <w:t xml:space="preserve"> dodatn</w:t>
      </w:r>
      <w:r w:rsidR="00A31414">
        <w:rPr>
          <w:sz w:val="22"/>
          <w:szCs w:val="22"/>
          <w:lang w:val="sl-SI" w:bidi="sl-SI"/>
        </w:rPr>
        <w:t>ih</w:t>
      </w:r>
      <w:r w:rsidRPr="00E86598">
        <w:rPr>
          <w:sz w:val="22"/>
          <w:szCs w:val="22"/>
          <w:lang w:val="sl-SI" w:bidi="sl-SI"/>
        </w:rPr>
        <w:t xml:space="preserve"> finančn</w:t>
      </w:r>
      <w:r w:rsidR="00A31414">
        <w:rPr>
          <w:sz w:val="22"/>
          <w:szCs w:val="22"/>
          <w:lang w:val="sl-SI" w:bidi="sl-SI"/>
        </w:rPr>
        <w:t xml:space="preserve">ih </w:t>
      </w:r>
      <w:r w:rsidRPr="00E86598">
        <w:rPr>
          <w:sz w:val="22"/>
          <w:szCs w:val="22"/>
          <w:lang w:val="sl-SI" w:bidi="sl-SI"/>
        </w:rPr>
        <w:t>podpor za programe in projekte EPK 2025 (regionalne, nacionalne in evropske);</w:t>
      </w:r>
    </w:p>
    <w:p w14:paraId="0337A552" w14:textId="4C798B80" w:rsidR="00C759CC" w:rsidRPr="00D019AF" w:rsidRDefault="00A31414" w:rsidP="00C759CC">
      <w:pPr>
        <w:pStyle w:val="Odstavekseznama"/>
        <w:numPr>
          <w:ilvl w:val="0"/>
          <w:numId w:val="30"/>
        </w:numPr>
        <w:suppressAutoHyphens/>
        <w:spacing w:before="113" w:after="113"/>
        <w:jc w:val="both"/>
        <w:rPr>
          <w:sz w:val="22"/>
          <w:szCs w:val="22"/>
          <w:lang w:val="sl-SI"/>
        </w:rPr>
      </w:pPr>
      <w:r>
        <w:rPr>
          <w:sz w:val="22"/>
          <w:szCs w:val="22"/>
          <w:lang w:val="sl-SI" w:bidi="sl-SI"/>
        </w:rPr>
        <w:t>razv</w:t>
      </w:r>
      <w:r w:rsidR="002960E8">
        <w:rPr>
          <w:sz w:val="22"/>
          <w:szCs w:val="22"/>
          <w:lang w:val="sl-SI" w:bidi="sl-SI"/>
        </w:rPr>
        <w:t>oj</w:t>
      </w:r>
      <w:r w:rsidR="00C759CC" w:rsidRPr="00E86598">
        <w:rPr>
          <w:sz w:val="22"/>
          <w:szCs w:val="22"/>
          <w:lang w:val="sl-SI" w:bidi="sl-SI"/>
        </w:rPr>
        <w:t xml:space="preserve"> marketinškega načrta EPK 2025 kot blagovn</w:t>
      </w:r>
      <w:r>
        <w:rPr>
          <w:sz w:val="22"/>
          <w:szCs w:val="22"/>
          <w:lang w:val="sl-SI" w:bidi="sl-SI"/>
        </w:rPr>
        <w:t>e</w:t>
      </w:r>
      <w:r w:rsidR="00C759CC" w:rsidRPr="00E86598">
        <w:rPr>
          <w:sz w:val="22"/>
          <w:szCs w:val="22"/>
          <w:lang w:val="sl-SI" w:bidi="sl-SI"/>
        </w:rPr>
        <w:t xml:space="preserve"> znamk</w:t>
      </w:r>
      <w:r>
        <w:rPr>
          <w:sz w:val="22"/>
          <w:szCs w:val="22"/>
          <w:lang w:val="sl-SI" w:bidi="sl-SI"/>
        </w:rPr>
        <w:t>e</w:t>
      </w:r>
      <w:r w:rsidR="00C759CC" w:rsidRPr="00E86598">
        <w:rPr>
          <w:sz w:val="22"/>
          <w:szCs w:val="22"/>
          <w:lang w:val="sl-SI" w:bidi="sl-SI"/>
        </w:rPr>
        <w:t xml:space="preserve"> ter posamezni</w:t>
      </w:r>
      <w:r>
        <w:rPr>
          <w:sz w:val="22"/>
          <w:szCs w:val="22"/>
          <w:lang w:val="sl-SI" w:bidi="sl-SI"/>
        </w:rPr>
        <w:t>h</w:t>
      </w:r>
      <w:r w:rsidR="00C759CC" w:rsidRPr="00E86598">
        <w:rPr>
          <w:sz w:val="22"/>
          <w:szCs w:val="22"/>
          <w:lang w:val="sl-SI" w:bidi="sl-SI"/>
        </w:rPr>
        <w:t xml:space="preserve"> projektni</w:t>
      </w:r>
      <w:r>
        <w:rPr>
          <w:sz w:val="22"/>
          <w:szCs w:val="22"/>
          <w:lang w:val="sl-SI" w:bidi="sl-SI"/>
        </w:rPr>
        <w:t>h sklopov</w:t>
      </w:r>
      <w:r w:rsidR="00C759CC" w:rsidRPr="00E86598">
        <w:rPr>
          <w:sz w:val="22"/>
          <w:szCs w:val="22"/>
          <w:lang w:val="sl-SI" w:bidi="sl-SI"/>
        </w:rPr>
        <w:t xml:space="preserve"> GO! GREEN, GO! EUROPE, GO! SHARE</w:t>
      </w:r>
      <w:r>
        <w:rPr>
          <w:sz w:val="22"/>
          <w:szCs w:val="22"/>
          <w:lang w:val="sl-SI" w:bidi="sl-SI"/>
        </w:rPr>
        <w:t xml:space="preserve"> in</w:t>
      </w:r>
      <w:r w:rsidR="002960E8">
        <w:rPr>
          <w:sz w:val="22"/>
          <w:szCs w:val="22"/>
          <w:lang w:val="sl-SI" w:bidi="sl-SI"/>
        </w:rPr>
        <w:t xml:space="preserve"> </w:t>
      </w:r>
      <w:proofErr w:type="spellStart"/>
      <w:r w:rsidR="00C759CC" w:rsidRPr="00E86598">
        <w:rPr>
          <w:sz w:val="22"/>
          <w:szCs w:val="22"/>
          <w:lang w:val="sl-SI" w:bidi="sl-SI"/>
        </w:rPr>
        <w:t>EPICenter</w:t>
      </w:r>
      <w:proofErr w:type="spellEnd"/>
      <w:r w:rsidR="00C759CC" w:rsidRPr="00E86598">
        <w:rPr>
          <w:sz w:val="22"/>
          <w:szCs w:val="22"/>
          <w:lang w:val="sl-SI" w:bidi="sl-SI"/>
        </w:rPr>
        <w:t>;</w:t>
      </w:r>
    </w:p>
    <w:p w14:paraId="08CDE6C7" w14:textId="729C6400" w:rsidR="00C759CC" w:rsidRPr="00E86598" w:rsidRDefault="00A31414" w:rsidP="00C759CC">
      <w:pPr>
        <w:pStyle w:val="Odstavekseznama"/>
        <w:numPr>
          <w:ilvl w:val="0"/>
          <w:numId w:val="30"/>
        </w:numPr>
        <w:suppressAutoHyphens/>
        <w:spacing w:before="113" w:after="113"/>
        <w:jc w:val="both"/>
        <w:rPr>
          <w:sz w:val="22"/>
          <w:szCs w:val="22"/>
          <w:lang w:val="sl-SI"/>
        </w:rPr>
      </w:pPr>
      <w:r>
        <w:rPr>
          <w:sz w:val="22"/>
          <w:szCs w:val="22"/>
          <w:lang w:val="sl-SI" w:bidi="sl-SI"/>
        </w:rPr>
        <w:t>r</w:t>
      </w:r>
      <w:r w:rsidR="00C759CC" w:rsidRPr="00E86598">
        <w:rPr>
          <w:sz w:val="22"/>
          <w:szCs w:val="22"/>
          <w:lang w:val="sl-SI" w:bidi="sl-SI"/>
        </w:rPr>
        <w:t>azv</w:t>
      </w:r>
      <w:r>
        <w:rPr>
          <w:sz w:val="22"/>
          <w:szCs w:val="22"/>
          <w:lang w:val="sl-SI" w:bidi="sl-SI"/>
        </w:rPr>
        <w:t>oju</w:t>
      </w:r>
      <w:r w:rsidR="00C759CC" w:rsidRPr="00E86598">
        <w:rPr>
          <w:sz w:val="22"/>
          <w:szCs w:val="22"/>
          <w:lang w:val="sl-SI" w:bidi="sl-SI"/>
        </w:rPr>
        <w:t xml:space="preserve"> metodologij za krepitev zmogljivosti in razvoj</w:t>
      </w:r>
      <w:r>
        <w:rPr>
          <w:sz w:val="22"/>
          <w:szCs w:val="22"/>
          <w:lang w:val="sl-SI" w:bidi="sl-SI"/>
        </w:rPr>
        <w:t>a</w:t>
      </w:r>
      <w:r w:rsidR="00C759CC" w:rsidRPr="00E86598">
        <w:rPr>
          <w:sz w:val="22"/>
          <w:szCs w:val="22"/>
          <w:lang w:val="sl-SI" w:bidi="sl-SI"/>
        </w:rPr>
        <w:t xml:space="preserve"> občinstva za izvedbo EPK 2025</w:t>
      </w:r>
      <w:r>
        <w:rPr>
          <w:sz w:val="22"/>
          <w:szCs w:val="22"/>
          <w:lang w:val="sl-SI" w:bidi="sl-SI"/>
        </w:rPr>
        <w:t>;</w:t>
      </w:r>
    </w:p>
    <w:p w14:paraId="5E1B054F" w14:textId="74B541EB" w:rsidR="00C759CC" w:rsidRPr="00E86598" w:rsidRDefault="00A31414" w:rsidP="00C759CC">
      <w:pPr>
        <w:pStyle w:val="Odstavekseznama"/>
        <w:numPr>
          <w:ilvl w:val="0"/>
          <w:numId w:val="30"/>
        </w:numPr>
        <w:suppressAutoHyphens/>
        <w:spacing w:before="113" w:after="113"/>
        <w:jc w:val="both"/>
        <w:rPr>
          <w:sz w:val="22"/>
          <w:szCs w:val="22"/>
          <w:lang w:val="sl-SI"/>
        </w:rPr>
      </w:pPr>
      <w:r w:rsidRPr="00E86598">
        <w:rPr>
          <w:sz w:val="22"/>
          <w:szCs w:val="22"/>
          <w:lang w:val="sl-SI" w:bidi="sl-SI"/>
        </w:rPr>
        <w:t>vključ</w:t>
      </w:r>
      <w:r>
        <w:rPr>
          <w:sz w:val="22"/>
          <w:szCs w:val="22"/>
          <w:lang w:val="sl-SI" w:bidi="sl-SI"/>
        </w:rPr>
        <w:t>evanju</w:t>
      </w:r>
      <w:r w:rsidRPr="00E86598">
        <w:rPr>
          <w:sz w:val="22"/>
          <w:szCs w:val="22"/>
          <w:lang w:val="sl-SI" w:bidi="sl-SI"/>
        </w:rPr>
        <w:t xml:space="preserve"> drug</w:t>
      </w:r>
      <w:r>
        <w:rPr>
          <w:sz w:val="22"/>
          <w:szCs w:val="22"/>
          <w:lang w:val="sl-SI" w:bidi="sl-SI"/>
        </w:rPr>
        <w:t>ih</w:t>
      </w:r>
      <w:r w:rsidRPr="00E86598">
        <w:rPr>
          <w:sz w:val="22"/>
          <w:szCs w:val="22"/>
          <w:lang w:val="sl-SI" w:bidi="sl-SI"/>
        </w:rPr>
        <w:t xml:space="preserve"> javn</w:t>
      </w:r>
      <w:r>
        <w:rPr>
          <w:sz w:val="22"/>
          <w:szCs w:val="22"/>
          <w:lang w:val="sl-SI" w:bidi="sl-SI"/>
        </w:rPr>
        <w:t>ih</w:t>
      </w:r>
      <w:r w:rsidRPr="00E86598">
        <w:rPr>
          <w:sz w:val="22"/>
          <w:szCs w:val="22"/>
          <w:lang w:val="sl-SI" w:bidi="sl-SI"/>
        </w:rPr>
        <w:t xml:space="preserve"> ustanov, nevladn</w:t>
      </w:r>
      <w:r>
        <w:rPr>
          <w:sz w:val="22"/>
          <w:szCs w:val="22"/>
          <w:lang w:val="sl-SI" w:bidi="sl-SI"/>
        </w:rPr>
        <w:t>ih</w:t>
      </w:r>
      <w:r w:rsidRPr="00E86598">
        <w:rPr>
          <w:sz w:val="22"/>
          <w:szCs w:val="22"/>
          <w:lang w:val="sl-SI" w:bidi="sl-SI"/>
        </w:rPr>
        <w:t xml:space="preserve"> organizacij in drug</w:t>
      </w:r>
      <w:r>
        <w:rPr>
          <w:sz w:val="22"/>
          <w:szCs w:val="22"/>
          <w:lang w:val="sl-SI" w:bidi="sl-SI"/>
        </w:rPr>
        <w:t>ih</w:t>
      </w:r>
      <w:r w:rsidRPr="00E86598">
        <w:rPr>
          <w:sz w:val="22"/>
          <w:szCs w:val="22"/>
          <w:lang w:val="sl-SI" w:bidi="sl-SI"/>
        </w:rPr>
        <w:t xml:space="preserve"> subjekt</w:t>
      </w:r>
      <w:r>
        <w:rPr>
          <w:sz w:val="22"/>
          <w:szCs w:val="22"/>
          <w:lang w:val="sl-SI" w:bidi="sl-SI"/>
        </w:rPr>
        <w:t>ov</w:t>
      </w:r>
      <w:r w:rsidRPr="00E86598">
        <w:rPr>
          <w:sz w:val="22"/>
          <w:szCs w:val="22"/>
          <w:lang w:val="sl-SI" w:bidi="sl-SI"/>
        </w:rPr>
        <w:t>, predvsem samozaposlen</w:t>
      </w:r>
      <w:r>
        <w:rPr>
          <w:sz w:val="22"/>
          <w:szCs w:val="22"/>
          <w:lang w:val="sl-SI" w:bidi="sl-SI"/>
        </w:rPr>
        <w:t>ih</w:t>
      </w:r>
      <w:r w:rsidRPr="00E86598">
        <w:rPr>
          <w:sz w:val="22"/>
          <w:szCs w:val="22"/>
          <w:lang w:val="sl-SI" w:bidi="sl-SI"/>
        </w:rPr>
        <w:t xml:space="preserve"> v kulturnih in gospodarskih subjektih na čezmejnem območju </w:t>
      </w:r>
      <w:r w:rsidR="00C759CC" w:rsidRPr="00E86598">
        <w:rPr>
          <w:sz w:val="22"/>
          <w:szCs w:val="22"/>
          <w:lang w:val="sl-SI" w:bidi="sl-SI"/>
        </w:rPr>
        <w:t>v programe in projekte EPK 2025</w:t>
      </w:r>
      <w:r>
        <w:rPr>
          <w:sz w:val="22"/>
          <w:szCs w:val="22"/>
          <w:lang w:val="sl-SI" w:bidi="sl-SI"/>
        </w:rPr>
        <w:t>;</w:t>
      </w:r>
      <w:r w:rsidR="00C759CC" w:rsidRPr="00E86598">
        <w:rPr>
          <w:sz w:val="22"/>
          <w:szCs w:val="22"/>
          <w:lang w:val="sl-SI" w:bidi="sl-SI"/>
        </w:rPr>
        <w:t>;</w:t>
      </w:r>
    </w:p>
    <w:p w14:paraId="0FA42A90" w14:textId="33BE5AD6" w:rsidR="00C759CC" w:rsidRPr="002960E8" w:rsidRDefault="00A31414" w:rsidP="002960E8">
      <w:pPr>
        <w:pStyle w:val="Odstavekseznama"/>
        <w:numPr>
          <w:ilvl w:val="0"/>
          <w:numId w:val="30"/>
        </w:numPr>
        <w:suppressAutoHyphens/>
        <w:spacing w:before="113" w:after="113"/>
        <w:jc w:val="both"/>
        <w:rPr>
          <w:sz w:val="22"/>
          <w:szCs w:val="22"/>
          <w:lang w:val="sl-SI"/>
        </w:rPr>
      </w:pPr>
      <w:r>
        <w:rPr>
          <w:sz w:val="22"/>
          <w:szCs w:val="22"/>
          <w:lang w:val="sl-SI" w:bidi="sl-SI"/>
        </w:rPr>
        <w:t>s</w:t>
      </w:r>
      <w:r w:rsidR="00C759CC" w:rsidRPr="00E86598">
        <w:rPr>
          <w:sz w:val="22"/>
          <w:szCs w:val="22"/>
          <w:lang w:val="sl-SI" w:bidi="sl-SI"/>
        </w:rPr>
        <w:t>podbujanj</w:t>
      </w:r>
      <w:r>
        <w:rPr>
          <w:sz w:val="22"/>
          <w:szCs w:val="22"/>
          <w:lang w:val="sl-SI" w:bidi="sl-SI"/>
        </w:rPr>
        <w:t>u</w:t>
      </w:r>
      <w:r w:rsidR="00C759CC" w:rsidRPr="00E86598">
        <w:rPr>
          <w:sz w:val="22"/>
          <w:szCs w:val="22"/>
          <w:lang w:val="sl-SI" w:bidi="sl-SI"/>
        </w:rPr>
        <w:t xml:space="preserve"> aktivnega čezmejnega sodelovanja pri izvajanju programov in projektov EPK 2025.</w:t>
      </w:r>
    </w:p>
    <w:p w14:paraId="1F4EEFB9" w14:textId="77777777" w:rsidR="002B30BB" w:rsidRPr="00E86598" w:rsidRDefault="002B30BB" w:rsidP="00C759CC">
      <w:pPr>
        <w:suppressAutoHyphens/>
        <w:spacing w:before="113" w:after="113"/>
        <w:ind w:left="360"/>
        <w:jc w:val="both"/>
        <w:rPr>
          <w:sz w:val="22"/>
          <w:szCs w:val="22"/>
          <w:lang w:val="sl-SI"/>
        </w:rPr>
      </w:pPr>
    </w:p>
    <w:p w14:paraId="66E5C753" w14:textId="132FCA08" w:rsidR="002B30BB" w:rsidRPr="00375C8F" w:rsidRDefault="002B30BB" w:rsidP="00375C8F">
      <w:pPr>
        <w:spacing w:before="113" w:after="113"/>
        <w:jc w:val="center"/>
        <w:rPr>
          <w:rFonts w:asciiTheme="minorHAnsi" w:hAnsiTheme="minorHAnsi" w:cstheme="minorBidi"/>
          <w:b/>
          <w:bCs/>
          <w:sz w:val="22"/>
          <w:szCs w:val="22"/>
          <w:lang w:val="sl-SI" w:bidi="sl-SI"/>
        </w:rPr>
      </w:pPr>
      <w:r w:rsidRPr="00375C8F">
        <w:rPr>
          <w:rFonts w:asciiTheme="minorHAnsi" w:hAnsiTheme="minorHAnsi" w:cstheme="minorBidi"/>
          <w:b/>
          <w:bCs/>
          <w:sz w:val="22"/>
          <w:szCs w:val="22"/>
          <w:lang w:val="sl-SI" w:bidi="sl-SI"/>
        </w:rPr>
        <w:t>6. člen</w:t>
      </w:r>
    </w:p>
    <w:p w14:paraId="154AB7B8" w14:textId="2FD45DF0" w:rsidR="00C759CC" w:rsidRPr="00D019AF" w:rsidRDefault="002B30BB" w:rsidP="00C759CC">
      <w:pPr>
        <w:spacing w:before="113" w:after="113"/>
        <w:jc w:val="both"/>
        <w:rPr>
          <w:rFonts w:asciiTheme="minorHAnsi" w:hAnsiTheme="minorHAnsi" w:cstheme="minorBidi"/>
          <w:sz w:val="22"/>
          <w:szCs w:val="22"/>
          <w:lang w:val="sl-SI"/>
        </w:rPr>
      </w:pPr>
      <w:r>
        <w:rPr>
          <w:rFonts w:asciiTheme="minorHAnsi" w:hAnsiTheme="minorHAnsi" w:cstheme="minorBidi"/>
          <w:sz w:val="22"/>
          <w:szCs w:val="22"/>
          <w:lang w:val="sl-SI" w:bidi="sl-SI"/>
        </w:rPr>
        <w:t>Naloge Zavoda GO! 2025 so določene v 3. členu Odloka o ustanovitvi javnega zavoda GO! 2025, Evropska prest</w:t>
      </w:r>
      <w:r w:rsidR="00375C8F">
        <w:rPr>
          <w:rFonts w:asciiTheme="minorHAnsi" w:hAnsiTheme="minorHAnsi" w:cstheme="minorBidi"/>
          <w:sz w:val="22"/>
          <w:szCs w:val="22"/>
          <w:lang w:val="sl-SI" w:bidi="sl-SI"/>
        </w:rPr>
        <w:t>o</w:t>
      </w:r>
      <w:r>
        <w:rPr>
          <w:rFonts w:asciiTheme="minorHAnsi" w:hAnsiTheme="minorHAnsi" w:cstheme="minorBidi"/>
          <w:sz w:val="22"/>
          <w:szCs w:val="22"/>
          <w:lang w:val="sl-SI" w:bidi="sl-SI"/>
        </w:rPr>
        <w:t>lnica kulture, Nova Gorica</w:t>
      </w:r>
      <w:r w:rsidR="00AE1C4B">
        <w:rPr>
          <w:rFonts w:asciiTheme="minorHAnsi" w:hAnsiTheme="minorHAnsi" w:cstheme="minorBidi"/>
          <w:sz w:val="22"/>
          <w:szCs w:val="22"/>
          <w:lang w:val="sl-SI" w:bidi="sl-SI"/>
        </w:rPr>
        <w:t xml:space="preserve"> (UL RS št. 167/21</w:t>
      </w:r>
      <w:r>
        <w:rPr>
          <w:rFonts w:asciiTheme="minorHAnsi" w:hAnsiTheme="minorHAnsi" w:cstheme="minorBidi"/>
          <w:sz w:val="22"/>
          <w:szCs w:val="22"/>
          <w:lang w:val="sl-SI" w:bidi="sl-SI"/>
        </w:rPr>
        <w:t>.</w:t>
      </w:r>
      <w:r w:rsidR="00A31414">
        <w:rPr>
          <w:rFonts w:asciiTheme="minorHAnsi" w:hAnsiTheme="minorHAnsi" w:cstheme="minorBidi"/>
          <w:sz w:val="22"/>
          <w:szCs w:val="22"/>
          <w:lang w:val="sl-SI" w:bidi="sl-SI"/>
        </w:rPr>
        <w:t xml:space="preserve"> </w:t>
      </w:r>
      <w:r>
        <w:rPr>
          <w:rFonts w:asciiTheme="minorHAnsi" w:hAnsiTheme="minorHAnsi" w:cstheme="minorBidi"/>
          <w:sz w:val="22"/>
          <w:szCs w:val="22"/>
          <w:lang w:val="sl-SI" w:bidi="sl-SI"/>
        </w:rPr>
        <w:t xml:space="preserve">Zavod GO! 2025 skrbi tudi  </w:t>
      </w:r>
      <w:r w:rsidR="00A31414">
        <w:rPr>
          <w:rFonts w:asciiTheme="minorHAnsi" w:hAnsiTheme="minorHAnsi" w:cstheme="minorBidi"/>
          <w:sz w:val="22"/>
          <w:szCs w:val="22"/>
          <w:lang w:val="sl-SI" w:bidi="sl-SI"/>
        </w:rPr>
        <w:t>z</w:t>
      </w:r>
      <w:r>
        <w:rPr>
          <w:rFonts w:asciiTheme="minorHAnsi" w:hAnsiTheme="minorHAnsi" w:cstheme="minorBidi"/>
          <w:sz w:val="22"/>
          <w:szCs w:val="22"/>
          <w:lang w:val="sl-SI" w:bidi="sl-SI"/>
        </w:rPr>
        <w:t>a</w:t>
      </w:r>
      <w:r w:rsidR="00C759CC" w:rsidRPr="00E86598">
        <w:rPr>
          <w:rFonts w:asciiTheme="minorHAnsi" w:hAnsiTheme="minorHAnsi" w:cstheme="minorBidi"/>
          <w:sz w:val="22"/>
          <w:szCs w:val="22"/>
          <w:lang w:val="sl-SI" w:bidi="sl-SI"/>
        </w:rPr>
        <w:t xml:space="preserve"> vodenj</w:t>
      </w:r>
      <w:r w:rsidR="00A31414">
        <w:rPr>
          <w:rFonts w:asciiTheme="minorHAnsi" w:hAnsiTheme="minorHAnsi" w:cstheme="minorBidi"/>
          <w:sz w:val="22"/>
          <w:szCs w:val="22"/>
          <w:lang w:val="sl-SI" w:bidi="sl-SI"/>
        </w:rPr>
        <w:t>e</w:t>
      </w:r>
      <w:r w:rsidR="00C759CC" w:rsidRPr="00E86598">
        <w:rPr>
          <w:rFonts w:asciiTheme="minorHAnsi" w:hAnsiTheme="minorHAnsi" w:cstheme="minorBidi"/>
          <w:sz w:val="22"/>
          <w:szCs w:val="22"/>
          <w:lang w:val="sl-SI" w:bidi="sl-SI"/>
        </w:rPr>
        <w:t xml:space="preserve"> komuniciranja in organizacij</w:t>
      </w:r>
      <w:r w:rsidR="004277F3">
        <w:rPr>
          <w:rFonts w:asciiTheme="minorHAnsi" w:hAnsiTheme="minorHAnsi" w:cstheme="minorBidi"/>
          <w:sz w:val="22"/>
          <w:szCs w:val="22"/>
          <w:lang w:val="sl-SI" w:bidi="sl-SI"/>
        </w:rPr>
        <w:t>o</w:t>
      </w:r>
      <w:r w:rsidR="00C759CC" w:rsidRPr="00E86598">
        <w:rPr>
          <w:rFonts w:asciiTheme="minorHAnsi" w:hAnsiTheme="minorHAnsi" w:cstheme="minorBidi"/>
          <w:sz w:val="22"/>
          <w:szCs w:val="22"/>
          <w:lang w:val="sl-SI" w:bidi="sl-SI"/>
        </w:rPr>
        <w:t xml:space="preserve"> dogodkov na slovenskem ozemlju ter odnos</w:t>
      </w:r>
      <w:r w:rsidR="004277F3">
        <w:rPr>
          <w:rFonts w:asciiTheme="minorHAnsi" w:hAnsiTheme="minorHAnsi" w:cstheme="minorBidi"/>
          <w:sz w:val="22"/>
          <w:szCs w:val="22"/>
          <w:lang w:val="sl-SI" w:bidi="sl-SI"/>
        </w:rPr>
        <w:t>ov</w:t>
      </w:r>
      <w:r w:rsidR="00C759CC" w:rsidRPr="00E86598">
        <w:rPr>
          <w:rFonts w:asciiTheme="minorHAnsi" w:hAnsiTheme="minorHAnsi" w:cstheme="minorBidi"/>
          <w:sz w:val="22"/>
          <w:szCs w:val="22"/>
          <w:lang w:val="sl-SI" w:bidi="sl-SI"/>
        </w:rPr>
        <w:t xml:space="preserve"> z Vlado Republike Slovenije</w:t>
      </w:r>
      <w:r w:rsidR="004277F3">
        <w:rPr>
          <w:rFonts w:asciiTheme="minorHAnsi" w:hAnsiTheme="minorHAnsi" w:cstheme="minorBidi"/>
          <w:sz w:val="22"/>
          <w:szCs w:val="22"/>
          <w:lang w:val="sl-SI" w:bidi="sl-SI"/>
        </w:rPr>
        <w:t xml:space="preserve"> in MONG</w:t>
      </w:r>
      <w:r w:rsidR="00C759CC" w:rsidRPr="00E86598">
        <w:rPr>
          <w:rFonts w:asciiTheme="minorHAnsi" w:hAnsiTheme="minorHAnsi" w:cstheme="minorBidi"/>
          <w:sz w:val="22"/>
          <w:szCs w:val="22"/>
          <w:lang w:val="sl-SI" w:bidi="sl-SI"/>
        </w:rPr>
        <w:t>.</w:t>
      </w:r>
    </w:p>
    <w:p w14:paraId="6E76CE0E" w14:textId="0403B879" w:rsidR="00C759CC" w:rsidRPr="00D019AF" w:rsidRDefault="00C759CC" w:rsidP="00C759CC">
      <w:pPr>
        <w:spacing w:before="113" w:after="113"/>
        <w:jc w:val="both"/>
        <w:rPr>
          <w:rFonts w:asciiTheme="minorHAnsi" w:hAnsiTheme="minorHAnsi" w:cstheme="minorBidi"/>
          <w:sz w:val="22"/>
          <w:szCs w:val="22"/>
          <w:lang w:val="sl-SI"/>
        </w:rPr>
      </w:pPr>
      <w:r w:rsidRPr="00E86598">
        <w:rPr>
          <w:rFonts w:asciiTheme="minorHAnsi" w:hAnsiTheme="minorHAnsi" w:cstheme="minorBidi"/>
          <w:sz w:val="22"/>
          <w:szCs w:val="22"/>
          <w:lang w:val="sl-SI" w:bidi="sl-SI"/>
        </w:rPr>
        <w:t>Aktivnosti v zvezi z upravljanjem malih projektov, financiranih iz Sklada za male projekte (</w:t>
      </w:r>
      <w:proofErr w:type="spellStart"/>
      <w:r w:rsidR="004277F3">
        <w:rPr>
          <w:rFonts w:asciiTheme="minorHAnsi" w:hAnsiTheme="minorHAnsi" w:cstheme="minorBidi"/>
          <w:sz w:val="22"/>
          <w:szCs w:val="22"/>
          <w:lang w:val="sl-SI" w:bidi="sl-SI"/>
        </w:rPr>
        <w:t>Interreg</w:t>
      </w:r>
      <w:proofErr w:type="spellEnd"/>
      <w:r w:rsidR="004277F3">
        <w:rPr>
          <w:rFonts w:asciiTheme="minorHAnsi" w:hAnsiTheme="minorHAnsi" w:cstheme="minorBidi"/>
          <w:sz w:val="22"/>
          <w:szCs w:val="22"/>
          <w:lang w:val="sl-SI" w:bidi="sl-SI"/>
        </w:rPr>
        <w:t xml:space="preserve"> »</w:t>
      </w:r>
      <w:proofErr w:type="spellStart"/>
      <w:r w:rsidR="004277F3">
        <w:rPr>
          <w:rFonts w:asciiTheme="minorHAnsi" w:hAnsiTheme="minorHAnsi" w:cstheme="minorBidi"/>
          <w:sz w:val="22"/>
          <w:szCs w:val="22"/>
          <w:lang w:val="sl-SI" w:bidi="sl-SI"/>
        </w:rPr>
        <w:t>small</w:t>
      </w:r>
      <w:proofErr w:type="spellEnd"/>
      <w:r w:rsidR="004277F3">
        <w:rPr>
          <w:rFonts w:asciiTheme="minorHAnsi" w:hAnsiTheme="minorHAnsi" w:cstheme="minorBidi"/>
          <w:sz w:val="22"/>
          <w:szCs w:val="22"/>
          <w:lang w:val="sl-SI" w:bidi="sl-SI"/>
        </w:rPr>
        <w:t xml:space="preserve"> </w:t>
      </w:r>
      <w:proofErr w:type="spellStart"/>
      <w:r w:rsidR="004277F3">
        <w:rPr>
          <w:rFonts w:asciiTheme="minorHAnsi" w:hAnsiTheme="minorHAnsi" w:cstheme="minorBidi"/>
          <w:sz w:val="22"/>
          <w:szCs w:val="22"/>
          <w:lang w:val="sl-SI" w:bidi="sl-SI"/>
        </w:rPr>
        <w:t>projects</w:t>
      </w:r>
      <w:proofErr w:type="spellEnd"/>
      <w:r w:rsidR="004277F3">
        <w:rPr>
          <w:rFonts w:asciiTheme="minorHAnsi" w:hAnsiTheme="minorHAnsi" w:cstheme="minorBidi"/>
          <w:sz w:val="22"/>
          <w:szCs w:val="22"/>
          <w:lang w:val="sl-SI" w:bidi="sl-SI"/>
        </w:rPr>
        <w:t xml:space="preserve"> </w:t>
      </w:r>
      <w:proofErr w:type="spellStart"/>
      <w:r w:rsidR="004277F3">
        <w:rPr>
          <w:rFonts w:asciiTheme="minorHAnsi" w:hAnsiTheme="minorHAnsi" w:cstheme="minorBidi"/>
          <w:sz w:val="22"/>
          <w:szCs w:val="22"/>
          <w:lang w:val="sl-SI" w:bidi="sl-SI"/>
        </w:rPr>
        <w:t>fund</w:t>
      </w:r>
      <w:proofErr w:type="spellEnd"/>
      <w:r w:rsidR="004277F3">
        <w:rPr>
          <w:rFonts w:asciiTheme="minorHAnsi" w:hAnsiTheme="minorHAnsi" w:cstheme="minorBidi"/>
          <w:sz w:val="22"/>
          <w:szCs w:val="22"/>
          <w:lang w:val="sl-SI" w:bidi="sl-SI"/>
        </w:rPr>
        <w:t xml:space="preserve">« - </w:t>
      </w:r>
      <w:r w:rsidRPr="00E86598">
        <w:rPr>
          <w:rFonts w:asciiTheme="minorHAnsi" w:hAnsiTheme="minorHAnsi" w:cstheme="minorBidi"/>
          <w:sz w:val="22"/>
          <w:szCs w:val="22"/>
          <w:lang w:val="sl-SI" w:bidi="sl-SI"/>
        </w:rPr>
        <w:t xml:space="preserve">SPF), upravljanjem </w:t>
      </w:r>
      <w:r w:rsidR="004277F3">
        <w:rPr>
          <w:rFonts w:asciiTheme="minorHAnsi" w:hAnsiTheme="minorHAnsi" w:cstheme="minorBidi"/>
          <w:sz w:val="22"/>
          <w:szCs w:val="22"/>
          <w:lang w:val="sl-SI" w:bidi="sl-SI"/>
        </w:rPr>
        <w:t xml:space="preserve">spletne </w:t>
      </w:r>
      <w:r w:rsidRPr="00E86598">
        <w:rPr>
          <w:rFonts w:asciiTheme="minorHAnsi" w:hAnsiTheme="minorHAnsi" w:cstheme="minorBidi"/>
          <w:sz w:val="22"/>
          <w:szCs w:val="22"/>
          <w:lang w:val="sl-SI" w:bidi="sl-SI"/>
        </w:rPr>
        <w:t>platforme EPK 2025</w:t>
      </w:r>
      <w:r w:rsidR="005536F4" w:rsidRPr="00E86598">
        <w:rPr>
          <w:rFonts w:asciiTheme="minorHAnsi" w:hAnsiTheme="minorHAnsi" w:cstheme="minorBidi"/>
          <w:sz w:val="22"/>
          <w:szCs w:val="22"/>
          <w:lang w:val="sl-SI" w:bidi="sl-SI"/>
        </w:rPr>
        <w:t xml:space="preserve">, </w:t>
      </w:r>
      <w:r w:rsidR="00B22B46" w:rsidRPr="00E86598">
        <w:rPr>
          <w:rFonts w:asciiTheme="minorHAnsi" w:hAnsiTheme="minorHAnsi" w:cstheme="minorBidi"/>
          <w:sz w:val="22"/>
          <w:szCs w:val="22"/>
          <w:lang w:val="sl-SI" w:bidi="sl-SI"/>
        </w:rPr>
        <w:t>vodenje</w:t>
      </w:r>
      <w:r w:rsidR="004277F3">
        <w:rPr>
          <w:rFonts w:asciiTheme="minorHAnsi" w:hAnsiTheme="minorHAnsi" w:cstheme="minorBidi"/>
          <w:sz w:val="22"/>
          <w:szCs w:val="22"/>
          <w:lang w:val="sl-SI" w:bidi="sl-SI"/>
        </w:rPr>
        <w:t>m</w:t>
      </w:r>
      <w:r w:rsidR="00B22B46" w:rsidRPr="00E86598">
        <w:rPr>
          <w:rFonts w:asciiTheme="minorHAnsi" w:hAnsiTheme="minorHAnsi" w:cstheme="minorBidi"/>
          <w:sz w:val="22"/>
          <w:szCs w:val="22"/>
          <w:lang w:val="sl-SI" w:bidi="sl-SI"/>
        </w:rPr>
        <w:t xml:space="preserve"> razpisov v zvezi </w:t>
      </w:r>
      <w:r w:rsidR="004277F3">
        <w:rPr>
          <w:rFonts w:asciiTheme="minorHAnsi" w:hAnsiTheme="minorHAnsi" w:cstheme="minorBidi"/>
          <w:sz w:val="22"/>
          <w:szCs w:val="22"/>
          <w:lang w:val="sl-SI" w:bidi="sl-SI"/>
        </w:rPr>
        <w:t>z obnovo</w:t>
      </w:r>
      <w:r w:rsidR="00A1435F" w:rsidRPr="00E86598">
        <w:rPr>
          <w:rFonts w:asciiTheme="minorHAnsi" w:hAnsiTheme="minorHAnsi" w:cstheme="minorBidi"/>
          <w:sz w:val="22"/>
          <w:szCs w:val="22"/>
          <w:lang w:val="sl-SI" w:bidi="sl-SI"/>
        </w:rPr>
        <w:t xml:space="preserve"> </w:t>
      </w:r>
      <w:r w:rsidR="00B22B46" w:rsidRPr="00E86598">
        <w:rPr>
          <w:rFonts w:asciiTheme="minorHAnsi" w:hAnsiTheme="minorHAnsi" w:cstheme="minorBidi"/>
          <w:sz w:val="22"/>
          <w:szCs w:val="22"/>
          <w:lang w:val="sl-SI" w:bidi="sl-SI"/>
        </w:rPr>
        <w:t>Trg</w:t>
      </w:r>
      <w:r w:rsidR="004277F3">
        <w:rPr>
          <w:rFonts w:asciiTheme="minorHAnsi" w:hAnsiTheme="minorHAnsi" w:cstheme="minorBidi"/>
          <w:sz w:val="22"/>
          <w:szCs w:val="22"/>
          <w:lang w:val="sl-SI" w:bidi="sl-SI"/>
        </w:rPr>
        <w:t>a</w:t>
      </w:r>
      <w:r w:rsidR="00B22B46" w:rsidRPr="00E86598">
        <w:rPr>
          <w:rFonts w:asciiTheme="minorHAnsi" w:hAnsiTheme="minorHAnsi" w:cstheme="minorBidi"/>
          <w:sz w:val="22"/>
          <w:szCs w:val="22"/>
          <w:lang w:val="sl-SI" w:bidi="sl-SI"/>
        </w:rPr>
        <w:t xml:space="preserve"> Evrope</w:t>
      </w:r>
      <w:r w:rsidR="00A1435F" w:rsidRPr="00E86598">
        <w:rPr>
          <w:rFonts w:asciiTheme="minorHAnsi" w:hAnsiTheme="minorHAnsi" w:cstheme="minorBidi"/>
          <w:sz w:val="22"/>
          <w:szCs w:val="22"/>
          <w:lang w:val="sl-SI" w:bidi="sl-SI"/>
        </w:rPr>
        <w:t xml:space="preserve"> / </w:t>
      </w:r>
      <w:proofErr w:type="spellStart"/>
      <w:r w:rsidR="00A1435F" w:rsidRPr="00E86598">
        <w:rPr>
          <w:rFonts w:asciiTheme="minorHAnsi" w:hAnsiTheme="minorHAnsi" w:cstheme="minorBidi"/>
          <w:sz w:val="22"/>
          <w:szCs w:val="22"/>
          <w:lang w:val="sl-SI" w:bidi="sl-SI"/>
        </w:rPr>
        <w:t>Tran</w:t>
      </w:r>
      <w:r w:rsidR="0032783B" w:rsidRPr="00E86598">
        <w:rPr>
          <w:rFonts w:asciiTheme="minorHAnsi" w:hAnsiTheme="minorHAnsi" w:cstheme="minorBidi"/>
          <w:sz w:val="22"/>
          <w:szCs w:val="22"/>
          <w:lang w:val="sl-SI" w:bidi="sl-SI"/>
        </w:rPr>
        <w:t>salpina</w:t>
      </w:r>
      <w:proofErr w:type="spellEnd"/>
      <w:r w:rsidR="00B22B46" w:rsidRPr="00E86598">
        <w:rPr>
          <w:rFonts w:asciiTheme="minorHAnsi" w:hAnsiTheme="minorHAnsi" w:cstheme="minorBidi"/>
          <w:sz w:val="22"/>
          <w:szCs w:val="22"/>
          <w:lang w:val="sl-SI" w:bidi="sl-SI"/>
        </w:rPr>
        <w:t xml:space="preserve"> in </w:t>
      </w:r>
      <w:r w:rsidR="004277F3">
        <w:rPr>
          <w:rFonts w:asciiTheme="minorHAnsi" w:hAnsiTheme="minorHAnsi" w:cstheme="minorBidi"/>
          <w:sz w:val="22"/>
          <w:szCs w:val="22"/>
          <w:lang w:val="sl-SI" w:bidi="sl-SI"/>
        </w:rPr>
        <w:t xml:space="preserve">izgradnjo </w:t>
      </w:r>
      <w:r w:rsidR="00A1435F" w:rsidRPr="00E86598">
        <w:rPr>
          <w:rFonts w:asciiTheme="minorHAnsi" w:hAnsiTheme="minorHAnsi" w:cstheme="minorBidi"/>
          <w:sz w:val="22"/>
          <w:szCs w:val="22"/>
          <w:lang w:val="sl-SI" w:bidi="sl-SI"/>
        </w:rPr>
        <w:t>objekt</w:t>
      </w:r>
      <w:r w:rsidR="004277F3">
        <w:rPr>
          <w:rFonts w:asciiTheme="minorHAnsi" w:hAnsiTheme="minorHAnsi" w:cstheme="minorBidi"/>
          <w:sz w:val="22"/>
          <w:szCs w:val="22"/>
          <w:lang w:val="sl-SI" w:bidi="sl-SI"/>
        </w:rPr>
        <w:t>a</w:t>
      </w:r>
      <w:r w:rsidR="00A1435F" w:rsidRPr="00E86598">
        <w:rPr>
          <w:rFonts w:asciiTheme="minorHAnsi" w:hAnsiTheme="minorHAnsi" w:cstheme="minorBidi"/>
          <w:sz w:val="22"/>
          <w:szCs w:val="22"/>
          <w:lang w:val="sl-SI" w:bidi="sl-SI"/>
        </w:rPr>
        <w:t xml:space="preserve"> na meji</w:t>
      </w:r>
      <w:r w:rsidR="004277F3">
        <w:rPr>
          <w:rFonts w:asciiTheme="minorHAnsi" w:hAnsiTheme="minorHAnsi" w:cstheme="minorBidi"/>
          <w:sz w:val="22"/>
          <w:szCs w:val="22"/>
          <w:lang w:val="sl-SI" w:bidi="sl-SI"/>
        </w:rPr>
        <w:t>,</w:t>
      </w:r>
      <w:r w:rsidR="002960E8">
        <w:rPr>
          <w:rFonts w:asciiTheme="minorHAnsi" w:hAnsiTheme="minorHAnsi" w:cstheme="minorBidi"/>
          <w:sz w:val="22"/>
          <w:szCs w:val="22"/>
          <w:lang w:val="sl-SI" w:bidi="sl-SI"/>
        </w:rPr>
        <w:t xml:space="preserve"> </w:t>
      </w:r>
      <w:r w:rsidRPr="00E86598">
        <w:rPr>
          <w:rFonts w:asciiTheme="minorHAnsi" w:hAnsiTheme="minorHAnsi" w:cstheme="minorBidi"/>
          <w:sz w:val="22"/>
          <w:szCs w:val="22"/>
          <w:lang w:val="sl-SI" w:bidi="sl-SI"/>
        </w:rPr>
        <w:t>komunikacijo in organizacijo dogodkov na italijanskem ozemlju ter odnos</w:t>
      </w:r>
      <w:r w:rsidR="004277F3">
        <w:rPr>
          <w:rFonts w:asciiTheme="minorHAnsi" w:hAnsiTheme="minorHAnsi" w:cstheme="minorBidi"/>
          <w:sz w:val="22"/>
          <w:szCs w:val="22"/>
          <w:lang w:val="sl-SI" w:bidi="sl-SI"/>
        </w:rPr>
        <w:t>ov</w:t>
      </w:r>
      <w:r w:rsidRPr="00E86598">
        <w:rPr>
          <w:rFonts w:asciiTheme="minorHAnsi" w:hAnsiTheme="minorHAnsi" w:cstheme="minorBidi"/>
          <w:sz w:val="22"/>
          <w:szCs w:val="22"/>
          <w:lang w:val="sl-SI" w:bidi="sl-SI"/>
        </w:rPr>
        <w:t xml:space="preserve"> z Avtonomno deželo Furlanijo Julijsko krajino</w:t>
      </w:r>
      <w:r w:rsidR="004277F3">
        <w:rPr>
          <w:rFonts w:asciiTheme="minorHAnsi" w:hAnsiTheme="minorHAnsi" w:cstheme="minorBidi"/>
          <w:sz w:val="22"/>
          <w:szCs w:val="22"/>
          <w:lang w:val="sl-SI" w:bidi="sl-SI"/>
        </w:rPr>
        <w:t xml:space="preserve"> in občino Gorica</w:t>
      </w:r>
      <w:r w:rsidRPr="00E86598">
        <w:rPr>
          <w:rFonts w:asciiTheme="minorHAnsi" w:hAnsiTheme="minorHAnsi" w:cstheme="minorBidi"/>
          <w:sz w:val="22"/>
          <w:szCs w:val="22"/>
          <w:lang w:val="sl-SI" w:bidi="sl-SI"/>
        </w:rPr>
        <w:t xml:space="preserve">, </w:t>
      </w:r>
      <w:r w:rsidR="002B30BB">
        <w:rPr>
          <w:rFonts w:asciiTheme="minorHAnsi" w:hAnsiTheme="minorHAnsi" w:cstheme="minorBidi"/>
          <w:sz w:val="22"/>
          <w:szCs w:val="22"/>
          <w:lang w:val="sl-SI" w:bidi="sl-SI"/>
        </w:rPr>
        <w:t>je odgovoren</w:t>
      </w:r>
      <w:r w:rsidRPr="00E86598">
        <w:rPr>
          <w:rFonts w:asciiTheme="minorHAnsi" w:hAnsiTheme="minorHAnsi" w:cstheme="minorBidi"/>
          <w:sz w:val="22"/>
          <w:szCs w:val="22"/>
          <w:lang w:val="sl-SI" w:bidi="sl-SI"/>
        </w:rPr>
        <w:t xml:space="preserve"> </w:t>
      </w:r>
      <w:r w:rsidRPr="00D019AF">
        <w:rPr>
          <w:rFonts w:asciiTheme="minorHAnsi" w:hAnsiTheme="minorHAnsi" w:cstheme="minorBidi"/>
          <w:sz w:val="22"/>
          <w:szCs w:val="22"/>
          <w:lang w:val="sl-SI" w:bidi="sl-SI"/>
        </w:rPr>
        <w:t>EZTS</w:t>
      </w:r>
      <w:r w:rsidRPr="00E86598">
        <w:rPr>
          <w:rFonts w:asciiTheme="minorHAnsi" w:hAnsiTheme="minorHAnsi" w:cstheme="minorBidi"/>
          <w:sz w:val="22"/>
          <w:szCs w:val="22"/>
          <w:lang w:val="sl-SI" w:bidi="sl-SI"/>
        </w:rPr>
        <w:t xml:space="preserve"> GO.</w:t>
      </w:r>
    </w:p>
    <w:p w14:paraId="5ECBE279" w14:textId="1E6E5634" w:rsidR="00C759CC" w:rsidRDefault="00C759CC" w:rsidP="00C759CC">
      <w:pPr>
        <w:spacing w:before="113" w:after="113"/>
        <w:jc w:val="both"/>
        <w:rPr>
          <w:rFonts w:asciiTheme="minorHAnsi" w:hAnsiTheme="minorHAnsi" w:cstheme="minorBidi"/>
          <w:sz w:val="22"/>
          <w:szCs w:val="22"/>
          <w:lang w:val="sl-SI" w:bidi="sl-SI"/>
        </w:rPr>
      </w:pPr>
      <w:r w:rsidRPr="00E86598">
        <w:rPr>
          <w:rFonts w:asciiTheme="minorHAnsi" w:hAnsiTheme="minorHAnsi" w:cstheme="minorBidi"/>
          <w:sz w:val="22"/>
          <w:szCs w:val="22"/>
          <w:lang w:val="sl-SI" w:bidi="sl-SI"/>
        </w:rPr>
        <w:lastRenderedPageBreak/>
        <w:t xml:space="preserve">Konkretne aktivnosti in z njimi povezan finančni načrt so stvar dogovora na letni ravni in so navedeni v </w:t>
      </w:r>
      <w:r w:rsidR="004277F3">
        <w:rPr>
          <w:rFonts w:asciiTheme="minorHAnsi" w:hAnsiTheme="minorHAnsi" w:cstheme="minorBidi"/>
          <w:sz w:val="22"/>
          <w:szCs w:val="22"/>
          <w:lang w:val="sl-SI" w:bidi="sl-SI"/>
        </w:rPr>
        <w:t xml:space="preserve">vsakoletni </w:t>
      </w:r>
      <w:r w:rsidRPr="00E86598">
        <w:rPr>
          <w:rFonts w:asciiTheme="minorHAnsi" w:hAnsiTheme="minorHAnsi" w:cstheme="minorBidi"/>
          <w:sz w:val="22"/>
          <w:szCs w:val="22"/>
          <w:lang w:val="sl-SI" w:bidi="sl-SI"/>
        </w:rPr>
        <w:t>prilogi k tej pogodbi, iz katere je razvidna delitev dejavnosti</w:t>
      </w:r>
      <w:r w:rsidR="004277F3">
        <w:rPr>
          <w:rFonts w:asciiTheme="minorHAnsi" w:hAnsiTheme="minorHAnsi" w:cstheme="minorBidi"/>
          <w:sz w:val="22"/>
          <w:szCs w:val="22"/>
          <w:lang w:val="sl-SI" w:bidi="sl-SI"/>
        </w:rPr>
        <w:t>, aktivnosti</w:t>
      </w:r>
      <w:r w:rsidRPr="00E86598">
        <w:rPr>
          <w:rFonts w:asciiTheme="minorHAnsi" w:hAnsiTheme="minorHAnsi" w:cstheme="minorBidi"/>
          <w:sz w:val="22"/>
          <w:szCs w:val="22"/>
          <w:lang w:val="sl-SI" w:bidi="sl-SI"/>
        </w:rPr>
        <w:t xml:space="preserve"> in stroškov med obema </w:t>
      </w:r>
      <w:r w:rsidR="003C2140">
        <w:rPr>
          <w:rFonts w:asciiTheme="minorHAnsi" w:hAnsiTheme="minorHAnsi" w:cstheme="minorBidi"/>
          <w:sz w:val="22"/>
          <w:szCs w:val="22"/>
          <w:lang w:val="sl-SI" w:bidi="sl-SI"/>
        </w:rPr>
        <w:t xml:space="preserve">strankama, </w:t>
      </w:r>
      <w:r w:rsidR="004277F3">
        <w:rPr>
          <w:rFonts w:asciiTheme="minorHAnsi" w:hAnsiTheme="minorHAnsi" w:cstheme="minorBidi"/>
          <w:sz w:val="22"/>
          <w:szCs w:val="22"/>
          <w:lang w:val="sl-SI" w:bidi="sl-SI"/>
        </w:rPr>
        <w:t>na podlagi usklajenih letnih finančnih načrtov obeh subjektov</w:t>
      </w:r>
      <w:r w:rsidR="00AE1C4B">
        <w:rPr>
          <w:rFonts w:asciiTheme="minorHAnsi" w:hAnsiTheme="minorHAnsi" w:cstheme="minorBidi"/>
          <w:sz w:val="22"/>
          <w:szCs w:val="22"/>
          <w:lang w:val="sl-SI" w:bidi="sl-SI"/>
        </w:rPr>
        <w:t>.</w:t>
      </w:r>
    </w:p>
    <w:p w14:paraId="09EDDDA3" w14:textId="755FA82C" w:rsidR="00A0027D" w:rsidRDefault="00A0027D" w:rsidP="00C759CC">
      <w:pPr>
        <w:spacing w:before="113" w:after="113"/>
        <w:jc w:val="both"/>
        <w:rPr>
          <w:rFonts w:asciiTheme="minorHAnsi" w:hAnsiTheme="minorHAnsi" w:cstheme="minorBidi"/>
          <w:sz w:val="22"/>
          <w:szCs w:val="22"/>
          <w:lang w:val="sl-SI" w:bidi="sl-SI"/>
        </w:rPr>
      </w:pPr>
      <w:r>
        <w:rPr>
          <w:rFonts w:asciiTheme="minorHAnsi" w:hAnsiTheme="minorHAnsi" w:cstheme="minorBidi"/>
          <w:sz w:val="22"/>
          <w:szCs w:val="22"/>
          <w:lang w:val="sl-SI" w:bidi="sl-SI"/>
        </w:rPr>
        <w:t>Morebitne spremembe in dopolnitve te pogodbe se uredijo s sklenitvijo aneksa k tej pogodbi.</w:t>
      </w:r>
    </w:p>
    <w:p w14:paraId="74E7EDE6" w14:textId="77777777" w:rsidR="00AE1C4B" w:rsidRPr="00D019AF" w:rsidRDefault="00AE1C4B" w:rsidP="00C759CC">
      <w:pPr>
        <w:spacing w:before="113" w:after="113"/>
        <w:jc w:val="both"/>
        <w:rPr>
          <w:rFonts w:asciiTheme="minorHAnsi" w:hAnsiTheme="minorHAnsi" w:cstheme="minorBidi"/>
          <w:sz w:val="22"/>
          <w:szCs w:val="22"/>
          <w:lang w:val="sl-SI"/>
        </w:rPr>
      </w:pPr>
    </w:p>
    <w:p w14:paraId="7838D9BC" w14:textId="4574195F" w:rsidR="00AE1C4B" w:rsidRPr="00375C8F" w:rsidRDefault="00AE1C4B"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bidi="sl-SI"/>
        </w:rPr>
        <w:t>7. člen</w:t>
      </w:r>
    </w:p>
    <w:p w14:paraId="011F2560" w14:textId="77777777" w:rsidR="00C759CC" w:rsidRPr="00D019AF" w:rsidRDefault="00C759CC" w:rsidP="00C759CC">
      <w:pPr>
        <w:spacing w:before="113" w:after="113"/>
        <w:jc w:val="both"/>
        <w:rPr>
          <w:rFonts w:asciiTheme="minorHAnsi" w:hAnsiTheme="minorHAnsi" w:cstheme="minorBidi"/>
          <w:sz w:val="22"/>
          <w:szCs w:val="22"/>
          <w:lang w:val="sl-SI"/>
        </w:rPr>
      </w:pPr>
      <w:r w:rsidRPr="00E86598">
        <w:rPr>
          <w:rFonts w:asciiTheme="minorHAnsi" w:hAnsiTheme="minorHAnsi" w:cstheme="minorBidi"/>
          <w:sz w:val="22"/>
          <w:szCs w:val="22"/>
          <w:lang w:val="sl-SI" w:bidi="sl-SI"/>
        </w:rPr>
        <w:t>Stranki se dogovorita o naslednjem:</w:t>
      </w:r>
    </w:p>
    <w:p w14:paraId="2A153286" w14:textId="0362AB8E" w:rsidR="00B3660F" w:rsidRDefault="006D6F33" w:rsidP="00C759CC">
      <w:pPr>
        <w:pStyle w:val="Odstavekseznama"/>
        <w:numPr>
          <w:ilvl w:val="0"/>
          <w:numId w:val="31"/>
        </w:numPr>
        <w:suppressAutoHyphens/>
        <w:spacing w:before="113" w:after="113"/>
        <w:jc w:val="both"/>
        <w:rPr>
          <w:sz w:val="22"/>
          <w:szCs w:val="22"/>
          <w:lang w:val="sl-SI"/>
        </w:rPr>
      </w:pPr>
      <w:r>
        <w:rPr>
          <w:sz w:val="22"/>
          <w:szCs w:val="22"/>
          <w:lang w:val="sl-SI" w:bidi="sl-SI"/>
        </w:rPr>
        <w:t>tedensko se izvede najmanj</w:t>
      </w:r>
      <w:r w:rsidR="00AE1C4B">
        <w:rPr>
          <w:sz w:val="22"/>
          <w:szCs w:val="22"/>
          <w:lang w:val="sl-SI" w:bidi="sl-SI"/>
        </w:rPr>
        <w:t xml:space="preserve"> </w:t>
      </w:r>
      <w:r w:rsidR="004277F3">
        <w:rPr>
          <w:sz w:val="22"/>
          <w:szCs w:val="22"/>
          <w:lang w:val="sl-SI" w:bidi="sl-SI"/>
        </w:rPr>
        <w:t>en</w:t>
      </w:r>
      <w:r w:rsidR="00C759CC" w:rsidRPr="00E86598">
        <w:rPr>
          <w:sz w:val="22"/>
          <w:szCs w:val="22"/>
          <w:lang w:val="sl-SI" w:bidi="sl-SI"/>
        </w:rPr>
        <w:t xml:space="preserve"> koordinacijski sestanek med </w:t>
      </w:r>
      <w:r w:rsidR="004277F3">
        <w:rPr>
          <w:sz w:val="22"/>
          <w:szCs w:val="22"/>
          <w:lang w:val="sl-SI" w:bidi="sl-SI"/>
        </w:rPr>
        <w:t>vodstvom</w:t>
      </w:r>
      <w:r w:rsidR="00B3660F">
        <w:rPr>
          <w:sz w:val="22"/>
          <w:szCs w:val="22"/>
          <w:lang w:val="sl-SI" w:bidi="sl-SI"/>
        </w:rPr>
        <w:t>a</w:t>
      </w:r>
      <w:r w:rsidR="00C759CC" w:rsidRPr="00E86598">
        <w:rPr>
          <w:sz w:val="22"/>
          <w:szCs w:val="22"/>
          <w:lang w:val="sl-SI" w:bidi="sl-SI"/>
        </w:rPr>
        <w:t xml:space="preserve"> Zavoda GO! 2025 in  EZTS GO</w:t>
      </w:r>
      <w:r w:rsidR="00B3660F">
        <w:rPr>
          <w:sz w:val="22"/>
          <w:szCs w:val="22"/>
          <w:lang w:val="sl-SI" w:bidi="sl-SI"/>
        </w:rPr>
        <w:t>;</w:t>
      </w:r>
    </w:p>
    <w:p w14:paraId="22747370" w14:textId="6F2E3991" w:rsidR="00B3660F" w:rsidRDefault="006D6F33" w:rsidP="00B3660F">
      <w:pPr>
        <w:pStyle w:val="Odstavekseznama"/>
        <w:numPr>
          <w:ilvl w:val="0"/>
          <w:numId w:val="31"/>
        </w:numPr>
        <w:suppressAutoHyphens/>
        <w:spacing w:before="113" w:after="113"/>
        <w:jc w:val="both"/>
        <w:rPr>
          <w:sz w:val="22"/>
          <w:szCs w:val="22"/>
          <w:lang w:val="sl-SI"/>
        </w:rPr>
      </w:pPr>
      <w:r>
        <w:rPr>
          <w:sz w:val="22"/>
          <w:szCs w:val="22"/>
          <w:lang w:val="sl-SI" w:bidi="sl-SI"/>
        </w:rPr>
        <w:t>tedensko se izvede najmanj</w:t>
      </w:r>
      <w:r w:rsidR="00B3660F" w:rsidRPr="00E86598">
        <w:rPr>
          <w:sz w:val="22"/>
          <w:szCs w:val="22"/>
          <w:lang w:val="sl-SI" w:bidi="sl-SI"/>
        </w:rPr>
        <w:t xml:space="preserve"> </w:t>
      </w:r>
      <w:r w:rsidR="00B3660F">
        <w:rPr>
          <w:sz w:val="22"/>
          <w:szCs w:val="22"/>
          <w:lang w:val="sl-SI" w:bidi="sl-SI"/>
        </w:rPr>
        <w:t>en</w:t>
      </w:r>
      <w:r w:rsidR="00B3660F" w:rsidRPr="00E86598">
        <w:rPr>
          <w:sz w:val="22"/>
          <w:szCs w:val="22"/>
          <w:lang w:val="sl-SI" w:bidi="sl-SI"/>
        </w:rPr>
        <w:t xml:space="preserve"> koordinacijski sestanek med </w:t>
      </w:r>
      <w:r w:rsidR="00B3660F">
        <w:rPr>
          <w:sz w:val="22"/>
          <w:szCs w:val="22"/>
          <w:lang w:val="sl-SI" w:bidi="sl-SI"/>
        </w:rPr>
        <w:t>programskim oddelkom</w:t>
      </w:r>
      <w:r w:rsidR="00B3660F" w:rsidRPr="00E86598">
        <w:rPr>
          <w:sz w:val="22"/>
          <w:szCs w:val="22"/>
          <w:lang w:val="sl-SI" w:bidi="sl-SI"/>
        </w:rPr>
        <w:t xml:space="preserve"> Zavoda GO! 2025 in osebjem EZTS GO, </w:t>
      </w:r>
      <w:r>
        <w:rPr>
          <w:sz w:val="22"/>
          <w:szCs w:val="22"/>
          <w:lang w:val="sl-SI" w:bidi="sl-SI"/>
        </w:rPr>
        <w:t>določenim</w:t>
      </w:r>
      <w:r w:rsidR="00B3660F" w:rsidRPr="00E86598">
        <w:rPr>
          <w:sz w:val="22"/>
          <w:szCs w:val="22"/>
          <w:lang w:val="sl-SI" w:bidi="sl-SI"/>
        </w:rPr>
        <w:t xml:space="preserve"> za</w:t>
      </w:r>
      <w:r>
        <w:rPr>
          <w:sz w:val="22"/>
          <w:szCs w:val="22"/>
          <w:lang w:val="sl-SI" w:bidi="sl-SI"/>
        </w:rPr>
        <w:t xml:space="preserve"> izvedbo</w:t>
      </w:r>
      <w:r w:rsidR="00B3660F" w:rsidRPr="00E86598">
        <w:rPr>
          <w:sz w:val="22"/>
          <w:szCs w:val="22"/>
          <w:lang w:val="sl-SI" w:bidi="sl-SI"/>
        </w:rPr>
        <w:t xml:space="preserve"> </w:t>
      </w:r>
      <w:r>
        <w:rPr>
          <w:sz w:val="22"/>
          <w:szCs w:val="22"/>
          <w:lang w:val="sl-SI" w:bidi="sl-SI"/>
        </w:rPr>
        <w:t>aktivnosti na projektu</w:t>
      </w:r>
      <w:r w:rsidR="00B3660F" w:rsidRPr="00E86598">
        <w:rPr>
          <w:sz w:val="22"/>
          <w:szCs w:val="22"/>
          <w:lang w:val="sl-SI" w:bidi="sl-SI"/>
        </w:rPr>
        <w:t xml:space="preserve"> EPK 2025</w:t>
      </w:r>
      <w:r w:rsidR="00B3660F">
        <w:rPr>
          <w:sz w:val="22"/>
          <w:szCs w:val="22"/>
          <w:lang w:val="sl-SI" w:bidi="sl-SI"/>
        </w:rPr>
        <w:t>;</w:t>
      </w:r>
    </w:p>
    <w:p w14:paraId="22E99404" w14:textId="2A920146" w:rsidR="00C759CC" w:rsidRPr="00FD58B9" w:rsidRDefault="00B3660F" w:rsidP="001D46E1">
      <w:pPr>
        <w:pStyle w:val="Odstavekseznama"/>
        <w:numPr>
          <w:ilvl w:val="0"/>
          <w:numId w:val="31"/>
        </w:numPr>
        <w:suppressAutoHyphens/>
        <w:spacing w:before="113" w:after="113"/>
        <w:jc w:val="both"/>
        <w:rPr>
          <w:sz w:val="22"/>
          <w:szCs w:val="22"/>
          <w:lang w:val="sl-SI"/>
        </w:rPr>
      </w:pPr>
      <w:r w:rsidRPr="00FD58B9">
        <w:rPr>
          <w:sz w:val="22"/>
          <w:szCs w:val="22"/>
          <w:lang w:val="sl-SI" w:bidi="sl-SI"/>
        </w:rPr>
        <w:t>vzpostavi</w:t>
      </w:r>
      <w:r w:rsidR="006D6F33" w:rsidRPr="00FD58B9">
        <w:rPr>
          <w:sz w:val="22"/>
          <w:szCs w:val="22"/>
          <w:lang w:val="sl-SI" w:bidi="sl-SI"/>
        </w:rPr>
        <w:t>ta se</w:t>
      </w:r>
      <w:r w:rsidR="001D46E1" w:rsidRPr="00FD58B9">
        <w:rPr>
          <w:sz w:val="22"/>
          <w:szCs w:val="22"/>
          <w:lang w:val="sl-SI" w:bidi="sl-SI"/>
        </w:rPr>
        <w:t xml:space="preserve"> redno delujoč</w:t>
      </w:r>
      <w:r w:rsidR="006D6F33" w:rsidRPr="00FD58B9">
        <w:rPr>
          <w:sz w:val="22"/>
          <w:szCs w:val="22"/>
          <w:lang w:val="sl-SI" w:bidi="sl-SI"/>
        </w:rPr>
        <w:t>i</w:t>
      </w:r>
      <w:r w:rsidR="001D46E1" w:rsidRPr="00FD58B9">
        <w:rPr>
          <w:sz w:val="22"/>
          <w:szCs w:val="22"/>
          <w:lang w:val="sl-SI" w:bidi="sl-SI"/>
        </w:rPr>
        <w:t>,</w:t>
      </w:r>
      <w:r w:rsidRPr="00FD58B9">
        <w:rPr>
          <w:sz w:val="22"/>
          <w:szCs w:val="22"/>
          <w:lang w:val="sl-SI" w:bidi="sl-SI"/>
        </w:rPr>
        <w:t xml:space="preserve"> čezmejn</w:t>
      </w:r>
      <w:r w:rsidR="006D6F33" w:rsidRPr="00FD58B9">
        <w:rPr>
          <w:sz w:val="22"/>
          <w:szCs w:val="22"/>
          <w:lang w:val="sl-SI" w:bidi="sl-SI"/>
        </w:rPr>
        <w:t>i ekipi -</w:t>
      </w:r>
      <w:r w:rsidRPr="00FD58B9">
        <w:rPr>
          <w:sz w:val="22"/>
          <w:szCs w:val="22"/>
          <w:lang w:val="sl-SI" w:bidi="sl-SI"/>
        </w:rPr>
        <w:t xml:space="preserve"> komunikacijsk</w:t>
      </w:r>
      <w:r w:rsidR="006D6F33" w:rsidRPr="00FD58B9">
        <w:rPr>
          <w:sz w:val="22"/>
          <w:szCs w:val="22"/>
          <w:lang w:val="sl-SI" w:bidi="sl-SI"/>
        </w:rPr>
        <w:t>a</w:t>
      </w:r>
      <w:r w:rsidRPr="00FD58B9">
        <w:rPr>
          <w:sz w:val="22"/>
          <w:szCs w:val="22"/>
          <w:lang w:val="sl-SI" w:bidi="sl-SI"/>
        </w:rPr>
        <w:t xml:space="preserve"> in marketinšk</w:t>
      </w:r>
      <w:r w:rsidR="006D6F33" w:rsidRPr="00FD58B9">
        <w:rPr>
          <w:sz w:val="22"/>
          <w:szCs w:val="22"/>
          <w:lang w:val="sl-SI" w:bidi="sl-SI"/>
        </w:rPr>
        <w:t>a</w:t>
      </w:r>
      <w:r w:rsidRPr="00FD58B9">
        <w:rPr>
          <w:sz w:val="22"/>
          <w:szCs w:val="22"/>
          <w:lang w:val="sl-SI" w:bidi="sl-SI"/>
        </w:rPr>
        <w:t>, z najmanj enim predstavnikom vsake</w:t>
      </w:r>
      <w:r w:rsidR="003C2140" w:rsidRPr="00FD58B9">
        <w:rPr>
          <w:sz w:val="22"/>
          <w:szCs w:val="22"/>
          <w:lang w:val="sl-SI" w:bidi="sl-SI"/>
        </w:rPr>
        <w:t xml:space="preserve"> stranke</w:t>
      </w:r>
      <w:r w:rsidR="00FD58B9" w:rsidRPr="00B318A1">
        <w:rPr>
          <w:sz w:val="22"/>
          <w:szCs w:val="22"/>
          <w:lang w:val="sl-SI" w:bidi="sl-SI"/>
        </w:rPr>
        <w:t xml:space="preserve">. </w:t>
      </w:r>
      <w:r w:rsidR="00FD58B9">
        <w:rPr>
          <w:sz w:val="22"/>
          <w:szCs w:val="22"/>
          <w:lang w:val="sl-SI" w:bidi="sl-SI"/>
        </w:rPr>
        <w:t>Ekipi sodelujeta in</w:t>
      </w:r>
      <w:r w:rsidR="00FD58B9" w:rsidRPr="00B318A1">
        <w:rPr>
          <w:sz w:val="22"/>
          <w:szCs w:val="22"/>
          <w:lang w:val="sl-SI" w:bidi="sl-SI"/>
        </w:rPr>
        <w:t xml:space="preserve"> skupaj izvaja</w:t>
      </w:r>
      <w:r w:rsidR="00FD58B9">
        <w:rPr>
          <w:sz w:val="22"/>
          <w:szCs w:val="22"/>
          <w:lang w:val="sl-SI" w:bidi="sl-SI"/>
        </w:rPr>
        <w:t>ta</w:t>
      </w:r>
      <w:r w:rsidR="00FD58B9" w:rsidRPr="00B318A1">
        <w:rPr>
          <w:sz w:val="22"/>
          <w:szCs w:val="22"/>
          <w:lang w:val="sl-SI" w:bidi="sl-SI"/>
        </w:rPr>
        <w:t xml:space="preserve"> marketinško in komunikacijsko strategijo projekta EPK 2025.</w:t>
      </w:r>
    </w:p>
    <w:p w14:paraId="75E02382" w14:textId="68E78399" w:rsidR="00C759CC" w:rsidRPr="00D019AF" w:rsidRDefault="006D6F33" w:rsidP="00C759CC">
      <w:pPr>
        <w:pStyle w:val="Odstavekseznama"/>
        <w:numPr>
          <w:ilvl w:val="0"/>
          <w:numId w:val="31"/>
        </w:numPr>
        <w:suppressAutoHyphens/>
        <w:spacing w:before="113" w:after="113"/>
        <w:jc w:val="both"/>
        <w:rPr>
          <w:sz w:val="22"/>
          <w:szCs w:val="22"/>
          <w:lang w:val="sl-SI"/>
        </w:rPr>
      </w:pPr>
      <w:r>
        <w:rPr>
          <w:sz w:val="22"/>
          <w:szCs w:val="22"/>
          <w:lang w:val="sl-SI" w:bidi="sl-SI"/>
        </w:rPr>
        <w:t>mesečno se izvede najmanj</w:t>
      </w:r>
      <w:r w:rsidR="001D46E1" w:rsidRPr="00E86598">
        <w:rPr>
          <w:sz w:val="22"/>
          <w:szCs w:val="22"/>
          <w:lang w:val="sl-SI" w:bidi="sl-SI"/>
        </w:rPr>
        <w:t xml:space="preserve"> </w:t>
      </w:r>
      <w:r w:rsidR="00C759CC" w:rsidRPr="00E86598">
        <w:rPr>
          <w:sz w:val="22"/>
          <w:szCs w:val="22"/>
          <w:lang w:val="sl-SI" w:bidi="sl-SI"/>
        </w:rPr>
        <w:t>en usklajevalni sestanek</w:t>
      </w:r>
      <w:r>
        <w:rPr>
          <w:sz w:val="22"/>
          <w:szCs w:val="22"/>
          <w:lang w:val="sl-SI" w:bidi="sl-SI"/>
        </w:rPr>
        <w:t xml:space="preserve"> vodstev obeh </w:t>
      </w:r>
      <w:r w:rsidR="003C2140">
        <w:rPr>
          <w:sz w:val="22"/>
          <w:szCs w:val="22"/>
          <w:lang w:val="sl-SI" w:bidi="sl-SI"/>
        </w:rPr>
        <w:t>strank</w:t>
      </w:r>
      <w:r w:rsidR="00C759CC" w:rsidRPr="00E86598">
        <w:rPr>
          <w:sz w:val="22"/>
          <w:szCs w:val="22"/>
          <w:lang w:val="sl-SI" w:bidi="sl-SI"/>
        </w:rPr>
        <w:t xml:space="preserve">, </w:t>
      </w:r>
      <w:r>
        <w:rPr>
          <w:sz w:val="22"/>
          <w:szCs w:val="22"/>
          <w:lang w:val="sl-SI" w:bidi="sl-SI"/>
        </w:rPr>
        <w:t>s</w:t>
      </w:r>
      <w:r w:rsidR="00C759CC" w:rsidRPr="00E86598">
        <w:rPr>
          <w:sz w:val="22"/>
          <w:szCs w:val="22"/>
          <w:lang w:val="sl-SI" w:bidi="sl-SI"/>
        </w:rPr>
        <w:t xml:space="preserve"> predstavnik</w:t>
      </w:r>
      <w:r>
        <w:rPr>
          <w:sz w:val="22"/>
          <w:szCs w:val="22"/>
          <w:lang w:val="sl-SI" w:bidi="sl-SI"/>
        </w:rPr>
        <w:t>i vodstev</w:t>
      </w:r>
      <w:r w:rsidR="00C759CC" w:rsidRPr="00E86598">
        <w:rPr>
          <w:sz w:val="22"/>
          <w:szCs w:val="22"/>
          <w:lang w:val="sl-SI" w:bidi="sl-SI"/>
        </w:rPr>
        <w:t xml:space="preserve"> </w:t>
      </w:r>
      <w:r>
        <w:rPr>
          <w:sz w:val="22"/>
          <w:szCs w:val="22"/>
          <w:lang w:val="sl-SI" w:bidi="sl-SI"/>
        </w:rPr>
        <w:t>MONG</w:t>
      </w:r>
      <w:r w:rsidR="00C759CC" w:rsidRPr="00E86598">
        <w:rPr>
          <w:sz w:val="22"/>
          <w:szCs w:val="22"/>
          <w:lang w:val="sl-SI" w:bidi="sl-SI"/>
        </w:rPr>
        <w:t xml:space="preserve"> in Občine Gorica ter po potrebi</w:t>
      </w:r>
      <w:r>
        <w:rPr>
          <w:sz w:val="22"/>
          <w:szCs w:val="22"/>
          <w:lang w:val="sl-SI" w:bidi="sl-SI"/>
        </w:rPr>
        <w:t>,</w:t>
      </w:r>
      <w:r w:rsidR="00C759CC" w:rsidRPr="00E86598">
        <w:rPr>
          <w:sz w:val="22"/>
          <w:szCs w:val="22"/>
          <w:lang w:val="sl-SI" w:bidi="sl-SI"/>
        </w:rPr>
        <w:t xml:space="preserve"> predstavnik</w:t>
      </w:r>
      <w:r>
        <w:rPr>
          <w:sz w:val="22"/>
          <w:szCs w:val="22"/>
          <w:lang w:val="sl-SI" w:bidi="sl-SI"/>
        </w:rPr>
        <w:t>i</w:t>
      </w:r>
      <w:r w:rsidR="00C759CC" w:rsidRPr="00E86598">
        <w:rPr>
          <w:sz w:val="22"/>
          <w:szCs w:val="22"/>
          <w:lang w:val="sl-SI" w:bidi="sl-SI"/>
        </w:rPr>
        <w:t xml:space="preserve"> drugih vpletenih organov ali institucij</w:t>
      </w:r>
      <w:r>
        <w:rPr>
          <w:sz w:val="22"/>
          <w:szCs w:val="22"/>
          <w:lang w:val="sl-SI" w:bidi="sl-SI"/>
        </w:rPr>
        <w:t xml:space="preserve"> na projektu</w:t>
      </w:r>
      <w:r w:rsidR="001D46E1">
        <w:rPr>
          <w:sz w:val="22"/>
          <w:szCs w:val="22"/>
          <w:lang w:val="sl-SI" w:bidi="sl-SI"/>
        </w:rPr>
        <w:t>;</w:t>
      </w:r>
    </w:p>
    <w:p w14:paraId="1CC5EBFF" w14:textId="25EA2B22" w:rsidR="00AE1C4B" w:rsidRPr="00E86598" w:rsidRDefault="00C759CC" w:rsidP="00C759CC">
      <w:pPr>
        <w:spacing w:before="113" w:after="113"/>
        <w:jc w:val="both"/>
        <w:rPr>
          <w:rFonts w:asciiTheme="minorHAnsi" w:hAnsiTheme="minorHAnsi" w:cstheme="minorBidi"/>
          <w:sz w:val="22"/>
          <w:szCs w:val="22"/>
          <w:lang w:val="sl-SI" w:bidi="sl-SI"/>
        </w:rPr>
      </w:pPr>
      <w:r w:rsidRPr="00E86598">
        <w:rPr>
          <w:rFonts w:asciiTheme="minorHAnsi" w:hAnsiTheme="minorHAnsi" w:cstheme="minorBidi"/>
          <w:sz w:val="22"/>
          <w:szCs w:val="22"/>
          <w:lang w:val="sl-SI" w:bidi="sl-SI"/>
        </w:rPr>
        <w:t>Vsaka od str</w:t>
      </w:r>
      <w:r w:rsidR="003C2140">
        <w:rPr>
          <w:rFonts w:asciiTheme="minorHAnsi" w:hAnsiTheme="minorHAnsi" w:cstheme="minorBidi"/>
          <w:sz w:val="22"/>
          <w:szCs w:val="22"/>
          <w:lang w:val="sl-SI" w:bidi="sl-SI"/>
        </w:rPr>
        <w:t>ank</w:t>
      </w:r>
      <w:r w:rsidRPr="00E86598">
        <w:rPr>
          <w:rFonts w:asciiTheme="minorHAnsi" w:hAnsiTheme="minorHAnsi" w:cstheme="minorBidi"/>
          <w:sz w:val="22"/>
          <w:szCs w:val="22"/>
          <w:lang w:val="sl-SI" w:bidi="sl-SI"/>
        </w:rPr>
        <w:t xml:space="preserve"> izvaja svoje aktivnosti neodvisno </w:t>
      </w:r>
      <w:r w:rsidR="006D6F33">
        <w:rPr>
          <w:rFonts w:asciiTheme="minorHAnsi" w:hAnsiTheme="minorHAnsi" w:cstheme="minorBidi"/>
          <w:sz w:val="22"/>
          <w:szCs w:val="22"/>
          <w:lang w:val="sl-SI" w:bidi="sl-SI"/>
        </w:rPr>
        <w:t>od</w:t>
      </w:r>
      <w:r w:rsidRPr="00E86598">
        <w:rPr>
          <w:rFonts w:asciiTheme="minorHAnsi" w:hAnsiTheme="minorHAnsi" w:cstheme="minorBidi"/>
          <w:sz w:val="22"/>
          <w:szCs w:val="22"/>
          <w:lang w:val="sl-SI" w:bidi="sl-SI"/>
        </w:rPr>
        <w:t xml:space="preserve"> tega</w:t>
      </w:r>
      <w:r w:rsidRPr="005E58CC">
        <w:rPr>
          <w:rFonts w:asciiTheme="minorHAnsi" w:hAnsiTheme="minorHAnsi" w:cstheme="minorBidi"/>
          <w:sz w:val="22"/>
          <w:szCs w:val="22"/>
          <w:lang w:val="sl-SI" w:bidi="sl-SI"/>
        </w:rPr>
        <w:t xml:space="preserve">, kar je opredeljeno v </w:t>
      </w:r>
      <w:r w:rsidR="00AE1C4B" w:rsidRPr="005E58CC">
        <w:rPr>
          <w:rFonts w:asciiTheme="minorHAnsi" w:hAnsiTheme="minorHAnsi" w:cstheme="minorBidi"/>
          <w:sz w:val="22"/>
          <w:szCs w:val="22"/>
          <w:lang w:val="sl-SI" w:bidi="sl-SI"/>
        </w:rPr>
        <w:t>te</w:t>
      </w:r>
      <w:r w:rsidR="005E58CC" w:rsidRPr="005E58CC">
        <w:rPr>
          <w:rFonts w:asciiTheme="minorHAnsi" w:hAnsiTheme="minorHAnsi" w:cstheme="minorBidi"/>
          <w:sz w:val="22"/>
          <w:szCs w:val="22"/>
          <w:lang w:val="sl-SI" w:bidi="sl-SI"/>
        </w:rPr>
        <w:t>j pogodbi</w:t>
      </w:r>
      <w:r w:rsidR="005E58CC">
        <w:rPr>
          <w:rFonts w:asciiTheme="minorHAnsi" w:hAnsiTheme="minorHAnsi" w:cstheme="minorBidi"/>
          <w:sz w:val="22"/>
          <w:szCs w:val="22"/>
          <w:lang w:val="sl-SI" w:bidi="sl-SI"/>
        </w:rPr>
        <w:t xml:space="preserve"> </w:t>
      </w:r>
      <w:r w:rsidRPr="00E86598">
        <w:rPr>
          <w:rFonts w:asciiTheme="minorHAnsi" w:hAnsiTheme="minorHAnsi" w:cstheme="minorBidi"/>
          <w:sz w:val="22"/>
          <w:szCs w:val="22"/>
          <w:lang w:val="sl-SI" w:bidi="sl-SI"/>
        </w:rPr>
        <w:t xml:space="preserve">in na podlagi odločitev, sprejetih na tedenskih in mesečnih koordinacijskih sestankih, z avtonomijo pri koordinaciji projektnih partnerjev in pri stikih z vpletenimi institucijami ali organi. Na tedenskih sestankih </w:t>
      </w:r>
      <w:r w:rsidR="008F6951">
        <w:rPr>
          <w:rFonts w:asciiTheme="minorHAnsi" w:hAnsiTheme="minorHAnsi" w:cstheme="minorBidi"/>
          <w:sz w:val="22"/>
          <w:szCs w:val="22"/>
          <w:lang w:val="sl-SI" w:bidi="sl-SI"/>
        </w:rPr>
        <w:t>predstavniki strank</w:t>
      </w:r>
      <w:r w:rsidR="008F6951" w:rsidRPr="00E86598">
        <w:rPr>
          <w:rFonts w:asciiTheme="minorHAnsi" w:hAnsiTheme="minorHAnsi" w:cstheme="minorBidi"/>
          <w:sz w:val="22"/>
          <w:szCs w:val="22"/>
          <w:lang w:val="sl-SI" w:bidi="sl-SI"/>
        </w:rPr>
        <w:t xml:space="preserve"> </w:t>
      </w:r>
      <w:r w:rsidRPr="00E86598">
        <w:rPr>
          <w:rFonts w:asciiTheme="minorHAnsi" w:hAnsiTheme="minorHAnsi" w:cstheme="minorBidi"/>
          <w:sz w:val="22"/>
          <w:szCs w:val="22"/>
          <w:lang w:val="sl-SI" w:bidi="sl-SI"/>
        </w:rPr>
        <w:t>poročajo o izvedenih aktivnostih ter o udeležbi na aktivnostih, sestankih,  dogodkih EPK</w:t>
      </w:r>
      <w:r w:rsidR="00AE1C4B">
        <w:rPr>
          <w:rFonts w:asciiTheme="minorHAnsi" w:hAnsiTheme="minorHAnsi" w:cstheme="minorBidi"/>
          <w:sz w:val="22"/>
          <w:szCs w:val="22"/>
          <w:lang w:val="sl-SI" w:bidi="sl-SI"/>
        </w:rPr>
        <w:t xml:space="preserve"> 2025</w:t>
      </w:r>
      <w:r w:rsidRPr="00E86598">
        <w:rPr>
          <w:rFonts w:asciiTheme="minorHAnsi" w:hAnsiTheme="minorHAnsi" w:cstheme="minorBidi"/>
          <w:sz w:val="22"/>
          <w:szCs w:val="22"/>
          <w:lang w:val="sl-SI" w:bidi="sl-SI"/>
        </w:rPr>
        <w:t xml:space="preserve"> </w:t>
      </w:r>
      <w:r w:rsidR="003C2140">
        <w:rPr>
          <w:rFonts w:asciiTheme="minorHAnsi" w:hAnsiTheme="minorHAnsi" w:cstheme="minorBidi"/>
          <w:sz w:val="22"/>
          <w:szCs w:val="22"/>
          <w:lang w:val="sl-SI" w:bidi="sl-SI"/>
        </w:rPr>
        <w:t>in spremljevalnih dogodkih, vezanih na projekt EPK</w:t>
      </w:r>
      <w:r w:rsidR="00AE1C4B">
        <w:rPr>
          <w:rFonts w:asciiTheme="minorHAnsi" w:hAnsiTheme="minorHAnsi" w:cstheme="minorBidi"/>
          <w:sz w:val="22"/>
          <w:szCs w:val="22"/>
          <w:lang w:val="sl-SI" w:bidi="sl-SI"/>
        </w:rPr>
        <w:t xml:space="preserve"> 2025</w:t>
      </w:r>
      <w:r w:rsidRPr="00E86598">
        <w:rPr>
          <w:rFonts w:asciiTheme="minorHAnsi" w:hAnsiTheme="minorHAnsi" w:cstheme="minorBidi"/>
          <w:sz w:val="22"/>
          <w:szCs w:val="22"/>
          <w:lang w:val="sl-SI" w:bidi="sl-SI"/>
        </w:rPr>
        <w:t xml:space="preserve">. V primeru, da omenjene aktivnosti obveščanja in usklajevanja ni možno izvesti pravočasno ali če gre za nujne zadeve, se </w:t>
      </w:r>
      <w:r w:rsidR="003C2140">
        <w:rPr>
          <w:rFonts w:asciiTheme="minorHAnsi" w:hAnsiTheme="minorHAnsi" w:cstheme="minorBidi"/>
          <w:sz w:val="22"/>
          <w:szCs w:val="22"/>
          <w:lang w:val="sl-SI" w:bidi="sl-SI"/>
        </w:rPr>
        <w:t>pripravijo</w:t>
      </w:r>
      <w:r w:rsidR="003C2140" w:rsidRPr="00E86598">
        <w:rPr>
          <w:rFonts w:asciiTheme="minorHAnsi" w:hAnsiTheme="minorHAnsi" w:cstheme="minorBidi"/>
          <w:sz w:val="22"/>
          <w:szCs w:val="22"/>
          <w:lang w:val="sl-SI" w:bidi="sl-SI"/>
        </w:rPr>
        <w:t xml:space="preserve"> </w:t>
      </w:r>
      <w:r w:rsidRPr="00E86598">
        <w:rPr>
          <w:rFonts w:asciiTheme="minorHAnsi" w:hAnsiTheme="minorHAnsi" w:cstheme="minorBidi"/>
          <w:sz w:val="22"/>
          <w:szCs w:val="22"/>
          <w:lang w:val="sl-SI" w:bidi="sl-SI"/>
        </w:rPr>
        <w:t xml:space="preserve">kratka </w:t>
      </w:r>
      <w:r w:rsidR="003C2140">
        <w:rPr>
          <w:rFonts w:asciiTheme="minorHAnsi" w:hAnsiTheme="minorHAnsi" w:cstheme="minorBidi"/>
          <w:sz w:val="22"/>
          <w:szCs w:val="22"/>
          <w:lang w:val="sl-SI" w:bidi="sl-SI"/>
        </w:rPr>
        <w:t xml:space="preserve">pisna </w:t>
      </w:r>
      <w:r w:rsidRPr="00E86598">
        <w:rPr>
          <w:rFonts w:asciiTheme="minorHAnsi" w:hAnsiTheme="minorHAnsi" w:cstheme="minorBidi"/>
          <w:sz w:val="22"/>
          <w:szCs w:val="22"/>
          <w:lang w:val="sl-SI" w:bidi="sl-SI"/>
        </w:rPr>
        <w:t xml:space="preserve">poročila, ki se  med </w:t>
      </w:r>
      <w:r w:rsidR="008F6951">
        <w:rPr>
          <w:rFonts w:asciiTheme="minorHAnsi" w:hAnsiTheme="minorHAnsi" w:cstheme="minorBidi"/>
          <w:sz w:val="22"/>
          <w:szCs w:val="22"/>
          <w:lang w:val="sl-SI" w:bidi="sl-SI"/>
        </w:rPr>
        <w:t xml:space="preserve">strankama </w:t>
      </w:r>
      <w:r w:rsidR="003C2140">
        <w:rPr>
          <w:rFonts w:asciiTheme="minorHAnsi" w:hAnsiTheme="minorHAnsi" w:cstheme="minorBidi"/>
          <w:sz w:val="22"/>
          <w:szCs w:val="22"/>
          <w:lang w:val="sl-SI" w:bidi="sl-SI"/>
        </w:rPr>
        <w:t>izmenja</w:t>
      </w:r>
      <w:r w:rsidR="008F6951">
        <w:rPr>
          <w:rFonts w:asciiTheme="minorHAnsi" w:hAnsiTheme="minorHAnsi" w:cstheme="minorBidi"/>
          <w:sz w:val="22"/>
          <w:szCs w:val="22"/>
          <w:lang w:val="sl-SI" w:bidi="sl-SI"/>
        </w:rPr>
        <w:t>jo</w:t>
      </w:r>
      <w:r w:rsidR="003C2140">
        <w:rPr>
          <w:rFonts w:asciiTheme="minorHAnsi" w:hAnsiTheme="minorHAnsi" w:cstheme="minorBidi"/>
          <w:sz w:val="22"/>
          <w:szCs w:val="22"/>
          <w:lang w:val="sl-SI" w:bidi="sl-SI"/>
        </w:rPr>
        <w:t xml:space="preserve"> preko e-pošte</w:t>
      </w:r>
      <w:r w:rsidRPr="00E86598">
        <w:rPr>
          <w:rFonts w:asciiTheme="minorHAnsi" w:hAnsiTheme="minorHAnsi" w:cstheme="minorBidi"/>
          <w:sz w:val="22"/>
          <w:szCs w:val="22"/>
          <w:lang w:val="sl-SI" w:bidi="sl-SI"/>
        </w:rPr>
        <w:t xml:space="preserve">. </w:t>
      </w:r>
    </w:p>
    <w:p w14:paraId="2DDA4472" w14:textId="10CBC449" w:rsidR="00AE1C4B" w:rsidRPr="00375C8F" w:rsidRDefault="00AE1C4B" w:rsidP="00375C8F">
      <w:pPr>
        <w:spacing w:before="113" w:after="113"/>
        <w:jc w:val="center"/>
        <w:rPr>
          <w:rFonts w:asciiTheme="minorHAnsi" w:hAnsiTheme="minorHAnsi" w:cstheme="minorHAnsi"/>
          <w:b/>
          <w:bCs/>
          <w:sz w:val="22"/>
          <w:szCs w:val="22"/>
          <w:lang w:val="sl-SI"/>
        </w:rPr>
      </w:pPr>
      <w:r w:rsidRPr="00375C8F">
        <w:rPr>
          <w:b/>
          <w:bCs/>
          <w:lang w:val="sl-SI" w:bidi="sl-SI"/>
        </w:rPr>
        <w:t>8</w:t>
      </w:r>
      <w:r w:rsidRPr="00375C8F">
        <w:rPr>
          <w:rFonts w:asciiTheme="minorHAnsi" w:hAnsiTheme="minorHAnsi" w:cstheme="minorHAnsi"/>
          <w:b/>
          <w:bCs/>
          <w:sz w:val="22"/>
          <w:szCs w:val="22"/>
          <w:lang w:val="sl-SI"/>
        </w:rPr>
        <w:t>. člen</w:t>
      </w:r>
    </w:p>
    <w:p w14:paraId="4507D295" w14:textId="45FF2E44" w:rsidR="00C759CC" w:rsidRPr="00975A3D" w:rsidRDefault="008F6951" w:rsidP="00C759CC">
      <w:pPr>
        <w:spacing w:before="113" w:after="113"/>
        <w:jc w:val="both"/>
        <w:rPr>
          <w:rFonts w:asciiTheme="minorHAnsi" w:hAnsiTheme="minorHAnsi" w:cstheme="minorHAnsi"/>
          <w:sz w:val="22"/>
          <w:szCs w:val="22"/>
          <w:lang w:val="sl-SI"/>
        </w:rPr>
      </w:pPr>
      <w:r w:rsidRPr="00975A3D">
        <w:rPr>
          <w:rFonts w:asciiTheme="minorHAnsi" w:hAnsiTheme="minorHAnsi" w:cstheme="minorHAnsi"/>
          <w:sz w:val="22"/>
          <w:szCs w:val="22"/>
          <w:lang w:val="sl-SI"/>
        </w:rPr>
        <w:t xml:space="preserve">Povezane </w:t>
      </w:r>
      <w:r w:rsidR="00C759CC" w:rsidRPr="00975A3D">
        <w:rPr>
          <w:rFonts w:asciiTheme="minorHAnsi" w:hAnsiTheme="minorHAnsi" w:cstheme="minorHAnsi"/>
          <w:sz w:val="22"/>
          <w:szCs w:val="22"/>
          <w:lang w:val="sl-SI"/>
        </w:rPr>
        <w:t xml:space="preserve">dejavnosti, kot </w:t>
      </w:r>
      <w:r w:rsidRPr="00975A3D">
        <w:rPr>
          <w:rFonts w:asciiTheme="minorHAnsi" w:hAnsiTheme="minorHAnsi" w:cstheme="minorHAnsi"/>
          <w:sz w:val="22"/>
          <w:szCs w:val="22"/>
          <w:lang w:val="sl-SI"/>
        </w:rPr>
        <w:t>npr.</w:t>
      </w:r>
      <w:r w:rsidR="00C759CC" w:rsidRPr="00975A3D">
        <w:rPr>
          <w:rFonts w:asciiTheme="minorHAnsi" w:hAnsiTheme="minorHAnsi" w:cstheme="minorHAnsi"/>
          <w:sz w:val="22"/>
          <w:szCs w:val="22"/>
          <w:lang w:val="sl-SI"/>
        </w:rPr>
        <w:t xml:space="preserve"> udeležba na mednarodnih dogodkih za razširjanje informacij o EPK 2025 ali udeležba v bilateralnih delovnih skupinah ali vodenje ciljno usmerjenih srečanj z možnimi </w:t>
      </w:r>
      <w:r w:rsidRPr="00975A3D">
        <w:rPr>
          <w:rFonts w:asciiTheme="minorHAnsi" w:hAnsiTheme="minorHAnsi" w:cstheme="minorHAnsi"/>
          <w:sz w:val="22"/>
          <w:szCs w:val="22"/>
          <w:lang w:val="sl-SI"/>
        </w:rPr>
        <w:t xml:space="preserve">deležniki </w:t>
      </w:r>
      <w:r w:rsidR="00C759CC" w:rsidRPr="00975A3D">
        <w:rPr>
          <w:rFonts w:asciiTheme="minorHAnsi" w:hAnsiTheme="minorHAnsi" w:cstheme="minorHAnsi"/>
          <w:sz w:val="22"/>
          <w:szCs w:val="22"/>
          <w:lang w:val="sl-SI"/>
        </w:rPr>
        <w:t xml:space="preserve">in/ali predlagatelji </w:t>
      </w:r>
      <w:r w:rsidRPr="00975A3D">
        <w:rPr>
          <w:rFonts w:asciiTheme="minorHAnsi" w:hAnsiTheme="minorHAnsi" w:cstheme="minorHAnsi"/>
          <w:sz w:val="22"/>
          <w:szCs w:val="22"/>
          <w:lang w:val="sl-SI"/>
        </w:rPr>
        <w:t>in/ali partnerji na projektu</w:t>
      </w:r>
      <w:r w:rsidR="00C759CC" w:rsidRPr="00975A3D">
        <w:rPr>
          <w:rFonts w:asciiTheme="minorHAnsi" w:hAnsiTheme="minorHAnsi" w:cstheme="minorHAnsi"/>
          <w:sz w:val="22"/>
          <w:szCs w:val="22"/>
          <w:lang w:val="sl-SI"/>
        </w:rPr>
        <w:t xml:space="preserve"> EPK 2025, bosta stranki  dogovorili in uskladili </w:t>
      </w:r>
      <w:r w:rsidRPr="00975A3D">
        <w:rPr>
          <w:rFonts w:asciiTheme="minorHAnsi" w:hAnsiTheme="minorHAnsi" w:cstheme="minorHAnsi"/>
          <w:sz w:val="22"/>
          <w:szCs w:val="22"/>
          <w:lang w:val="sl-SI"/>
        </w:rPr>
        <w:t xml:space="preserve">sproti, s ciljem, </w:t>
      </w:r>
      <w:r w:rsidR="00C759CC" w:rsidRPr="00975A3D">
        <w:rPr>
          <w:rFonts w:asciiTheme="minorHAnsi" w:hAnsiTheme="minorHAnsi" w:cstheme="minorHAnsi"/>
          <w:sz w:val="22"/>
          <w:szCs w:val="22"/>
          <w:lang w:val="sl-SI"/>
        </w:rPr>
        <w:t xml:space="preserve">da </w:t>
      </w:r>
      <w:r w:rsidRPr="00975A3D">
        <w:rPr>
          <w:rFonts w:asciiTheme="minorHAnsi" w:hAnsiTheme="minorHAnsi" w:cstheme="minorHAnsi"/>
          <w:sz w:val="22"/>
          <w:szCs w:val="22"/>
          <w:lang w:val="sl-SI"/>
        </w:rPr>
        <w:t xml:space="preserve">kjer je le to mogoče, </w:t>
      </w:r>
      <w:r w:rsidR="00C759CC" w:rsidRPr="00975A3D">
        <w:rPr>
          <w:rFonts w:asciiTheme="minorHAnsi" w:hAnsiTheme="minorHAnsi" w:cstheme="minorHAnsi"/>
          <w:sz w:val="22"/>
          <w:szCs w:val="22"/>
          <w:lang w:val="sl-SI"/>
        </w:rPr>
        <w:t xml:space="preserve">zagotovita udeležbo predstavnikov obeh </w:t>
      </w:r>
      <w:r w:rsidRPr="00975A3D">
        <w:rPr>
          <w:rFonts w:asciiTheme="minorHAnsi" w:hAnsiTheme="minorHAnsi" w:cstheme="minorHAnsi"/>
          <w:sz w:val="22"/>
          <w:szCs w:val="22"/>
          <w:lang w:val="sl-SI"/>
        </w:rPr>
        <w:t>strank</w:t>
      </w:r>
      <w:r w:rsidR="00C759CC" w:rsidRPr="00975A3D">
        <w:rPr>
          <w:rFonts w:asciiTheme="minorHAnsi" w:hAnsiTheme="minorHAnsi" w:cstheme="minorHAnsi"/>
          <w:sz w:val="22"/>
          <w:szCs w:val="22"/>
          <w:lang w:val="sl-SI"/>
        </w:rPr>
        <w:t xml:space="preserve">. Če to ni mogoče ali če </w:t>
      </w:r>
      <w:r w:rsidRPr="00975A3D">
        <w:rPr>
          <w:rFonts w:asciiTheme="minorHAnsi" w:hAnsiTheme="minorHAnsi" w:cstheme="minorHAnsi"/>
          <w:sz w:val="22"/>
          <w:szCs w:val="22"/>
          <w:lang w:val="sl-SI"/>
        </w:rPr>
        <w:t>vodstvi strank</w:t>
      </w:r>
      <w:r w:rsidR="00C759CC" w:rsidRPr="00975A3D">
        <w:rPr>
          <w:rFonts w:asciiTheme="minorHAnsi" w:hAnsiTheme="minorHAnsi" w:cstheme="minorHAnsi"/>
          <w:sz w:val="22"/>
          <w:szCs w:val="22"/>
          <w:lang w:val="sl-SI"/>
        </w:rPr>
        <w:t xml:space="preserve"> </w:t>
      </w:r>
      <w:r w:rsidR="00AE1C4B" w:rsidRPr="00975A3D">
        <w:rPr>
          <w:rFonts w:asciiTheme="minorHAnsi" w:hAnsiTheme="minorHAnsi" w:cstheme="minorHAnsi"/>
          <w:sz w:val="22"/>
          <w:szCs w:val="22"/>
          <w:lang w:val="sl-SI"/>
        </w:rPr>
        <w:t>presodita</w:t>
      </w:r>
      <w:r w:rsidR="00C759CC" w:rsidRPr="00975A3D">
        <w:rPr>
          <w:rFonts w:asciiTheme="minorHAnsi" w:hAnsiTheme="minorHAnsi" w:cstheme="minorHAnsi"/>
          <w:sz w:val="22"/>
          <w:szCs w:val="22"/>
          <w:lang w:val="sl-SI"/>
        </w:rPr>
        <w:t>, da to ni potrebno,  bo dogovorjeno sodelovanje vsaj ene osebe iz</w:t>
      </w:r>
      <w:r w:rsidRPr="00975A3D">
        <w:rPr>
          <w:rFonts w:asciiTheme="minorHAnsi" w:hAnsiTheme="minorHAnsi" w:cstheme="minorHAnsi"/>
          <w:sz w:val="22"/>
          <w:szCs w:val="22"/>
          <w:lang w:val="sl-SI"/>
        </w:rPr>
        <w:t xml:space="preserve"> skupne ekipe EPK 2025</w:t>
      </w:r>
      <w:r w:rsidR="00C759CC" w:rsidRPr="00975A3D">
        <w:rPr>
          <w:rFonts w:asciiTheme="minorHAnsi" w:hAnsiTheme="minorHAnsi" w:cstheme="minorHAnsi"/>
          <w:sz w:val="22"/>
          <w:szCs w:val="22"/>
          <w:lang w:val="sl-SI"/>
        </w:rPr>
        <w:t xml:space="preserve">, </w:t>
      </w:r>
      <w:r w:rsidRPr="00975A3D">
        <w:rPr>
          <w:rFonts w:asciiTheme="minorHAnsi" w:hAnsiTheme="minorHAnsi" w:cstheme="minorHAnsi"/>
          <w:sz w:val="22"/>
          <w:szCs w:val="22"/>
          <w:lang w:val="sl-SI"/>
        </w:rPr>
        <w:t>bodisi</w:t>
      </w:r>
      <w:r w:rsidR="00C759CC" w:rsidRPr="00975A3D">
        <w:rPr>
          <w:rFonts w:asciiTheme="minorHAnsi" w:hAnsiTheme="minorHAnsi" w:cstheme="minorHAnsi"/>
          <w:sz w:val="22"/>
          <w:szCs w:val="22"/>
          <w:lang w:val="sl-SI"/>
        </w:rPr>
        <w:t xml:space="preserve"> iz Zavoda GO! 2025</w:t>
      </w:r>
      <w:r w:rsidRPr="00975A3D">
        <w:rPr>
          <w:rFonts w:asciiTheme="minorHAnsi" w:hAnsiTheme="minorHAnsi" w:cstheme="minorHAnsi"/>
          <w:sz w:val="22"/>
          <w:szCs w:val="22"/>
          <w:lang w:val="sl-SI"/>
        </w:rPr>
        <w:t>, bodisi iz</w:t>
      </w:r>
      <w:r w:rsidR="00C759CC" w:rsidRPr="00975A3D">
        <w:rPr>
          <w:rFonts w:asciiTheme="minorHAnsi" w:hAnsiTheme="minorHAnsi" w:cstheme="minorHAnsi"/>
          <w:sz w:val="22"/>
          <w:szCs w:val="22"/>
          <w:lang w:val="sl-SI"/>
        </w:rPr>
        <w:t xml:space="preserve"> EZTS GO</w:t>
      </w:r>
      <w:r w:rsidRPr="00975A3D">
        <w:rPr>
          <w:rFonts w:asciiTheme="minorHAnsi" w:hAnsiTheme="minorHAnsi" w:cstheme="minorHAnsi"/>
          <w:sz w:val="22"/>
          <w:szCs w:val="22"/>
          <w:lang w:val="sl-SI"/>
        </w:rPr>
        <w:t>. D</w:t>
      </w:r>
      <w:r w:rsidR="00C759CC" w:rsidRPr="00975A3D">
        <w:rPr>
          <w:rFonts w:asciiTheme="minorHAnsi" w:hAnsiTheme="minorHAnsi" w:cstheme="minorHAnsi"/>
          <w:sz w:val="22"/>
          <w:szCs w:val="22"/>
          <w:lang w:val="sl-SI"/>
        </w:rPr>
        <w:t>a b</w:t>
      </w:r>
      <w:r w:rsidRPr="00975A3D">
        <w:rPr>
          <w:rFonts w:asciiTheme="minorHAnsi" w:hAnsiTheme="minorHAnsi" w:cstheme="minorHAnsi"/>
          <w:sz w:val="22"/>
          <w:szCs w:val="22"/>
          <w:lang w:val="sl-SI"/>
        </w:rPr>
        <w:t>o prenos informacij v takšnem primeru zagotovljen, mora udeležena oseba</w:t>
      </w:r>
      <w:r w:rsidR="005F7317" w:rsidRPr="00975A3D">
        <w:rPr>
          <w:rFonts w:asciiTheme="minorHAnsi" w:hAnsiTheme="minorHAnsi" w:cstheme="minorHAnsi"/>
          <w:sz w:val="22"/>
          <w:szCs w:val="22"/>
          <w:lang w:val="sl-SI"/>
        </w:rPr>
        <w:t xml:space="preserve"> ekipi poročati na prvem koordinacijskem sestanku po udeležbi na dogodku/aktivnosti, oz. poslati kratko pisno zabeležko preko e-pošte</w:t>
      </w:r>
      <w:r w:rsidR="00C759CC" w:rsidRPr="00975A3D">
        <w:rPr>
          <w:rFonts w:asciiTheme="minorHAnsi" w:hAnsiTheme="minorHAnsi" w:cstheme="minorHAnsi"/>
          <w:sz w:val="22"/>
          <w:szCs w:val="22"/>
          <w:lang w:val="sl-SI"/>
        </w:rPr>
        <w:t xml:space="preserve">. </w:t>
      </w:r>
    </w:p>
    <w:p w14:paraId="4E8F39C7" w14:textId="77777777" w:rsidR="00AE1C4B" w:rsidRPr="00975A3D" w:rsidRDefault="00AE1C4B" w:rsidP="00C759CC">
      <w:pPr>
        <w:spacing w:before="113" w:after="113"/>
        <w:jc w:val="both"/>
        <w:rPr>
          <w:rFonts w:asciiTheme="minorHAnsi" w:hAnsiTheme="minorHAnsi" w:cstheme="minorHAnsi"/>
          <w:sz w:val="22"/>
          <w:szCs w:val="22"/>
          <w:lang w:val="sl-SI"/>
        </w:rPr>
      </w:pPr>
    </w:p>
    <w:p w14:paraId="34E72C2A" w14:textId="41128EB1" w:rsidR="00AE1C4B" w:rsidRPr="00375C8F" w:rsidRDefault="00AE1C4B"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9. člen</w:t>
      </w:r>
    </w:p>
    <w:p w14:paraId="67DEE105" w14:textId="5046B8CC" w:rsidR="00C759CC" w:rsidRPr="00975A3D" w:rsidRDefault="00C759CC" w:rsidP="00375C8F">
      <w:pPr>
        <w:spacing w:before="113" w:after="113"/>
        <w:jc w:val="both"/>
        <w:rPr>
          <w:rFonts w:asciiTheme="minorHAnsi" w:hAnsiTheme="minorHAnsi" w:cstheme="minorHAnsi"/>
          <w:sz w:val="22"/>
          <w:szCs w:val="22"/>
          <w:lang w:val="sl-SI"/>
        </w:rPr>
      </w:pPr>
      <w:r w:rsidRPr="00975A3D">
        <w:rPr>
          <w:rFonts w:asciiTheme="minorHAnsi" w:hAnsiTheme="minorHAnsi" w:cstheme="minorHAnsi"/>
          <w:sz w:val="22"/>
          <w:szCs w:val="22"/>
          <w:lang w:val="sl-SI"/>
        </w:rPr>
        <w:t>Po zaključenem natečaju za izdelavo logotipa / blagovne znamke in usklajene grafične podobe GO! 2025</w:t>
      </w:r>
      <w:r w:rsidR="005F7317" w:rsidRPr="00975A3D">
        <w:rPr>
          <w:rFonts w:asciiTheme="minorHAnsi" w:hAnsiTheme="minorHAnsi" w:cstheme="minorHAnsi"/>
          <w:sz w:val="22"/>
          <w:szCs w:val="22"/>
          <w:lang w:val="sl-SI"/>
        </w:rPr>
        <w:t xml:space="preserve"> (v nadaljevanju: CGP GO! 2025), je</w:t>
      </w:r>
      <w:r w:rsidRPr="00975A3D">
        <w:rPr>
          <w:rFonts w:asciiTheme="minorHAnsi" w:hAnsiTheme="minorHAnsi" w:cstheme="minorHAnsi"/>
          <w:sz w:val="22"/>
          <w:szCs w:val="22"/>
          <w:lang w:val="sl-SI"/>
        </w:rPr>
        <w:t xml:space="preserve"> EZTS GO registrira</w:t>
      </w:r>
      <w:r w:rsidR="005F7317" w:rsidRPr="00975A3D">
        <w:rPr>
          <w:rFonts w:asciiTheme="minorHAnsi" w:hAnsiTheme="minorHAnsi" w:cstheme="minorHAnsi"/>
          <w:sz w:val="22"/>
          <w:szCs w:val="22"/>
          <w:lang w:val="sl-SI"/>
        </w:rPr>
        <w:t>l</w:t>
      </w:r>
      <w:r w:rsidRPr="00975A3D">
        <w:rPr>
          <w:rFonts w:asciiTheme="minorHAnsi" w:hAnsiTheme="minorHAnsi" w:cstheme="minorHAnsi"/>
          <w:sz w:val="22"/>
          <w:szCs w:val="22"/>
          <w:lang w:val="sl-SI"/>
        </w:rPr>
        <w:t xml:space="preserve"> logotip</w:t>
      </w:r>
      <w:r w:rsidR="005F7317" w:rsidRPr="00975A3D">
        <w:rPr>
          <w:rFonts w:asciiTheme="minorHAnsi" w:hAnsiTheme="minorHAnsi" w:cstheme="minorHAnsi"/>
          <w:sz w:val="22"/>
          <w:szCs w:val="22"/>
          <w:lang w:val="sl-SI"/>
        </w:rPr>
        <w:t xml:space="preserve"> in CGP GO! 2025</w:t>
      </w:r>
      <w:r w:rsidRPr="00975A3D">
        <w:rPr>
          <w:rFonts w:asciiTheme="minorHAnsi" w:hAnsiTheme="minorHAnsi" w:cstheme="minorHAnsi"/>
          <w:sz w:val="22"/>
          <w:szCs w:val="22"/>
          <w:lang w:val="sl-SI"/>
        </w:rPr>
        <w:t xml:space="preserve"> na evropski ravni.</w:t>
      </w:r>
    </w:p>
    <w:p w14:paraId="7578F4A8" w14:textId="77777777" w:rsidR="00975A3D" w:rsidRPr="00975A3D" w:rsidRDefault="00975A3D" w:rsidP="00375C8F">
      <w:pPr>
        <w:spacing w:before="113" w:after="113"/>
        <w:jc w:val="both"/>
        <w:rPr>
          <w:rFonts w:asciiTheme="minorHAnsi" w:hAnsiTheme="minorHAnsi" w:cstheme="minorHAnsi"/>
          <w:sz w:val="22"/>
          <w:szCs w:val="22"/>
          <w:lang w:val="sl-SI"/>
        </w:rPr>
      </w:pPr>
    </w:p>
    <w:p w14:paraId="002805FE" w14:textId="16A0605A" w:rsidR="00975A3D" w:rsidRPr="00975A3D" w:rsidRDefault="002960E8" w:rsidP="00375C8F">
      <w:pPr>
        <w:spacing w:before="113" w:after="113"/>
        <w:jc w:val="both"/>
        <w:rPr>
          <w:rFonts w:asciiTheme="minorHAnsi" w:hAnsiTheme="minorHAnsi" w:cstheme="minorHAnsi"/>
          <w:sz w:val="22"/>
          <w:szCs w:val="22"/>
          <w:lang w:val="sl-SI"/>
        </w:rPr>
      </w:pPr>
      <w:r w:rsidRPr="00975A3D">
        <w:rPr>
          <w:rFonts w:asciiTheme="minorHAnsi" w:hAnsiTheme="minorHAnsi" w:cstheme="minorHAnsi"/>
          <w:sz w:val="22"/>
          <w:szCs w:val="22"/>
          <w:lang w:val="sl-SI"/>
        </w:rPr>
        <w:t>EZTS</w:t>
      </w:r>
      <w:r w:rsidR="00C759CC" w:rsidRPr="00975A3D">
        <w:rPr>
          <w:rFonts w:asciiTheme="minorHAnsi" w:hAnsiTheme="minorHAnsi" w:cstheme="minorHAnsi"/>
          <w:sz w:val="22"/>
          <w:szCs w:val="22"/>
          <w:lang w:val="sl-SI"/>
        </w:rPr>
        <w:t xml:space="preserve"> GO podeljuje uporabo logotipa in </w:t>
      </w:r>
      <w:r w:rsidR="005F7317" w:rsidRPr="00975A3D">
        <w:rPr>
          <w:rFonts w:asciiTheme="minorHAnsi" w:hAnsiTheme="minorHAnsi" w:cstheme="minorHAnsi"/>
          <w:sz w:val="22"/>
          <w:szCs w:val="22"/>
          <w:lang w:val="sl-SI"/>
        </w:rPr>
        <w:t>usklajene CGP</w:t>
      </w:r>
      <w:r w:rsidR="00C759CC" w:rsidRPr="00975A3D">
        <w:rPr>
          <w:rFonts w:asciiTheme="minorHAnsi" w:hAnsiTheme="minorHAnsi" w:cstheme="minorHAnsi"/>
          <w:sz w:val="22"/>
          <w:szCs w:val="22"/>
          <w:lang w:val="sl-SI"/>
        </w:rPr>
        <w:t xml:space="preserve"> GO! 2025 </w:t>
      </w:r>
      <w:r w:rsidR="005F7317" w:rsidRPr="00975A3D">
        <w:rPr>
          <w:rFonts w:asciiTheme="minorHAnsi" w:hAnsiTheme="minorHAnsi" w:cstheme="minorHAnsi"/>
          <w:sz w:val="22"/>
          <w:szCs w:val="22"/>
          <w:lang w:val="sl-SI"/>
        </w:rPr>
        <w:t>tudi</w:t>
      </w:r>
      <w:r w:rsidR="00C759CC" w:rsidRPr="00975A3D">
        <w:rPr>
          <w:rFonts w:asciiTheme="minorHAnsi" w:hAnsiTheme="minorHAnsi" w:cstheme="minorHAnsi"/>
          <w:sz w:val="22"/>
          <w:szCs w:val="22"/>
          <w:lang w:val="sl-SI"/>
        </w:rPr>
        <w:t xml:space="preserve"> Zavodu GO! 2025. Organa </w:t>
      </w:r>
      <w:r w:rsidR="005F7317" w:rsidRPr="00975A3D">
        <w:rPr>
          <w:rFonts w:asciiTheme="minorHAnsi" w:hAnsiTheme="minorHAnsi" w:cstheme="minorHAnsi"/>
          <w:sz w:val="22"/>
          <w:szCs w:val="22"/>
          <w:lang w:val="sl-SI"/>
        </w:rPr>
        <w:t xml:space="preserve">sta </w:t>
      </w:r>
      <w:r w:rsidR="00C759CC" w:rsidRPr="00975A3D">
        <w:rPr>
          <w:rFonts w:asciiTheme="minorHAnsi" w:hAnsiTheme="minorHAnsi" w:cstheme="minorHAnsi"/>
          <w:sz w:val="22"/>
          <w:szCs w:val="22"/>
          <w:lang w:val="sl-SI"/>
        </w:rPr>
        <w:t>sprej</w:t>
      </w:r>
      <w:r w:rsidR="005F7317" w:rsidRPr="00975A3D">
        <w:rPr>
          <w:rFonts w:asciiTheme="minorHAnsi" w:hAnsiTheme="minorHAnsi" w:cstheme="minorHAnsi"/>
          <w:sz w:val="22"/>
          <w:szCs w:val="22"/>
          <w:lang w:val="sl-SI"/>
        </w:rPr>
        <w:t>ela</w:t>
      </w:r>
      <w:r w:rsidR="00C759CC" w:rsidRPr="00975A3D">
        <w:rPr>
          <w:rFonts w:asciiTheme="minorHAnsi" w:hAnsiTheme="minorHAnsi" w:cstheme="minorHAnsi"/>
          <w:sz w:val="22"/>
          <w:szCs w:val="22"/>
          <w:lang w:val="sl-SI"/>
        </w:rPr>
        <w:t xml:space="preserve"> poseben pravilnik, ki opredeljuje postopke za podelitev in uporabo logotipa in grafične podobe v okviru dejavnosti, povezanih z </w:t>
      </w:r>
      <w:r w:rsidR="005F7317" w:rsidRPr="00975A3D">
        <w:rPr>
          <w:rFonts w:asciiTheme="minorHAnsi" w:hAnsiTheme="minorHAnsi" w:cstheme="minorHAnsi"/>
          <w:sz w:val="22"/>
          <w:szCs w:val="22"/>
          <w:lang w:val="sl-SI"/>
        </w:rPr>
        <w:t>EPK</w:t>
      </w:r>
      <w:r w:rsidR="00C759CC" w:rsidRPr="00975A3D">
        <w:rPr>
          <w:rFonts w:asciiTheme="minorHAnsi" w:hAnsiTheme="minorHAnsi" w:cstheme="minorHAnsi"/>
          <w:sz w:val="22"/>
          <w:szCs w:val="22"/>
          <w:lang w:val="sl-SI"/>
        </w:rPr>
        <w:t xml:space="preserve"> 2025</w:t>
      </w:r>
      <w:r w:rsidR="005F7317" w:rsidRPr="00975A3D">
        <w:rPr>
          <w:rFonts w:asciiTheme="minorHAnsi" w:hAnsiTheme="minorHAnsi" w:cstheme="minorHAnsi"/>
          <w:sz w:val="22"/>
          <w:szCs w:val="22"/>
          <w:lang w:val="sl-SI"/>
        </w:rPr>
        <w:t>,</w:t>
      </w:r>
      <w:r w:rsidR="00C759CC" w:rsidRPr="00975A3D">
        <w:rPr>
          <w:rFonts w:asciiTheme="minorHAnsi" w:hAnsiTheme="minorHAnsi" w:cstheme="minorHAnsi"/>
          <w:sz w:val="22"/>
          <w:szCs w:val="22"/>
          <w:lang w:val="sl-SI"/>
        </w:rPr>
        <w:t xml:space="preserve"> Nova Gorica </w:t>
      </w:r>
      <w:r w:rsidR="005F7317" w:rsidRPr="00975A3D">
        <w:rPr>
          <w:rFonts w:asciiTheme="minorHAnsi" w:hAnsiTheme="minorHAnsi" w:cstheme="minorHAnsi"/>
          <w:sz w:val="22"/>
          <w:szCs w:val="22"/>
          <w:lang w:val="sl-SI"/>
        </w:rPr>
        <w:t>–</w:t>
      </w:r>
      <w:r w:rsidR="00C759CC" w:rsidRPr="00975A3D">
        <w:rPr>
          <w:rFonts w:asciiTheme="minorHAnsi" w:hAnsiTheme="minorHAnsi" w:cstheme="minorHAnsi"/>
          <w:sz w:val="22"/>
          <w:szCs w:val="22"/>
          <w:lang w:val="sl-SI"/>
        </w:rPr>
        <w:t xml:space="preserve"> Gorica</w:t>
      </w:r>
      <w:r w:rsidR="005F7317" w:rsidRPr="00975A3D">
        <w:rPr>
          <w:rFonts w:asciiTheme="minorHAnsi" w:hAnsiTheme="minorHAnsi" w:cstheme="minorHAnsi"/>
          <w:sz w:val="22"/>
          <w:szCs w:val="22"/>
          <w:lang w:val="sl-SI"/>
        </w:rPr>
        <w:t>.</w:t>
      </w:r>
    </w:p>
    <w:p w14:paraId="65A65B9E" w14:textId="656C8EA4" w:rsidR="00975A3D" w:rsidRPr="00375C8F" w:rsidRDefault="00975A3D"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10. člen</w:t>
      </w:r>
    </w:p>
    <w:p w14:paraId="55630B35" w14:textId="29AC1DA3" w:rsidR="00975A3D" w:rsidRDefault="00C759CC" w:rsidP="00C759CC">
      <w:pPr>
        <w:spacing w:before="113" w:after="113"/>
        <w:jc w:val="both"/>
        <w:rPr>
          <w:lang w:val="sl-SI" w:bidi="sl-SI"/>
        </w:rPr>
      </w:pPr>
      <w:r w:rsidRPr="00AC35DD">
        <w:rPr>
          <w:rFonts w:asciiTheme="minorHAnsi" w:hAnsiTheme="minorHAnsi" w:cstheme="minorHAnsi"/>
          <w:sz w:val="22"/>
          <w:szCs w:val="22"/>
          <w:lang w:val="sl-SI" w:bidi="sl-SI"/>
        </w:rPr>
        <w:t>Stranki soglašata, da bo, če ni drugače določeno, vsak</w:t>
      </w:r>
      <w:r w:rsidR="005F7317" w:rsidRPr="00AC35DD">
        <w:rPr>
          <w:rFonts w:asciiTheme="minorHAnsi" w:hAnsiTheme="minorHAnsi" w:cstheme="minorHAnsi"/>
          <w:sz w:val="22"/>
          <w:szCs w:val="22"/>
          <w:lang w:val="sl-SI" w:bidi="sl-SI"/>
        </w:rPr>
        <w:t>a</w:t>
      </w:r>
      <w:r w:rsidRPr="00AC35DD">
        <w:rPr>
          <w:rFonts w:asciiTheme="minorHAnsi" w:hAnsiTheme="minorHAnsi" w:cstheme="minorHAnsi"/>
          <w:sz w:val="22"/>
          <w:szCs w:val="22"/>
          <w:lang w:val="sl-SI" w:bidi="sl-SI"/>
        </w:rPr>
        <w:t xml:space="preserve"> </w:t>
      </w:r>
      <w:r w:rsidR="00975A3D" w:rsidRPr="00AC35DD">
        <w:rPr>
          <w:rFonts w:asciiTheme="minorHAnsi" w:hAnsiTheme="minorHAnsi" w:cstheme="minorHAnsi"/>
          <w:sz w:val="22"/>
          <w:szCs w:val="22"/>
          <w:lang w:val="sl-SI" w:bidi="sl-SI"/>
        </w:rPr>
        <w:t>stranka</w:t>
      </w:r>
      <w:r w:rsidR="005F7317" w:rsidRPr="00AC35DD">
        <w:rPr>
          <w:rFonts w:asciiTheme="minorHAnsi" w:hAnsiTheme="minorHAnsi" w:cstheme="minorHAnsi"/>
          <w:sz w:val="22"/>
          <w:szCs w:val="22"/>
          <w:lang w:val="sl-SI" w:bidi="sl-SI"/>
        </w:rPr>
        <w:t xml:space="preserve"> </w:t>
      </w:r>
      <w:r w:rsidRPr="00AC35DD">
        <w:rPr>
          <w:rFonts w:asciiTheme="minorHAnsi" w:hAnsiTheme="minorHAnsi" w:cstheme="minorHAnsi"/>
          <w:sz w:val="22"/>
          <w:szCs w:val="22"/>
          <w:lang w:val="sl-SI" w:bidi="sl-SI"/>
        </w:rPr>
        <w:t>kril</w:t>
      </w:r>
      <w:r w:rsidR="005F7317" w:rsidRPr="00AC35DD">
        <w:rPr>
          <w:rFonts w:asciiTheme="minorHAnsi" w:hAnsiTheme="minorHAnsi" w:cstheme="minorHAnsi"/>
          <w:sz w:val="22"/>
          <w:szCs w:val="22"/>
          <w:lang w:val="sl-SI" w:bidi="sl-SI"/>
        </w:rPr>
        <w:t>a</w:t>
      </w:r>
      <w:r w:rsidRPr="00AC35DD">
        <w:rPr>
          <w:rFonts w:asciiTheme="minorHAnsi" w:hAnsiTheme="minorHAnsi" w:cstheme="minorHAnsi"/>
          <w:sz w:val="22"/>
          <w:szCs w:val="22"/>
          <w:lang w:val="sl-SI" w:bidi="sl-SI"/>
        </w:rPr>
        <w:t xml:space="preserve"> </w:t>
      </w:r>
      <w:r w:rsidR="00975A3D" w:rsidRPr="00AC35DD">
        <w:rPr>
          <w:rFonts w:asciiTheme="minorHAnsi" w:hAnsiTheme="minorHAnsi" w:cstheme="minorHAnsi"/>
          <w:sz w:val="22"/>
          <w:szCs w:val="22"/>
          <w:lang w:val="sl-SI" w:bidi="sl-SI"/>
        </w:rPr>
        <w:t xml:space="preserve">svoje </w:t>
      </w:r>
      <w:r w:rsidRPr="00AC35DD">
        <w:rPr>
          <w:rFonts w:asciiTheme="minorHAnsi" w:hAnsiTheme="minorHAnsi" w:cstheme="minorHAnsi"/>
          <w:sz w:val="22"/>
          <w:szCs w:val="22"/>
          <w:lang w:val="sl-SI" w:bidi="sl-SI"/>
        </w:rPr>
        <w:t>stroške dejavnosti s sredstvi, s katerimi razpolaga</w:t>
      </w:r>
      <w:r w:rsidR="005F7317" w:rsidRPr="00AC35DD">
        <w:rPr>
          <w:rFonts w:asciiTheme="minorHAnsi" w:hAnsiTheme="minorHAnsi" w:cstheme="minorHAnsi"/>
          <w:sz w:val="22"/>
          <w:szCs w:val="22"/>
          <w:lang w:val="sl-SI" w:bidi="sl-SI"/>
        </w:rPr>
        <w:t xml:space="preserve"> v okviru potrjenega letnega finančnega načrta</w:t>
      </w:r>
      <w:r w:rsidRPr="00AC35DD">
        <w:rPr>
          <w:rFonts w:asciiTheme="minorHAnsi" w:hAnsiTheme="minorHAnsi" w:cstheme="minorHAnsi"/>
          <w:sz w:val="22"/>
          <w:szCs w:val="22"/>
          <w:lang w:val="sl-SI" w:bidi="sl-SI"/>
        </w:rPr>
        <w:t>.</w:t>
      </w:r>
    </w:p>
    <w:p w14:paraId="5248ABD9" w14:textId="7A03B3DC" w:rsidR="00975A3D" w:rsidRDefault="00975A3D" w:rsidP="00C759CC">
      <w:pPr>
        <w:spacing w:before="113" w:after="113"/>
        <w:jc w:val="both"/>
        <w:rPr>
          <w:lang w:val="sl-SI" w:bidi="sl-SI"/>
        </w:rPr>
      </w:pPr>
    </w:p>
    <w:p w14:paraId="7B180ACF" w14:textId="4AB0DEB5" w:rsidR="00975A3D" w:rsidRPr="00375C8F" w:rsidRDefault="00975A3D"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11. člen</w:t>
      </w:r>
    </w:p>
    <w:p w14:paraId="0D0820D0" w14:textId="3BDB97A3" w:rsidR="00C759CC" w:rsidRPr="005E58CC"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 xml:space="preserve">Morebitne spore iz te pogodbe bosta </w:t>
      </w:r>
      <w:r w:rsidR="004535F8">
        <w:rPr>
          <w:rFonts w:asciiTheme="minorHAnsi" w:hAnsiTheme="minorHAnsi" w:cstheme="minorHAnsi"/>
          <w:sz w:val="22"/>
          <w:szCs w:val="22"/>
          <w:lang w:val="sl-SI" w:bidi="sl-SI"/>
        </w:rPr>
        <w:t>stranki</w:t>
      </w:r>
      <w:r w:rsidR="004535F8" w:rsidRPr="00E86598">
        <w:rPr>
          <w:rFonts w:asciiTheme="minorHAnsi" w:hAnsiTheme="minorHAnsi" w:cstheme="minorHAnsi"/>
          <w:sz w:val="22"/>
          <w:szCs w:val="22"/>
          <w:lang w:val="sl-SI" w:bidi="sl-SI"/>
        </w:rPr>
        <w:t xml:space="preserve"> </w:t>
      </w:r>
      <w:r w:rsidRPr="00E86598">
        <w:rPr>
          <w:rFonts w:asciiTheme="minorHAnsi" w:hAnsiTheme="minorHAnsi" w:cstheme="minorHAnsi"/>
          <w:sz w:val="22"/>
          <w:szCs w:val="22"/>
          <w:lang w:val="sl-SI" w:bidi="sl-SI"/>
        </w:rPr>
        <w:t xml:space="preserve"> reševa</w:t>
      </w:r>
      <w:r w:rsidR="004535F8">
        <w:rPr>
          <w:rFonts w:asciiTheme="minorHAnsi" w:hAnsiTheme="minorHAnsi" w:cstheme="minorHAnsi"/>
          <w:sz w:val="22"/>
          <w:szCs w:val="22"/>
          <w:lang w:val="sl-SI" w:bidi="sl-SI"/>
        </w:rPr>
        <w:t>li</w:t>
      </w:r>
      <w:r w:rsidRPr="00E86598">
        <w:rPr>
          <w:rFonts w:asciiTheme="minorHAnsi" w:hAnsiTheme="minorHAnsi" w:cstheme="minorHAnsi"/>
          <w:sz w:val="22"/>
          <w:szCs w:val="22"/>
          <w:lang w:val="sl-SI" w:bidi="sl-SI"/>
        </w:rPr>
        <w:t xml:space="preserve"> sporazumno. Če </w:t>
      </w:r>
      <w:r w:rsidR="004535F8">
        <w:rPr>
          <w:rFonts w:asciiTheme="minorHAnsi" w:hAnsiTheme="minorHAnsi" w:cstheme="minorHAnsi"/>
          <w:sz w:val="22"/>
          <w:szCs w:val="22"/>
          <w:lang w:val="sl-SI" w:bidi="sl-SI"/>
        </w:rPr>
        <w:t xml:space="preserve"> to</w:t>
      </w:r>
      <w:r w:rsidRPr="00E86598">
        <w:rPr>
          <w:rFonts w:asciiTheme="minorHAnsi" w:hAnsiTheme="minorHAnsi" w:cstheme="minorHAnsi"/>
          <w:sz w:val="22"/>
          <w:szCs w:val="22"/>
          <w:lang w:val="sl-SI" w:bidi="sl-SI"/>
        </w:rPr>
        <w:t xml:space="preserve"> ne bo mogoče, bo </w:t>
      </w:r>
      <w:r w:rsidR="005F7317">
        <w:rPr>
          <w:rFonts w:asciiTheme="minorHAnsi" w:hAnsiTheme="minorHAnsi" w:cstheme="minorHAnsi"/>
          <w:sz w:val="22"/>
          <w:szCs w:val="22"/>
          <w:lang w:val="sl-SI" w:bidi="sl-SI"/>
        </w:rPr>
        <w:t>za</w:t>
      </w:r>
      <w:r w:rsidR="004535F8">
        <w:rPr>
          <w:rFonts w:asciiTheme="minorHAnsi" w:hAnsiTheme="minorHAnsi" w:cstheme="minorHAnsi"/>
          <w:sz w:val="22"/>
          <w:szCs w:val="22"/>
          <w:lang w:val="sl-SI" w:bidi="sl-SI"/>
        </w:rPr>
        <w:t xml:space="preserve"> reševanje</w:t>
      </w:r>
      <w:r w:rsidR="005F7317">
        <w:rPr>
          <w:rFonts w:asciiTheme="minorHAnsi" w:hAnsiTheme="minorHAnsi" w:cstheme="minorHAnsi"/>
          <w:sz w:val="22"/>
          <w:szCs w:val="22"/>
          <w:lang w:val="sl-SI" w:bidi="sl-SI"/>
        </w:rPr>
        <w:t xml:space="preserve"> t</w:t>
      </w:r>
      <w:r w:rsidR="004535F8">
        <w:rPr>
          <w:rFonts w:asciiTheme="minorHAnsi" w:hAnsiTheme="minorHAnsi" w:cstheme="minorHAnsi"/>
          <w:sz w:val="22"/>
          <w:szCs w:val="22"/>
          <w:lang w:val="sl-SI" w:bidi="sl-SI"/>
        </w:rPr>
        <w:t>eh spo</w:t>
      </w:r>
      <w:r w:rsidR="004535F8" w:rsidRPr="005E58CC">
        <w:rPr>
          <w:rFonts w:asciiTheme="minorHAnsi" w:hAnsiTheme="minorHAnsi" w:cstheme="minorHAnsi"/>
          <w:sz w:val="22"/>
          <w:szCs w:val="22"/>
          <w:lang w:val="sl-SI" w:bidi="sl-SI"/>
        </w:rPr>
        <w:t>rov</w:t>
      </w:r>
      <w:r w:rsidR="005F7317" w:rsidRPr="005E58CC">
        <w:rPr>
          <w:rFonts w:asciiTheme="minorHAnsi" w:hAnsiTheme="minorHAnsi" w:cstheme="minorHAnsi"/>
          <w:sz w:val="22"/>
          <w:szCs w:val="22"/>
          <w:lang w:val="sl-SI" w:bidi="sl-SI"/>
        </w:rPr>
        <w:t xml:space="preserve"> </w:t>
      </w:r>
      <w:r w:rsidRPr="005E58CC">
        <w:rPr>
          <w:rFonts w:asciiTheme="minorHAnsi" w:hAnsiTheme="minorHAnsi" w:cstheme="minorHAnsi"/>
          <w:sz w:val="22"/>
          <w:szCs w:val="22"/>
          <w:lang w:val="sl-SI" w:bidi="sl-SI"/>
        </w:rPr>
        <w:t>pristojno sodišče v</w:t>
      </w:r>
      <w:r w:rsidR="004535F8" w:rsidRPr="005E58CC">
        <w:rPr>
          <w:rFonts w:asciiTheme="minorHAnsi" w:hAnsiTheme="minorHAnsi" w:cstheme="minorHAnsi"/>
          <w:sz w:val="22"/>
          <w:szCs w:val="22"/>
          <w:lang w:val="sl-SI" w:bidi="sl-SI"/>
        </w:rPr>
        <w:t xml:space="preserve"> Novi Gorici</w:t>
      </w:r>
      <w:r w:rsidRPr="005E58CC">
        <w:rPr>
          <w:rFonts w:asciiTheme="minorHAnsi" w:hAnsiTheme="minorHAnsi" w:cstheme="minorHAnsi"/>
          <w:sz w:val="22"/>
          <w:szCs w:val="22"/>
          <w:lang w:val="sl-SI" w:bidi="sl-SI"/>
        </w:rPr>
        <w:t>.</w:t>
      </w:r>
    </w:p>
    <w:p w14:paraId="0BDF8C57" w14:textId="22C07AED" w:rsidR="00C759CC" w:rsidRPr="005E58CC" w:rsidRDefault="00C759CC" w:rsidP="00C759CC">
      <w:pPr>
        <w:spacing w:before="113" w:after="113"/>
        <w:jc w:val="both"/>
        <w:rPr>
          <w:rFonts w:asciiTheme="minorHAnsi" w:hAnsiTheme="minorHAnsi" w:cstheme="minorHAnsi"/>
          <w:sz w:val="22"/>
          <w:szCs w:val="22"/>
          <w:lang w:val="sl-SI" w:bidi="sl-SI"/>
        </w:rPr>
      </w:pPr>
      <w:r w:rsidRPr="005E58CC">
        <w:rPr>
          <w:rFonts w:asciiTheme="minorHAnsi" w:hAnsiTheme="minorHAnsi" w:cstheme="minorHAnsi"/>
          <w:sz w:val="22"/>
          <w:szCs w:val="22"/>
          <w:lang w:val="sl-SI" w:bidi="sl-SI"/>
        </w:rPr>
        <w:t xml:space="preserve">Ta </w:t>
      </w:r>
      <w:r w:rsidR="005E58CC" w:rsidRPr="005E58CC">
        <w:rPr>
          <w:rFonts w:asciiTheme="minorHAnsi" w:hAnsiTheme="minorHAnsi" w:cstheme="minorHAnsi"/>
          <w:sz w:val="22"/>
          <w:szCs w:val="22"/>
          <w:lang w:val="sl-SI" w:bidi="sl-SI"/>
        </w:rPr>
        <w:t>pogodba</w:t>
      </w:r>
      <w:r w:rsidRPr="005E58CC">
        <w:rPr>
          <w:rFonts w:asciiTheme="minorHAnsi" w:hAnsiTheme="minorHAnsi" w:cstheme="minorHAnsi"/>
          <w:sz w:val="22"/>
          <w:szCs w:val="22"/>
          <w:lang w:val="sl-SI" w:bidi="sl-SI"/>
        </w:rPr>
        <w:t xml:space="preserve"> se šteje za nič</w:t>
      </w:r>
      <w:r w:rsidR="005E58CC" w:rsidRPr="005E58CC">
        <w:rPr>
          <w:rFonts w:asciiTheme="minorHAnsi" w:hAnsiTheme="minorHAnsi" w:cstheme="minorHAnsi"/>
          <w:sz w:val="22"/>
          <w:szCs w:val="22"/>
          <w:lang w:val="sl-SI" w:bidi="sl-SI"/>
        </w:rPr>
        <w:t>no</w:t>
      </w:r>
      <w:r w:rsidRPr="005E58CC">
        <w:rPr>
          <w:rFonts w:asciiTheme="minorHAnsi" w:hAnsiTheme="minorHAnsi" w:cstheme="minorHAnsi"/>
          <w:sz w:val="22"/>
          <w:szCs w:val="22"/>
          <w:lang w:val="sl-SI" w:bidi="sl-SI"/>
        </w:rPr>
        <w:t>, če je kdo v imenu ali na račun nasprotne stranke (torej stranke, ki vstopa v pogodbeno razmerje z organom ali organizacijo iz javnega sektorja), predstavniku ali posredniku organa ali organizacije iz javnega sektorja obljubil, ponudil ali dal kakšno nedovoljeno korist za:</w:t>
      </w:r>
    </w:p>
    <w:p w14:paraId="1A17AD5A" w14:textId="2A6E3D14" w:rsidR="00C759CC" w:rsidRPr="005E58CC" w:rsidRDefault="00C759CC" w:rsidP="00C759CC">
      <w:pPr>
        <w:spacing w:before="113" w:after="113"/>
        <w:jc w:val="both"/>
        <w:rPr>
          <w:rFonts w:asciiTheme="minorHAnsi" w:hAnsiTheme="minorHAnsi" w:cstheme="minorHAnsi"/>
          <w:sz w:val="22"/>
          <w:szCs w:val="22"/>
          <w:lang w:val="sl-SI" w:bidi="sl-SI"/>
        </w:rPr>
      </w:pPr>
      <w:r w:rsidRPr="005E58CC">
        <w:rPr>
          <w:rFonts w:asciiTheme="minorHAnsi" w:hAnsiTheme="minorHAnsi" w:cstheme="minorHAnsi"/>
          <w:sz w:val="22"/>
          <w:szCs w:val="22"/>
          <w:lang w:val="sl-SI" w:bidi="sl-SI"/>
        </w:rPr>
        <w:t>1.</w:t>
      </w:r>
      <w:r w:rsidRPr="005E58CC">
        <w:rPr>
          <w:rFonts w:asciiTheme="minorHAnsi" w:hAnsiTheme="minorHAnsi" w:cstheme="minorHAnsi"/>
          <w:sz w:val="22"/>
          <w:szCs w:val="22"/>
          <w:lang w:val="sl-SI" w:bidi="sl-SI"/>
        </w:rPr>
        <w:tab/>
        <w:t xml:space="preserve">pridobitev posla iz te </w:t>
      </w:r>
      <w:r w:rsidR="005E58CC" w:rsidRPr="005E58CC">
        <w:rPr>
          <w:rFonts w:asciiTheme="minorHAnsi" w:hAnsiTheme="minorHAnsi" w:cstheme="minorHAnsi"/>
          <w:sz w:val="22"/>
          <w:szCs w:val="22"/>
          <w:lang w:val="sl-SI" w:bidi="sl-SI"/>
        </w:rPr>
        <w:t>pogodbe</w:t>
      </w:r>
      <w:r w:rsidRPr="005E58CC">
        <w:rPr>
          <w:rFonts w:asciiTheme="minorHAnsi" w:hAnsiTheme="minorHAnsi" w:cstheme="minorHAnsi"/>
          <w:sz w:val="22"/>
          <w:szCs w:val="22"/>
          <w:lang w:val="sl-SI" w:bidi="sl-SI"/>
        </w:rPr>
        <w:t>; ali</w:t>
      </w:r>
    </w:p>
    <w:p w14:paraId="19621952" w14:textId="357C99AD" w:rsidR="00C759CC" w:rsidRPr="005E58CC" w:rsidRDefault="00C759CC" w:rsidP="00C759CC">
      <w:pPr>
        <w:spacing w:before="113" w:after="113"/>
        <w:jc w:val="both"/>
        <w:rPr>
          <w:rFonts w:asciiTheme="minorHAnsi" w:hAnsiTheme="minorHAnsi" w:cstheme="minorHAnsi"/>
          <w:sz w:val="22"/>
          <w:szCs w:val="22"/>
          <w:lang w:val="sl-SI" w:bidi="sl-SI"/>
        </w:rPr>
      </w:pPr>
      <w:r w:rsidRPr="005E58CC">
        <w:rPr>
          <w:rFonts w:asciiTheme="minorHAnsi" w:hAnsiTheme="minorHAnsi" w:cstheme="minorHAnsi"/>
          <w:sz w:val="22"/>
          <w:szCs w:val="22"/>
          <w:lang w:val="sl-SI" w:bidi="sl-SI"/>
        </w:rPr>
        <w:t>2.</w:t>
      </w:r>
      <w:r w:rsidRPr="005E58CC">
        <w:rPr>
          <w:rFonts w:asciiTheme="minorHAnsi" w:hAnsiTheme="minorHAnsi" w:cstheme="minorHAnsi"/>
          <w:sz w:val="22"/>
          <w:szCs w:val="22"/>
          <w:lang w:val="sl-SI" w:bidi="sl-SI"/>
        </w:rPr>
        <w:tab/>
        <w:t xml:space="preserve">za sklenitev posla iz tega </w:t>
      </w:r>
      <w:r w:rsidR="005E58CC" w:rsidRPr="005E58CC">
        <w:rPr>
          <w:rFonts w:asciiTheme="minorHAnsi" w:hAnsiTheme="minorHAnsi" w:cstheme="minorHAnsi"/>
          <w:sz w:val="22"/>
          <w:szCs w:val="22"/>
          <w:lang w:val="sl-SI" w:bidi="sl-SI"/>
        </w:rPr>
        <w:t>pogodbe</w:t>
      </w:r>
      <w:r w:rsidRPr="005E58CC">
        <w:rPr>
          <w:rFonts w:asciiTheme="minorHAnsi" w:hAnsiTheme="minorHAnsi" w:cstheme="minorHAnsi"/>
          <w:sz w:val="22"/>
          <w:szCs w:val="22"/>
          <w:lang w:val="sl-SI" w:bidi="sl-SI"/>
        </w:rPr>
        <w:t xml:space="preserve"> pod ugodnejšimi pogoji; ali</w:t>
      </w:r>
    </w:p>
    <w:p w14:paraId="637222C9" w14:textId="63627E6E" w:rsidR="00C759CC" w:rsidRPr="005E58CC" w:rsidRDefault="00C759CC" w:rsidP="00C759CC">
      <w:pPr>
        <w:spacing w:before="113" w:after="113"/>
        <w:jc w:val="both"/>
        <w:rPr>
          <w:rFonts w:asciiTheme="minorHAnsi" w:hAnsiTheme="minorHAnsi" w:cstheme="minorHAnsi"/>
          <w:sz w:val="22"/>
          <w:szCs w:val="22"/>
          <w:lang w:val="sl-SI" w:bidi="sl-SI"/>
        </w:rPr>
      </w:pPr>
      <w:r w:rsidRPr="005E58CC">
        <w:rPr>
          <w:rFonts w:asciiTheme="minorHAnsi" w:hAnsiTheme="minorHAnsi" w:cstheme="minorHAnsi"/>
          <w:sz w:val="22"/>
          <w:szCs w:val="22"/>
          <w:lang w:val="sl-SI" w:bidi="sl-SI"/>
        </w:rPr>
        <w:t>3.</w:t>
      </w:r>
      <w:r w:rsidRPr="005E58CC">
        <w:rPr>
          <w:rFonts w:asciiTheme="minorHAnsi" w:hAnsiTheme="minorHAnsi" w:cstheme="minorHAnsi"/>
          <w:sz w:val="22"/>
          <w:szCs w:val="22"/>
          <w:lang w:val="sl-SI" w:bidi="sl-SI"/>
        </w:rPr>
        <w:tab/>
        <w:t xml:space="preserve">za opustitev dolžnega nadzora nad izvajanjem obveznosti iz te </w:t>
      </w:r>
      <w:r w:rsidR="005E58CC" w:rsidRPr="005E58CC">
        <w:rPr>
          <w:rFonts w:asciiTheme="minorHAnsi" w:hAnsiTheme="minorHAnsi" w:cstheme="minorHAnsi"/>
          <w:sz w:val="22"/>
          <w:szCs w:val="22"/>
          <w:lang w:val="sl-SI" w:bidi="sl-SI"/>
        </w:rPr>
        <w:t>pogodbe</w:t>
      </w:r>
      <w:r w:rsidRPr="005E58CC">
        <w:rPr>
          <w:rFonts w:asciiTheme="minorHAnsi" w:hAnsiTheme="minorHAnsi" w:cstheme="minorHAnsi"/>
          <w:sz w:val="22"/>
          <w:szCs w:val="22"/>
          <w:lang w:val="sl-SI" w:bidi="sl-SI"/>
        </w:rPr>
        <w:t>; ali</w:t>
      </w:r>
    </w:p>
    <w:p w14:paraId="2CAD5FDC" w14:textId="77777777" w:rsidR="00C759CC" w:rsidRPr="00D019AF" w:rsidRDefault="00C759CC" w:rsidP="00C759CC">
      <w:pPr>
        <w:spacing w:before="113" w:after="113"/>
        <w:jc w:val="both"/>
        <w:rPr>
          <w:rFonts w:asciiTheme="minorHAnsi" w:hAnsiTheme="minorHAnsi" w:cstheme="minorHAnsi"/>
          <w:sz w:val="22"/>
          <w:szCs w:val="22"/>
          <w:lang w:val="sl-SI" w:bidi="sl-SI"/>
        </w:rPr>
      </w:pPr>
      <w:r w:rsidRPr="005E58CC">
        <w:rPr>
          <w:rFonts w:asciiTheme="minorHAnsi" w:hAnsiTheme="minorHAnsi" w:cstheme="minorHAnsi"/>
          <w:sz w:val="22"/>
          <w:szCs w:val="22"/>
          <w:lang w:val="sl-SI" w:bidi="sl-SI"/>
        </w:rPr>
        <w:t>4.</w:t>
      </w:r>
      <w:r w:rsidRPr="005E58CC">
        <w:rPr>
          <w:rFonts w:asciiTheme="minorHAnsi" w:hAnsiTheme="minorHAnsi" w:cstheme="minorHAnsi"/>
          <w:sz w:val="22"/>
          <w:szCs w:val="22"/>
          <w:lang w:val="sl-SI" w:bidi="sl-SI"/>
        </w:rPr>
        <w:tab/>
        <w:t>za drugo ravnanje ali opustitev ravnanja, s katerim je organu ali organizaciji iz javnega sektorja povzročena škoda ali je omogočena pridobitev nedovoljene koristi predstavniku ali posredniku organa ali organizacije iz javnega sektorja, drugi stranki (torej stranki, ki vstopa v pogodbeno razmerje z organom ali organizacijo</w:t>
      </w:r>
      <w:r w:rsidRPr="00D019AF">
        <w:rPr>
          <w:rFonts w:asciiTheme="minorHAnsi" w:hAnsiTheme="minorHAnsi" w:cstheme="minorHAnsi"/>
          <w:sz w:val="22"/>
          <w:szCs w:val="22"/>
          <w:lang w:val="sl-SI" w:bidi="sl-SI"/>
        </w:rPr>
        <w:t xml:space="preserve"> iz javnega sektorja) ali njenemu predstavniku, zastopniku oziroma posredniku.</w:t>
      </w:r>
    </w:p>
    <w:p w14:paraId="6CFB4A05" w14:textId="178A1FB2" w:rsidR="00C759CC" w:rsidRDefault="004535F8"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bidi="sl-SI"/>
        </w:rPr>
        <w:t>Stranka</w:t>
      </w:r>
      <w:r w:rsidRPr="00D019AF">
        <w:rPr>
          <w:rFonts w:asciiTheme="minorHAnsi" w:hAnsiTheme="minorHAnsi" w:cstheme="minorHAnsi"/>
          <w:sz w:val="22"/>
          <w:szCs w:val="22"/>
          <w:lang w:val="sl-SI" w:bidi="sl-SI"/>
        </w:rPr>
        <w:t xml:space="preserve"> </w:t>
      </w:r>
      <w:r w:rsidR="00C759CC" w:rsidRPr="00D019AF">
        <w:rPr>
          <w:rFonts w:asciiTheme="minorHAnsi" w:hAnsiTheme="minorHAnsi" w:cstheme="minorHAnsi"/>
          <w:sz w:val="22"/>
          <w:szCs w:val="22"/>
          <w:lang w:val="sl-SI" w:bidi="sl-SI"/>
        </w:rPr>
        <w:t>bo v primeru ugotovitve o domnevnem obstoju dejanskega stanja iz prvega odstavka tega člena ali obvestila Komisije za preprečevanje korupcije ali drugih organov, glede njegovega domnevnega nastanka, pričel</w:t>
      </w:r>
      <w:r>
        <w:rPr>
          <w:rFonts w:asciiTheme="minorHAnsi" w:hAnsiTheme="minorHAnsi" w:cstheme="minorHAnsi"/>
          <w:sz w:val="22"/>
          <w:szCs w:val="22"/>
          <w:lang w:val="sl-SI" w:bidi="sl-SI"/>
        </w:rPr>
        <w:t>a</w:t>
      </w:r>
      <w:r w:rsidR="00C759CC" w:rsidRPr="00D019AF">
        <w:rPr>
          <w:rFonts w:asciiTheme="minorHAnsi" w:hAnsiTheme="minorHAnsi" w:cstheme="minorHAnsi"/>
          <w:sz w:val="22"/>
          <w:szCs w:val="22"/>
          <w:lang w:val="sl-SI" w:bidi="sl-SI"/>
        </w:rPr>
        <w:t xml:space="preserve"> z ugotavljanjem pogojev ničnosti </w:t>
      </w:r>
      <w:r w:rsidR="005E58CC">
        <w:rPr>
          <w:rFonts w:asciiTheme="minorHAnsi" w:hAnsiTheme="minorHAnsi" w:cstheme="minorHAnsi"/>
          <w:sz w:val="22"/>
          <w:szCs w:val="22"/>
          <w:lang w:val="sl-SI" w:bidi="sl-SI"/>
        </w:rPr>
        <w:t>pogodbe</w:t>
      </w:r>
      <w:r w:rsidR="00C759CC" w:rsidRPr="00D019AF">
        <w:rPr>
          <w:rFonts w:asciiTheme="minorHAnsi" w:hAnsiTheme="minorHAnsi" w:cstheme="minorHAnsi"/>
          <w:sz w:val="22"/>
          <w:szCs w:val="22"/>
          <w:lang w:val="sl-SI" w:bidi="sl-SI"/>
        </w:rPr>
        <w:t xml:space="preserve"> iz prejšnjega odstavka tega člena oziroma z drugimi ukrepi v skladu s predpisi Republike Slovenije.</w:t>
      </w:r>
    </w:p>
    <w:p w14:paraId="603DD0D3" w14:textId="2963729B" w:rsidR="00975A3D" w:rsidRPr="00375C8F" w:rsidRDefault="00975A3D" w:rsidP="00375C8F">
      <w:pPr>
        <w:spacing w:before="113" w:after="113"/>
        <w:jc w:val="center"/>
        <w:rPr>
          <w:rFonts w:asciiTheme="minorHAnsi" w:hAnsiTheme="minorHAnsi" w:cstheme="minorHAnsi"/>
          <w:b/>
          <w:bCs/>
          <w:sz w:val="22"/>
          <w:szCs w:val="22"/>
          <w:lang w:val="sl-SI"/>
        </w:rPr>
      </w:pPr>
      <w:r w:rsidRPr="00375C8F">
        <w:rPr>
          <w:rFonts w:asciiTheme="minorHAnsi" w:hAnsiTheme="minorHAnsi" w:cstheme="minorHAnsi"/>
          <w:b/>
          <w:bCs/>
          <w:sz w:val="22"/>
          <w:szCs w:val="22"/>
          <w:lang w:val="sl-SI"/>
        </w:rPr>
        <w:t>12. člen</w:t>
      </w:r>
    </w:p>
    <w:p w14:paraId="7F5396ED" w14:textId="77777777" w:rsidR="00C759CC" w:rsidRPr="00E86598"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S podpisom te pogodbe Zavod GO! 2025 in EZTS GO zagotavljata odsotnost ovir za določitev operacije po čl. 35. člena zakona, ki ureja integriteto in preprečevanje korupcije (</w:t>
      </w:r>
      <w:proofErr w:type="spellStart"/>
      <w:r w:rsidRPr="00E86598">
        <w:rPr>
          <w:rFonts w:asciiTheme="minorHAnsi" w:hAnsiTheme="minorHAnsi" w:cstheme="minorHAnsi"/>
          <w:sz w:val="22"/>
          <w:szCs w:val="22"/>
          <w:lang w:val="sl-SI" w:bidi="sl-SI"/>
        </w:rPr>
        <w:t>ZIntPK</w:t>
      </w:r>
      <w:proofErr w:type="spellEnd"/>
      <w:r w:rsidRPr="00E86598">
        <w:rPr>
          <w:rFonts w:asciiTheme="minorHAnsi" w:hAnsiTheme="minorHAnsi" w:cstheme="minorHAnsi"/>
          <w:sz w:val="22"/>
          <w:szCs w:val="22"/>
          <w:lang w:val="sl-SI" w:bidi="sl-SI"/>
        </w:rPr>
        <w:t>).</w:t>
      </w:r>
    </w:p>
    <w:p w14:paraId="44D1FEB4" w14:textId="360F9EE5" w:rsidR="00C759CC" w:rsidRPr="00D019AF" w:rsidRDefault="00C759CC" w:rsidP="00C759CC">
      <w:pPr>
        <w:spacing w:before="113" w:after="113"/>
        <w:jc w:val="both"/>
        <w:rPr>
          <w:rFonts w:asciiTheme="minorHAnsi" w:hAnsiTheme="minorHAnsi" w:cstheme="minorHAnsi"/>
          <w:sz w:val="22"/>
          <w:szCs w:val="22"/>
          <w:lang w:val="sl-SI"/>
        </w:rPr>
      </w:pPr>
      <w:r w:rsidRPr="005E58CC">
        <w:rPr>
          <w:rFonts w:asciiTheme="minorHAnsi" w:hAnsiTheme="minorHAnsi" w:cstheme="minorHAnsi"/>
          <w:sz w:val="22"/>
          <w:szCs w:val="22"/>
          <w:lang w:val="sl-SI" w:bidi="sl-SI"/>
        </w:rPr>
        <w:t xml:space="preserve">Za </w:t>
      </w:r>
      <w:r w:rsidR="005E58CC" w:rsidRPr="005E58CC">
        <w:rPr>
          <w:rFonts w:asciiTheme="minorHAnsi" w:hAnsiTheme="minorHAnsi" w:cstheme="minorHAnsi"/>
          <w:sz w:val="22"/>
          <w:szCs w:val="22"/>
          <w:lang w:val="sl-SI" w:bidi="sl-SI"/>
        </w:rPr>
        <w:t xml:space="preserve">to pogodbo </w:t>
      </w:r>
      <w:r w:rsidRPr="005E58CC">
        <w:rPr>
          <w:rFonts w:asciiTheme="minorHAnsi" w:hAnsiTheme="minorHAnsi" w:cstheme="minorHAnsi"/>
          <w:sz w:val="22"/>
          <w:szCs w:val="22"/>
          <w:lang w:val="sl-SI" w:bidi="sl-SI"/>
        </w:rPr>
        <w:t>se uporablja slovensko pravo.</w:t>
      </w:r>
    </w:p>
    <w:p w14:paraId="47251BED" w14:textId="40991856" w:rsidR="00C759CC" w:rsidRPr="00E86598" w:rsidRDefault="005E58CC" w:rsidP="00C759CC">
      <w:pPr>
        <w:spacing w:before="113" w:after="113"/>
        <w:jc w:val="both"/>
        <w:rPr>
          <w:rFonts w:asciiTheme="minorHAnsi" w:hAnsiTheme="minorHAnsi" w:cstheme="minorHAnsi"/>
          <w:sz w:val="22"/>
          <w:szCs w:val="22"/>
          <w:lang w:val="sl-SI"/>
        </w:rPr>
      </w:pPr>
      <w:r>
        <w:rPr>
          <w:rFonts w:asciiTheme="minorHAnsi" w:hAnsiTheme="minorHAnsi" w:cstheme="minorHAnsi"/>
          <w:sz w:val="22"/>
          <w:szCs w:val="22"/>
          <w:lang w:val="sl-SI" w:bidi="sl-SI"/>
        </w:rPr>
        <w:t xml:space="preserve">Pogodba </w:t>
      </w:r>
      <w:r w:rsidR="00C759CC" w:rsidRPr="00E86598">
        <w:rPr>
          <w:rFonts w:asciiTheme="minorHAnsi" w:hAnsiTheme="minorHAnsi" w:cstheme="minorHAnsi"/>
          <w:sz w:val="22"/>
          <w:szCs w:val="22"/>
          <w:lang w:val="sl-SI" w:bidi="sl-SI"/>
        </w:rPr>
        <w:t>je sestavljen</w:t>
      </w:r>
      <w:r>
        <w:rPr>
          <w:rFonts w:asciiTheme="minorHAnsi" w:hAnsiTheme="minorHAnsi" w:cstheme="minorHAnsi"/>
          <w:sz w:val="22"/>
          <w:szCs w:val="22"/>
          <w:lang w:val="sl-SI" w:bidi="sl-SI"/>
        </w:rPr>
        <w:t>a</w:t>
      </w:r>
      <w:r w:rsidR="00C759CC" w:rsidRPr="00E86598">
        <w:rPr>
          <w:rFonts w:asciiTheme="minorHAnsi" w:hAnsiTheme="minorHAnsi" w:cstheme="minorHAnsi"/>
          <w:sz w:val="22"/>
          <w:szCs w:val="22"/>
          <w:lang w:val="sl-SI" w:bidi="sl-SI"/>
        </w:rPr>
        <w:t xml:space="preserve"> v dveh enakih izvodih v italijanskem jeziku in v dveh enakih izvodih v slovenskem jeziku, od katerih sta en v slovenskem in en v italijanskem jeziku namenjena Zavodu GO! 2025, drugi izvod v italijanskem in slovenskem jeziku pa v </w:t>
      </w:r>
      <w:r w:rsidR="00C759CC" w:rsidRPr="00D019AF">
        <w:rPr>
          <w:rFonts w:asciiTheme="minorHAnsi" w:hAnsiTheme="minorHAnsi" w:cstheme="minorHAnsi"/>
          <w:sz w:val="22"/>
          <w:szCs w:val="22"/>
          <w:lang w:val="sl-SI" w:bidi="sl-SI"/>
        </w:rPr>
        <w:t>EZTS</w:t>
      </w:r>
      <w:r w:rsidR="00C759CC" w:rsidRPr="00E86598">
        <w:rPr>
          <w:rFonts w:asciiTheme="minorHAnsi" w:hAnsiTheme="minorHAnsi" w:cstheme="minorHAnsi"/>
          <w:sz w:val="22"/>
          <w:szCs w:val="22"/>
          <w:lang w:val="sl-SI" w:bidi="sl-SI"/>
        </w:rPr>
        <w:t xml:space="preserve"> GO.  V primeru vsebinskih razlik med italijansko in slovensko različico prevlada slovenska različica.</w:t>
      </w:r>
    </w:p>
    <w:p w14:paraId="75AD3972" w14:textId="041B1528" w:rsidR="00C759CC" w:rsidRPr="00E86598" w:rsidRDefault="00C759CC" w:rsidP="00C759CC">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Ta akt začne veljati s podpisom obeh podpisnikov in velja do 31.12.2026 oziroma do izpolnitve vseh predvidenih obveznosti</w:t>
      </w:r>
      <w:r w:rsidR="00CB0210" w:rsidRPr="00E86598">
        <w:rPr>
          <w:rFonts w:asciiTheme="minorHAnsi" w:hAnsiTheme="minorHAnsi" w:cstheme="minorHAnsi"/>
          <w:sz w:val="22"/>
          <w:szCs w:val="22"/>
          <w:lang w:val="sl-SI" w:bidi="sl-SI"/>
        </w:rPr>
        <w:t>.</w:t>
      </w:r>
    </w:p>
    <w:p w14:paraId="3BF91921" w14:textId="22409055" w:rsidR="00C759CC" w:rsidRDefault="00C759CC" w:rsidP="00C759CC">
      <w:pPr>
        <w:spacing w:before="113" w:after="113"/>
        <w:jc w:val="both"/>
        <w:rPr>
          <w:rFonts w:asciiTheme="minorHAnsi" w:hAnsiTheme="minorHAnsi" w:cstheme="minorHAnsi"/>
          <w:sz w:val="22"/>
          <w:szCs w:val="22"/>
          <w:lang w:val="sl-SI"/>
        </w:rPr>
      </w:pPr>
    </w:p>
    <w:p w14:paraId="21EDC23B" w14:textId="6ADA138E" w:rsidR="00035BD7" w:rsidRDefault="00035BD7" w:rsidP="00035BD7">
      <w:pPr>
        <w:jc w:val="both"/>
        <w:rPr>
          <w:rFonts w:asciiTheme="minorHAnsi" w:hAnsiTheme="minorHAnsi" w:cstheme="minorHAnsi"/>
          <w:sz w:val="22"/>
          <w:szCs w:val="22"/>
          <w:lang w:val="sl-SI"/>
        </w:rPr>
      </w:pPr>
      <w:r>
        <w:rPr>
          <w:rFonts w:asciiTheme="minorHAnsi" w:hAnsiTheme="minorHAnsi" w:cstheme="minorHAnsi"/>
          <w:sz w:val="22"/>
          <w:szCs w:val="22"/>
          <w:lang w:val="sl-SI"/>
        </w:rPr>
        <w:t>Št. dokumenta:</w:t>
      </w:r>
    </w:p>
    <w:p w14:paraId="67ECEA9A" w14:textId="123FB0F4" w:rsidR="00035BD7" w:rsidRDefault="00035BD7" w:rsidP="00035BD7">
      <w:pPr>
        <w:jc w:val="both"/>
        <w:rPr>
          <w:rFonts w:asciiTheme="minorHAnsi" w:hAnsiTheme="minorHAnsi" w:cstheme="minorHAnsi"/>
          <w:sz w:val="22"/>
          <w:szCs w:val="22"/>
          <w:lang w:val="sl-SI"/>
        </w:rPr>
      </w:pPr>
      <w:r>
        <w:rPr>
          <w:rFonts w:asciiTheme="minorHAnsi" w:hAnsiTheme="minorHAnsi" w:cstheme="minorHAnsi"/>
          <w:sz w:val="22"/>
          <w:szCs w:val="22"/>
          <w:lang w:val="sl-SI"/>
        </w:rPr>
        <w:t>Kraj in datum:</w:t>
      </w:r>
    </w:p>
    <w:p w14:paraId="17172041" w14:textId="77777777" w:rsidR="002960E8" w:rsidRPr="00E86598" w:rsidRDefault="002960E8" w:rsidP="00035BD7">
      <w:pPr>
        <w:jc w:val="both"/>
        <w:rPr>
          <w:rFonts w:asciiTheme="minorHAnsi" w:hAnsiTheme="minorHAnsi" w:cstheme="minorHAnsi"/>
          <w:sz w:val="22"/>
          <w:szCs w:val="22"/>
          <w:lang w:val="sl-SI"/>
        </w:rPr>
      </w:pPr>
    </w:p>
    <w:p w14:paraId="5E45CE05" w14:textId="480DD8FD" w:rsidR="00C759CC" w:rsidRPr="002960E8" w:rsidRDefault="004535F8" w:rsidP="00035BD7">
      <w:pPr>
        <w:jc w:val="both"/>
        <w:rPr>
          <w:rFonts w:asciiTheme="minorHAnsi" w:hAnsiTheme="minorHAnsi" w:cstheme="minorHAnsi"/>
          <w:b/>
          <w:bCs/>
          <w:caps/>
          <w:sz w:val="22"/>
          <w:szCs w:val="22"/>
          <w:lang w:val="sl-SI"/>
        </w:rPr>
      </w:pPr>
      <w:r w:rsidRPr="002960E8">
        <w:rPr>
          <w:rFonts w:asciiTheme="minorHAnsi" w:hAnsiTheme="minorHAnsi" w:cstheme="minorHAnsi"/>
          <w:b/>
          <w:bCs/>
          <w:sz w:val="22"/>
          <w:szCs w:val="22"/>
          <w:lang w:val="sl-SI" w:bidi="sl-SI"/>
        </w:rPr>
        <w:t xml:space="preserve">JAVNI </w:t>
      </w:r>
      <w:r w:rsidR="00C759CC" w:rsidRPr="002960E8">
        <w:rPr>
          <w:rFonts w:asciiTheme="minorHAnsi" w:hAnsiTheme="minorHAnsi" w:cstheme="minorHAnsi"/>
          <w:b/>
          <w:bCs/>
          <w:sz w:val="22"/>
          <w:szCs w:val="22"/>
          <w:lang w:val="sl-SI" w:bidi="sl-SI"/>
        </w:rPr>
        <w:t>ZAVOD GO! 2025 - EVROPSKA PRESTOLNICA KULTURE, NOVA GORICA</w:t>
      </w:r>
    </w:p>
    <w:p w14:paraId="36FD7726" w14:textId="5788AE1A" w:rsidR="00C759CC" w:rsidRPr="00E86598" w:rsidRDefault="00C759CC" w:rsidP="00035BD7">
      <w:pPr>
        <w:jc w:val="both"/>
        <w:rPr>
          <w:rFonts w:asciiTheme="minorHAnsi" w:hAnsiTheme="minorHAnsi" w:cstheme="minorHAnsi"/>
          <w:sz w:val="22"/>
          <w:szCs w:val="22"/>
          <w:lang w:val="sl-SI"/>
        </w:rPr>
      </w:pPr>
    </w:p>
    <w:p w14:paraId="34D0C4C6" w14:textId="5F78FCD3" w:rsidR="00C759CC" w:rsidRPr="00D019AF" w:rsidRDefault="00C759CC" w:rsidP="00035BD7">
      <w:pPr>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Gorazd Božič</w:t>
      </w:r>
      <w:r w:rsidR="00035BD7">
        <w:rPr>
          <w:rFonts w:asciiTheme="minorHAnsi" w:hAnsiTheme="minorHAnsi" w:cstheme="minorHAnsi"/>
          <w:sz w:val="22"/>
          <w:szCs w:val="22"/>
          <w:lang w:val="sl-SI" w:bidi="sl-SI"/>
        </w:rPr>
        <w:t>, direktor</w:t>
      </w:r>
    </w:p>
    <w:p w14:paraId="48199CD9" w14:textId="6D3D0C97" w:rsidR="00C759CC" w:rsidRDefault="00C759CC" w:rsidP="00035BD7">
      <w:pPr>
        <w:jc w:val="both"/>
        <w:rPr>
          <w:rFonts w:asciiTheme="minorHAnsi" w:hAnsiTheme="minorHAnsi" w:cstheme="minorHAnsi"/>
          <w:sz w:val="22"/>
          <w:szCs w:val="22"/>
          <w:lang w:val="sl-SI"/>
        </w:rPr>
      </w:pPr>
    </w:p>
    <w:p w14:paraId="19A2FE29" w14:textId="3A899B62" w:rsidR="00C759CC" w:rsidRDefault="00C759CC" w:rsidP="00035BD7">
      <w:pPr>
        <w:jc w:val="both"/>
        <w:rPr>
          <w:rFonts w:asciiTheme="minorHAnsi" w:hAnsiTheme="minorHAnsi" w:cstheme="minorHAnsi"/>
          <w:sz w:val="22"/>
          <w:szCs w:val="22"/>
          <w:lang w:val="sl-SI"/>
        </w:rPr>
      </w:pPr>
    </w:p>
    <w:p w14:paraId="3BC3462C" w14:textId="77777777" w:rsidR="00035BD7" w:rsidRDefault="00035BD7" w:rsidP="00035BD7">
      <w:pPr>
        <w:jc w:val="both"/>
        <w:rPr>
          <w:rFonts w:asciiTheme="minorHAnsi" w:hAnsiTheme="minorHAnsi" w:cstheme="minorHAnsi"/>
          <w:sz w:val="22"/>
          <w:szCs w:val="22"/>
          <w:lang w:val="sl-SI"/>
        </w:rPr>
      </w:pPr>
      <w:r>
        <w:rPr>
          <w:rFonts w:asciiTheme="minorHAnsi" w:hAnsiTheme="minorHAnsi" w:cstheme="minorHAnsi"/>
          <w:sz w:val="22"/>
          <w:szCs w:val="22"/>
          <w:lang w:val="sl-SI"/>
        </w:rPr>
        <w:t>Št. dokumenta:</w:t>
      </w:r>
    </w:p>
    <w:p w14:paraId="4D67E5F8" w14:textId="77777777" w:rsidR="00035BD7" w:rsidRDefault="00035BD7" w:rsidP="00035BD7">
      <w:pPr>
        <w:jc w:val="both"/>
        <w:rPr>
          <w:rFonts w:asciiTheme="minorHAnsi" w:hAnsiTheme="minorHAnsi" w:cstheme="minorHAnsi"/>
          <w:sz w:val="22"/>
          <w:szCs w:val="22"/>
          <w:lang w:val="sl-SI"/>
        </w:rPr>
      </w:pPr>
      <w:r>
        <w:rPr>
          <w:rFonts w:asciiTheme="minorHAnsi" w:hAnsiTheme="minorHAnsi" w:cstheme="minorHAnsi"/>
          <w:sz w:val="22"/>
          <w:szCs w:val="22"/>
          <w:lang w:val="sl-SI"/>
        </w:rPr>
        <w:t>Kraj in datum:</w:t>
      </w:r>
    </w:p>
    <w:p w14:paraId="4C1AD0A6" w14:textId="77777777" w:rsidR="00035BD7" w:rsidRPr="00E86598" w:rsidRDefault="00035BD7" w:rsidP="00035BD7">
      <w:pPr>
        <w:jc w:val="both"/>
        <w:rPr>
          <w:rFonts w:asciiTheme="minorHAnsi" w:hAnsiTheme="minorHAnsi" w:cstheme="minorHAnsi"/>
          <w:sz w:val="22"/>
          <w:szCs w:val="22"/>
          <w:lang w:val="sl-SI"/>
        </w:rPr>
      </w:pPr>
    </w:p>
    <w:p w14:paraId="1CFD2FC2" w14:textId="77777777" w:rsidR="00C759CC" w:rsidRPr="002960E8" w:rsidRDefault="00C759CC" w:rsidP="00035BD7">
      <w:pPr>
        <w:jc w:val="both"/>
        <w:rPr>
          <w:rFonts w:asciiTheme="minorHAnsi" w:hAnsiTheme="minorHAnsi" w:cstheme="minorHAnsi"/>
          <w:b/>
          <w:bCs/>
          <w:sz w:val="22"/>
          <w:szCs w:val="22"/>
          <w:lang w:val="sl-SI"/>
        </w:rPr>
      </w:pPr>
      <w:r w:rsidRPr="002960E8">
        <w:rPr>
          <w:rFonts w:asciiTheme="minorHAnsi" w:hAnsiTheme="minorHAnsi" w:cstheme="minorHAnsi"/>
          <w:b/>
          <w:bCs/>
          <w:sz w:val="22"/>
          <w:szCs w:val="22"/>
          <w:lang w:val="sl-SI" w:bidi="sl-SI"/>
        </w:rPr>
        <w:t>EVROPSKO ZDRUŽENJE ZA TERITORIALNO SODELOVANJE »OBMOČJE OBČIN: COMUNE DI GORIZIA (I), MESTNA OBČINA NOVA GORICA (SLO) IN OBČINA ŠEMPETER-VRTOJBA (SLO)« / »TERRITORIO DEI COMUNI: COMUNE DI GORIZIA (I), MESTNA OBČINA NOVA GORICA (SLO) IN OBČINA ŠEMPETER-VRTOJBA (SLO)«</w:t>
      </w:r>
    </w:p>
    <w:p w14:paraId="2ED92C4B" w14:textId="77777777" w:rsidR="00035BD7" w:rsidRDefault="00035BD7" w:rsidP="00035BD7">
      <w:pPr>
        <w:jc w:val="both"/>
        <w:rPr>
          <w:rFonts w:asciiTheme="minorHAnsi" w:hAnsiTheme="minorHAnsi" w:cstheme="minorHAnsi"/>
          <w:sz w:val="22"/>
          <w:szCs w:val="22"/>
          <w:lang w:val="sl-SI" w:bidi="sl-SI"/>
        </w:rPr>
      </w:pPr>
    </w:p>
    <w:p w14:paraId="6BAE7F18" w14:textId="4EAD5CD6" w:rsidR="00C759CC" w:rsidRPr="00D019AF" w:rsidRDefault="00C759CC" w:rsidP="00035BD7">
      <w:pPr>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Romina Kocina</w:t>
      </w:r>
      <w:r w:rsidR="00035BD7">
        <w:rPr>
          <w:rFonts w:asciiTheme="minorHAnsi" w:hAnsiTheme="minorHAnsi" w:cstheme="minorHAnsi"/>
          <w:sz w:val="22"/>
          <w:szCs w:val="22"/>
          <w:lang w:val="sl-SI" w:bidi="sl-SI"/>
        </w:rPr>
        <w:t>, direktorica</w:t>
      </w:r>
    </w:p>
    <w:p w14:paraId="0CFEA807" w14:textId="578C5596" w:rsidR="007C1EFF" w:rsidRDefault="007C1EFF">
      <w:pPr>
        <w:rPr>
          <w:rFonts w:asciiTheme="minorHAnsi" w:hAnsiTheme="minorHAnsi" w:cstheme="minorHAnsi"/>
          <w:sz w:val="22"/>
          <w:szCs w:val="22"/>
          <w:lang w:val="sl-SI"/>
        </w:rPr>
      </w:pPr>
      <w:r>
        <w:rPr>
          <w:rFonts w:asciiTheme="minorHAnsi" w:hAnsiTheme="minorHAnsi" w:cstheme="minorHAnsi"/>
          <w:sz w:val="22"/>
          <w:szCs w:val="22"/>
          <w:lang w:val="sl-SI"/>
        </w:rPr>
        <w:lastRenderedPageBreak/>
        <w:br w:type="page"/>
      </w:r>
    </w:p>
    <w:p w14:paraId="225B46CB" w14:textId="77777777" w:rsidR="00D773BF" w:rsidRPr="002C567D" w:rsidRDefault="00D773BF" w:rsidP="00D773BF">
      <w:pPr>
        <w:spacing w:before="113" w:after="113" w:line="276" w:lineRule="auto"/>
        <w:jc w:val="center"/>
        <w:rPr>
          <w:rFonts w:ascii="Arial" w:hAnsi="Arial" w:cs="Arial"/>
          <w:b/>
          <w:bCs/>
          <w:color w:val="26509A"/>
          <w:sz w:val="28"/>
          <w:szCs w:val="28"/>
          <w:lang w:val="sl-SI"/>
        </w:rPr>
      </w:pPr>
      <w:r w:rsidRPr="00E86598">
        <w:rPr>
          <w:rFonts w:ascii="Arial" w:eastAsia="Arial" w:hAnsi="Arial" w:cs="Arial"/>
          <w:b/>
          <w:color w:val="26509A"/>
          <w:sz w:val="28"/>
          <w:szCs w:val="28"/>
          <w:lang w:val="sl-SI" w:bidi="sl-SI"/>
        </w:rPr>
        <w:lastRenderedPageBreak/>
        <w:t xml:space="preserve">PRILOGA ŠT. 1/2022 </w:t>
      </w:r>
    </w:p>
    <w:p w14:paraId="22B797CA" w14:textId="77777777" w:rsidR="00D773BF" w:rsidRPr="002C567D" w:rsidRDefault="00D773BF" w:rsidP="00D773BF">
      <w:pPr>
        <w:rPr>
          <w:rFonts w:asciiTheme="minorHAnsi" w:hAnsiTheme="minorHAnsi" w:cstheme="minorHAnsi"/>
          <w:sz w:val="22"/>
          <w:szCs w:val="22"/>
          <w:lang w:val="sl-SI"/>
        </w:rPr>
      </w:pPr>
    </w:p>
    <w:p w14:paraId="7846E324" w14:textId="77777777" w:rsidR="00D773BF" w:rsidRPr="002C567D" w:rsidRDefault="00D773BF" w:rsidP="00D773BF">
      <w:pPr>
        <w:pStyle w:val="Naslov2"/>
        <w:numPr>
          <w:ilvl w:val="0"/>
          <w:numId w:val="35"/>
        </w:numPr>
        <w:rPr>
          <w:lang w:val="sl-SI"/>
        </w:rPr>
      </w:pPr>
      <w:r w:rsidRPr="00E86598">
        <w:rPr>
          <w:lang w:val="sl-SI" w:bidi="sl-SI"/>
        </w:rPr>
        <w:t>Programska dokumentacija</w:t>
      </w:r>
    </w:p>
    <w:p w14:paraId="5284D636" w14:textId="77777777" w:rsidR="00D773BF" w:rsidRPr="002C567D" w:rsidRDefault="00D773BF" w:rsidP="00D773BF">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Za opredelitev aktivnosti, ki se nanašajo na leto 2022, se kot referenca uporablja naslednja dokumentacija:</w:t>
      </w:r>
    </w:p>
    <w:p w14:paraId="4D1AB274" w14:textId="77777777" w:rsidR="00D773BF" w:rsidRPr="002C567D" w:rsidRDefault="00D773BF" w:rsidP="00D773BF">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Zavod GO! 2025:</w:t>
      </w:r>
    </w:p>
    <w:p w14:paraId="143CE801" w14:textId="77777777" w:rsidR="00D773BF" w:rsidRPr="002C567D" w:rsidRDefault="00D773BF" w:rsidP="00D773BF">
      <w:pPr>
        <w:pStyle w:val="Odstavekseznama"/>
        <w:numPr>
          <w:ilvl w:val="0"/>
          <w:numId w:val="36"/>
        </w:numPr>
        <w:spacing w:before="113" w:after="113"/>
        <w:jc w:val="both"/>
        <w:rPr>
          <w:rFonts w:cstheme="minorHAnsi"/>
          <w:sz w:val="22"/>
          <w:szCs w:val="22"/>
          <w:lang w:val="sl-SI"/>
        </w:rPr>
      </w:pPr>
      <w:r w:rsidRPr="00E86598">
        <w:rPr>
          <w:rFonts w:cstheme="minorHAnsi"/>
          <w:sz w:val="22"/>
          <w:szCs w:val="22"/>
          <w:lang w:val="sl-SI" w:bidi="sl-SI"/>
        </w:rPr>
        <w:t>Dokument identifikacije investicijskega projekta (DIIP), julij 2022</w:t>
      </w:r>
    </w:p>
    <w:p w14:paraId="7F9D3C5C" w14:textId="77777777" w:rsidR="00D773BF" w:rsidRPr="002C567D" w:rsidRDefault="00D773BF" w:rsidP="00D773BF">
      <w:pPr>
        <w:pStyle w:val="Odstavekseznama"/>
        <w:numPr>
          <w:ilvl w:val="0"/>
          <w:numId w:val="36"/>
        </w:numPr>
        <w:spacing w:before="113" w:after="113"/>
        <w:jc w:val="both"/>
        <w:rPr>
          <w:rFonts w:cstheme="minorHAnsi"/>
          <w:sz w:val="22"/>
          <w:szCs w:val="22"/>
          <w:lang w:val="sl-SI"/>
        </w:rPr>
      </w:pPr>
      <w:r w:rsidRPr="00E86598">
        <w:rPr>
          <w:rFonts w:cstheme="minorHAnsi"/>
          <w:sz w:val="22"/>
          <w:szCs w:val="22"/>
          <w:lang w:val="sl-SI" w:bidi="sl-SI"/>
        </w:rPr>
        <w:t>Program dela s finančnim načrtom za leto 2022</w:t>
      </w:r>
      <w:r>
        <w:rPr>
          <w:rFonts w:cstheme="minorHAnsi"/>
          <w:sz w:val="22"/>
          <w:szCs w:val="22"/>
          <w:lang w:val="sl-SI" w:bidi="sl-SI"/>
        </w:rPr>
        <w:t xml:space="preserve"> – rebalans 1</w:t>
      </w:r>
      <w:r w:rsidRPr="00E86598">
        <w:rPr>
          <w:rFonts w:cstheme="minorHAnsi"/>
          <w:sz w:val="22"/>
          <w:szCs w:val="22"/>
          <w:lang w:val="sl-SI" w:bidi="sl-SI"/>
        </w:rPr>
        <w:t xml:space="preserve">, </w:t>
      </w:r>
      <w:r>
        <w:rPr>
          <w:rFonts w:cstheme="minorHAnsi"/>
          <w:sz w:val="22"/>
          <w:szCs w:val="22"/>
          <w:lang w:val="sl-SI" w:bidi="sl-SI"/>
        </w:rPr>
        <w:t>september</w:t>
      </w:r>
      <w:r w:rsidRPr="00E86598">
        <w:rPr>
          <w:rFonts w:cstheme="minorHAnsi"/>
          <w:sz w:val="22"/>
          <w:szCs w:val="22"/>
          <w:lang w:val="sl-SI" w:bidi="sl-SI"/>
        </w:rPr>
        <w:t xml:space="preserve"> 2022</w:t>
      </w:r>
    </w:p>
    <w:p w14:paraId="4E2198FF" w14:textId="77777777" w:rsidR="00D773BF" w:rsidRPr="002C567D" w:rsidRDefault="00D773BF" w:rsidP="00D773BF">
      <w:pPr>
        <w:spacing w:before="113" w:after="113"/>
        <w:jc w:val="both"/>
        <w:rPr>
          <w:rFonts w:asciiTheme="minorHAnsi" w:hAnsiTheme="minorHAnsi" w:cstheme="minorHAnsi"/>
          <w:sz w:val="22"/>
          <w:szCs w:val="22"/>
          <w:lang w:val="sl-SI"/>
        </w:rPr>
      </w:pPr>
      <w:r w:rsidRPr="00E86598">
        <w:rPr>
          <w:rFonts w:asciiTheme="minorHAnsi" w:hAnsiTheme="minorHAnsi" w:cstheme="minorHAnsi"/>
          <w:sz w:val="22"/>
          <w:szCs w:val="22"/>
          <w:lang w:val="sl-SI" w:bidi="sl-SI"/>
        </w:rPr>
        <w:t>EZTS GO:</w:t>
      </w:r>
    </w:p>
    <w:p w14:paraId="79F746F9" w14:textId="77777777" w:rsidR="00D773BF" w:rsidRDefault="00D773BF" w:rsidP="00D773BF">
      <w:pPr>
        <w:pStyle w:val="Odstavekseznama"/>
        <w:numPr>
          <w:ilvl w:val="0"/>
          <w:numId w:val="37"/>
        </w:numPr>
        <w:spacing w:before="113" w:after="113"/>
        <w:jc w:val="both"/>
        <w:rPr>
          <w:rFonts w:cstheme="minorHAnsi"/>
          <w:sz w:val="22"/>
          <w:szCs w:val="22"/>
          <w:lang w:val="sl-SI"/>
        </w:rPr>
      </w:pPr>
      <w:bookmarkStart w:id="3" w:name="_Hlk116471687"/>
      <w:r w:rsidRPr="00E86598">
        <w:rPr>
          <w:rFonts w:cstheme="minorHAnsi"/>
          <w:sz w:val="22"/>
          <w:szCs w:val="22"/>
          <w:lang w:val="sl-SI" w:bidi="sl-SI"/>
        </w:rPr>
        <w:t>Sklep skupščine št. 3 z dne 26. 4. 2022, s katerim sta bila potrjena letni proračun 2022 in večletni proračun 2022–2024 ter pripadajoče priloge.</w:t>
      </w:r>
    </w:p>
    <w:bookmarkEnd w:id="3"/>
    <w:p w14:paraId="280EEE81" w14:textId="77777777" w:rsidR="00D773BF" w:rsidRDefault="00D773BF" w:rsidP="00D773BF">
      <w:pPr>
        <w:spacing w:before="113" w:after="113"/>
        <w:jc w:val="both"/>
        <w:rPr>
          <w:rFonts w:cstheme="minorHAnsi"/>
          <w:sz w:val="22"/>
          <w:szCs w:val="22"/>
          <w:lang w:val="sl-SI"/>
        </w:rPr>
        <w:sectPr w:rsidR="00D773BF" w:rsidSect="00035BD7">
          <w:footerReference w:type="default" r:id="rId11"/>
          <w:headerReference w:type="first" r:id="rId12"/>
          <w:pgSz w:w="11906" w:h="16838" w:code="9"/>
          <w:pgMar w:top="1440" w:right="1077" w:bottom="1440" w:left="1077" w:header="709" w:footer="709" w:gutter="0"/>
          <w:cols w:space="708"/>
          <w:titlePg/>
          <w:docGrid w:linePitch="360"/>
        </w:sectPr>
      </w:pPr>
    </w:p>
    <w:p w14:paraId="1E6AC495" w14:textId="77777777" w:rsidR="00D773BF" w:rsidRDefault="00D773BF" w:rsidP="00D773BF">
      <w:pPr>
        <w:spacing w:before="113" w:after="113"/>
        <w:jc w:val="both"/>
        <w:rPr>
          <w:rFonts w:cstheme="minorHAnsi"/>
          <w:sz w:val="22"/>
          <w:szCs w:val="22"/>
          <w:lang w:val="sl-SI"/>
        </w:rPr>
      </w:pPr>
    </w:p>
    <w:p w14:paraId="01044101" w14:textId="77777777" w:rsidR="00D773BF" w:rsidRPr="00F51183" w:rsidRDefault="00D773BF" w:rsidP="00D773BF">
      <w:pPr>
        <w:pStyle w:val="Naslov2"/>
        <w:numPr>
          <w:ilvl w:val="0"/>
          <w:numId w:val="35"/>
        </w:numPr>
        <w:rPr>
          <w:lang w:val="sl-SI" w:bidi="sl-SI"/>
        </w:rPr>
      </w:pPr>
      <w:r w:rsidRPr="00C24451">
        <w:rPr>
          <w:lang w:val="sl-SI" w:bidi="sl-SI"/>
        </w:rPr>
        <w:t>Organigram projekta EPK 2025</w:t>
      </w:r>
    </w:p>
    <w:p w14:paraId="1B3E71AC" w14:textId="5DEA431C" w:rsidR="00D773BF" w:rsidRPr="00C24451" w:rsidRDefault="00E40BD5" w:rsidP="00D773BF">
      <w:pPr>
        <w:spacing w:before="113" w:after="113"/>
        <w:jc w:val="both"/>
        <w:rPr>
          <w:rFonts w:asciiTheme="minorHAnsi" w:hAnsiTheme="minorHAnsi" w:cstheme="minorHAnsi"/>
          <w:sz w:val="22"/>
          <w:szCs w:val="22"/>
          <w:lang w:val="sl-SI" w:bidi="sl-SI"/>
        </w:rPr>
        <w:sectPr w:rsidR="00D773BF" w:rsidRPr="00C24451" w:rsidSect="00D773BF">
          <w:type w:val="continuous"/>
          <w:pgSz w:w="11906" w:h="16838" w:code="9"/>
          <w:pgMar w:top="1440" w:right="1077" w:bottom="1440" w:left="1077" w:header="709" w:footer="709" w:gutter="0"/>
          <w:cols w:space="708"/>
          <w:titlePg/>
          <w:docGrid w:linePitch="360"/>
        </w:sectPr>
      </w:pPr>
      <w:r>
        <w:rPr>
          <w:rFonts w:asciiTheme="minorHAnsi" w:hAnsiTheme="minorHAnsi" w:cstheme="minorHAnsi"/>
          <w:noProof/>
          <w:sz w:val="22"/>
          <w:szCs w:val="22"/>
          <w:lang w:val="sl-SI" w:bidi="sl-SI"/>
        </w:rPr>
        <w:drawing>
          <wp:inline distT="0" distB="0" distL="0" distR="0" wp14:anchorId="35602C7B" wp14:editId="4F459287">
            <wp:extent cx="6192520" cy="5911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2520" cy="5911850"/>
                    </a:xfrm>
                    <a:prstGeom prst="rect">
                      <a:avLst/>
                    </a:prstGeom>
                  </pic:spPr>
                </pic:pic>
              </a:graphicData>
            </a:graphic>
          </wp:inline>
        </w:drawing>
      </w:r>
    </w:p>
    <w:p w14:paraId="459B90B4" w14:textId="77777777" w:rsidR="00D773BF" w:rsidRPr="002C567D" w:rsidRDefault="00D773BF" w:rsidP="00D773BF">
      <w:pPr>
        <w:pStyle w:val="Naslov2"/>
        <w:numPr>
          <w:ilvl w:val="0"/>
          <w:numId w:val="35"/>
        </w:numPr>
        <w:rPr>
          <w:lang w:val="sl-SI" w:bidi="sl-SI"/>
        </w:rPr>
      </w:pPr>
      <w:r w:rsidRPr="00E86598">
        <w:rPr>
          <w:lang w:val="sl-SI" w:bidi="sl-SI"/>
        </w:rPr>
        <w:lastRenderedPageBreak/>
        <w:t>Aktivnosti in stroški za leto 2022</w:t>
      </w:r>
    </w:p>
    <w:p w14:paraId="7C0B17BA" w14:textId="382F0041" w:rsidR="00D773BF" w:rsidRDefault="00D773BF" w:rsidP="00D773BF">
      <w:pPr>
        <w:spacing w:before="113" w:after="113"/>
        <w:jc w:val="both"/>
        <w:rPr>
          <w:rFonts w:asciiTheme="minorHAnsi" w:hAnsiTheme="minorHAnsi" w:cstheme="minorHAnsi"/>
          <w:sz w:val="22"/>
          <w:szCs w:val="22"/>
          <w:lang w:val="sl-SI" w:bidi="sl-SI"/>
        </w:rPr>
      </w:pPr>
      <w:r w:rsidRPr="00E86598">
        <w:rPr>
          <w:rFonts w:asciiTheme="minorHAnsi" w:hAnsiTheme="minorHAnsi" w:cstheme="minorHAnsi"/>
          <w:sz w:val="22"/>
          <w:szCs w:val="22"/>
          <w:lang w:val="sl-SI" w:bidi="sl-SI"/>
        </w:rPr>
        <w:t xml:space="preserve">V nadaljevanju so opredeljene dejavnosti Zavoda GO! 2025 in EZTS GO s pripadajočimi </w:t>
      </w:r>
      <w:r>
        <w:rPr>
          <w:rFonts w:asciiTheme="minorHAnsi" w:hAnsiTheme="minorHAnsi" w:cstheme="minorHAnsi"/>
          <w:sz w:val="22"/>
          <w:szCs w:val="22"/>
          <w:lang w:val="sl-SI" w:bidi="sl-SI"/>
        </w:rPr>
        <w:t>predvidenimi</w:t>
      </w:r>
      <w:r w:rsidRPr="00E86598">
        <w:rPr>
          <w:rFonts w:asciiTheme="minorHAnsi" w:hAnsiTheme="minorHAnsi" w:cstheme="minorHAnsi"/>
          <w:sz w:val="22"/>
          <w:szCs w:val="22"/>
          <w:lang w:val="sl-SI" w:bidi="sl-SI"/>
        </w:rPr>
        <w:t xml:space="preserve"> </w:t>
      </w:r>
      <w:r w:rsidR="00E43B04">
        <w:rPr>
          <w:rFonts w:asciiTheme="minorHAnsi" w:hAnsiTheme="minorHAnsi" w:cstheme="minorHAnsi"/>
          <w:sz w:val="22"/>
          <w:szCs w:val="22"/>
          <w:lang w:val="sl-SI" w:bidi="sl-SI"/>
        </w:rPr>
        <w:t xml:space="preserve">okvirni </w:t>
      </w:r>
      <w:r w:rsidRPr="00E86598">
        <w:rPr>
          <w:rFonts w:asciiTheme="minorHAnsi" w:hAnsiTheme="minorHAnsi" w:cstheme="minorHAnsi"/>
          <w:sz w:val="22"/>
          <w:szCs w:val="22"/>
          <w:lang w:val="sl-SI" w:bidi="sl-SI"/>
        </w:rPr>
        <w:t>stroški</w:t>
      </w:r>
      <w:r>
        <w:rPr>
          <w:rFonts w:asciiTheme="minorHAnsi" w:hAnsiTheme="minorHAnsi" w:cstheme="minorHAnsi"/>
          <w:sz w:val="22"/>
          <w:szCs w:val="22"/>
          <w:lang w:val="sl-SI" w:bidi="sl-SI"/>
        </w:rPr>
        <w:t xml:space="preserve"> v letu 2022</w:t>
      </w:r>
      <w:r w:rsidRPr="00E86598">
        <w:rPr>
          <w:rFonts w:asciiTheme="minorHAnsi" w:hAnsiTheme="minorHAnsi" w:cstheme="minorHAnsi"/>
          <w:sz w:val="22"/>
          <w:szCs w:val="22"/>
          <w:lang w:val="sl-SI" w:bidi="sl-SI"/>
        </w:rPr>
        <w:t>.</w:t>
      </w:r>
    </w:p>
    <w:p w14:paraId="509A23EB" w14:textId="77777777" w:rsidR="00D773BF" w:rsidRDefault="00D773BF" w:rsidP="00D773BF">
      <w:pPr>
        <w:rPr>
          <w:rFonts w:cstheme="minorHAnsi"/>
          <w:sz w:val="22"/>
          <w:szCs w:val="22"/>
          <w:lang w:val="sl-SI"/>
        </w:rPr>
      </w:pPr>
    </w:p>
    <w:tbl>
      <w:tblPr>
        <w:tblStyle w:val="Tabelamrea"/>
        <w:tblW w:w="14029" w:type="dxa"/>
        <w:tblLayout w:type="fixed"/>
        <w:tblLook w:val="04A0" w:firstRow="1" w:lastRow="0" w:firstColumn="1" w:lastColumn="0" w:noHBand="0" w:noVBand="1"/>
      </w:tblPr>
      <w:tblGrid>
        <w:gridCol w:w="1279"/>
        <w:gridCol w:w="4953"/>
        <w:gridCol w:w="1418"/>
        <w:gridCol w:w="5103"/>
        <w:gridCol w:w="1276"/>
      </w:tblGrid>
      <w:tr w:rsidR="00D773BF" w:rsidRPr="00E86598" w14:paraId="18953C4A" w14:textId="77777777" w:rsidTr="00B318A1">
        <w:tc>
          <w:tcPr>
            <w:tcW w:w="1279" w:type="dxa"/>
          </w:tcPr>
          <w:p w14:paraId="4460D732" w14:textId="77777777" w:rsidR="00D773BF" w:rsidRPr="002C567D" w:rsidRDefault="00D773BF" w:rsidP="000C3292">
            <w:pPr>
              <w:rPr>
                <w:rFonts w:asciiTheme="minorHAnsi" w:hAnsiTheme="minorHAnsi" w:cstheme="minorHAnsi"/>
                <w:b/>
                <w:bCs/>
                <w:sz w:val="22"/>
                <w:szCs w:val="22"/>
                <w:lang w:val="sl-SI"/>
              </w:rPr>
            </w:pPr>
          </w:p>
        </w:tc>
        <w:tc>
          <w:tcPr>
            <w:tcW w:w="4953" w:type="dxa"/>
          </w:tcPr>
          <w:p w14:paraId="522C776C" w14:textId="77777777" w:rsidR="00D773BF" w:rsidRPr="002C567D" w:rsidRDefault="00D773BF" w:rsidP="000C3292">
            <w:pPr>
              <w:rPr>
                <w:rFonts w:asciiTheme="minorHAnsi" w:hAnsiTheme="minorHAnsi" w:cstheme="minorHAnsi"/>
                <w:b/>
                <w:bCs/>
                <w:sz w:val="22"/>
                <w:szCs w:val="22"/>
                <w:lang w:val="sl-SI"/>
              </w:rPr>
            </w:pPr>
            <w:r w:rsidRPr="002C567D">
              <w:rPr>
                <w:rFonts w:asciiTheme="minorHAnsi" w:hAnsiTheme="minorHAnsi" w:cstheme="minorHAnsi"/>
                <w:b/>
                <w:bCs/>
                <w:sz w:val="22"/>
                <w:szCs w:val="22"/>
                <w:lang w:val="sl-SI"/>
              </w:rPr>
              <w:t>Zavod GO! 2025</w:t>
            </w:r>
          </w:p>
        </w:tc>
        <w:tc>
          <w:tcPr>
            <w:tcW w:w="1418" w:type="dxa"/>
          </w:tcPr>
          <w:p w14:paraId="0EEE5769" w14:textId="77777777" w:rsidR="00D773BF" w:rsidRPr="002C567D" w:rsidRDefault="00D773BF" w:rsidP="000C3292">
            <w:pPr>
              <w:jc w:val="center"/>
              <w:rPr>
                <w:rFonts w:asciiTheme="minorHAnsi" w:hAnsiTheme="minorHAnsi" w:cstheme="minorHAnsi"/>
                <w:b/>
                <w:bCs/>
                <w:sz w:val="22"/>
                <w:szCs w:val="22"/>
                <w:lang w:val="sl-SI"/>
              </w:rPr>
            </w:pPr>
          </w:p>
        </w:tc>
        <w:tc>
          <w:tcPr>
            <w:tcW w:w="5103" w:type="dxa"/>
          </w:tcPr>
          <w:p w14:paraId="689BFD35" w14:textId="77777777" w:rsidR="00D773BF" w:rsidRPr="002C567D" w:rsidRDefault="00D773BF" w:rsidP="000C3292">
            <w:pPr>
              <w:rPr>
                <w:rFonts w:asciiTheme="minorHAnsi" w:hAnsiTheme="minorHAnsi" w:cstheme="minorHAnsi"/>
                <w:b/>
                <w:bCs/>
                <w:sz w:val="22"/>
                <w:szCs w:val="22"/>
                <w:lang w:val="sl-SI"/>
              </w:rPr>
            </w:pPr>
            <w:r w:rsidRPr="002C567D">
              <w:rPr>
                <w:rFonts w:asciiTheme="minorHAnsi" w:hAnsiTheme="minorHAnsi" w:cstheme="minorHAnsi"/>
                <w:b/>
                <w:bCs/>
                <w:sz w:val="22"/>
                <w:szCs w:val="22"/>
                <w:lang w:val="sl-SI"/>
              </w:rPr>
              <w:t>GECT GO / EZTS GO</w:t>
            </w:r>
          </w:p>
        </w:tc>
        <w:tc>
          <w:tcPr>
            <w:tcW w:w="1276" w:type="dxa"/>
          </w:tcPr>
          <w:p w14:paraId="434DBE95" w14:textId="77777777" w:rsidR="00D773BF" w:rsidRPr="002C567D" w:rsidRDefault="00D773BF" w:rsidP="000C3292">
            <w:pPr>
              <w:jc w:val="center"/>
              <w:rPr>
                <w:rFonts w:asciiTheme="minorHAnsi" w:hAnsiTheme="minorHAnsi" w:cstheme="minorHAnsi"/>
                <w:b/>
                <w:bCs/>
                <w:sz w:val="22"/>
                <w:szCs w:val="22"/>
                <w:lang w:val="sl-SI"/>
              </w:rPr>
            </w:pPr>
          </w:p>
        </w:tc>
      </w:tr>
      <w:tr w:rsidR="00D773BF" w:rsidRPr="007C1EFF" w14:paraId="713956F3" w14:textId="77777777" w:rsidTr="00B318A1">
        <w:tc>
          <w:tcPr>
            <w:tcW w:w="1279" w:type="dxa"/>
          </w:tcPr>
          <w:p w14:paraId="30369469" w14:textId="77777777" w:rsidR="00D773BF" w:rsidRPr="007C1EFF" w:rsidRDefault="00D773BF" w:rsidP="000C3292">
            <w:pPr>
              <w:rPr>
                <w:rFonts w:asciiTheme="minorHAnsi" w:hAnsiTheme="minorHAnsi" w:cstheme="minorHAnsi"/>
                <w:b/>
                <w:bCs/>
                <w:i/>
                <w:iCs/>
                <w:sz w:val="20"/>
                <w:szCs w:val="20"/>
                <w:lang w:val="sl-SI"/>
              </w:rPr>
            </w:pPr>
          </w:p>
        </w:tc>
        <w:tc>
          <w:tcPr>
            <w:tcW w:w="4953" w:type="dxa"/>
          </w:tcPr>
          <w:p w14:paraId="38E85C75" w14:textId="77777777" w:rsidR="00D773BF" w:rsidRPr="007C1EFF" w:rsidRDefault="00D773BF" w:rsidP="000C3292">
            <w:pPr>
              <w:rPr>
                <w:rFonts w:asciiTheme="minorHAnsi" w:hAnsiTheme="minorHAnsi" w:cstheme="minorHAnsi"/>
                <w:b/>
                <w:bCs/>
                <w:i/>
                <w:iCs/>
                <w:sz w:val="20"/>
                <w:szCs w:val="20"/>
                <w:lang w:val="sl-SI"/>
              </w:rPr>
            </w:pPr>
            <w:r w:rsidRPr="007C1EFF">
              <w:rPr>
                <w:rFonts w:asciiTheme="minorHAnsi" w:hAnsiTheme="minorHAnsi" w:cstheme="minorHAnsi"/>
                <w:b/>
                <w:bCs/>
                <w:i/>
                <w:sz w:val="20"/>
                <w:szCs w:val="20"/>
                <w:lang w:val="sl-SI" w:bidi="sl-SI"/>
              </w:rPr>
              <w:t xml:space="preserve">Dejavnosti / </w:t>
            </w:r>
            <w:proofErr w:type="spellStart"/>
            <w:r w:rsidRPr="007C1EFF">
              <w:rPr>
                <w:rFonts w:asciiTheme="minorHAnsi" w:hAnsiTheme="minorHAnsi" w:cstheme="minorHAnsi"/>
                <w:b/>
                <w:bCs/>
                <w:i/>
                <w:iCs/>
                <w:sz w:val="20"/>
                <w:szCs w:val="20"/>
                <w:lang w:val="sl-SI"/>
              </w:rPr>
              <w:t>Attività</w:t>
            </w:r>
            <w:proofErr w:type="spellEnd"/>
          </w:p>
        </w:tc>
        <w:tc>
          <w:tcPr>
            <w:tcW w:w="1418" w:type="dxa"/>
          </w:tcPr>
          <w:p w14:paraId="452FC5F3" w14:textId="77777777" w:rsidR="00D773BF" w:rsidRPr="007C1EFF" w:rsidRDefault="00D773BF" w:rsidP="000C3292">
            <w:pPr>
              <w:jc w:val="center"/>
              <w:rPr>
                <w:rFonts w:asciiTheme="minorHAnsi" w:hAnsiTheme="minorHAnsi" w:cstheme="minorHAnsi"/>
                <w:b/>
                <w:bCs/>
                <w:i/>
                <w:sz w:val="20"/>
                <w:szCs w:val="20"/>
                <w:lang w:val="sl-SI" w:bidi="sl-SI"/>
              </w:rPr>
            </w:pPr>
            <w:r>
              <w:rPr>
                <w:rFonts w:asciiTheme="minorHAnsi" w:hAnsiTheme="minorHAnsi" w:cstheme="minorHAnsi"/>
                <w:b/>
                <w:bCs/>
                <w:i/>
                <w:sz w:val="20"/>
                <w:szCs w:val="20"/>
                <w:lang w:val="sl-SI" w:bidi="sl-SI"/>
              </w:rPr>
              <w:t>Predviden</w:t>
            </w:r>
            <w:r w:rsidRPr="007C1EFF">
              <w:rPr>
                <w:rFonts w:asciiTheme="minorHAnsi" w:hAnsiTheme="minorHAnsi" w:cstheme="minorHAnsi"/>
                <w:b/>
                <w:bCs/>
                <w:i/>
                <w:sz w:val="20"/>
                <w:szCs w:val="20"/>
                <w:lang w:val="sl-SI" w:bidi="sl-SI"/>
              </w:rPr>
              <w:t xml:space="preserve"> </w:t>
            </w:r>
            <w:r>
              <w:rPr>
                <w:rFonts w:asciiTheme="minorHAnsi" w:hAnsiTheme="minorHAnsi" w:cstheme="minorHAnsi"/>
                <w:b/>
                <w:bCs/>
                <w:i/>
                <w:sz w:val="20"/>
                <w:szCs w:val="20"/>
                <w:lang w:val="sl-SI" w:bidi="sl-SI"/>
              </w:rPr>
              <w:t>strošek</w:t>
            </w:r>
            <w:r w:rsidRPr="007C1EFF">
              <w:rPr>
                <w:rFonts w:asciiTheme="minorHAnsi" w:hAnsiTheme="minorHAnsi" w:cstheme="minorHAnsi"/>
                <w:b/>
                <w:bCs/>
                <w:i/>
                <w:sz w:val="20"/>
                <w:szCs w:val="20"/>
                <w:lang w:val="sl-SI" w:bidi="sl-SI"/>
              </w:rPr>
              <w:t xml:space="preserve"> € /</w:t>
            </w:r>
          </w:p>
          <w:p w14:paraId="54C9E620" w14:textId="77777777" w:rsidR="00D773BF" w:rsidRPr="007C1EFF" w:rsidRDefault="00D773BF" w:rsidP="000C3292">
            <w:pPr>
              <w:jc w:val="center"/>
              <w:rPr>
                <w:rFonts w:asciiTheme="minorHAnsi" w:hAnsiTheme="minorHAnsi" w:cstheme="minorHAnsi"/>
                <w:b/>
                <w:bCs/>
                <w:i/>
                <w:iCs/>
                <w:sz w:val="20"/>
                <w:szCs w:val="20"/>
                <w:lang w:val="sl-SI"/>
              </w:rPr>
            </w:pPr>
            <w:proofErr w:type="spellStart"/>
            <w:r w:rsidRPr="007C1EFF">
              <w:rPr>
                <w:rFonts w:asciiTheme="minorHAnsi" w:hAnsiTheme="minorHAnsi" w:cstheme="minorHAnsi"/>
                <w:b/>
                <w:bCs/>
                <w:i/>
                <w:iCs/>
                <w:sz w:val="20"/>
                <w:szCs w:val="20"/>
                <w:lang w:val="sl-SI"/>
              </w:rPr>
              <w:t>Importo</w:t>
            </w:r>
            <w:proofErr w:type="spellEnd"/>
            <w:r w:rsidRPr="007C1EFF">
              <w:rPr>
                <w:rFonts w:asciiTheme="minorHAnsi" w:hAnsiTheme="minorHAnsi" w:cstheme="minorHAnsi"/>
                <w:b/>
                <w:bCs/>
                <w:i/>
                <w:iCs/>
                <w:sz w:val="20"/>
                <w:szCs w:val="20"/>
                <w:lang w:val="sl-SI"/>
              </w:rPr>
              <w:t xml:space="preserve"> </w:t>
            </w:r>
            <w:proofErr w:type="spellStart"/>
            <w:r w:rsidRPr="007C1EFF">
              <w:rPr>
                <w:rFonts w:asciiTheme="minorHAnsi" w:hAnsiTheme="minorHAnsi" w:cstheme="minorHAnsi"/>
                <w:b/>
                <w:bCs/>
                <w:i/>
                <w:iCs/>
                <w:sz w:val="20"/>
                <w:szCs w:val="20"/>
                <w:lang w:val="sl-SI"/>
              </w:rPr>
              <w:t>previsto</w:t>
            </w:r>
            <w:proofErr w:type="spellEnd"/>
            <w:r w:rsidRPr="007C1EFF">
              <w:rPr>
                <w:rFonts w:asciiTheme="minorHAnsi" w:hAnsiTheme="minorHAnsi" w:cstheme="minorHAnsi"/>
                <w:b/>
                <w:bCs/>
                <w:i/>
                <w:iCs/>
                <w:sz w:val="20"/>
                <w:szCs w:val="20"/>
                <w:lang w:val="sl-SI"/>
              </w:rPr>
              <w:t xml:space="preserve"> €</w:t>
            </w:r>
          </w:p>
        </w:tc>
        <w:tc>
          <w:tcPr>
            <w:tcW w:w="5103" w:type="dxa"/>
          </w:tcPr>
          <w:p w14:paraId="608E3436" w14:textId="77777777" w:rsidR="00D773BF" w:rsidRPr="007C1EFF" w:rsidRDefault="00D773BF" w:rsidP="000C3292">
            <w:pPr>
              <w:rPr>
                <w:rFonts w:asciiTheme="minorHAnsi" w:hAnsiTheme="minorHAnsi" w:cstheme="minorHAnsi"/>
                <w:b/>
                <w:bCs/>
                <w:i/>
                <w:iCs/>
                <w:sz w:val="20"/>
                <w:szCs w:val="20"/>
                <w:lang w:val="sl-SI"/>
              </w:rPr>
            </w:pPr>
            <w:r w:rsidRPr="007C1EFF">
              <w:rPr>
                <w:rFonts w:asciiTheme="minorHAnsi" w:hAnsiTheme="minorHAnsi" w:cstheme="minorHAnsi"/>
                <w:b/>
                <w:bCs/>
                <w:i/>
                <w:sz w:val="20"/>
                <w:szCs w:val="20"/>
                <w:lang w:val="sl-SI" w:bidi="sl-SI"/>
              </w:rPr>
              <w:t xml:space="preserve">Dejavnosti / </w:t>
            </w:r>
            <w:proofErr w:type="spellStart"/>
            <w:r w:rsidRPr="007C1EFF">
              <w:rPr>
                <w:rFonts w:asciiTheme="minorHAnsi" w:hAnsiTheme="minorHAnsi" w:cstheme="minorHAnsi"/>
                <w:b/>
                <w:bCs/>
                <w:i/>
                <w:iCs/>
                <w:sz w:val="20"/>
                <w:szCs w:val="20"/>
                <w:lang w:val="sl-SI"/>
              </w:rPr>
              <w:t>Attività</w:t>
            </w:r>
            <w:proofErr w:type="spellEnd"/>
          </w:p>
        </w:tc>
        <w:tc>
          <w:tcPr>
            <w:tcW w:w="1276" w:type="dxa"/>
          </w:tcPr>
          <w:p w14:paraId="4A75EC9C" w14:textId="77777777" w:rsidR="00D773BF" w:rsidRPr="007C1EFF" w:rsidRDefault="00D773BF" w:rsidP="000C3292">
            <w:pPr>
              <w:jc w:val="center"/>
              <w:rPr>
                <w:rFonts w:asciiTheme="minorHAnsi" w:hAnsiTheme="minorHAnsi" w:cstheme="minorHAnsi"/>
                <w:b/>
                <w:bCs/>
                <w:i/>
                <w:sz w:val="20"/>
                <w:szCs w:val="20"/>
                <w:lang w:val="sl-SI" w:bidi="sl-SI"/>
              </w:rPr>
            </w:pPr>
            <w:r>
              <w:rPr>
                <w:rFonts w:asciiTheme="minorHAnsi" w:hAnsiTheme="minorHAnsi" w:cstheme="minorHAnsi"/>
                <w:b/>
                <w:bCs/>
                <w:i/>
                <w:sz w:val="20"/>
                <w:szCs w:val="20"/>
                <w:lang w:val="sl-SI" w:bidi="sl-SI"/>
              </w:rPr>
              <w:t>Predviden</w:t>
            </w:r>
            <w:r w:rsidRPr="007C1EFF">
              <w:rPr>
                <w:rFonts w:asciiTheme="minorHAnsi" w:hAnsiTheme="minorHAnsi" w:cstheme="minorHAnsi"/>
                <w:b/>
                <w:bCs/>
                <w:i/>
                <w:sz w:val="20"/>
                <w:szCs w:val="20"/>
                <w:lang w:val="sl-SI" w:bidi="sl-SI"/>
              </w:rPr>
              <w:t xml:space="preserve"> </w:t>
            </w:r>
            <w:r>
              <w:rPr>
                <w:rFonts w:asciiTheme="minorHAnsi" w:hAnsiTheme="minorHAnsi" w:cstheme="minorHAnsi"/>
                <w:b/>
                <w:bCs/>
                <w:i/>
                <w:sz w:val="20"/>
                <w:szCs w:val="20"/>
                <w:lang w:val="sl-SI" w:bidi="sl-SI"/>
              </w:rPr>
              <w:t>strošek</w:t>
            </w:r>
            <w:r w:rsidRPr="007C1EFF">
              <w:rPr>
                <w:rFonts w:asciiTheme="minorHAnsi" w:hAnsiTheme="minorHAnsi" w:cstheme="minorHAnsi"/>
                <w:b/>
                <w:bCs/>
                <w:i/>
                <w:sz w:val="20"/>
                <w:szCs w:val="20"/>
                <w:lang w:val="sl-SI" w:bidi="sl-SI"/>
              </w:rPr>
              <w:t xml:space="preserve"> € /</w:t>
            </w:r>
          </w:p>
          <w:p w14:paraId="2902F337" w14:textId="77777777" w:rsidR="00D773BF" w:rsidRPr="007C1EFF" w:rsidRDefault="00D773BF" w:rsidP="000C3292">
            <w:pPr>
              <w:jc w:val="center"/>
              <w:rPr>
                <w:rFonts w:asciiTheme="minorHAnsi" w:hAnsiTheme="minorHAnsi" w:cstheme="minorHAnsi"/>
                <w:b/>
                <w:bCs/>
                <w:i/>
                <w:iCs/>
                <w:sz w:val="20"/>
                <w:szCs w:val="20"/>
                <w:lang w:val="sl-SI"/>
              </w:rPr>
            </w:pPr>
            <w:proofErr w:type="spellStart"/>
            <w:r w:rsidRPr="007C1EFF">
              <w:rPr>
                <w:rFonts w:asciiTheme="minorHAnsi" w:hAnsiTheme="minorHAnsi" w:cstheme="minorHAnsi"/>
                <w:b/>
                <w:bCs/>
                <w:i/>
                <w:iCs/>
                <w:sz w:val="20"/>
                <w:szCs w:val="20"/>
                <w:lang w:val="sl-SI"/>
              </w:rPr>
              <w:t>Importo</w:t>
            </w:r>
            <w:proofErr w:type="spellEnd"/>
            <w:r w:rsidRPr="007C1EFF">
              <w:rPr>
                <w:rFonts w:asciiTheme="minorHAnsi" w:hAnsiTheme="minorHAnsi" w:cstheme="minorHAnsi"/>
                <w:b/>
                <w:bCs/>
                <w:i/>
                <w:iCs/>
                <w:sz w:val="20"/>
                <w:szCs w:val="20"/>
                <w:lang w:val="sl-SI"/>
              </w:rPr>
              <w:t xml:space="preserve"> </w:t>
            </w:r>
            <w:proofErr w:type="spellStart"/>
            <w:r w:rsidRPr="007C1EFF">
              <w:rPr>
                <w:rFonts w:asciiTheme="minorHAnsi" w:hAnsiTheme="minorHAnsi" w:cstheme="minorHAnsi"/>
                <w:b/>
                <w:bCs/>
                <w:i/>
                <w:iCs/>
                <w:sz w:val="20"/>
                <w:szCs w:val="20"/>
                <w:lang w:val="sl-SI"/>
              </w:rPr>
              <w:t>previsto</w:t>
            </w:r>
            <w:proofErr w:type="spellEnd"/>
            <w:r w:rsidRPr="007C1EFF">
              <w:rPr>
                <w:rFonts w:asciiTheme="minorHAnsi" w:hAnsiTheme="minorHAnsi" w:cstheme="minorHAnsi"/>
                <w:b/>
                <w:bCs/>
                <w:i/>
                <w:iCs/>
                <w:sz w:val="20"/>
                <w:szCs w:val="20"/>
                <w:lang w:val="sl-SI"/>
              </w:rPr>
              <w:t xml:space="preserve"> €</w:t>
            </w:r>
          </w:p>
        </w:tc>
      </w:tr>
      <w:tr w:rsidR="00D773BF" w:rsidRPr="00E86598" w14:paraId="7DB008E7" w14:textId="77777777" w:rsidTr="00B318A1">
        <w:tc>
          <w:tcPr>
            <w:tcW w:w="1279" w:type="dxa"/>
          </w:tcPr>
          <w:p w14:paraId="3FC99D8A" w14:textId="77777777" w:rsidR="00D773BF" w:rsidRPr="002C567D" w:rsidRDefault="00D773BF" w:rsidP="000C3292">
            <w:pPr>
              <w:rPr>
                <w:rFonts w:asciiTheme="minorHAnsi" w:hAnsiTheme="minorHAnsi" w:cstheme="minorHAnsi"/>
                <w:b/>
                <w:bCs/>
                <w:sz w:val="22"/>
                <w:szCs w:val="22"/>
                <w:lang w:val="sl-SI"/>
              </w:rPr>
            </w:pPr>
          </w:p>
        </w:tc>
        <w:tc>
          <w:tcPr>
            <w:tcW w:w="4953" w:type="dxa"/>
          </w:tcPr>
          <w:p w14:paraId="34AD9B50" w14:textId="77777777" w:rsidR="00D773BF" w:rsidRPr="002C567D" w:rsidRDefault="00D773BF" w:rsidP="000C3292">
            <w:pPr>
              <w:rPr>
                <w:rFonts w:asciiTheme="minorHAnsi" w:hAnsiTheme="minorHAnsi" w:cstheme="minorHAnsi"/>
                <w:sz w:val="22"/>
                <w:szCs w:val="22"/>
                <w:lang w:val="sl-SI"/>
              </w:rPr>
            </w:pPr>
          </w:p>
        </w:tc>
        <w:tc>
          <w:tcPr>
            <w:tcW w:w="1418" w:type="dxa"/>
          </w:tcPr>
          <w:p w14:paraId="032C2049" w14:textId="77777777" w:rsidR="00D773BF" w:rsidRPr="002C567D" w:rsidRDefault="00D773BF" w:rsidP="000C3292">
            <w:pPr>
              <w:jc w:val="center"/>
              <w:rPr>
                <w:rFonts w:asciiTheme="minorHAnsi" w:hAnsiTheme="minorHAnsi" w:cstheme="minorHAnsi"/>
                <w:sz w:val="22"/>
                <w:szCs w:val="22"/>
                <w:lang w:val="sl-SI"/>
              </w:rPr>
            </w:pPr>
          </w:p>
        </w:tc>
        <w:tc>
          <w:tcPr>
            <w:tcW w:w="5103" w:type="dxa"/>
          </w:tcPr>
          <w:p w14:paraId="4EDF4A4A" w14:textId="77777777" w:rsidR="00D773BF" w:rsidRPr="002C567D" w:rsidRDefault="00D773BF" w:rsidP="000C3292">
            <w:pPr>
              <w:rPr>
                <w:rFonts w:asciiTheme="minorHAnsi" w:hAnsiTheme="minorHAnsi" w:cstheme="minorHAnsi"/>
                <w:sz w:val="22"/>
                <w:szCs w:val="22"/>
                <w:lang w:val="sl-SI"/>
              </w:rPr>
            </w:pPr>
          </w:p>
        </w:tc>
        <w:tc>
          <w:tcPr>
            <w:tcW w:w="1276" w:type="dxa"/>
          </w:tcPr>
          <w:p w14:paraId="6731D472" w14:textId="77777777" w:rsidR="00D773BF" w:rsidRPr="002C567D" w:rsidRDefault="00D773BF" w:rsidP="000C3292">
            <w:pPr>
              <w:jc w:val="center"/>
              <w:rPr>
                <w:rFonts w:asciiTheme="minorHAnsi" w:hAnsiTheme="minorHAnsi" w:cstheme="minorHAnsi"/>
                <w:sz w:val="22"/>
                <w:szCs w:val="22"/>
                <w:lang w:val="sl-SI"/>
              </w:rPr>
            </w:pPr>
          </w:p>
        </w:tc>
      </w:tr>
      <w:tr w:rsidR="00D773BF" w:rsidRPr="00E86598" w14:paraId="68A2023F" w14:textId="77777777" w:rsidTr="00B318A1">
        <w:tc>
          <w:tcPr>
            <w:tcW w:w="1279" w:type="dxa"/>
            <w:shd w:val="clear" w:color="auto" w:fill="EDEDED" w:themeFill="accent3" w:themeFillTint="33"/>
          </w:tcPr>
          <w:p w14:paraId="655290E8" w14:textId="77777777" w:rsidR="00D773BF" w:rsidRPr="002C567D" w:rsidRDefault="00D773BF" w:rsidP="000C3292">
            <w:pPr>
              <w:rPr>
                <w:rFonts w:asciiTheme="minorHAnsi" w:hAnsiTheme="minorHAnsi" w:cstheme="minorHAnsi"/>
                <w:b/>
                <w:bCs/>
                <w:sz w:val="20"/>
                <w:szCs w:val="20"/>
                <w:lang w:val="sl-SI"/>
              </w:rPr>
            </w:pPr>
            <w:proofErr w:type="spellStart"/>
            <w:r w:rsidRPr="002C567D">
              <w:rPr>
                <w:rFonts w:asciiTheme="minorHAnsi" w:hAnsiTheme="minorHAnsi" w:cstheme="minorHAnsi"/>
                <w:b/>
                <w:bCs/>
                <w:sz w:val="20"/>
                <w:szCs w:val="20"/>
                <w:lang w:val="sl-SI"/>
              </w:rPr>
              <w:t>EPICenter</w:t>
            </w:r>
            <w:proofErr w:type="spellEnd"/>
          </w:p>
        </w:tc>
        <w:tc>
          <w:tcPr>
            <w:tcW w:w="4953" w:type="dxa"/>
            <w:shd w:val="clear" w:color="auto" w:fill="EDEDED" w:themeFill="accent3" w:themeFillTint="33"/>
          </w:tcPr>
          <w:p w14:paraId="2B8E1263"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 xml:space="preserve">Dogodki in promocija vsebin </w:t>
            </w:r>
            <w:proofErr w:type="spellStart"/>
            <w:r w:rsidRPr="00C5097E">
              <w:rPr>
                <w:rFonts w:asciiTheme="minorHAnsi" w:hAnsiTheme="minorHAnsi" w:cstheme="minorHAnsi"/>
                <w:sz w:val="18"/>
                <w:szCs w:val="18"/>
                <w:lang w:val="sl-SI" w:bidi="sl-SI"/>
              </w:rPr>
              <w:t>EPICenter</w:t>
            </w:r>
            <w:proofErr w:type="spellEnd"/>
            <w:r w:rsidRPr="00C5097E">
              <w:rPr>
                <w:rFonts w:asciiTheme="minorHAnsi" w:hAnsiTheme="minorHAnsi" w:cstheme="minorHAnsi"/>
                <w:sz w:val="18"/>
                <w:szCs w:val="18"/>
                <w:lang w:val="sl-SI" w:bidi="sl-SI"/>
              </w:rPr>
              <w:t xml:space="preserve"> in EPIC</w:t>
            </w:r>
          </w:p>
          <w:p w14:paraId="04642E58"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Eventi</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promozione</w:t>
            </w:r>
            <w:proofErr w:type="spellEnd"/>
            <w:r w:rsidRPr="00C5097E">
              <w:rPr>
                <w:rFonts w:asciiTheme="minorHAnsi" w:hAnsiTheme="minorHAnsi" w:cstheme="minorHAnsi"/>
                <w:sz w:val="18"/>
                <w:szCs w:val="18"/>
                <w:lang w:val="sl-SI"/>
              </w:rPr>
              <w:t xml:space="preserve"> legati </w:t>
            </w:r>
            <w:proofErr w:type="spellStart"/>
            <w:r w:rsidRPr="00C5097E">
              <w:rPr>
                <w:rFonts w:asciiTheme="minorHAnsi" w:hAnsiTheme="minorHAnsi" w:cstheme="minorHAnsi"/>
                <w:sz w:val="18"/>
                <w:szCs w:val="18"/>
                <w:lang w:val="sl-SI"/>
              </w:rPr>
              <w:t>ai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contenuti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EPICenter</w:t>
            </w:r>
            <w:proofErr w:type="spellEnd"/>
            <w:r w:rsidRPr="00C5097E">
              <w:rPr>
                <w:rFonts w:asciiTheme="minorHAnsi" w:hAnsiTheme="minorHAnsi" w:cstheme="minorHAnsi"/>
                <w:sz w:val="18"/>
                <w:szCs w:val="18"/>
                <w:lang w:val="sl-SI"/>
              </w:rPr>
              <w:t xml:space="preserve"> e EPIC</w:t>
            </w:r>
          </w:p>
        </w:tc>
        <w:tc>
          <w:tcPr>
            <w:tcW w:w="1418" w:type="dxa"/>
            <w:shd w:val="clear" w:color="auto" w:fill="EDEDED" w:themeFill="accent3" w:themeFillTint="33"/>
          </w:tcPr>
          <w:p w14:paraId="1252994C"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65.000</w:t>
            </w:r>
          </w:p>
        </w:tc>
        <w:tc>
          <w:tcPr>
            <w:tcW w:w="5103" w:type="dxa"/>
            <w:shd w:val="clear" w:color="auto" w:fill="EDEDED" w:themeFill="accent3" w:themeFillTint="33"/>
          </w:tcPr>
          <w:p w14:paraId="05CFBC59"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 xml:space="preserve">Koordinacija prekvalifikacije </w:t>
            </w:r>
            <w:proofErr w:type="spellStart"/>
            <w:r w:rsidRPr="00C5097E">
              <w:rPr>
                <w:rFonts w:asciiTheme="minorHAnsi" w:hAnsiTheme="minorHAnsi" w:cstheme="minorHAnsi"/>
                <w:sz w:val="18"/>
                <w:szCs w:val="18"/>
                <w:lang w:val="sl-SI" w:bidi="sl-SI"/>
              </w:rPr>
              <w:t>Piazza</w:t>
            </w:r>
            <w:proofErr w:type="spellEnd"/>
            <w:r w:rsidRPr="00C5097E">
              <w:rPr>
                <w:rFonts w:asciiTheme="minorHAnsi" w:hAnsiTheme="minorHAnsi" w:cstheme="minorHAnsi"/>
                <w:sz w:val="18"/>
                <w:szCs w:val="18"/>
                <w:lang w:val="sl-SI" w:bidi="sl-SI"/>
              </w:rPr>
              <w:t xml:space="preserve"> </w:t>
            </w:r>
            <w:proofErr w:type="spellStart"/>
            <w:r w:rsidRPr="00C5097E">
              <w:rPr>
                <w:rFonts w:asciiTheme="minorHAnsi" w:hAnsiTheme="minorHAnsi" w:cstheme="minorHAnsi"/>
                <w:sz w:val="18"/>
                <w:szCs w:val="18"/>
                <w:lang w:val="sl-SI" w:bidi="sl-SI"/>
              </w:rPr>
              <w:t>Transalpina</w:t>
            </w:r>
            <w:proofErr w:type="spellEnd"/>
            <w:r w:rsidRPr="00C5097E">
              <w:rPr>
                <w:rFonts w:asciiTheme="minorHAnsi" w:hAnsiTheme="minorHAnsi" w:cstheme="minorHAnsi"/>
                <w:sz w:val="18"/>
                <w:szCs w:val="18"/>
                <w:lang w:val="sl-SI" w:bidi="sl-SI"/>
              </w:rPr>
              <w:t xml:space="preserve"> / Epicenter (koordinacija, projektiranje, gradnja)</w:t>
            </w:r>
          </w:p>
          <w:p w14:paraId="0D795D9B"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Coordinamento</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riqualificazione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piazza</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Transalpina</w:t>
            </w:r>
            <w:proofErr w:type="spellEnd"/>
            <w:r w:rsidRPr="00C5097E">
              <w:rPr>
                <w:rFonts w:asciiTheme="minorHAnsi" w:hAnsiTheme="minorHAnsi" w:cstheme="minorHAnsi"/>
                <w:sz w:val="18"/>
                <w:szCs w:val="18"/>
                <w:lang w:val="sl-SI"/>
              </w:rPr>
              <w:t xml:space="preserve"> / Epicenter (</w:t>
            </w:r>
            <w:proofErr w:type="spellStart"/>
            <w:r w:rsidRPr="00C5097E">
              <w:rPr>
                <w:rFonts w:asciiTheme="minorHAnsi" w:hAnsiTheme="minorHAnsi" w:cstheme="minorHAnsi"/>
                <w:sz w:val="18"/>
                <w:szCs w:val="18"/>
                <w:lang w:val="sl-SI"/>
              </w:rPr>
              <w:t>coordinamento</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progettazione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realizzazione</w:t>
            </w:r>
            <w:proofErr w:type="spellEnd"/>
            <w:r w:rsidRPr="00C5097E">
              <w:rPr>
                <w:rFonts w:asciiTheme="minorHAnsi" w:hAnsiTheme="minorHAnsi" w:cstheme="minorHAnsi"/>
                <w:sz w:val="18"/>
                <w:szCs w:val="18"/>
                <w:lang w:val="sl-SI"/>
              </w:rPr>
              <w:t xml:space="preserve">) </w:t>
            </w:r>
          </w:p>
          <w:p w14:paraId="293335BC" w14:textId="7840F0EB" w:rsidR="00D773BF" w:rsidRPr="00C5097E" w:rsidRDefault="00D773BF" w:rsidP="000C3292">
            <w:pPr>
              <w:rPr>
                <w:rFonts w:asciiTheme="minorHAnsi" w:hAnsiTheme="minorHAnsi" w:cstheme="minorHAnsi"/>
                <w:sz w:val="18"/>
                <w:szCs w:val="18"/>
                <w:lang w:val="sl-SI"/>
              </w:rPr>
            </w:pPr>
          </w:p>
        </w:tc>
        <w:tc>
          <w:tcPr>
            <w:tcW w:w="1276" w:type="dxa"/>
            <w:shd w:val="clear" w:color="auto" w:fill="EDEDED" w:themeFill="accent3" w:themeFillTint="33"/>
          </w:tcPr>
          <w:p w14:paraId="2CA12412" w14:textId="6E676805" w:rsidR="00D773BF" w:rsidRPr="00C5097E" w:rsidRDefault="00FF15C6"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5</w:t>
            </w:r>
            <w:r w:rsidR="00D773BF" w:rsidRPr="00C5097E">
              <w:rPr>
                <w:rFonts w:asciiTheme="minorHAnsi" w:hAnsiTheme="minorHAnsi" w:cstheme="minorHAnsi"/>
                <w:sz w:val="18"/>
                <w:szCs w:val="18"/>
                <w:lang w:val="sl-SI"/>
              </w:rPr>
              <w:t>25.000</w:t>
            </w:r>
          </w:p>
          <w:p w14:paraId="3CF197E9" w14:textId="77777777" w:rsidR="00D773BF" w:rsidRPr="00C5097E" w:rsidRDefault="00D773BF" w:rsidP="000C3292">
            <w:pPr>
              <w:jc w:val="center"/>
              <w:rPr>
                <w:rFonts w:asciiTheme="minorHAnsi" w:hAnsiTheme="minorHAnsi" w:cstheme="minorHAnsi"/>
                <w:sz w:val="18"/>
                <w:szCs w:val="18"/>
                <w:lang w:val="sl-SI"/>
              </w:rPr>
            </w:pPr>
          </w:p>
          <w:p w14:paraId="1B5DA987" w14:textId="77777777" w:rsidR="00D773BF" w:rsidRPr="00C5097E" w:rsidRDefault="00D773BF" w:rsidP="000C3292">
            <w:pPr>
              <w:jc w:val="center"/>
              <w:rPr>
                <w:rFonts w:asciiTheme="minorHAnsi" w:hAnsiTheme="minorHAnsi" w:cstheme="minorHAnsi"/>
                <w:sz w:val="18"/>
                <w:szCs w:val="18"/>
                <w:lang w:val="sl-SI"/>
              </w:rPr>
            </w:pPr>
          </w:p>
          <w:p w14:paraId="733D5863" w14:textId="77777777" w:rsidR="00D773BF" w:rsidRPr="00C5097E" w:rsidRDefault="00D773BF" w:rsidP="000C3292">
            <w:pPr>
              <w:jc w:val="center"/>
              <w:rPr>
                <w:rFonts w:asciiTheme="minorHAnsi" w:hAnsiTheme="minorHAnsi" w:cstheme="minorHAnsi"/>
                <w:sz w:val="18"/>
                <w:szCs w:val="18"/>
                <w:lang w:val="sl-SI"/>
              </w:rPr>
            </w:pPr>
          </w:p>
          <w:p w14:paraId="1374BE96" w14:textId="77777777" w:rsidR="00D773BF" w:rsidRPr="00C5097E" w:rsidRDefault="00D773BF" w:rsidP="000C3292">
            <w:pPr>
              <w:jc w:val="center"/>
              <w:rPr>
                <w:rFonts w:asciiTheme="minorHAnsi" w:hAnsiTheme="minorHAnsi" w:cstheme="minorHAnsi"/>
                <w:sz w:val="18"/>
                <w:szCs w:val="18"/>
                <w:lang w:val="sl-SI"/>
              </w:rPr>
            </w:pPr>
          </w:p>
          <w:p w14:paraId="00C03446"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101D63E7" w14:textId="77777777" w:rsidTr="00B318A1">
        <w:tc>
          <w:tcPr>
            <w:tcW w:w="1279" w:type="dxa"/>
          </w:tcPr>
          <w:p w14:paraId="2A3D1A28"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05214BB9" w14:textId="77777777" w:rsidR="00D773BF" w:rsidRPr="00C5097E" w:rsidRDefault="00D773BF" w:rsidP="000C3292">
            <w:pPr>
              <w:rPr>
                <w:rFonts w:asciiTheme="minorHAnsi" w:hAnsiTheme="minorHAnsi" w:cstheme="minorHAnsi"/>
                <w:sz w:val="18"/>
                <w:szCs w:val="18"/>
                <w:lang w:val="sl-SI"/>
              </w:rPr>
            </w:pPr>
          </w:p>
        </w:tc>
        <w:tc>
          <w:tcPr>
            <w:tcW w:w="1418" w:type="dxa"/>
          </w:tcPr>
          <w:p w14:paraId="6962ADDA"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09B48680" w14:textId="77777777" w:rsidR="00D773BF" w:rsidRPr="00C5097E" w:rsidRDefault="00D773BF" w:rsidP="000C3292">
            <w:pPr>
              <w:rPr>
                <w:rFonts w:asciiTheme="minorHAnsi" w:hAnsiTheme="minorHAnsi" w:cstheme="minorHAnsi"/>
                <w:sz w:val="18"/>
                <w:szCs w:val="18"/>
                <w:lang w:val="sl-SI"/>
              </w:rPr>
            </w:pPr>
          </w:p>
        </w:tc>
        <w:tc>
          <w:tcPr>
            <w:tcW w:w="1276" w:type="dxa"/>
          </w:tcPr>
          <w:p w14:paraId="6D988B1A"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33E0A7F3" w14:textId="77777777" w:rsidTr="00B318A1">
        <w:tc>
          <w:tcPr>
            <w:tcW w:w="1279" w:type="dxa"/>
            <w:shd w:val="clear" w:color="auto" w:fill="FFF2CC" w:themeFill="accent4" w:themeFillTint="33"/>
          </w:tcPr>
          <w:p w14:paraId="528E4758" w14:textId="77777777" w:rsidR="00D773BF" w:rsidRPr="002C567D" w:rsidRDefault="00D773BF" w:rsidP="000C3292">
            <w:pPr>
              <w:rPr>
                <w:rFonts w:asciiTheme="minorHAnsi" w:hAnsiTheme="minorHAnsi" w:cstheme="minorHAnsi"/>
                <w:b/>
                <w:bCs/>
                <w:sz w:val="20"/>
                <w:szCs w:val="20"/>
                <w:lang w:val="sl-SI"/>
              </w:rPr>
            </w:pPr>
            <w:r w:rsidRPr="002C567D">
              <w:rPr>
                <w:rFonts w:asciiTheme="minorHAnsi" w:hAnsiTheme="minorHAnsi" w:cstheme="minorHAnsi"/>
                <w:b/>
                <w:bCs/>
                <w:sz w:val="20"/>
                <w:szCs w:val="20"/>
                <w:lang w:val="sl-SI"/>
              </w:rPr>
              <w:t xml:space="preserve">GO! </w:t>
            </w:r>
            <w:proofErr w:type="spellStart"/>
            <w:r w:rsidRPr="002C567D">
              <w:rPr>
                <w:rFonts w:asciiTheme="minorHAnsi" w:hAnsiTheme="minorHAnsi" w:cstheme="minorHAnsi"/>
                <w:b/>
                <w:bCs/>
                <w:sz w:val="20"/>
                <w:szCs w:val="20"/>
                <w:lang w:val="sl-SI"/>
              </w:rPr>
              <w:t>Share</w:t>
            </w:r>
            <w:proofErr w:type="spellEnd"/>
          </w:p>
        </w:tc>
        <w:tc>
          <w:tcPr>
            <w:tcW w:w="4953" w:type="dxa"/>
            <w:shd w:val="clear" w:color="auto" w:fill="FFF2CC" w:themeFill="accent4" w:themeFillTint="33"/>
          </w:tcPr>
          <w:p w14:paraId="3753DE2D"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Projekti, predvideni v prijavni knjigi</w:t>
            </w:r>
          </w:p>
          <w:p w14:paraId="277F2AB5"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Progetti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previsti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w:t>
            </w:r>
            <w:proofErr w:type="spellEnd"/>
            <w:r w:rsidRPr="00C5097E">
              <w:rPr>
                <w:rFonts w:asciiTheme="minorHAnsi" w:hAnsiTheme="minorHAnsi" w:cstheme="minorHAnsi"/>
                <w:sz w:val="18"/>
                <w:szCs w:val="18"/>
                <w:lang w:val="sl-SI"/>
              </w:rPr>
              <w:t xml:space="preserve"> libro di </w:t>
            </w:r>
            <w:proofErr w:type="spellStart"/>
            <w:r w:rsidRPr="00C5097E">
              <w:rPr>
                <w:rFonts w:asciiTheme="minorHAnsi" w:hAnsiTheme="minorHAnsi" w:cstheme="minorHAnsi"/>
                <w:sz w:val="18"/>
                <w:szCs w:val="18"/>
                <w:lang w:val="sl-SI"/>
              </w:rPr>
              <w:t>candidatura</w:t>
            </w:r>
            <w:proofErr w:type="spellEnd"/>
          </w:p>
        </w:tc>
        <w:tc>
          <w:tcPr>
            <w:tcW w:w="1418" w:type="dxa"/>
            <w:shd w:val="clear" w:color="auto" w:fill="FFF2CC" w:themeFill="accent4" w:themeFillTint="33"/>
          </w:tcPr>
          <w:p w14:paraId="54962ABC"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70.000</w:t>
            </w:r>
          </w:p>
        </w:tc>
        <w:tc>
          <w:tcPr>
            <w:tcW w:w="5103" w:type="dxa"/>
            <w:shd w:val="clear" w:color="auto" w:fill="FFF2CC" w:themeFill="accent4" w:themeFillTint="33"/>
          </w:tcPr>
          <w:p w14:paraId="1FF244FE"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FFF2CC" w:themeFill="accent4" w:themeFillTint="33"/>
          </w:tcPr>
          <w:p w14:paraId="2C4D7DD2"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4434F6ED" w14:textId="77777777" w:rsidTr="00B318A1">
        <w:tc>
          <w:tcPr>
            <w:tcW w:w="1279" w:type="dxa"/>
          </w:tcPr>
          <w:p w14:paraId="4C97D3C4"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77A3F2C5" w14:textId="77777777" w:rsidR="00D773BF" w:rsidRPr="00C5097E" w:rsidRDefault="00D773BF" w:rsidP="000C3292">
            <w:pPr>
              <w:rPr>
                <w:rFonts w:asciiTheme="minorHAnsi" w:hAnsiTheme="minorHAnsi" w:cstheme="minorHAnsi"/>
                <w:sz w:val="18"/>
                <w:szCs w:val="18"/>
                <w:lang w:val="sl-SI"/>
              </w:rPr>
            </w:pPr>
          </w:p>
        </w:tc>
        <w:tc>
          <w:tcPr>
            <w:tcW w:w="1418" w:type="dxa"/>
          </w:tcPr>
          <w:p w14:paraId="67A57756"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51DFFD2D" w14:textId="77777777" w:rsidR="00D773BF" w:rsidRPr="00C5097E" w:rsidRDefault="00D773BF" w:rsidP="000C3292">
            <w:pPr>
              <w:rPr>
                <w:rFonts w:asciiTheme="minorHAnsi" w:hAnsiTheme="minorHAnsi" w:cstheme="minorHAnsi"/>
                <w:sz w:val="18"/>
                <w:szCs w:val="18"/>
                <w:lang w:val="sl-SI"/>
              </w:rPr>
            </w:pPr>
          </w:p>
        </w:tc>
        <w:tc>
          <w:tcPr>
            <w:tcW w:w="1276" w:type="dxa"/>
          </w:tcPr>
          <w:p w14:paraId="19008682"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0FD03F43" w14:textId="77777777" w:rsidTr="00B318A1">
        <w:tc>
          <w:tcPr>
            <w:tcW w:w="1279" w:type="dxa"/>
            <w:shd w:val="clear" w:color="auto" w:fill="D9E2F3" w:themeFill="accent1" w:themeFillTint="33"/>
          </w:tcPr>
          <w:p w14:paraId="3EF1C9CC" w14:textId="77777777" w:rsidR="00D773BF" w:rsidRPr="002C567D" w:rsidRDefault="00D773BF" w:rsidP="000C3292">
            <w:pPr>
              <w:rPr>
                <w:rFonts w:asciiTheme="minorHAnsi" w:hAnsiTheme="minorHAnsi" w:cstheme="minorHAnsi"/>
                <w:b/>
                <w:bCs/>
                <w:sz w:val="20"/>
                <w:szCs w:val="20"/>
                <w:lang w:val="sl-SI"/>
              </w:rPr>
            </w:pPr>
            <w:r w:rsidRPr="002C567D">
              <w:rPr>
                <w:rFonts w:asciiTheme="minorHAnsi" w:hAnsiTheme="minorHAnsi" w:cstheme="minorHAnsi"/>
                <w:b/>
                <w:bCs/>
                <w:sz w:val="20"/>
                <w:szCs w:val="20"/>
                <w:lang w:val="sl-SI"/>
              </w:rPr>
              <w:t xml:space="preserve">GO! </w:t>
            </w:r>
            <w:proofErr w:type="spellStart"/>
            <w:r w:rsidRPr="002C567D">
              <w:rPr>
                <w:rFonts w:asciiTheme="minorHAnsi" w:hAnsiTheme="minorHAnsi" w:cstheme="minorHAnsi"/>
                <w:b/>
                <w:bCs/>
                <w:sz w:val="20"/>
                <w:szCs w:val="20"/>
                <w:lang w:val="sl-SI"/>
              </w:rPr>
              <w:t>Europe</w:t>
            </w:r>
            <w:proofErr w:type="spellEnd"/>
          </w:p>
        </w:tc>
        <w:tc>
          <w:tcPr>
            <w:tcW w:w="4953" w:type="dxa"/>
            <w:shd w:val="clear" w:color="auto" w:fill="D9E2F3" w:themeFill="accent1" w:themeFillTint="33"/>
          </w:tcPr>
          <w:p w14:paraId="5CD77FEF"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Projekti, predvideni v prijavni knjigi</w:t>
            </w:r>
          </w:p>
          <w:p w14:paraId="5253D215"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Progetti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previsti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w:t>
            </w:r>
            <w:proofErr w:type="spellEnd"/>
            <w:r w:rsidRPr="00C5097E">
              <w:rPr>
                <w:rFonts w:asciiTheme="minorHAnsi" w:hAnsiTheme="minorHAnsi" w:cstheme="minorHAnsi"/>
                <w:sz w:val="18"/>
                <w:szCs w:val="18"/>
                <w:lang w:val="sl-SI"/>
              </w:rPr>
              <w:t xml:space="preserve"> libro di </w:t>
            </w:r>
            <w:proofErr w:type="spellStart"/>
            <w:r w:rsidRPr="00C5097E">
              <w:rPr>
                <w:rFonts w:asciiTheme="minorHAnsi" w:hAnsiTheme="minorHAnsi" w:cstheme="minorHAnsi"/>
                <w:sz w:val="18"/>
                <w:szCs w:val="18"/>
                <w:lang w:val="sl-SI"/>
              </w:rPr>
              <w:t>candidatura</w:t>
            </w:r>
            <w:proofErr w:type="spellEnd"/>
          </w:p>
        </w:tc>
        <w:tc>
          <w:tcPr>
            <w:tcW w:w="1418" w:type="dxa"/>
            <w:shd w:val="clear" w:color="auto" w:fill="D9E2F3" w:themeFill="accent1" w:themeFillTint="33"/>
          </w:tcPr>
          <w:p w14:paraId="74AF5CCC"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153.580</w:t>
            </w:r>
          </w:p>
        </w:tc>
        <w:tc>
          <w:tcPr>
            <w:tcW w:w="5103" w:type="dxa"/>
            <w:shd w:val="clear" w:color="auto" w:fill="D9E2F3" w:themeFill="accent1" w:themeFillTint="33"/>
          </w:tcPr>
          <w:p w14:paraId="0687F0E7"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D9E2F3" w:themeFill="accent1" w:themeFillTint="33"/>
          </w:tcPr>
          <w:p w14:paraId="28318BE3"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4746F0D1" w14:textId="77777777" w:rsidTr="00B318A1">
        <w:tc>
          <w:tcPr>
            <w:tcW w:w="1279" w:type="dxa"/>
          </w:tcPr>
          <w:p w14:paraId="43179EDE"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7C3686F5" w14:textId="77777777" w:rsidR="00D773BF" w:rsidRPr="00C5097E" w:rsidRDefault="00D773BF" w:rsidP="000C3292">
            <w:pPr>
              <w:rPr>
                <w:rFonts w:asciiTheme="minorHAnsi" w:hAnsiTheme="minorHAnsi" w:cstheme="minorHAnsi"/>
                <w:sz w:val="18"/>
                <w:szCs w:val="18"/>
                <w:lang w:val="sl-SI"/>
              </w:rPr>
            </w:pPr>
          </w:p>
        </w:tc>
        <w:tc>
          <w:tcPr>
            <w:tcW w:w="1418" w:type="dxa"/>
          </w:tcPr>
          <w:p w14:paraId="52E45CD0"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1DC9827D" w14:textId="77777777" w:rsidR="00D773BF" w:rsidRPr="00C5097E" w:rsidRDefault="00D773BF" w:rsidP="000C3292">
            <w:pPr>
              <w:rPr>
                <w:rFonts w:asciiTheme="minorHAnsi" w:hAnsiTheme="minorHAnsi" w:cstheme="minorHAnsi"/>
                <w:sz w:val="18"/>
                <w:szCs w:val="18"/>
                <w:lang w:val="sl-SI"/>
              </w:rPr>
            </w:pPr>
          </w:p>
        </w:tc>
        <w:tc>
          <w:tcPr>
            <w:tcW w:w="1276" w:type="dxa"/>
          </w:tcPr>
          <w:p w14:paraId="569FB09A"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26D798C6" w14:textId="77777777" w:rsidTr="00B318A1">
        <w:tc>
          <w:tcPr>
            <w:tcW w:w="1279" w:type="dxa"/>
            <w:shd w:val="clear" w:color="auto" w:fill="E2EFD9" w:themeFill="accent6" w:themeFillTint="33"/>
          </w:tcPr>
          <w:p w14:paraId="079158D9" w14:textId="77777777" w:rsidR="00D773BF" w:rsidRPr="002C567D" w:rsidRDefault="00D773BF" w:rsidP="000C3292">
            <w:pPr>
              <w:rPr>
                <w:rFonts w:asciiTheme="minorHAnsi" w:hAnsiTheme="minorHAnsi" w:cstheme="minorHAnsi"/>
                <w:b/>
                <w:bCs/>
                <w:sz w:val="20"/>
                <w:szCs w:val="20"/>
                <w:lang w:val="sl-SI"/>
              </w:rPr>
            </w:pPr>
            <w:r w:rsidRPr="002C567D">
              <w:rPr>
                <w:rFonts w:asciiTheme="minorHAnsi" w:hAnsiTheme="minorHAnsi" w:cstheme="minorHAnsi"/>
                <w:b/>
                <w:bCs/>
                <w:sz w:val="20"/>
                <w:szCs w:val="20"/>
                <w:lang w:val="sl-SI"/>
              </w:rPr>
              <w:t xml:space="preserve">GO! </w:t>
            </w:r>
            <w:proofErr w:type="spellStart"/>
            <w:r w:rsidRPr="002C567D">
              <w:rPr>
                <w:rFonts w:asciiTheme="minorHAnsi" w:hAnsiTheme="minorHAnsi" w:cstheme="minorHAnsi"/>
                <w:b/>
                <w:bCs/>
                <w:sz w:val="20"/>
                <w:szCs w:val="20"/>
                <w:lang w:val="sl-SI"/>
              </w:rPr>
              <w:t>Green</w:t>
            </w:r>
            <w:proofErr w:type="spellEnd"/>
          </w:p>
        </w:tc>
        <w:tc>
          <w:tcPr>
            <w:tcW w:w="4953" w:type="dxa"/>
            <w:shd w:val="clear" w:color="auto" w:fill="E2EFD9" w:themeFill="accent6" w:themeFillTint="33"/>
          </w:tcPr>
          <w:p w14:paraId="6E0A24EB"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Projekti, predvideni v prijavni knjigi</w:t>
            </w:r>
          </w:p>
          <w:p w14:paraId="16372C08"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Progetti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previsti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w:t>
            </w:r>
            <w:proofErr w:type="spellEnd"/>
            <w:r w:rsidRPr="00C5097E">
              <w:rPr>
                <w:rFonts w:asciiTheme="minorHAnsi" w:hAnsiTheme="minorHAnsi" w:cstheme="minorHAnsi"/>
                <w:sz w:val="18"/>
                <w:szCs w:val="18"/>
                <w:lang w:val="sl-SI"/>
              </w:rPr>
              <w:t xml:space="preserve"> libro di </w:t>
            </w:r>
            <w:proofErr w:type="spellStart"/>
            <w:r w:rsidRPr="00C5097E">
              <w:rPr>
                <w:rFonts w:asciiTheme="minorHAnsi" w:hAnsiTheme="minorHAnsi" w:cstheme="minorHAnsi"/>
                <w:sz w:val="18"/>
                <w:szCs w:val="18"/>
                <w:lang w:val="sl-SI"/>
              </w:rPr>
              <w:t>candidatura</w:t>
            </w:r>
            <w:proofErr w:type="spellEnd"/>
          </w:p>
        </w:tc>
        <w:tc>
          <w:tcPr>
            <w:tcW w:w="1418" w:type="dxa"/>
            <w:shd w:val="clear" w:color="auto" w:fill="E2EFD9" w:themeFill="accent6" w:themeFillTint="33"/>
          </w:tcPr>
          <w:p w14:paraId="5DA0EEAB"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107.000</w:t>
            </w:r>
          </w:p>
        </w:tc>
        <w:tc>
          <w:tcPr>
            <w:tcW w:w="5103" w:type="dxa"/>
            <w:shd w:val="clear" w:color="auto" w:fill="E2EFD9" w:themeFill="accent6" w:themeFillTint="33"/>
          </w:tcPr>
          <w:p w14:paraId="01F10611"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E2EFD9" w:themeFill="accent6" w:themeFillTint="33"/>
          </w:tcPr>
          <w:p w14:paraId="16827BE4"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0D3E48C7" w14:textId="77777777" w:rsidTr="00B318A1">
        <w:tc>
          <w:tcPr>
            <w:tcW w:w="1279" w:type="dxa"/>
          </w:tcPr>
          <w:p w14:paraId="380C9E3A"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571ED6AF" w14:textId="77777777" w:rsidR="00D773BF" w:rsidRPr="00C5097E" w:rsidRDefault="00D773BF" w:rsidP="000C3292">
            <w:pPr>
              <w:rPr>
                <w:rFonts w:asciiTheme="minorHAnsi" w:hAnsiTheme="minorHAnsi" w:cstheme="minorHAnsi"/>
                <w:sz w:val="18"/>
                <w:szCs w:val="18"/>
                <w:lang w:val="sl-SI"/>
              </w:rPr>
            </w:pPr>
          </w:p>
        </w:tc>
        <w:tc>
          <w:tcPr>
            <w:tcW w:w="1418" w:type="dxa"/>
          </w:tcPr>
          <w:p w14:paraId="551ED994"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1B8DF316" w14:textId="77777777" w:rsidR="00D773BF" w:rsidRPr="00C5097E" w:rsidRDefault="00D773BF" w:rsidP="000C3292">
            <w:pPr>
              <w:rPr>
                <w:rFonts w:asciiTheme="minorHAnsi" w:hAnsiTheme="minorHAnsi" w:cstheme="minorHAnsi"/>
                <w:sz w:val="18"/>
                <w:szCs w:val="18"/>
                <w:lang w:val="sl-SI"/>
              </w:rPr>
            </w:pPr>
          </w:p>
        </w:tc>
        <w:tc>
          <w:tcPr>
            <w:tcW w:w="1276" w:type="dxa"/>
          </w:tcPr>
          <w:p w14:paraId="2FB3512F"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0B711534" w14:textId="77777777" w:rsidTr="00B318A1">
        <w:tc>
          <w:tcPr>
            <w:tcW w:w="1279" w:type="dxa"/>
            <w:shd w:val="clear" w:color="auto" w:fill="D9E2F3" w:themeFill="accent1" w:themeFillTint="33"/>
          </w:tcPr>
          <w:p w14:paraId="297A9F76" w14:textId="77777777" w:rsidR="00D773BF" w:rsidRPr="002C567D" w:rsidRDefault="00D773BF" w:rsidP="000C3292">
            <w:pPr>
              <w:rPr>
                <w:rFonts w:asciiTheme="minorHAnsi" w:hAnsiTheme="minorHAnsi" w:cstheme="minorHAnsi"/>
                <w:b/>
                <w:bCs/>
                <w:sz w:val="20"/>
                <w:szCs w:val="20"/>
                <w:lang w:val="sl-SI"/>
              </w:rPr>
            </w:pPr>
            <w:r w:rsidRPr="00E86598">
              <w:rPr>
                <w:rFonts w:asciiTheme="minorHAnsi" w:hAnsiTheme="minorHAnsi" w:cstheme="minorHAnsi"/>
                <w:b/>
                <w:sz w:val="20"/>
                <w:szCs w:val="20"/>
                <w:lang w:val="sl-SI" w:bidi="sl-SI"/>
              </w:rPr>
              <w:t>Rezidence /</w:t>
            </w:r>
          </w:p>
          <w:p w14:paraId="604428F0" w14:textId="77777777" w:rsidR="00D773BF" w:rsidRPr="002C567D" w:rsidRDefault="00D773BF" w:rsidP="000C3292">
            <w:pPr>
              <w:rPr>
                <w:rFonts w:asciiTheme="minorHAnsi" w:hAnsiTheme="minorHAnsi" w:cstheme="minorHAnsi"/>
                <w:b/>
                <w:bCs/>
                <w:sz w:val="20"/>
                <w:szCs w:val="20"/>
                <w:lang w:val="sl-SI"/>
              </w:rPr>
            </w:pPr>
            <w:proofErr w:type="spellStart"/>
            <w:r w:rsidRPr="002C567D">
              <w:rPr>
                <w:rFonts w:asciiTheme="minorHAnsi" w:hAnsiTheme="minorHAnsi" w:cstheme="minorHAnsi"/>
                <w:b/>
                <w:bCs/>
                <w:sz w:val="20"/>
                <w:szCs w:val="20"/>
                <w:lang w:val="sl-SI"/>
              </w:rPr>
              <w:t>Residenze</w:t>
            </w:r>
            <w:proofErr w:type="spellEnd"/>
            <w:r w:rsidRPr="002C567D">
              <w:rPr>
                <w:rFonts w:asciiTheme="minorHAnsi" w:hAnsiTheme="minorHAnsi" w:cstheme="minorHAnsi"/>
                <w:b/>
                <w:bCs/>
                <w:sz w:val="20"/>
                <w:szCs w:val="20"/>
                <w:lang w:val="sl-SI"/>
              </w:rPr>
              <w:t xml:space="preserve"> </w:t>
            </w:r>
          </w:p>
        </w:tc>
        <w:tc>
          <w:tcPr>
            <w:tcW w:w="4953" w:type="dxa"/>
            <w:shd w:val="clear" w:color="auto" w:fill="D9E2F3" w:themeFill="accent1" w:themeFillTint="33"/>
          </w:tcPr>
          <w:p w14:paraId="31E36C6F"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Projekti, predvideni v prijavni knjigi</w:t>
            </w:r>
          </w:p>
          <w:p w14:paraId="7CC3B1B7"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Progetti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previsti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w:t>
            </w:r>
            <w:proofErr w:type="spellEnd"/>
            <w:r w:rsidRPr="00C5097E">
              <w:rPr>
                <w:rFonts w:asciiTheme="minorHAnsi" w:hAnsiTheme="minorHAnsi" w:cstheme="minorHAnsi"/>
                <w:sz w:val="18"/>
                <w:szCs w:val="18"/>
                <w:lang w:val="sl-SI"/>
              </w:rPr>
              <w:t xml:space="preserve"> libro di </w:t>
            </w:r>
            <w:proofErr w:type="spellStart"/>
            <w:r w:rsidRPr="00C5097E">
              <w:rPr>
                <w:rFonts w:asciiTheme="minorHAnsi" w:hAnsiTheme="minorHAnsi" w:cstheme="minorHAnsi"/>
                <w:sz w:val="18"/>
                <w:szCs w:val="18"/>
                <w:lang w:val="sl-SI"/>
              </w:rPr>
              <w:t>candidatura</w:t>
            </w:r>
            <w:proofErr w:type="spellEnd"/>
          </w:p>
        </w:tc>
        <w:tc>
          <w:tcPr>
            <w:tcW w:w="1418" w:type="dxa"/>
            <w:shd w:val="clear" w:color="auto" w:fill="D9E2F3" w:themeFill="accent1" w:themeFillTint="33"/>
          </w:tcPr>
          <w:p w14:paraId="7A85C00C"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109.000</w:t>
            </w:r>
          </w:p>
        </w:tc>
        <w:tc>
          <w:tcPr>
            <w:tcW w:w="5103" w:type="dxa"/>
            <w:shd w:val="clear" w:color="auto" w:fill="D9E2F3" w:themeFill="accent1" w:themeFillTint="33"/>
          </w:tcPr>
          <w:p w14:paraId="78259540"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D9E2F3" w:themeFill="accent1" w:themeFillTint="33"/>
          </w:tcPr>
          <w:p w14:paraId="54DBB30E"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4A8E389D" w14:textId="77777777" w:rsidTr="00B318A1">
        <w:tc>
          <w:tcPr>
            <w:tcW w:w="1279" w:type="dxa"/>
          </w:tcPr>
          <w:p w14:paraId="0C471BB3"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1EFE5129" w14:textId="77777777" w:rsidR="00D773BF" w:rsidRPr="00C5097E" w:rsidRDefault="00D773BF" w:rsidP="000C3292">
            <w:pPr>
              <w:rPr>
                <w:rFonts w:asciiTheme="minorHAnsi" w:hAnsiTheme="minorHAnsi" w:cstheme="minorHAnsi"/>
                <w:sz w:val="18"/>
                <w:szCs w:val="18"/>
                <w:lang w:val="sl-SI"/>
              </w:rPr>
            </w:pPr>
          </w:p>
        </w:tc>
        <w:tc>
          <w:tcPr>
            <w:tcW w:w="1418" w:type="dxa"/>
          </w:tcPr>
          <w:p w14:paraId="1D7C4F0A"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44F0EE80" w14:textId="77777777" w:rsidR="00D773BF" w:rsidRPr="00C5097E" w:rsidRDefault="00D773BF" w:rsidP="000C3292">
            <w:pPr>
              <w:rPr>
                <w:rFonts w:asciiTheme="minorHAnsi" w:hAnsiTheme="minorHAnsi" w:cstheme="minorHAnsi"/>
                <w:sz w:val="18"/>
                <w:szCs w:val="18"/>
                <w:lang w:val="sl-SI"/>
              </w:rPr>
            </w:pPr>
          </w:p>
        </w:tc>
        <w:tc>
          <w:tcPr>
            <w:tcW w:w="1276" w:type="dxa"/>
          </w:tcPr>
          <w:p w14:paraId="69FA835B"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44BCC598" w14:textId="77777777" w:rsidTr="00B318A1">
        <w:tc>
          <w:tcPr>
            <w:tcW w:w="1279" w:type="dxa"/>
            <w:shd w:val="clear" w:color="auto" w:fill="FFCCCC"/>
          </w:tcPr>
          <w:p w14:paraId="4D1EB0DB" w14:textId="77777777" w:rsidR="00D773BF" w:rsidRPr="002C567D" w:rsidRDefault="00D773BF" w:rsidP="000C3292">
            <w:pPr>
              <w:rPr>
                <w:rFonts w:asciiTheme="minorHAnsi" w:hAnsiTheme="minorHAnsi" w:cstheme="minorHAnsi"/>
                <w:b/>
                <w:bCs/>
                <w:sz w:val="20"/>
                <w:szCs w:val="20"/>
                <w:lang w:val="sl-SI"/>
              </w:rPr>
            </w:pPr>
          </w:p>
        </w:tc>
        <w:tc>
          <w:tcPr>
            <w:tcW w:w="4953" w:type="dxa"/>
            <w:shd w:val="clear" w:color="auto" w:fill="FFCCCC"/>
          </w:tcPr>
          <w:p w14:paraId="2D73A8E3" w14:textId="77777777" w:rsidR="00D773BF" w:rsidRPr="00C5097E" w:rsidRDefault="00D773BF" w:rsidP="000C3292">
            <w:pPr>
              <w:rPr>
                <w:rFonts w:asciiTheme="minorHAnsi" w:hAnsiTheme="minorHAnsi" w:cstheme="minorHAnsi"/>
                <w:sz w:val="18"/>
                <w:szCs w:val="18"/>
                <w:lang w:val="sl-SI"/>
              </w:rPr>
            </w:pPr>
          </w:p>
        </w:tc>
        <w:tc>
          <w:tcPr>
            <w:tcW w:w="1418" w:type="dxa"/>
            <w:shd w:val="clear" w:color="auto" w:fill="FFCCCC"/>
          </w:tcPr>
          <w:p w14:paraId="4922D273" w14:textId="77777777" w:rsidR="00D773BF" w:rsidRPr="00C5097E" w:rsidRDefault="00D773BF" w:rsidP="000C3292">
            <w:pPr>
              <w:jc w:val="center"/>
              <w:rPr>
                <w:rFonts w:asciiTheme="minorHAnsi" w:hAnsiTheme="minorHAnsi" w:cstheme="minorHAnsi"/>
                <w:sz w:val="18"/>
                <w:szCs w:val="18"/>
                <w:lang w:val="sl-SI"/>
              </w:rPr>
            </w:pPr>
          </w:p>
        </w:tc>
        <w:tc>
          <w:tcPr>
            <w:tcW w:w="5103" w:type="dxa"/>
            <w:shd w:val="clear" w:color="auto" w:fill="FFCCCC"/>
          </w:tcPr>
          <w:p w14:paraId="3430AF5D" w14:textId="77777777" w:rsidR="00E40BD5" w:rsidRPr="00B318A1" w:rsidRDefault="00E40BD5" w:rsidP="00E40BD5">
            <w:pPr>
              <w:rPr>
                <w:rFonts w:asciiTheme="minorHAnsi" w:hAnsiTheme="minorHAnsi" w:cstheme="minorHAnsi"/>
                <w:sz w:val="18"/>
                <w:szCs w:val="18"/>
                <w:lang w:val="sl-SI"/>
              </w:rPr>
            </w:pPr>
            <w:r w:rsidRPr="00B318A1">
              <w:rPr>
                <w:rFonts w:asciiTheme="minorHAnsi" w:hAnsiTheme="minorHAnsi" w:cstheme="minorHAnsi"/>
                <w:sz w:val="18"/>
                <w:szCs w:val="18"/>
                <w:lang w:val="sl-SI"/>
              </w:rPr>
              <w:t>Projekti, predvideni v prijavni knjigi (čezmejna spletna platforma – Brezmejno brezžično)</w:t>
            </w:r>
          </w:p>
          <w:p w14:paraId="39915917" w14:textId="7863851A" w:rsidR="00D773BF" w:rsidRPr="00C5097E" w:rsidRDefault="00E40BD5" w:rsidP="000C3292">
            <w:pPr>
              <w:rPr>
                <w:rFonts w:asciiTheme="minorHAnsi" w:hAnsiTheme="minorHAnsi" w:cstheme="minorHAnsi"/>
                <w:sz w:val="18"/>
                <w:szCs w:val="18"/>
                <w:lang w:val="sl-SI"/>
              </w:rPr>
            </w:pPr>
            <w:proofErr w:type="spellStart"/>
            <w:r w:rsidRPr="00B318A1">
              <w:rPr>
                <w:rFonts w:asciiTheme="minorHAnsi" w:hAnsiTheme="minorHAnsi" w:cstheme="minorHAnsi"/>
                <w:sz w:val="18"/>
                <w:szCs w:val="18"/>
                <w:lang w:val="sl-SI"/>
              </w:rPr>
              <w:t>Progetti</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previsti</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nel</w:t>
            </w:r>
            <w:proofErr w:type="spellEnd"/>
            <w:r w:rsidRPr="00B318A1">
              <w:rPr>
                <w:rFonts w:asciiTheme="minorHAnsi" w:hAnsiTheme="minorHAnsi" w:cstheme="minorHAnsi"/>
                <w:sz w:val="18"/>
                <w:szCs w:val="18"/>
                <w:lang w:val="sl-SI"/>
              </w:rPr>
              <w:t xml:space="preserve"> libro di </w:t>
            </w:r>
            <w:proofErr w:type="spellStart"/>
            <w:r w:rsidRPr="00B318A1">
              <w:rPr>
                <w:rFonts w:asciiTheme="minorHAnsi" w:hAnsiTheme="minorHAnsi" w:cstheme="minorHAnsi"/>
                <w:sz w:val="18"/>
                <w:szCs w:val="18"/>
                <w:lang w:val="sl-SI"/>
              </w:rPr>
              <w:t>candidatura</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piattaforma</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web</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transfrontaliera</w:t>
            </w:r>
            <w:proofErr w:type="spellEnd"/>
            <w:r w:rsidRPr="00B318A1">
              <w:rPr>
                <w:rFonts w:asciiTheme="minorHAnsi" w:hAnsiTheme="minorHAnsi" w:cstheme="minorHAnsi"/>
                <w:sz w:val="18"/>
                <w:szCs w:val="18"/>
                <w:lang w:val="sl-SI"/>
              </w:rPr>
              <w:t xml:space="preserve"> – </w:t>
            </w:r>
            <w:proofErr w:type="spellStart"/>
            <w:r w:rsidRPr="00B318A1">
              <w:rPr>
                <w:rFonts w:asciiTheme="minorHAnsi" w:hAnsiTheme="minorHAnsi" w:cstheme="minorHAnsi"/>
                <w:sz w:val="18"/>
                <w:szCs w:val="18"/>
                <w:lang w:val="sl-SI"/>
              </w:rPr>
              <w:t>Borderless</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wireless</w:t>
            </w:r>
            <w:proofErr w:type="spellEnd"/>
            <w:r w:rsidRPr="00B318A1">
              <w:rPr>
                <w:rFonts w:asciiTheme="minorHAnsi" w:hAnsiTheme="minorHAnsi" w:cstheme="minorHAnsi"/>
                <w:sz w:val="18"/>
                <w:szCs w:val="18"/>
                <w:lang w:val="sl-SI"/>
              </w:rPr>
              <w:t>)</w:t>
            </w:r>
          </w:p>
        </w:tc>
        <w:tc>
          <w:tcPr>
            <w:tcW w:w="1276" w:type="dxa"/>
            <w:shd w:val="clear" w:color="auto" w:fill="FFCCCC"/>
          </w:tcPr>
          <w:p w14:paraId="1813A565" w14:textId="1CF630F5" w:rsidR="00D773BF" w:rsidRPr="00C5097E" w:rsidRDefault="00AC35DD"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100.000</w:t>
            </w:r>
          </w:p>
        </w:tc>
      </w:tr>
      <w:tr w:rsidR="00D773BF" w:rsidRPr="00E86598" w14:paraId="68B8A833" w14:textId="77777777" w:rsidTr="00B318A1">
        <w:tc>
          <w:tcPr>
            <w:tcW w:w="1279" w:type="dxa"/>
          </w:tcPr>
          <w:p w14:paraId="18F53103"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1165FCEF" w14:textId="77777777" w:rsidR="00D773BF" w:rsidRPr="00C5097E" w:rsidRDefault="00D773BF" w:rsidP="000C3292">
            <w:pPr>
              <w:rPr>
                <w:rFonts w:asciiTheme="minorHAnsi" w:hAnsiTheme="minorHAnsi" w:cstheme="minorHAnsi"/>
                <w:sz w:val="18"/>
                <w:szCs w:val="18"/>
                <w:lang w:val="sl-SI"/>
              </w:rPr>
            </w:pPr>
          </w:p>
        </w:tc>
        <w:tc>
          <w:tcPr>
            <w:tcW w:w="1418" w:type="dxa"/>
          </w:tcPr>
          <w:p w14:paraId="10A5232F"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2A438B0E" w14:textId="77777777" w:rsidR="00D773BF" w:rsidRPr="00C5097E" w:rsidRDefault="00D773BF" w:rsidP="000C3292">
            <w:pPr>
              <w:rPr>
                <w:rFonts w:asciiTheme="minorHAnsi" w:hAnsiTheme="minorHAnsi" w:cstheme="minorHAnsi"/>
                <w:sz w:val="18"/>
                <w:szCs w:val="18"/>
                <w:lang w:val="sl-SI"/>
              </w:rPr>
            </w:pPr>
          </w:p>
        </w:tc>
        <w:tc>
          <w:tcPr>
            <w:tcW w:w="1276" w:type="dxa"/>
          </w:tcPr>
          <w:p w14:paraId="7C3A6EC6"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442C216E" w14:textId="77777777" w:rsidTr="00B318A1">
        <w:tc>
          <w:tcPr>
            <w:tcW w:w="1279" w:type="dxa"/>
            <w:shd w:val="clear" w:color="auto" w:fill="FFCCFF"/>
          </w:tcPr>
          <w:p w14:paraId="0F19998D" w14:textId="77777777" w:rsidR="00D773BF" w:rsidRPr="002C567D" w:rsidRDefault="00D773BF" w:rsidP="000C3292">
            <w:pPr>
              <w:rPr>
                <w:rFonts w:asciiTheme="minorHAnsi" w:hAnsiTheme="minorHAnsi" w:cstheme="minorHAnsi"/>
                <w:b/>
                <w:bCs/>
                <w:sz w:val="20"/>
                <w:szCs w:val="20"/>
                <w:lang w:val="sl-SI"/>
              </w:rPr>
            </w:pPr>
            <w:r w:rsidRPr="00E86598">
              <w:rPr>
                <w:rFonts w:asciiTheme="minorHAnsi" w:hAnsiTheme="minorHAnsi" w:cstheme="minorHAnsi"/>
                <w:b/>
                <w:sz w:val="20"/>
                <w:szCs w:val="20"/>
                <w:lang w:val="sl-SI" w:bidi="sl-SI"/>
              </w:rPr>
              <w:t xml:space="preserve">Krepitev zmogljivosti / </w:t>
            </w:r>
          </w:p>
          <w:p w14:paraId="642474B6" w14:textId="77777777" w:rsidR="00D773BF" w:rsidRPr="002C567D" w:rsidRDefault="00D773BF" w:rsidP="000C3292">
            <w:pPr>
              <w:rPr>
                <w:rFonts w:asciiTheme="minorHAnsi" w:hAnsiTheme="minorHAnsi" w:cstheme="minorHAnsi"/>
                <w:b/>
                <w:bCs/>
                <w:sz w:val="20"/>
                <w:szCs w:val="20"/>
                <w:lang w:val="sl-SI"/>
              </w:rPr>
            </w:pPr>
            <w:proofErr w:type="spellStart"/>
            <w:r w:rsidRPr="002C567D">
              <w:rPr>
                <w:rFonts w:asciiTheme="minorHAnsi" w:hAnsiTheme="minorHAnsi" w:cstheme="minorHAnsi"/>
                <w:b/>
                <w:bCs/>
                <w:sz w:val="20"/>
                <w:szCs w:val="20"/>
                <w:lang w:val="sl-SI"/>
              </w:rPr>
              <w:lastRenderedPageBreak/>
              <w:t>Capacity</w:t>
            </w:r>
            <w:proofErr w:type="spellEnd"/>
            <w:r w:rsidRPr="002C567D">
              <w:rPr>
                <w:rFonts w:asciiTheme="minorHAnsi" w:hAnsiTheme="minorHAnsi" w:cstheme="minorHAnsi"/>
                <w:b/>
                <w:bCs/>
                <w:sz w:val="20"/>
                <w:szCs w:val="20"/>
                <w:lang w:val="sl-SI"/>
              </w:rPr>
              <w:t xml:space="preserve"> </w:t>
            </w:r>
            <w:proofErr w:type="spellStart"/>
            <w:r w:rsidRPr="002C567D">
              <w:rPr>
                <w:rFonts w:asciiTheme="minorHAnsi" w:hAnsiTheme="minorHAnsi" w:cstheme="minorHAnsi"/>
                <w:b/>
                <w:bCs/>
                <w:sz w:val="20"/>
                <w:szCs w:val="20"/>
                <w:lang w:val="sl-SI"/>
              </w:rPr>
              <w:t>building</w:t>
            </w:r>
            <w:proofErr w:type="spellEnd"/>
          </w:p>
        </w:tc>
        <w:tc>
          <w:tcPr>
            <w:tcW w:w="4953" w:type="dxa"/>
            <w:shd w:val="clear" w:color="auto" w:fill="FFCCFF"/>
          </w:tcPr>
          <w:p w14:paraId="659E56B0"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lastRenderedPageBreak/>
              <w:t>Projekti krepitve zmogljivosti, predvideni v prijavni knjigi in podporni projekti /</w:t>
            </w:r>
          </w:p>
          <w:p w14:paraId="06707F59"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lastRenderedPageBreak/>
              <w:t>Progetti</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capacity</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building</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previsti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w:t>
            </w:r>
            <w:proofErr w:type="spellEnd"/>
            <w:r w:rsidRPr="00C5097E">
              <w:rPr>
                <w:rFonts w:asciiTheme="minorHAnsi" w:hAnsiTheme="minorHAnsi" w:cstheme="minorHAnsi"/>
                <w:sz w:val="18"/>
                <w:szCs w:val="18"/>
                <w:lang w:val="sl-SI"/>
              </w:rPr>
              <w:t xml:space="preserve"> libro di </w:t>
            </w:r>
            <w:proofErr w:type="spellStart"/>
            <w:r w:rsidRPr="00C5097E">
              <w:rPr>
                <w:rFonts w:asciiTheme="minorHAnsi" w:hAnsiTheme="minorHAnsi" w:cstheme="minorHAnsi"/>
                <w:sz w:val="18"/>
                <w:szCs w:val="18"/>
                <w:lang w:val="sl-SI"/>
              </w:rPr>
              <w:t>candidatura</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progetti</w:t>
            </w:r>
            <w:proofErr w:type="spellEnd"/>
            <w:r w:rsidRPr="00C5097E">
              <w:rPr>
                <w:rFonts w:asciiTheme="minorHAnsi" w:hAnsiTheme="minorHAnsi" w:cstheme="minorHAnsi"/>
                <w:sz w:val="18"/>
                <w:szCs w:val="18"/>
                <w:lang w:val="sl-SI"/>
              </w:rPr>
              <w:t xml:space="preserve"> a </w:t>
            </w:r>
            <w:proofErr w:type="spellStart"/>
            <w:r w:rsidRPr="00C5097E">
              <w:rPr>
                <w:rFonts w:asciiTheme="minorHAnsi" w:hAnsiTheme="minorHAnsi" w:cstheme="minorHAnsi"/>
                <w:sz w:val="18"/>
                <w:szCs w:val="18"/>
                <w:lang w:val="sl-SI"/>
              </w:rPr>
              <w:t>supporto</w:t>
            </w:r>
            <w:proofErr w:type="spellEnd"/>
            <w:r w:rsidRPr="00C5097E">
              <w:rPr>
                <w:rFonts w:asciiTheme="minorHAnsi" w:hAnsiTheme="minorHAnsi" w:cstheme="minorHAnsi"/>
                <w:sz w:val="18"/>
                <w:szCs w:val="18"/>
                <w:lang w:val="sl-SI"/>
              </w:rPr>
              <w:t xml:space="preserve"> </w:t>
            </w:r>
          </w:p>
        </w:tc>
        <w:tc>
          <w:tcPr>
            <w:tcW w:w="1418" w:type="dxa"/>
            <w:shd w:val="clear" w:color="auto" w:fill="FFCCFF"/>
          </w:tcPr>
          <w:p w14:paraId="24D231E8"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lastRenderedPageBreak/>
              <w:t>151.000</w:t>
            </w:r>
          </w:p>
        </w:tc>
        <w:tc>
          <w:tcPr>
            <w:tcW w:w="5103" w:type="dxa"/>
            <w:shd w:val="clear" w:color="auto" w:fill="FFCCFF"/>
          </w:tcPr>
          <w:p w14:paraId="2ED14A14"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FFCCFF"/>
          </w:tcPr>
          <w:p w14:paraId="2E13AEF8"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1F7ECE3A" w14:textId="77777777" w:rsidTr="00B318A1">
        <w:tc>
          <w:tcPr>
            <w:tcW w:w="1279" w:type="dxa"/>
          </w:tcPr>
          <w:p w14:paraId="6C0B61C9"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0BB33A48" w14:textId="77777777" w:rsidR="00D773BF" w:rsidRPr="00C5097E" w:rsidRDefault="00D773BF" w:rsidP="000C3292">
            <w:pPr>
              <w:rPr>
                <w:rFonts w:asciiTheme="minorHAnsi" w:hAnsiTheme="minorHAnsi" w:cstheme="minorHAnsi"/>
                <w:sz w:val="18"/>
                <w:szCs w:val="18"/>
                <w:lang w:val="sl-SI"/>
              </w:rPr>
            </w:pPr>
          </w:p>
        </w:tc>
        <w:tc>
          <w:tcPr>
            <w:tcW w:w="1418" w:type="dxa"/>
          </w:tcPr>
          <w:p w14:paraId="75CFA31C"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39B169E6" w14:textId="77777777" w:rsidR="00D773BF" w:rsidRPr="00C5097E" w:rsidRDefault="00D773BF" w:rsidP="000C3292">
            <w:pPr>
              <w:rPr>
                <w:rFonts w:asciiTheme="minorHAnsi" w:hAnsiTheme="minorHAnsi" w:cstheme="minorHAnsi"/>
                <w:sz w:val="18"/>
                <w:szCs w:val="18"/>
                <w:lang w:val="sl-SI"/>
              </w:rPr>
            </w:pPr>
          </w:p>
        </w:tc>
        <w:tc>
          <w:tcPr>
            <w:tcW w:w="1276" w:type="dxa"/>
          </w:tcPr>
          <w:p w14:paraId="663878CA"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76FE911B" w14:textId="77777777" w:rsidTr="00B318A1">
        <w:tc>
          <w:tcPr>
            <w:tcW w:w="1279" w:type="dxa"/>
            <w:shd w:val="clear" w:color="auto" w:fill="FFFFCC"/>
          </w:tcPr>
          <w:p w14:paraId="5EBA4FAD" w14:textId="77777777" w:rsidR="00D773BF" w:rsidRPr="002C567D" w:rsidRDefault="00D773BF" w:rsidP="000C3292">
            <w:pPr>
              <w:rPr>
                <w:rFonts w:asciiTheme="minorHAnsi" w:hAnsiTheme="minorHAnsi" w:cstheme="minorHAnsi"/>
                <w:b/>
                <w:bCs/>
                <w:sz w:val="20"/>
                <w:szCs w:val="20"/>
                <w:lang w:val="sl-SI"/>
              </w:rPr>
            </w:pPr>
            <w:r w:rsidRPr="00E86598">
              <w:rPr>
                <w:rFonts w:asciiTheme="minorHAnsi" w:hAnsiTheme="minorHAnsi" w:cstheme="minorHAnsi"/>
                <w:b/>
                <w:sz w:val="20"/>
                <w:szCs w:val="20"/>
                <w:lang w:val="sl-SI" w:bidi="sl-SI"/>
              </w:rPr>
              <w:t>Razvojni projekti /</w:t>
            </w:r>
          </w:p>
          <w:p w14:paraId="2C8F7A10" w14:textId="77777777" w:rsidR="00D773BF" w:rsidRPr="002C567D" w:rsidRDefault="00D773BF" w:rsidP="000C3292">
            <w:pPr>
              <w:rPr>
                <w:rFonts w:asciiTheme="minorHAnsi" w:hAnsiTheme="minorHAnsi" w:cstheme="minorHAnsi"/>
                <w:b/>
                <w:bCs/>
                <w:sz w:val="20"/>
                <w:szCs w:val="20"/>
                <w:lang w:val="sl-SI"/>
              </w:rPr>
            </w:pPr>
            <w:proofErr w:type="spellStart"/>
            <w:r w:rsidRPr="002C567D">
              <w:rPr>
                <w:rFonts w:asciiTheme="minorHAnsi" w:hAnsiTheme="minorHAnsi" w:cstheme="minorHAnsi"/>
                <w:b/>
                <w:bCs/>
                <w:sz w:val="20"/>
                <w:szCs w:val="20"/>
                <w:lang w:val="sl-SI"/>
              </w:rPr>
              <w:t>Progetti</w:t>
            </w:r>
            <w:proofErr w:type="spellEnd"/>
            <w:r w:rsidRPr="002C567D">
              <w:rPr>
                <w:rFonts w:asciiTheme="minorHAnsi" w:hAnsiTheme="minorHAnsi" w:cstheme="minorHAnsi"/>
                <w:b/>
                <w:bCs/>
                <w:sz w:val="20"/>
                <w:szCs w:val="20"/>
                <w:lang w:val="sl-SI"/>
              </w:rPr>
              <w:t xml:space="preserve"> di </w:t>
            </w:r>
            <w:proofErr w:type="spellStart"/>
            <w:r w:rsidRPr="002C567D">
              <w:rPr>
                <w:rFonts w:asciiTheme="minorHAnsi" w:hAnsiTheme="minorHAnsi" w:cstheme="minorHAnsi"/>
                <w:b/>
                <w:bCs/>
                <w:sz w:val="20"/>
                <w:szCs w:val="20"/>
                <w:lang w:val="sl-SI"/>
              </w:rPr>
              <w:t>sviluppo</w:t>
            </w:r>
            <w:proofErr w:type="spellEnd"/>
          </w:p>
        </w:tc>
        <w:tc>
          <w:tcPr>
            <w:tcW w:w="4953" w:type="dxa"/>
            <w:shd w:val="clear" w:color="auto" w:fill="FFFFCC"/>
          </w:tcPr>
          <w:p w14:paraId="174A85F7"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Razvoj občinstva, strategija krepitve zmogljivosti</w:t>
            </w:r>
          </w:p>
          <w:p w14:paraId="21021984" w14:textId="77777777" w:rsidR="00D773BF" w:rsidRPr="00C5097E" w:rsidRDefault="00D773BF" w:rsidP="000C3292">
            <w:pPr>
              <w:rPr>
                <w:rFonts w:asciiTheme="minorHAnsi" w:hAnsiTheme="minorHAnsi" w:cstheme="minorHAnsi"/>
                <w:sz w:val="18"/>
                <w:szCs w:val="18"/>
                <w:lang w:val="sl-SI" w:bidi="sl-SI"/>
              </w:rPr>
            </w:pPr>
            <w:proofErr w:type="spellStart"/>
            <w:r w:rsidRPr="00C5097E">
              <w:rPr>
                <w:rFonts w:asciiTheme="minorHAnsi" w:hAnsiTheme="minorHAnsi" w:cstheme="minorHAnsi"/>
                <w:sz w:val="18"/>
                <w:szCs w:val="18"/>
                <w:lang w:val="sl-SI"/>
              </w:rPr>
              <w:t>Audience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development</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Capacity</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building</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strategy</w:t>
            </w:r>
            <w:proofErr w:type="spellEnd"/>
            <w:r w:rsidRPr="00C5097E">
              <w:rPr>
                <w:rFonts w:asciiTheme="minorHAnsi" w:hAnsiTheme="minorHAnsi" w:cstheme="minorHAnsi"/>
                <w:sz w:val="18"/>
                <w:szCs w:val="18"/>
                <w:lang w:val="sl-SI" w:bidi="sl-SI"/>
              </w:rPr>
              <w:t xml:space="preserve"> </w:t>
            </w:r>
          </w:p>
          <w:p w14:paraId="6899AD0D" w14:textId="77777777" w:rsidR="00D773BF" w:rsidRPr="00C5097E" w:rsidRDefault="00D773BF" w:rsidP="000C3292">
            <w:pPr>
              <w:rPr>
                <w:rFonts w:asciiTheme="minorHAnsi" w:hAnsiTheme="minorHAnsi" w:cstheme="minorHAnsi"/>
                <w:sz w:val="18"/>
                <w:szCs w:val="18"/>
                <w:lang w:val="sl-SI" w:bidi="sl-SI"/>
              </w:rPr>
            </w:pPr>
          </w:p>
          <w:p w14:paraId="6A90AC3A"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 xml:space="preserve">Čezmejna analiza razvoja občinstva. </w:t>
            </w:r>
          </w:p>
          <w:p w14:paraId="4B2C2B79"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Analisi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transfrontaliera</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audience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development</w:t>
            </w:r>
            <w:proofErr w:type="spellEnd"/>
            <w:r w:rsidRPr="00C5097E">
              <w:rPr>
                <w:rFonts w:asciiTheme="minorHAnsi" w:hAnsiTheme="minorHAnsi" w:cstheme="minorHAnsi"/>
                <w:sz w:val="18"/>
                <w:szCs w:val="18"/>
                <w:lang w:val="sl-SI"/>
              </w:rPr>
              <w:t xml:space="preserve">. </w:t>
            </w:r>
          </w:p>
        </w:tc>
        <w:tc>
          <w:tcPr>
            <w:tcW w:w="1418" w:type="dxa"/>
            <w:shd w:val="clear" w:color="auto" w:fill="FFFFCC"/>
          </w:tcPr>
          <w:p w14:paraId="788CAB34"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45.000</w:t>
            </w:r>
          </w:p>
        </w:tc>
        <w:tc>
          <w:tcPr>
            <w:tcW w:w="5103" w:type="dxa"/>
            <w:shd w:val="clear" w:color="auto" w:fill="FFFFCC"/>
          </w:tcPr>
          <w:p w14:paraId="4790D975" w14:textId="77777777" w:rsidR="00D773BF" w:rsidRPr="00C5097E" w:rsidRDefault="00D773BF" w:rsidP="000C3292">
            <w:pPr>
              <w:rPr>
                <w:rFonts w:asciiTheme="minorHAnsi" w:hAnsiTheme="minorHAnsi" w:cstheme="minorHAnsi"/>
                <w:sz w:val="18"/>
                <w:szCs w:val="18"/>
                <w:lang w:val="sl-SI" w:bidi="sl-SI"/>
              </w:rPr>
            </w:pPr>
            <w:r w:rsidRPr="00C5097E">
              <w:rPr>
                <w:rFonts w:asciiTheme="minorHAnsi" w:hAnsiTheme="minorHAnsi" w:cstheme="minorHAnsi"/>
                <w:sz w:val="18"/>
                <w:szCs w:val="18"/>
                <w:lang w:val="sl-SI" w:bidi="sl-SI"/>
              </w:rPr>
              <w:t>Logotip ECOC2025, registracija, uporaba in razvoj CGP</w:t>
            </w:r>
          </w:p>
          <w:p w14:paraId="024B1DDD" w14:textId="77777777" w:rsidR="00D773BF" w:rsidRPr="00C5097E" w:rsidRDefault="00D773BF" w:rsidP="000C3292">
            <w:pPr>
              <w:rPr>
                <w:rFonts w:asciiTheme="minorHAnsi" w:hAnsiTheme="minorHAnsi" w:cstheme="minorHAnsi"/>
                <w:sz w:val="18"/>
                <w:szCs w:val="18"/>
                <w:lang w:val="sl-SI" w:bidi="sl-SI"/>
              </w:rPr>
            </w:pPr>
          </w:p>
          <w:p w14:paraId="16C56AF3"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Logo</w:t>
            </w:r>
            <w:proofErr w:type="spellEnd"/>
            <w:r w:rsidRPr="00C5097E">
              <w:rPr>
                <w:rFonts w:asciiTheme="minorHAnsi" w:hAnsiTheme="minorHAnsi" w:cstheme="minorHAnsi"/>
                <w:sz w:val="18"/>
                <w:szCs w:val="18"/>
                <w:lang w:val="sl-SI"/>
              </w:rPr>
              <w:t xml:space="preserve"> ECOC2025, </w:t>
            </w:r>
            <w:proofErr w:type="spellStart"/>
            <w:r w:rsidRPr="00C5097E">
              <w:rPr>
                <w:rFonts w:asciiTheme="minorHAnsi" w:hAnsiTheme="minorHAnsi" w:cstheme="minorHAnsi"/>
                <w:sz w:val="18"/>
                <w:szCs w:val="18"/>
                <w:lang w:val="sl-SI"/>
              </w:rPr>
              <w:t>registrazione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utilizzo</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sviluppo</w:t>
            </w:r>
            <w:proofErr w:type="spellEnd"/>
            <w:r w:rsidRPr="00C5097E">
              <w:rPr>
                <w:rFonts w:asciiTheme="minorHAnsi" w:hAnsiTheme="minorHAnsi" w:cstheme="minorHAnsi"/>
                <w:sz w:val="18"/>
                <w:szCs w:val="18"/>
                <w:lang w:val="sl-SI"/>
              </w:rPr>
              <w:t xml:space="preserve"> IGC</w:t>
            </w:r>
          </w:p>
          <w:p w14:paraId="2EA4A095" w14:textId="50876F2A" w:rsidR="00D773BF" w:rsidRPr="00C5097E" w:rsidRDefault="00D773BF" w:rsidP="000C3292">
            <w:pPr>
              <w:rPr>
                <w:rFonts w:asciiTheme="minorHAnsi" w:hAnsiTheme="minorHAnsi" w:cstheme="minorHAnsi"/>
                <w:sz w:val="18"/>
                <w:szCs w:val="18"/>
                <w:lang w:val="sl-SI"/>
              </w:rPr>
            </w:pPr>
          </w:p>
        </w:tc>
        <w:tc>
          <w:tcPr>
            <w:tcW w:w="1276" w:type="dxa"/>
            <w:shd w:val="clear" w:color="auto" w:fill="FFFFCC"/>
          </w:tcPr>
          <w:p w14:paraId="7CB1365D" w14:textId="506D4D05" w:rsidR="00D773BF" w:rsidRPr="00C5097E" w:rsidRDefault="00E40BD5" w:rsidP="000C3292">
            <w:pPr>
              <w:jc w:val="center"/>
              <w:rPr>
                <w:rFonts w:asciiTheme="minorHAnsi" w:hAnsiTheme="minorHAnsi" w:cstheme="minorHAnsi"/>
                <w:sz w:val="18"/>
                <w:szCs w:val="18"/>
                <w:lang w:val="sl-SI"/>
              </w:rPr>
            </w:pPr>
            <w:r>
              <w:rPr>
                <w:rFonts w:asciiTheme="minorHAnsi" w:hAnsiTheme="minorHAnsi" w:cstheme="minorHAnsi"/>
                <w:sz w:val="18"/>
                <w:szCs w:val="18"/>
                <w:lang w:val="sl-SI"/>
              </w:rPr>
              <w:t>21</w:t>
            </w:r>
            <w:r w:rsidR="00D773BF" w:rsidRPr="00C5097E">
              <w:rPr>
                <w:rFonts w:asciiTheme="minorHAnsi" w:hAnsiTheme="minorHAnsi" w:cstheme="minorHAnsi"/>
                <w:sz w:val="18"/>
                <w:szCs w:val="18"/>
                <w:lang w:val="sl-SI"/>
              </w:rPr>
              <w:t>.000</w:t>
            </w:r>
          </w:p>
          <w:p w14:paraId="357F7D81"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2495B9F9" w14:textId="77777777" w:rsidTr="00B318A1">
        <w:tc>
          <w:tcPr>
            <w:tcW w:w="1279" w:type="dxa"/>
          </w:tcPr>
          <w:p w14:paraId="1F11B172"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04D126FA" w14:textId="77777777" w:rsidR="00D773BF" w:rsidRPr="00C5097E" w:rsidRDefault="00D773BF" w:rsidP="000C3292">
            <w:pPr>
              <w:rPr>
                <w:rFonts w:asciiTheme="minorHAnsi" w:hAnsiTheme="minorHAnsi" w:cstheme="minorHAnsi"/>
                <w:sz w:val="18"/>
                <w:szCs w:val="18"/>
                <w:lang w:val="sl-SI"/>
              </w:rPr>
            </w:pPr>
          </w:p>
        </w:tc>
        <w:tc>
          <w:tcPr>
            <w:tcW w:w="1418" w:type="dxa"/>
          </w:tcPr>
          <w:p w14:paraId="66D10003"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7AFA5FF5" w14:textId="77777777" w:rsidR="00D773BF" w:rsidRPr="00C5097E" w:rsidRDefault="00D773BF" w:rsidP="000C3292">
            <w:pPr>
              <w:rPr>
                <w:rFonts w:asciiTheme="minorHAnsi" w:hAnsiTheme="minorHAnsi" w:cstheme="minorHAnsi"/>
                <w:sz w:val="18"/>
                <w:szCs w:val="18"/>
                <w:lang w:val="sl-SI"/>
              </w:rPr>
            </w:pPr>
          </w:p>
        </w:tc>
        <w:tc>
          <w:tcPr>
            <w:tcW w:w="1276" w:type="dxa"/>
          </w:tcPr>
          <w:p w14:paraId="72403748"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36C1FE62" w14:textId="77777777" w:rsidTr="00B318A1">
        <w:tc>
          <w:tcPr>
            <w:tcW w:w="1279" w:type="dxa"/>
            <w:shd w:val="clear" w:color="auto" w:fill="CCCCFF"/>
          </w:tcPr>
          <w:p w14:paraId="1F0C3FD4" w14:textId="77777777" w:rsidR="00D773BF" w:rsidRPr="002C567D" w:rsidRDefault="00D773BF" w:rsidP="000C3292">
            <w:pPr>
              <w:rPr>
                <w:rFonts w:asciiTheme="minorHAnsi" w:hAnsiTheme="minorHAnsi" w:cstheme="minorHAnsi"/>
                <w:b/>
                <w:bCs/>
                <w:sz w:val="20"/>
                <w:szCs w:val="20"/>
                <w:lang w:val="sl-SI"/>
              </w:rPr>
            </w:pPr>
            <w:r>
              <w:rPr>
                <w:rFonts w:asciiTheme="minorHAnsi" w:hAnsiTheme="minorHAnsi" w:cstheme="minorHAnsi"/>
                <w:b/>
                <w:sz w:val="20"/>
                <w:szCs w:val="20"/>
                <w:lang w:val="sl-SI" w:bidi="sl-SI"/>
              </w:rPr>
              <w:t>Splošni stroški delovanja</w:t>
            </w:r>
            <w:r w:rsidRPr="00E86598">
              <w:rPr>
                <w:rFonts w:asciiTheme="minorHAnsi" w:hAnsiTheme="minorHAnsi" w:cstheme="minorHAnsi"/>
                <w:b/>
                <w:sz w:val="20"/>
                <w:szCs w:val="20"/>
                <w:lang w:val="sl-SI" w:bidi="sl-SI"/>
              </w:rPr>
              <w:t>/</w:t>
            </w:r>
          </w:p>
          <w:p w14:paraId="33F96E99" w14:textId="77777777" w:rsidR="00D773BF" w:rsidRPr="002C567D" w:rsidRDefault="00D773BF" w:rsidP="000C3292">
            <w:pPr>
              <w:rPr>
                <w:rFonts w:asciiTheme="minorHAnsi" w:hAnsiTheme="minorHAnsi" w:cstheme="minorHAnsi"/>
                <w:b/>
                <w:bCs/>
                <w:sz w:val="20"/>
                <w:szCs w:val="20"/>
                <w:lang w:val="sl-SI"/>
              </w:rPr>
            </w:pPr>
            <w:r w:rsidRPr="002C567D">
              <w:rPr>
                <w:rFonts w:asciiTheme="minorHAnsi" w:hAnsiTheme="minorHAnsi" w:cstheme="minorHAnsi"/>
                <w:b/>
                <w:bCs/>
                <w:sz w:val="20"/>
                <w:szCs w:val="20"/>
                <w:lang w:val="sl-SI"/>
              </w:rPr>
              <w:t xml:space="preserve">Costi </w:t>
            </w:r>
            <w:proofErr w:type="spellStart"/>
            <w:r w:rsidRPr="002C567D">
              <w:rPr>
                <w:rFonts w:asciiTheme="minorHAnsi" w:hAnsiTheme="minorHAnsi" w:cstheme="minorHAnsi"/>
                <w:b/>
                <w:bCs/>
                <w:sz w:val="20"/>
                <w:szCs w:val="20"/>
                <w:lang w:val="sl-SI"/>
              </w:rPr>
              <w:t>correnti</w:t>
            </w:r>
            <w:proofErr w:type="spellEnd"/>
          </w:p>
        </w:tc>
        <w:tc>
          <w:tcPr>
            <w:tcW w:w="4953" w:type="dxa"/>
            <w:shd w:val="clear" w:color="auto" w:fill="CCCCFF"/>
          </w:tcPr>
          <w:p w14:paraId="0314C179"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rPr>
              <w:t>Pisarniški in splošni materiali in storitve, energija, voda, komunalne storitve in komunikacije, prevozni stroški in storitve, izdatki za službena potovanja, tekoče vzdrževanje, poslovne najemnine in zakupnine, drugi operativni odhodki.</w:t>
            </w:r>
          </w:p>
          <w:p w14:paraId="4E4EE2EC"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Servizi</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spese</w:t>
            </w:r>
            <w:proofErr w:type="spellEnd"/>
            <w:r w:rsidRPr="00C5097E">
              <w:rPr>
                <w:rFonts w:asciiTheme="minorHAnsi" w:hAnsiTheme="minorHAnsi" w:cstheme="minorHAnsi"/>
                <w:sz w:val="18"/>
                <w:szCs w:val="18"/>
                <w:lang w:val="sl-SI"/>
              </w:rPr>
              <w:t xml:space="preserve"> per </w:t>
            </w:r>
            <w:proofErr w:type="spellStart"/>
            <w:r w:rsidRPr="00C5097E">
              <w:rPr>
                <w:rFonts w:asciiTheme="minorHAnsi" w:hAnsiTheme="minorHAnsi" w:cstheme="minorHAnsi"/>
                <w:sz w:val="18"/>
                <w:szCs w:val="18"/>
                <w:lang w:val="sl-SI"/>
              </w:rPr>
              <w:t>gli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uffici</w:t>
            </w:r>
            <w:proofErr w:type="spellEnd"/>
            <w:r w:rsidRPr="00C5097E">
              <w:rPr>
                <w:rFonts w:asciiTheme="minorHAnsi" w:hAnsiTheme="minorHAnsi" w:cstheme="minorHAnsi"/>
                <w:sz w:val="18"/>
                <w:szCs w:val="18"/>
                <w:lang w:val="sl-SI"/>
              </w:rPr>
              <w:t xml:space="preserve"> e le </w:t>
            </w:r>
            <w:proofErr w:type="spellStart"/>
            <w:r w:rsidRPr="00C5097E">
              <w:rPr>
                <w:rFonts w:asciiTheme="minorHAnsi" w:hAnsiTheme="minorHAnsi" w:cstheme="minorHAnsi"/>
                <w:sz w:val="18"/>
                <w:szCs w:val="18"/>
                <w:lang w:val="sl-SI"/>
              </w:rPr>
              <w:t>spese</w:t>
            </w:r>
            <w:proofErr w:type="spellEnd"/>
            <w:r w:rsidRPr="00C5097E">
              <w:rPr>
                <w:rFonts w:asciiTheme="minorHAnsi" w:hAnsiTheme="minorHAnsi" w:cstheme="minorHAnsi"/>
                <w:sz w:val="18"/>
                <w:szCs w:val="18"/>
                <w:lang w:val="sl-SI"/>
              </w:rPr>
              <w:t xml:space="preserve"> generali, </w:t>
            </w:r>
            <w:proofErr w:type="spellStart"/>
            <w:r w:rsidRPr="00C5097E">
              <w:rPr>
                <w:rFonts w:asciiTheme="minorHAnsi" w:hAnsiTheme="minorHAnsi" w:cstheme="minorHAnsi"/>
                <w:sz w:val="18"/>
                <w:szCs w:val="18"/>
                <w:lang w:val="sl-SI"/>
              </w:rPr>
              <w:t>costi</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energia</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acqua</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utenze</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telecomunicazioni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costi</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trasporti</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servizi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manutenzione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corrente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affitti</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noleggi</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uffici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altre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spese</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gestione</w:t>
            </w:r>
            <w:proofErr w:type="spellEnd"/>
            <w:r w:rsidRPr="00C5097E">
              <w:rPr>
                <w:rFonts w:asciiTheme="minorHAnsi" w:hAnsiTheme="minorHAnsi" w:cstheme="minorHAnsi"/>
                <w:sz w:val="18"/>
                <w:szCs w:val="18"/>
                <w:lang w:val="sl-SI"/>
              </w:rPr>
              <w:t>.</w:t>
            </w:r>
          </w:p>
        </w:tc>
        <w:tc>
          <w:tcPr>
            <w:tcW w:w="1418" w:type="dxa"/>
            <w:shd w:val="clear" w:color="auto" w:fill="CCCCFF"/>
          </w:tcPr>
          <w:p w14:paraId="436458C5"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179.275</w:t>
            </w:r>
          </w:p>
        </w:tc>
        <w:tc>
          <w:tcPr>
            <w:tcW w:w="5103" w:type="dxa"/>
            <w:shd w:val="clear" w:color="auto" w:fill="CCCCFF"/>
          </w:tcPr>
          <w:p w14:paraId="7BAE50A9"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 xml:space="preserve">Najem glavne pisarne na </w:t>
            </w:r>
            <w:proofErr w:type="spellStart"/>
            <w:r w:rsidRPr="00C5097E">
              <w:rPr>
                <w:rFonts w:asciiTheme="minorHAnsi" w:hAnsiTheme="minorHAnsi" w:cstheme="minorHAnsi"/>
                <w:sz w:val="18"/>
                <w:szCs w:val="18"/>
                <w:lang w:val="sl-SI" w:bidi="sl-SI"/>
              </w:rPr>
              <w:t>na</w:t>
            </w:r>
            <w:proofErr w:type="spellEnd"/>
            <w:r w:rsidRPr="00C5097E">
              <w:rPr>
                <w:rFonts w:asciiTheme="minorHAnsi" w:hAnsiTheme="minorHAnsi" w:cstheme="minorHAnsi"/>
                <w:sz w:val="18"/>
                <w:szCs w:val="18"/>
                <w:lang w:val="sl-SI" w:bidi="sl-SI"/>
              </w:rPr>
              <w:t xml:space="preserve"> Kolodvorski ulici, videokonferenčni sistem, internet, čiščenje pisarn</w:t>
            </w:r>
          </w:p>
          <w:p w14:paraId="69594E17"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Flagship</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office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nella</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stazione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della</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Transalpina</w:t>
            </w:r>
            <w:proofErr w:type="spellEnd"/>
            <w:r w:rsidRPr="00C5097E">
              <w:rPr>
                <w:rFonts w:asciiTheme="minorHAnsi" w:hAnsiTheme="minorHAnsi" w:cstheme="minorHAnsi"/>
                <w:sz w:val="18"/>
                <w:szCs w:val="18"/>
                <w:lang w:val="sl-SI"/>
              </w:rPr>
              <w:t xml:space="preserve">, sistema </w:t>
            </w:r>
            <w:proofErr w:type="spellStart"/>
            <w:r w:rsidRPr="00C5097E">
              <w:rPr>
                <w:rFonts w:asciiTheme="minorHAnsi" w:hAnsiTheme="minorHAnsi" w:cstheme="minorHAnsi"/>
                <w:sz w:val="18"/>
                <w:szCs w:val="18"/>
                <w:lang w:val="sl-SI"/>
              </w:rPr>
              <w:t>videoconferenza</w:t>
            </w:r>
            <w:proofErr w:type="spellEnd"/>
            <w:r w:rsidRPr="00C5097E">
              <w:rPr>
                <w:rFonts w:asciiTheme="minorHAnsi" w:hAnsiTheme="minorHAnsi" w:cstheme="minorHAnsi"/>
                <w:sz w:val="18"/>
                <w:szCs w:val="18"/>
                <w:lang w:val="sl-SI"/>
              </w:rPr>
              <w:t xml:space="preserve">, internet, </w:t>
            </w:r>
            <w:proofErr w:type="spellStart"/>
            <w:r w:rsidRPr="00C5097E">
              <w:rPr>
                <w:rFonts w:asciiTheme="minorHAnsi" w:hAnsiTheme="minorHAnsi" w:cstheme="minorHAnsi"/>
                <w:sz w:val="18"/>
                <w:szCs w:val="18"/>
                <w:lang w:val="sl-SI"/>
              </w:rPr>
              <w:t>pulizie</w:t>
            </w:r>
            <w:proofErr w:type="spellEnd"/>
          </w:p>
        </w:tc>
        <w:tc>
          <w:tcPr>
            <w:tcW w:w="1276" w:type="dxa"/>
            <w:shd w:val="clear" w:color="auto" w:fill="CCCCFF"/>
          </w:tcPr>
          <w:p w14:paraId="2215BB5F" w14:textId="418AA545" w:rsidR="00D773BF" w:rsidRPr="00C5097E" w:rsidRDefault="00E40BD5" w:rsidP="000C3292">
            <w:pPr>
              <w:jc w:val="center"/>
              <w:rPr>
                <w:rFonts w:asciiTheme="minorHAnsi" w:hAnsiTheme="minorHAnsi" w:cstheme="minorHAnsi"/>
                <w:sz w:val="18"/>
                <w:szCs w:val="18"/>
                <w:lang w:val="sl-SI"/>
              </w:rPr>
            </w:pPr>
            <w:r>
              <w:rPr>
                <w:rFonts w:asciiTheme="minorHAnsi" w:hAnsiTheme="minorHAnsi" w:cstheme="minorHAnsi"/>
                <w:sz w:val="18"/>
                <w:szCs w:val="18"/>
                <w:lang w:val="sl-SI"/>
              </w:rPr>
              <w:t>6</w:t>
            </w:r>
            <w:r w:rsidR="00D773BF" w:rsidRPr="00C5097E">
              <w:rPr>
                <w:rFonts w:asciiTheme="minorHAnsi" w:hAnsiTheme="minorHAnsi" w:cstheme="minorHAnsi"/>
                <w:sz w:val="18"/>
                <w:szCs w:val="18"/>
                <w:lang w:val="sl-SI"/>
              </w:rPr>
              <w:t>.</w:t>
            </w:r>
            <w:r>
              <w:rPr>
                <w:rFonts w:asciiTheme="minorHAnsi" w:hAnsiTheme="minorHAnsi" w:cstheme="minorHAnsi"/>
                <w:sz w:val="18"/>
                <w:szCs w:val="18"/>
                <w:lang w:val="sl-SI"/>
              </w:rPr>
              <w:t>5</w:t>
            </w:r>
            <w:r w:rsidR="00D773BF" w:rsidRPr="00C5097E">
              <w:rPr>
                <w:rFonts w:asciiTheme="minorHAnsi" w:hAnsiTheme="minorHAnsi" w:cstheme="minorHAnsi"/>
                <w:sz w:val="18"/>
                <w:szCs w:val="18"/>
                <w:lang w:val="sl-SI"/>
              </w:rPr>
              <w:t>00</w:t>
            </w:r>
          </w:p>
        </w:tc>
      </w:tr>
      <w:tr w:rsidR="00D773BF" w:rsidRPr="0084433F" w14:paraId="7B1E96E6" w14:textId="77777777" w:rsidTr="00B318A1">
        <w:tc>
          <w:tcPr>
            <w:tcW w:w="1279" w:type="dxa"/>
            <w:shd w:val="clear" w:color="auto" w:fill="CCCCFF"/>
          </w:tcPr>
          <w:p w14:paraId="4B48CB65" w14:textId="77777777" w:rsidR="00D773BF" w:rsidRPr="0084433F" w:rsidRDefault="00D773BF" w:rsidP="000C3292">
            <w:pPr>
              <w:rPr>
                <w:rFonts w:asciiTheme="minorHAnsi" w:hAnsiTheme="minorHAnsi" w:cstheme="minorHAnsi"/>
                <w:sz w:val="20"/>
                <w:szCs w:val="20"/>
                <w:lang w:val="sl-SI"/>
              </w:rPr>
            </w:pPr>
          </w:p>
        </w:tc>
        <w:tc>
          <w:tcPr>
            <w:tcW w:w="4953" w:type="dxa"/>
            <w:shd w:val="clear" w:color="auto" w:fill="CCCCFF"/>
          </w:tcPr>
          <w:p w14:paraId="42AFBAB5" w14:textId="77777777" w:rsidR="00D773BF" w:rsidRPr="00B318A1" w:rsidRDefault="00D773BF" w:rsidP="000C3292">
            <w:pPr>
              <w:rPr>
                <w:rFonts w:asciiTheme="minorHAnsi" w:hAnsiTheme="minorHAnsi" w:cstheme="minorHAnsi"/>
                <w:sz w:val="18"/>
                <w:szCs w:val="18"/>
                <w:lang w:val="sl-SI"/>
              </w:rPr>
            </w:pPr>
            <w:r w:rsidRPr="00B318A1">
              <w:rPr>
                <w:rFonts w:asciiTheme="minorHAnsi" w:hAnsiTheme="minorHAnsi" w:cstheme="minorHAnsi"/>
                <w:sz w:val="18"/>
                <w:szCs w:val="18"/>
                <w:lang w:val="sl-SI"/>
              </w:rPr>
              <w:t>Promocijski materiali</w:t>
            </w:r>
          </w:p>
          <w:p w14:paraId="6A9A8380" w14:textId="77777777" w:rsidR="00D773BF" w:rsidRPr="00B318A1" w:rsidRDefault="00D773BF" w:rsidP="000C3292">
            <w:pPr>
              <w:rPr>
                <w:rFonts w:asciiTheme="minorHAnsi" w:hAnsiTheme="minorHAnsi" w:cstheme="minorHAnsi"/>
                <w:sz w:val="18"/>
                <w:szCs w:val="18"/>
                <w:lang w:val="sl-SI"/>
              </w:rPr>
            </w:pPr>
            <w:proofErr w:type="spellStart"/>
            <w:r w:rsidRPr="00B318A1">
              <w:rPr>
                <w:rFonts w:asciiTheme="minorHAnsi" w:hAnsiTheme="minorHAnsi" w:cstheme="minorHAnsi"/>
                <w:sz w:val="18"/>
                <w:szCs w:val="18"/>
                <w:lang w:val="sl-SI"/>
              </w:rPr>
              <w:t>Gadget</w:t>
            </w:r>
            <w:proofErr w:type="spellEnd"/>
            <w:r w:rsidRPr="00B318A1">
              <w:rPr>
                <w:rFonts w:asciiTheme="minorHAnsi" w:hAnsiTheme="minorHAnsi" w:cstheme="minorHAnsi"/>
                <w:sz w:val="18"/>
                <w:szCs w:val="18"/>
                <w:lang w:val="sl-SI"/>
              </w:rPr>
              <w:t xml:space="preserve"> e materiale </w:t>
            </w:r>
            <w:proofErr w:type="spellStart"/>
            <w:r w:rsidRPr="00B318A1">
              <w:rPr>
                <w:rFonts w:asciiTheme="minorHAnsi" w:hAnsiTheme="minorHAnsi" w:cstheme="minorHAnsi"/>
                <w:sz w:val="18"/>
                <w:szCs w:val="18"/>
                <w:lang w:val="sl-SI"/>
              </w:rPr>
              <w:t>vario</w:t>
            </w:r>
            <w:proofErr w:type="spellEnd"/>
            <w:r w:rsidRPr="00B318A1">
              <w:rPr>
                <w:rFonts w:asciiTheme="minorHAnsi" w:hAnsiTheme="minorHAnsi" w:cstheme="minorHAnsi"/>
                <w:sz w:val="18"/>
                <w:szCs w:val="18"/>
                <w:lang w:val="sl-SI"/>
              </w:rPr>
              <w:t xml:space="preserve"> di </w:t>
            </w:r>
            <w:proofErr w:type="spellStart"/>
            <w:r w:rsidRPr="00B318A1">
              <w:rPr>
                <w:rFonts w:asciiTheme="minorHAnsi" w:hAnsiTheme="minorHAnsi" w:cstheme="minorHAnsi"/>
                <w:sz w:val="18"/>
                <w:szCs w:val="18"/>
                <w:lang w:val="sl-SI"/>
              </w:rPr>
              <w:t>promozione</w:t>
            </w:r>
            <w:proofErr w:type="spellEnd"/>
          </w:p>
        </w:tc>
        <w:tc>
          <w:tcPr>
            <w:tcW w:w="1418" w:type="dxa"/>
            <w:shd w:val="clear" w:color="auto" w:fill="CCCCFF"/>
          </w:tcPr>
          <w:p w14:paraId="44B3A5DC" w14:textId="77777777" w:rsidR="00D773BF" w:rsidRPr="00B318A1" w:rsidRDefault="00D773BF" w:rsidP="000C3292">
            <w:pPr>
              <w:jc w:val="center"/>
              <w:rPr>
                <w:rFonts w:asciiTheme="minorHAnsi" w:hAnsiTheme="minorHAnsi" w:cstheme="minorHAnsi"/>
                <w:sz w:val="18"/>
                <w:szCs w:val="18"/>
                <w:lang w:val="sl-SI"/>
              </w:rPr>
            </w:pPr>
            <w:r w:rsidRPr="00B318A1">
              <w:rPr>
                <w:rFonts w:asciiTheme="minorHAnsi" w:hAnsiTheme="minorHAnsi" w:cstheme="minorHAnsi"/>
                <w:sz w:val="18"/>
                <w:szCs w:val="18"/>
                <w:lang w:val="sl-SI"/>
              </w:rPr>
              <w:t>24.000</w:t>
            </w:r>
          </w:p>
        </w:tc>
        <w:tc>
          <w:tcPr>
            <w:tcW w:w="5103" w:type="dxa"/>
            <w:shd w:val="clear" w:color="auto" w:fill="CCCCFF"/>
          </w:tcPr>
          <w:p w14:paraId="3AEEB307" w14:textId="77777777" w:rsidR="00D773BF" w:rsidRPr="00B318A1" w:rsidRDefault="00D773BF" w:rsidP="000C3292">
            <w:pPr>
              <w:rPr>
                <w:rFonts w:asciiTheme="minorHAnsi" w:hAnsiTheme="minorHAnsi" w:cstheme="minorHAnsi"/>
                <w:sz w:val="18"/>
                <w:szCs w:val="18"/>
                <w:lang w:val="sl-SI"/>
              </w:rPr>
            </w:pPr>
            <w:r w:rsidRPr="00B318A1">
              <w:rPr>
                <w:rFonts w:asciiTheme="minorHAnsi" w:hAnsiTheme="minorHAnsi" w:cstheme="minorHAnsi"/>
                <w:sz w:val="18"/>
                <w:szCs w:val="18"/>
                <w:lang w:val="sl-SI"/>
              </w:rPr>
              <w:t>Promocijski materiali</w:t>
            </w:r>
          </w:p>
          <w:p w14:paraId="7256DFAB" w14:textId="77777777" w:rsidR="00D773BF" w:rsidRPr="00B318A1" w:rsidRDefault="00D773BF" w:rsidP="000C3292">
            <w:pPr>
              <w:rPr>
                <w:rFonts w:asciiTheme="minorHAnsi" w:hAnsiTheme="minorHAnsi" w:cstheme="minorHAnsi"/>
                <w:sz w:val="18"/>
                <w:szCs w:val="18"/>
                <w:lang w:val="sl-SI"/>
              </w:rPr>
            </w:pPr>
            <w:proofErr w:type="spellStart"/>
            <w:r w:rsidRPr="00B318A1">
              <w:rPr>
                <w:rFonts w:asciiTheme="minorHAnsi" w:hAnsiTheme="minorHAnsi" w:cstheme="minorHAnsi"/>
                <w:sz w:val="18"/>
                <w:szCs w:val="18"/>
                <w:lang w:val="sl-SI"/>
              </w:rPr>
              <w:t>Gadget</w:t>
            </w:r>
            <w:proofErr w:type="spellEnd"/>
            <w:r w:rsidRPr="00B318A1">
              <w:rPr>
                <w:rFonts w:asciiTheme="minorHAnsi" w:hAnsiTheme="minorHAnsi" w:cstheme="minorHAnsi"/>
                <w:sz w:val="18"/>
                <w:szCs w:val="18"/>
                <w:lang w:val="sl-SI"/>
              </w:rPr>
              <w:t xml:space="preserve"> e materiale </w:t>
            </w:r>
            <w:proofErr w:type="spellStart"/>
            <w:r w:rsidRPr="00B318A1">
              <w:rPr>
                <w:rFonts w:asciiTheme="minorHAnsi" w:hAnsiTheme="minorHAnsi" w:cstheme="minorHAnsi"/>
                <w:sz w:val="18"/>
                <w:szCs w:val="18"/>
                <w:lang w:val="sl-SI"/>
              </w:rPr>
              <w:t>vario</w:t>
            </w:r>
            <w:proofErr w:type="spellEnd"/>
            <w:r w:rsidRPr="00B318A1">
              <w:rPr>
                <w:rFonts w:asciiTheme="minorHAnsi" w:hAnsiTheme="minorHAnsi" w:cstheme="minorHAnsi"/>
                <w:sz w:val="18"/>
                <w:szCs w:val="18"/>
                <w:lang w:val="sl-SI"/>
              </w:rPr>
              <w:t xml:space="preserve"> di </w:t>
            </w:r>
            <w:proofErr w:type="spellStart"/>
            <w:r w:rsidRPr="00B318A1">
              <w:rPr>
                <w:rFonts w:asciiTheme="minorHAnsi" w:hAnsiTheme="minorHAnsi" w:cstheme="minorHAnsi"/>
                <w:sz w:val="18"/>
                <w:szCs w:val="18"/>
                <w:lang w:val="sl-SI"/>
              </w:rPr>
              <w:t>promozione</w:t>
            </w:r>
            <w:proofErr w:type="spellEnd"/>
          </w:p>
        </w:tc>
        <w:tc>
          <w:tcPr>
            <w:tcW w:w="1276" w:type="dxa"/>
            <w:shd w:val="clear" w:color="auto" w:fill="CCCCFF"/>
          </w:tcPr>
          <w:p w14:paraId="09CF91F2" w14:textId="4DD93070" w:rsidR="00D773BF" w:rsidRPr="00B318A1" w:rsidRDefault="003F7564" w:rsidP="000C3292">
            <w:pPr>
              <w:jc w:val="center"/>
              <w:rPr>
                <w:rFonts w:asciiTheme="minorHAnsi" w:hAnsiTheme="minorHAnsi" w:cstheme="minorHAnsi"/>
                <w:sz w:val="18"/>
                <w:szCs w:val="18"/>
                <w:lang w:val="sl-SI"/>
              </w:rPr>
            </w:pPr>
            <w:r w:rsidRPr="00B318A1">
              <w:rPr>
                <w:rFonts w:asciiTheme="minorHAnsi" w:hAnsiTheme="minorHAnsi" w:cstheme="minorHAnsi"/>
                <w:sz w:val="18"/>
                <w:szCs w:val="18"/>
                <w:lang w:val="sl-SI"/>
              </w:rPr>
              <w:t>5</w:t>
            </w:r>
            <w:r w:rsidR="00E40BD5">
              <w:rPr>
                <w:rFonts w:asciiTheme="minorHAnsi" w:hAnsiTheme="minorHAnsi" w:cstheme="minorHAnsi"/>
                <w:sz w:val="18"/>
                <w:szCs w:val="18"/>
                <w:lang w:val="sl-SI"/>
              </w:rPr>
              <w:t>5</w:t>
            </w:r>
            <w:r w:rsidR="00D773BF" w:rsidRPr="00B318A1">
              <w:rPr>
                <w:rFonts w:asciiTheme="minorHAnsi" w:hAnsiTheme="minorHAnsi" w:cstheme="minorHAnsi"/>
                <w:sz w:val="18"/>
                <w:szCs w:val="18"/>
                <w:lang w:val="sl-SI"/>
              </w:rPr>
              <w:t>.000</w:t>
            </w:r>
          </w:p>
        </w:tc>
      </w:tr>
      <w:tr w:rsidR="00D773BF" w:rsidRPr="00E86598" w14:paraId="4EA07404" w14:textId="77777777" w:rsidTr="00B318A1">
        <w:tc>
          <w:tcPr>
            <w:tcW w:w="1279" w:type="dxa"/>
            <w:shd w:val="clear" w:color="auto" w:fill="CCCCFF"/>
          </w:tcPr>
          <w:p w14:paraId="5F8FF947" w14:textId="77777777" w:rsidR="00D773BF" w:rsidRPr="002C567D" w:rsidRDefault="00D773BF" w:rsidP="000C3292">
            <w:pPr>
              <w:rPr>
                <w:rFonts w:asciiTheme="minorHAnsi" w:hAnsiTheme="minorHAnsi" w:cstheme="minorHAnsi"/>
                <w:b/>
                <w:bCs/>
                <w:sz w:val="20"/>
                <w:szCs w:val="20"/>
                <w:lang w:val="sl-SI"/>
              </w:rPr>
            </w:pPr>
          </w:p>
        </w:tc>
        <w:tc>
          <w:tcPr>
            <w:tcW w:w="4953" w:type="dxa"/>
            <w:shd w:val="clear" w:color="auto" w:fill="CCCCFF"/>
          </w:tcPr>
          <w:p w14:paraId="315AFF39"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Prevajalske storitve</w:t>
            </w:r>
          </w:p>
          <w:p w14:paraId="0AFDECCD"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Servizio</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traduzione</w:t>
            </w:r>
            <w:proofErr w:type="spellEnd"/>
          </w:p>
        </w:tc>
        <w:tc>
          <w:tcPr>
            <w:tcW w:w="1418" w:type="dxa"/>
            <w:shd w:val="clear" w:color="auto" w:fill="CCCCFF"/>
          </w:tcPr>
          <w:p w14:paraId="4A7225B3"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16.800</w:t>
            </w:r>
          </w:p>
        </w:tc>
        <w:tc>
          <w:tcPr>
            <w:tcW w:w="5103" w:type="dxa"/>
            <w:shd w:val="clear" w:color="auto" w:fill="CCCCFF"/>
          </w:tcPr>
          <w:p w14:paraId="181D2AD5"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bidi="sl-SI"/>
              </w:rPr>
              <w:t>Prevajalske storitve</w:t>
            </w:r>
          </w:p>
          <w:p w14:paraId="3200E8F3"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Servizio</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traduzione</w:t>
            </w:r>
            <w:proofErr w:type="spellEnd"/>
          </w:p>
        </w:tc>
        <w:tc>
          <w:tcPr>
            <w:tcW w:w="1276" w:type="dxa"/>
            <w:shd w:val="clear" w:color="auto" w:fill="CCCCFF"/>
          </w:tcPr>
          <w:p w14:paraId="67F57543" w14:textId="2024251C"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5.000</w:t>
            </w:r>
          </w:p>
        </w:tc>
      </w:tr>
      <w:tr w:rsidR="00D773BF" w:rsidRPr="00E86598" w14:paraId="19F13887" w14:textId="77777777" w:rsidTr="00B318A1">
        <w:tc>
          <w:tcPr>
            <w:tcW w:w="1279" w:type="dxa"/>
          </w:tcPr>
          <w:p w14:paraId="7C8F8DC6"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2A3EDA58" w14:textId="77777777" w:rsidR="00D773BF" w:rsidRPr="00C5097E" w:rsidRDefault="00D773BF" w:rsidP="000C3292">
            <w:pPr>
              <w:rPr>
                <w:rFonts w:asciiTheme="minorHAnsi" w:hAnsiTheme="minorHAnsi" w:cstheme="minorHAnsi"/>
                <w:sz w:val="18"/>
                <w:szCs w:val="18"/>
                <w:lang w:val="sl-SI"/>
              </w:rPr>
            </w:pPr>
          </w:p>
        </w:tc>
        <w:tc>
          <w:tcPr>
            <w:tcW w:w="1418" w:type="dxa"/>
          </w:tcPr>
          <w:p w14:paraId="484B2DB9" w14:textId="77777777" w:rsidR="00D773BF" w:rsidRPr="00C5097E" w:rsidRDefault="00D773BF" w:rsidP="000C3292">
            <w:pPr>
              <w:jc w:val="center"/>
              <w:rPr>
                <w:rFonts w:asciiTheme="minorHAnsi" w:hAnsiTheme="minorHAnsi" w:cstheme="minorHAnsi"/>
                <w:sz w:val="18"/>
                <w:szCs w:val="18"/>
                <w:lang w:val="sl-SI"/>
              </w:rPr>
            </w:pPr>
          </w:p>
        </w:tc>
        <w:tc>
          <w:tcPr>
            <w:tcW w:w="5103" w:type="dxa"/>
          </w:tcPr>
          <w:p w14:paraId="0725DE30" w14:textId="77777777" w:rsidR="00D773BF" w:rsidRPr="00C5097E" w:rsidRDefault="00D773BF" w:rsidP="000C3292">
            <w:pPr>
              <w:rPr>
                <w:rFonts w:asciiTheme="minorHAnsi" w:hAnsiTheme="minorHAnsi" w:cstheme="minorHAnsi"/>
                <w:sz w:val="18"/>
                <w:szCs w:val="18"/>
                <w:lang w:val="sl-SI"/>
              </w:rPr>
            </w:pPr>
          </w:p>
        </w:tc>
        <w:tc>
          <w:tcPr>
            <w:tcW w:w="1276" w:type="dxa"/>
          </w:tcPr>
          <w:p w14:paraId="52C991F5" w14:textId="77777777" w:rsidR="00D773BF" w:rsidRPr="00C5097E" w:rsidRDefault="00D773BF" w:rsidP="000C3292">
            <w:pPr>
              <w:jc w:val="center"/>
              <w:rPr>
                <w:rFonts w:asciiTheme="minorHAnsi" w:hAnsiTheme="minorHAnsi" w:cstheme="minorHAnsi"/>
                <w:sz w:val="18"/>
                <w:szCs w:val="18"/>
                <w:lang w:val="sl-SI"/>
              </w:rPr>
            </w:pPr>
          </w:p>
        </w:tc>
      </w:tr>
      <w:tr w:rsidR="00D773BF" w:rsidRPr="00E86598" w14:paraId="1F79D275" w14:textId="77777777" w:rsidTr="00B318A1">
        <w:tc>
          <w:tcPr>
            <w:tcW w:w="1279" w:type="dxa"/>
            <w:shd w:val="clear" w:color="auto" w:fill="CCFF99"/>
          </w:tcPr>
          <w:p w14:paraId="56124252" w14:textId="77777777" w:rsidR="00D773BF" w:rsidRPr="002C567D" w:rsidRDefault="00D773BF" w:rsidP="000C3292">
            <w:pPr>
              <w:rPr>
                <w:rFonts w:asciiTheme="minorHAnsi" w:hAnsiTheme="minorHAnsi" w:cstheme="minorHAnsi"/>
                <w:b/>
                <w:bCs/>
                <w:sz w:val="20"/>
                <w:szCs w:val="20"/>
                <w:lang w:val="sl-SI"/>
              </w:rPr>
            </w:pPr>
            <w:proofErr w:type="spellStart"/>
            <w:r w:rsidRPr="002C567D">
              <w:rPr>
                <w:rFonts w:asciiTheme="minorHAnsi" w:hAnsiTheme="minorHAnsi" w:cstheme="minorHAnsi"/>
                <w:b/>
                <w:bCs/>
                <w:sz w:val="20"/>
                <w:szCs w:val="20"/>
                <w:lang w:val="sl-SI"/>
              </w:rPr>
              <w:t>Interreg</w:t>
            </w:r>
            <w:proofErr w:type="spellEnd"/>
          </w:p>
        </w:tc>
        <w:tc>
          <w:tcPr>
            <w:tcW w:w="4953" w:type="dxa"/>
            <w:shd w:val="clear" w:color="auto" w:fill="CCFF99"/>
          </w:tcPr>
          <w:p w14:paraId="1587353C" w14:textId="77777777" w:rsidR="00D773BF" w:rsidRPr="00C5097E" w:rsidRDefault="00D773BF" w:rsidP="000C3292">
            <w:pPr>
              <w:rPr>
                <w:rFonts w:asciiTheme="minorHAnsi" w:hAnsiTheme="minorHAnsi" w:cstheme="minorHAnsi"/>
                <w:sz w:val="18"/>
                <w:szCs w:val="18"/>
                <w:lang w:val="sl-SI"/>
              </w:rPr>
            </w:pPr>
          </w:p>
        </w:tc>
        <w:tc>
          <w:tcPr>
            <w:tcW w:w="1418" w:type="dxa"/>
            <w:shd w:val="clear" w:color="auto" w:fill="CCFF99"/>
          </w:tcPr>
          <w:p w14:paraId="7F11F26B" w14:textId="77777777" w:rsidR="00D773BF" w:rsidRPr="00C5097E" w:rsidRDefault="00D773BF" w:rsidP="000C3292">
            <w:pPr>
              <w:jc w:val="center"/>
              <w:rPr>
                <w:rFonts w:asciiTheme="minorHAnsi" w:hAnsiTheme="minorHAnsi" w:cstheme="minorHAnsi"/>
                <w:sz w:val="18"/>
                <w:szCs w:val="18"/>
                <w:lang w:val="sl-SI"/>
              </w:rPr>
            </w:pPr>
          </w:p>
        </w:tc>
        <w:tc>
          <w:tcPr>
            <w:tcW w:w="5103" w:type="dxa"/>
            <w:shd w:val="clear" w:color="auto" w:fill="CCFF99"/>
          </w:tcPr>
          <w:p w14:paraId="6E8DF8D7"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rPr>
              <w:t xml:space="preserve">Vzpostavitev in zagon upravljanja SPF </w:t>
            </w:r>
            <w:proofErr w:type="spellStart"/>
            <w:r w:rsidRPr="00C5097E">
              <w:rPr>
                <w:rFonts w:asciiTheme="minorHAnsi" w:hAnsiTheme="minorHAnsi" w:cstheme="minorHAnsi"/>
                <w:sz w:val="18"/>
                <w:szCs w:val="18"/>
                <w:lang w:val="sl-SI"/>
              </w:rPr>
              <w:t>Interreg</w:t>
            </w:r>
            <w:proofErr w:type="spellEnd"/>
            <w:r w:rsidRPr="00C5097E">
              <w:rPr>
                <w:rFonts w:asciiTheme="minorHAnsi" w:hAnsiTheme="minorHAnsi" w:cstheme="minorHAnsi"/>
                <w:sz w:val="18"/>
                <w:szCs w:val="18"/>
                <w:lang w:val="sl-SI"/>
              </w:rPr>
              <w:t xml:space="preserve"> Italija-Slovenija 2021-2027</w:t>
            </w:r>
          </w:p>
          <w:p w14:paraId="5790479D"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Impostazione</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avvio</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gestione</w:t>
            </w:r>
            <w:proofErr w:type="spellEnd"/>
            <w:r w:rsidRPr="00C5097E">
              <w:rPr>
                <w:rFonts w:asciiTheme="minorHAnsi" w:hAnsiTheme="minorHAnsi" w:cstheme="minorHAnsi"/>
                <w:sz w:val="18"/>
                <w:szCs w:val="18"/>
                <w:lang w:val="sl-SI"/>
              </w:rPr>
              <w:t xml:space="preserve"> SPF </w:t>
            </w:r>
            <w:proofErr w:type="spellStart"/>
            <w:r w:rsidRPr="00C5097E">
              <w:rPr>
                <w:rFonts w:asciiTheme="minorHAnsi" w:hAnsiTheme="minorHAnsi" w:cstheme="minorHAnsi"/>
                <w:sz w:val="18"/>
                <w:szCs w:val="18"/>
                <w:lang w:val="sl-SI"/>
              </w:rPr>
              <w:t>Interreg</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Italia-Slovenia</w:t>
            </w:r>
            <w:proofErr w:type="spellEnd"/>
            <w:r w:rsidRPr="00C5097E">
              <w:rPr>
                <w:rFonts w:asciiTheme="minorHAnsi" w:hAnsiTheme="minorHAnsi" w:cstheme="minorHAnsi"/>
                <w:sz w:val="18"/>
                <w:szCs w:val="18"/>
                <w:lang w:val="sl-SI"/>
              </w:rPr>
              <w:t xml:space="preserve"> 2021-2027</w:t>
            </w:r>
          </w:p>
        </w:tc>
        <w:tc>
          <w:tcPr>
            <w:tcW w:w="1276" w:type="dxa"/>
            <w:shd w:val="clear" w:color="auto" w:fill="CCFF99"/>
          </w:tcPr>
          <w:p w14:paraId="55184772" w14:textId="25B076A5" w:rsidR="00D773BF" w:rsidRPr="00C5097E" w:rsidRDefault="00E40BD5" w:rsidP="000C3292">
            <w:pPr>
              <w:jc w:val="center"/>
              <w:rPr>
                <w:rFonts w:asciiTheme="minorHAnsi" w:hAnsiTheme="minorHAnsi" w:cstheme="minorHAnsi"/>
                <w:sz w:val="18"/>
                <w:szCs w:val="18"/>
                <w:lang w:val="sl-SI"/>
              </w:rPr>
            </w:pPr>
            <w:r>
              <w:rPr>
                <w:rFonts w:asciiTheme="minorHAnsi" w:hAnsiTheme="minorHAnsi" w:cstheme="minorHAnsi"/>
                <w:sz w:val="18"/>
                <w:szCs w:val="18"/>
                <w:lang w:val="sl-SI"/>
              </w:rPr>
              <w:t>50.000</w:t>
            </w:r>
          </w:p>
        </w:tc>
      </w:tr>
      <w:tr w:rsidR="00D773BF" w:rsidRPr="00E86598" w14:paraId="4B8EB001" w14:textId="77777777" w:rsidTr="00B318A1">
        <w:tc>
          <w:tcPr>
            <w:tcW w:w="1279" w:type="dxa"/>
            <w:shd w:val="clear" w:color="auto" w:fill="EDEDED" w:themeFill="accent3" w:themeFillTint="33"/>
          </w:tcPr>
          <w:p w14:paraId="1F8B9784" w14:textId="77777777" w:rsidR="00D773BF" w:rsidRPr="002C567D" w:rsidRDefault="00D773BF" w:rsidP="000C3292">
            <w:pPr>
              <w:rPr>
                <w:rFonts w:asciiTheme="minorHAnsi" w:hAnsiTheme="minorHAnsi" w:cstheme="minorHAnsi"/>
                <w:b/>
                <w:bCs/>
                <w:sz w:val="20"/>
                <w:szCs w:val="20"/>
                <w:lang w:val="sl-SI"/>
              </w:rPr>
            </w:pPr>
          </w:p>
        </w:tc>
        <w:tc>
          <w:tcPr>
            <w:tcW w:w="4953" w:type="dxa"/>
            <w:shd w:val="clear" w:color="auto" w:fill="EDEDED" w:themeFill="accent3" w:themeFillTint="33"/>
          </w:tcPr>
          <w:p w14:paraId="49406198"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rPr>
              <w:t>Plače, prispevki delodajalca in drugi izdatki zaposlenim za delo izključno na projektu EPK 2025</w:t>
            </w:r>
          </w:p>
          <w:p w14:paraId="45ECD85D"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Stipendi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contributi</w:t>
            </w:r>
            <w:proofErr w:type="spellEnd"/>
            <w:r w:rsidRPr="00C5097E">
              <w:rPr>
                <w:rFonts w:asciiTheme="minorHAnsi" w:hAnsiTheme="minorHAnsi" w:cstheme="minorHAnsi"/>
                <w:sz w:val="18"/>
                <w:szCs w:val="18"/>
                <w:lang w:val="sl-SI"/>
              </w:rPr>
              <w:t xml:space="preserve"> del </w:t>
            </w:r>
            <w:proofErr w:type="spellStart"/>
            <w:r w:rsidRPr="00C5097E">
              <w:rPr>
                <w:rFonts w:asciiTheme="minorHAnsi" w:hAnsiTheme="minorHAnsi" w:cstheme="minorHAnsi"/>
                <w:sz w:val="18"/>
                <w:szCs w:val="18"/>
                <w:lang w:val="sl-SI"/>
              </w:rPr>
              <w:t>datore</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lavoro</w:t>
            </w:r>
            <w:proofErr w:type="spellEnd"/>
            <w:r w:rsidRPr="00C5097E">
              <w:rPr>
                <w:rFonts w:asciiTheme="minorHAnsi" w:hAnsiTheme="minorHAnsi" w:cstheme="minorHAnsi"/>
                <w:sz w:val="18"/>
                <w:szCs w:val="18"/>
                <w:lang w:val="sl-SI"/>
              </w:rPr>
              <w:t xml:space="preserve"> e </w:t>
            </w:r>
            <w:proofErr w:type="spellStart"/>
            <w:r w:rsidRPr="00C5097E">
              <w:rPr>
                <w:rFonts w:asciiTheme="minorHAnsi" w:hAnsiTheme="minorHAnsi" w:cstheme="minorHAnsi"/>
                <w:sz w:val="18"/>
                <w:szCs w:val="18"/>
                <w:lang w:val="sl-SI"/>
              </w:rPr>
              <w:t>altre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spese</w:t>
            </w:r>
            <w:proofErr w:type="spellEnd"/>
            <w:r w:rsidRPr="00C5097E">
              <w:rPr>
                <w:rFonts w:asciiTheme="minorHAnsi" w:hAnsiTheme="minorHAnsi" w:cstheme="minorHAnsi"/>
                <w:sz w:val="18"/>
                <w:szCs w:val="18"/>
                <w:lang w:val="sl-SI"/>
              </w:rPr>
              <w:t xml:space="preserve"> per i </w:t>
            </w:r>
            <w:proofErr w:type="spellStart"/>
            <w:r w:rsidRPr="00C5097E">
              <w:rPr>
                <w:rFonts w:asciiTheme="minorHAnsi" w:hAnsiTheme="minorHAnsi" w:cstheme="minorHAnsi"/>
                <w:sz w:val="18"/>
                <w:szCs w:val="18"/>
                <w:lang w:val="sl-SI"/>
              </w:rPr>
              <w:t>dipendenti</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che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lavorano</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esclusivamente</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al</w:t>
            </w:r>
            <w:proofErr w:type="spellEnd"/>
            <w:r w:rsidRPr="00C5097E">
              <w:rPr>
                <w:rFonts w:asciiTheme="minorHAnsi" w:hAnsiTheme="minorHAnsi" w:cstheme="minorHAnsi"/>
                <w:sz w:val="18"/>
                <w:szCs w:val="18"/>
                <w:lang w:val="sl-SI"/>
              </w:rPr>
              <w:t xml:space="preserve"> </w:t>
            </w:r>
            <w:proofErr w:type="spellStart"/>
            <w:r w:rsidRPr="00C5097E">
              <w:rPr>
                <w:rFonts w:asciiTheme="minorHAnsi" w:hAnsiTheme="minorHAnsi" w:cstheme="minorHAnsi"/>
                <w:sz w:val="18"/>
                <w:szCs w:val="18"/>
                <w:lang w:val="sl-SI"/>
              </w:rPr>
              <w:t>progetto</w:t>
            </w:r>
            <w:proofErr w:type="spellEnd"/>
            <w:r w:rsidRPr="00C5097E">
              <w:rPr>
                <w:rFonts w:asciiTheme="minorHAnsi" w:hAnsiTheme="minorHAnsi" w:cstheme="minorHAnsi"/>
                <w:sz w:val="18"/>
                <w:szCs w:val="18"/>
                <w:lang w:val="sl-SI"/>
              </w:rPr>
              <w:t xml:space="preserve"> ECOC 2025</w:t>
            </w:r>
          </w:p>
        </w:tc>
        <w:tc>
          <w:tcPr>
            <w:tcW w:w="1418" w:type="dxa"/>
            <w:shd w:val="clear" w:color="auto" w:fill="EDEDED" w:themeFill="accent3" w:themeFillTint="33"/>
          </w:tcPr>
          <w:p w14:paraId="2A3540F4"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229.215</w:t>
            </w:r>
          </w:p>
        </w:tc>
        <w:tc>
          <w:tcPr>
            <w:tcW w:w="5103" w:type="dxa"/>
            <w:shd w:val="clear" w:color="auto" w:fill="EDEDED" w:themeFill="accent3" w:themeFillTint="33"/>
          </w:tcPr>
          <w:p w14:paraId="7D8F6873" w14:textId="77777777" w:rsidR="00E40BD5" w:rsidRPr="00B318A1" w:rsidRDefault="00E40BD5" w:rsidP="00E40BD5">
            <w:pPr>
              <w:rPr>
                <w:rFonts w:asciiTheme="minorHAnsi" w:hAnsiTheme="minorHAnsi" w:cstheme="minorHAnsi"/>
                <w:sz w:val="18"/>
                <w:szCs w:val="18"/>
                <w:lang w:val="sl-SI"/>
              </w:rPr>
            </w:pPr>
            <w:r w:rsidRPr="00B318A1">
              <w:rPr>
                <w:rFonts w:asciiTheme="minorHAnsi" w:hAnsiTheme="minorHAnsi" w:cstheme="minorHAnsi"/>
                <w:sz w:val="18"/>
                <w:szCs w:val="18"/>
                <w:lang w:val="sl-SI"/>
              </w:rPr>
              <w:t>Plače, prispevki delodajalca in drugi izdatki zaposlenim za delo na projektu EPK 2025</w:t>
            </w:r>
          </w:p>
          <w:p w14:paraId="580989F6" w14:textId="01A6F500" w:rsidR="00D773BF" w:rsidRPr="00C5097E" w:rsidRDefault="00E40BD5" w:rsidP="00E40BD5">
            <w:pPr>
              <w:rPr>
                <w:rFonts w:asciiTheme="minorHAnsi" w:hAnsiTheme="minorHAnsi" w:cstheme="minorHAnsi"/>
                <w:sz w:val="18"/>
                <w:szCs w:val="18"/>
                <w:lang w:val="sl-SI"/>
              </w:rPr>
            </w:pPr>
            <w:proofErr w:type="spellStart"/>
            <w:r w:rsidRPr="00B318A1">
              <w:rPr>
                <w:rFonts w:asciiTheme="minorHAnsi" w:hAnsiTheme="minorHAnsi" w:cstheme="minorHAnsi"/>
                <w:sz w:val="18"/>
                <w:szCs w:val="18"/>
                <w:lang w:val="sl-SI"/>
              </w:rPr>
              <w:t>Stipendi</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contributi</w:t>
            </w:r>
            <w:proofErr w:type="spellEnd"/>
            <w:r w:rsidRPr="00B318A1">
              <w:rPr>
                <w:rFonts w:asciiTheme="minorHAnsi" w:hAnsiTheme="minorHAnsi" w:cstheme="minorHAnsi"/>
                <w:sz w:val="18"/>
                <w:szCs w:val="18"/>
                <w:lang w:val="sl-SI"/>
              </w:rPr>
              <w:t xml:space="preserve"> del </w:t>
            </w:r>
            <w:proofErr w:type="spellStart"/>
            <w:r w:rsidRPr="00B318A1">
              <w:rPr>
                <w:rFonts w:asciiTheme="minorHAnsi" w:hAnsiTheme="minorHAnsi" w:cstheme="minorHAnsi"/>
                <w:sz w:val="18"/>
                <w:szCs w:val="18"/>
                <w:lang w:val="sl-SI"/>
              </w:rPr>
              <w:t>datore</w:t>
            </w:r>
            <w:proofErr w:type="spellEnd"/>
            <w:r w:rsidRPr="00B318A1">
              <w:rPr>
                <w:rFonts w:asciiTheme="minorHAnsi" w:hAnsiTheme="minorHAnsi" w:cstheme="minorHAnsi"/>
                <w:sz w:val="18"/>
                <w:szCs w:val="18"/>
                <w:lang w:val="sl-SI"/>
              </w:rPr>
              <w:t xml:space="preserve"> di </w:t>
            </w:r>
            <w:proofErr w:type="spellStart"/>
            <w:r w:rsidRPr="00B318A1">
              <w:rPr>
                <w:rFonts w:asciiTheme="minorHAnsi" w:hAnsiTheme="minorHAnsi" w:cstheme="minorHAnsi"/>
                <w:sz w:val="18"/>
                <w:szCs w:val="18"/>
                <w:lang w:val="sl-SI"/>
              </w:rPr>
              <w:t>lavoro</w:t>
            </w:r>
            <w:proofErr w:type="spellEnd"/>
            <w:r w:rsidRPr="00B318A1">
              <w:rPr>
                <w:rFonts w:asciiTheme="minorHAnsi" w:hAnsiTheme="minorHAnsi" w:cstheme="minorHAnsi"/>
                <w:sz w:val="18"/>
                <w:szCs w:val="18"/>
                <w:lang w:val="sl-SI"/>
              </w:rPr>
              <w:t xml:space="preserve"> e </w:t>
            </w:r>
            <w:proofErr w:type="spellStart"/>
            <w:r w:rsidRPr="00B318A1">
              <w:rPr>
                <w:rFonts w:asciiTheme="minorHAnsi" w:hAnsiTheme="minorHAnsi" w:cstheme="minorHAnsi"/>
                <w:sz w:val="18"/>
                <w:szCs w:val="18"/>
                <w:lang w:val="sl-SI"/>
              </w:rPr>
              <w:t>altre</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spese</w:t>
            </w:r>
            <w:proofErr w:type="spellEnd"/>
            <w:r w:rsidRPr="00B318A1">
              <w:rPr>
                <w:rFonts w:asciiTheme="minorHAnsi" w:hAnsiTheme="minorHAnsi" w:cstheme="minorHAnsi"/>
                <w:sz w:val="18"/>
                <w:szCs w:val="18"/>
                <w:lang w:val="sl-SI"/>
              </w:rPr>
              <w:t xml:space="preserve"> per i </w:t>
            </w:r>
            <w:proofErr w:type="spellStart"/>
            <w:r w:rsidRPr="00B318A1">
              <w:rPr>
                <w:rFonts w:asciiTheme="minorHAnsi" w:hAnsiTheme="minorHAnsi" w:cstheme="minorHAnsi"/>
                <w:sz w:val="18"/>
                <w:szCs w:val="18"/>
                <w:lang w:val="sl-SI"/>
              </w:rPr>
              <w:t>dipendenti</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che</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lavorano</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al</w:t>
            </w:r>
            <w:proofErr w:type="spellEnd"/>
            <w:r w:rsidRPr="00B318A1">
              <w:rPr>
                <w:rFonts w:asciiTheme="minorHAnsi" w:hAnsiTheme="minorHAnsi" w:cstheme="minorHAnsi"/>
                <w:sz w:val="18"/>
                <w:szCs w:val="18"/>
                <w:lang w:val="sl-SI"/>
              </w:rPr>
              <w:t xml:space="preserve"> </w:t>
            </w:r>
            <w:proofErr w:type="spellStart"/>
            <w:r w:rsidRPr="00B318A1">
              <w:rPr>
                <w:rFonts w:asciiTheme="minorHAnsi" w:hAnsiTheme="minorHAnsi" w:cstheme="minorHAnsi"/>
                <w:sz w:val="18"/>
                <w:szCs w:val="18"/>
                <w:lang w:val="sl-SI"/>
              </w:rPr>
              <w:t>progetto</w:t>
            </w:r>
            <w:proofErr w:type="spellEnd"/>
            <w:r w:rsidRPr="00B318A1">
              <w:rPr>
                <w:rFonts w:asciiTheme="minorHAnsi" w:hAnsiTheme="minorHAnsi" w:cstheme="minorHAnsi"/>
                <w:sz w:val="18"/>
                <w:szCs w:val="18"/>
                <w:lang w:val="sl-SI"/>
              </w:rPr>
              <w:t xml:space="preserve"> ECOC 2025</w:t>
            </w:r>
          </w:p>
        </w:tc>
        <w:tc>
          <w:tcPr>
            <w:tcW w:w="1276" w:type="dxa"/>
            <w:shd w:val="clear" w:color="auto" w:fill="EDEDED" w:themeFill="accent3" w:themeFillTint="33"/>
          </w:tcPr>
          <w:p w14:paraId="00FE7A7D" w14:textId="77777777" w:rsidR="00D773BF" w:rsidRPr="00C5097E" w:rsidRDefault="00D773BF" w:rsidP="000C3292">
            <w:pPr>
              <w:rPr>
                <w:rFonts w:asciiTheme="minorHAnsi" w:hAnsiTheme="minorHAnsi" w:cstheme="minorHAnsi"/>
                <w:sz w:val="18"/>
                <w:szCs w:val="18"/>
                <w:lang w:val="sl-SI"/>
              </w:rPr>
            </w:pPr>
          </w:p>
          <w:p w14:paraId="3DADB1E7" w14:textId="5DCEF076" w:rsidR="00D773BF" w:rsidRPr="00C5097E" w:rsidRDefault="00E40BD5" w:rsidP="000C3292">
            <w:pPr>
              <w:jc w:val="center"/>
              <w:rPr>
                <w:rFonts w:asciiTheme="minorHAnsi" w:hAnsiTheme="minorHAnsi" w:cstheme="minorHAnsi"/>
                <w:sz w:val="18"/>
                <w:szCs w:val="18"/>
                <w:lang w:val="sl-SI"/>
              </w:rPr>
            </w:pPr>
            <w:r>
              <w:rPr>
                <w:rFonts w:asciiTheme="minorHAnsi" w:hAnsiTheme="minorHAnsi" w:cstheme="minorHAnsi"/>
                <w:sz w:val="18"/>
                <w:szCs w:val="18"/>
                <w:lang w:val="sl-SI"/>
              </w:rPr>
              <w:t>102.000</w:t>
            </w:r>
          </w:p>
        </w:tc>
      </w:tr>
      <w:tr w:rsidR="00D773BF" w:rsidRPr="00E86598" w14:paraId="54155524" w14:textId="77777777" w:rsidTr="00B318A1">
        <w:trPr>
          <w:trHeight w:val="549"/>
        </w:trPr>
        <w:tc>
          <w:tcPr>
            <w:tcW w:w="1279" w:type="dxa"/>
            <w:shd w:val="clear" w:color="auto" w:fill="EDEDED" w:themeFill="accent3" w:themeFillTint="33"/>
          </w:tcPr>
          <w:p w14:paraId="3C02E770" w14:textId="77777777" w:rsidR="00D773BF" w:rsidRPr="002C567D" w:rsidRDefault="00D773BF" w:rsidP="000C3292">
            <w:pPr>
              <w:rPr>
                <w:rFonts w:asciiTheme="minorHAnsi" w:hAnsiTheme="minorHAnsi" w:cstheme="minorHAnsi"/>
                <w:b/>
                <w:bCs/>
                <w:sz w:val="20"/>
                <w:szCs w:val="20"/>
                <w:lang w:val="sl-SI"/>
              </w:rPr>
            </w:pPr>
          </w:p>
        </w:tc>
        <w:tc>
          <w:tcPr>
            <w:tcW w:w="4953" w:type="dxa"/>
            <w:shd w:val="clear" w:color="auto" w:fill="EDEDED" w:themeFill="accent3" w:themeFillTint="33"/>
          </w:tcPr>
          <w:p w14:paraId="56757BB1" w14:textId="77777777" w:rsidR="00D773BF" w:rsidRPr="00C5097E" w:rsidRDefault="00D773BF" w:rsidP="000C3292">
            <w:pPr>
              <w:rPr>
                <w:rFonts w:asciiTheme="minorHAnsi" w:hAnsiTheme="minorHAnsi" w:cstheme="minorHAnsi"/>
                <w:sz w:val="18"/>
                <w:szCs w:val="18"/>
                <w:lang w:val="sl-SI"/>
              </w:rPr>
            </w:pPr>
            <w:r w:rsidRPr="00C5097E">
              <w:rPr>
                <w:rFonts w:asciiTheme="minorHAnsi" w:hAnsiTheme="minorHAnsi" w:cstheme="minorHAnsi"/>
                <w:sz w:val="18"/>
                <w:szCs w:val="18"/>
                <w:lang w:val="sl-SI"/>
              </w:rPr>
              <w:t>Investicijski odhodki</w:t>
            </w:r>
          </w:p>
          <w:p w14:paraId="7417247E" w14:textId="77777777" w:rsidR="00D773BF" w:rsidRPr="00C5097E" w:rsidRDefault="00D773BF" w:rsidP="000C3292">
            <w:pPr>
              <w:rPr>
                <w:rFonts w:asciiTheme="minorHAnsi" w:hAnsiTheme="minorHAnsi" w:cstheme="minorHAnsi"/>
                <w:sz w:val="18"/>
                <w:szCs w:val="18"/>
                <w:lang w:val="sl-SI"/>
              </w:rPr>
            </w:pPr>
            <w:proofErr w:type="spellStart"/>
            <w:r w:rsidRPr="00C5097E">
              <w:rPr>
                <w:rFonts w:asciiTheme="minorHAnsi" w:hAnsiTheme="minorHAnsi" w:cstheme="minorHAnsi"/>
                <w:sz w:val="18"/>
                <w:szCs w:val="18"/>
                <w:lang w:val="sl-SI"/>
              </w:rPr>
              <w:t>Spese</w:t>
            </w:r>
            <w:proofErr w:type="spellEnd"/>
            <w:r w:rsidRPr="00C5097E">
              <w:rPr>
                <w:rFonts w:asciiTheme="minorHAnsi" w:hAnsiTheme="minorHAnsi" w:cstheme="minorHAnsi"/>
                <w:sz w:val="18"/>
                <w:szCs w:val="18"/>
                <w:lang w:val="sl-SI"/>
              </w:rPr>
              <w:t xml:space="preserve"> di </w:t>
            </w:r>
            <w:proofErr w:type="spellStart"/>
            <w:r w:rsidRPr="00C5097E">
              <w:rPr>
                <w:rFonts w:asciiTheme="minorHAnsi" w:hAnsiTheme="minorHAnsi" w:cstheme="minorHAnsi"/>
                <w:sz w:val="18"/>
                <w:szCs w:val="18"/>
                <w:lang w:val="sl-SI"/>
              </w:rPr>
              <w:t>capitale</w:t>
            </w:r>
            <w:proofErr w:type="spellEnd"/>
          </w:p>
        </w:tc>
        <w:tc>
          <w:tcPr>
            <w:tcW w:w="1418" w:type="dxa"/>
            <w:shd w:val="clear" w:color="auto" w:fill="EDEDED" w:themeFill="accent3" w:themeFillTint="33"/>
          </w:tcPr>
          <w:p w14:paraId="36DFE4E5" w14:textId="77777777" w:rsidR="00D773BF" w:rsidRPr="00C5097E" w:rsidRDefault="00D773BF" w:rsidP="000C3292">
            <w:pPr>
              <w:jc w:val="center"/>
              <w:rPr>
                <w:rFonts w:asciiTheme="minorHAnsi" w:hAnsiTheme="minorHAnsi" w:cstheme="minorHAnsi"/>
                <w:sz w:val="18"/>
                <w:szCs w:val="18"/>
                <w:lang w:val="sl-SI"/>
              </w:rPr>
            </w:pPr>
            <w:r w:rsidRPr="00C5097E">
              <w:rPr>
                <w:rFonts w:asciiTheme="minorHAnsi" w:hAnsiTheme="minorHAnsi" w:cstheme="minorHAnsi"/>
                <w:sz w:val="18"/>
                <w:szCs w:val="18"/>
                <w:lang w:val="sl-SI"/>
              </w:rPr>
              <w:t>26.000</w:t>
            </w:r>
          </w:p>
        </w:tc>
        <w:tc>
          <w:tcPr>
            <w:tcW w:w="5103" w:type="dxa"/>
            <w:shd w:val="clear" w:color="auto" w:fill="EDEDED" w:themeFill="accent3" w:themeFillTint="33"/>
          </w:tcPr>
          <w:p w14:paraId="465CE70E" w14:textId="77777777" w:rsidR="00D773BF" w:rsidRPr="00C5097E" w:rsidRDefault="00D773BF" w:rsidP="000C3292">
            <w:pPr>
              <w:rPr>
                <w:rFonts w:asciiTheme="minorHAnsi" w:hAnsiTheme="minorHAnsi" w:cstheme="minorHAnsi"/>
                <w:sz w:val="18"/>
                <w:szCs w:val="18"/>
                <w:lang w:val="sl-SI"/>
              </w:rPr>
            </w:pPr>
          </w:p>
        </w:tc>
        <w:tc>
          <w:tcPr>
            <w:tcW w:w="1276" w:type="dxa"/>
            <w:shd w:val="clear" w:color="auto" w:fill="EDEDED" w:themeFill="accent3" w:themeFillTint="33"/>
          </w:tcPr>
          <w:p w14:paraId="7518D0F6" w14:textId="77777777" w:rsidR="00D773BF" w:rsidRPr="00C5097E" w:rsidRDefault="00D773BF" w:rsidP="000C3292">
            <w:pPr>
              <w:rPr>
                <w:rFonts w:asciiTheme="minorHAnsi" w:hAnsiTheme="minorHAnsi" w:cstheme="minorHAnsi"/>
                <w:sz w:val="18"/>
                <w:szCs w:val="18"/>
                <w:lang w:val="sl-SI"/>
              </w:rPr>
            </w:pPr>
          </w:p>
        </w:tc>
      </w:tr>
      <w:tr w:rsidR="00D773BF" w:rsidRPr="00E86598" w14:paraId="1BC4EC0F" w14:textId="77777777" w:rsidTr="00B318A1">
        <w:tc>
          <w:tcPr>
            <w:tcW w:w="1279" w:type="dxa"/>
          </w:tcPr>
          <w:p w14:paraId="517035F2" w14:textId="77777777" w:rsidR="00D773BF" w:rsidRPr="002C567D" w:rsidRDefault="00D773BF" w:rsidP="000C3292">
            <w:pPr>
              <w:rPr>
                <w:rFonts w:asciiTheme="minorHAnsi" w:hAnsiTheme="minorHAnsi" w:cstheme="minorHAnsi"/>
                <w:b/>
                <w:bCs/>
                <w:sz w:val="20"/>
                <w:szCs w:val="20"/>
                <w:lang w:val="sl-SI"/>
              </w:rPr>
            </w:pPr>
          </w:p>
        </w:tc>
        <w:tc>
          <w:tcPr>
            <w:tcW w:w="4953" w:type="dxa"/>
          </w:tcPr>
          <w:p w14:paraId="58D26605" w14:textId="77777777" w:rsidR="00D773BF" w:rsidRPr="00541D03" w:rsidRDefault="00D773BF" w:rsidP="000C3292">
            <w:pPr>
              <w:rPr>
                <w:rFonts w:asciiTheme="minorHAnsi" w:hAnsiTheme="minorHAnsi" w:cstheme="minorHAnsi"/>
                <w:sz w:val="18"/>
                <w:szCs w:val="18"/>
                <w:lang w:val="sl-SI"/>
              </w:rPr>
            </w:pPr>
          </w:p>
        </w:tc>
        <w:tc>
          <w:tcPr>
            <w:tcW w:w="1418" w:type="dxa"/>
          </w:tcPr>
          <w:p w14:paraId="1AA0B73E" w14:textId="77777777" w:rsidR="00D773BF" w:rsidRPr="00541D03" w:rsidRDefault="00D773BF" w:rsidP="000C3292">
            <w:pPr>
              <w:jc w:val="center"/>
              <w:rPr>
                <w:rFonts w:asciiTheme="minorHAnsi" w:hAnsiTheme="minorHAnsi" w:cstheme="minorHAnsi"/>
                <w:sz w:val="18"/>
                <w:szCs w:val="18"/>
                <w:lang w:val="sl-SI"/>
              </w:rPr>
            </w:pPr>
          </w:p>
        </w:tc>
        <w:tc>
          <w:tcPr>
            <w:tcW w:w="5103" w:type="dxa"/>
          </w:tcPr>
          <w:p w14:paraId="22A28ECE" w14:textId="77777777" w:rsidR="00D773BF" w:rsidRPr="00541D03" w:rsidRDefault="00D773BF" w:rsidP="000C3292">
            <w:pPr>
              <w:rPr>
                <w:rFonts w:asciiTheme="minorHAnsi" w:hAnsiTheme="minorHAnsi" w:cstheme="minorHAnsi"/>
                <w:sz w:val="18"/>
                <w:szCs w:val="18"/>
                <w:lang w:val="sl-SI"/>
              </w:rPr>
            </w:pPr>
          </w:p>
        </w:tc>
        <w:tc>
          <w:tcPr>
            <w:tcW w:w="1276" w:type="dxa"/>
          </w:tcPr>
          <w:p w14:paraId="514D410A" w14:textId="77777777" w:rsidR="00D773BF" w:rsidRPr="002C567D" w:rsidRDefault="00D773BF" w:rsidP="000C3292">
            <w:pPr>
              <w:jc w:val="center"/>
              <w:rPr>
                <w:rFonts w:asciiTheme="minorHAnsi" w:hAnsiTheme="minorHAnsi" w:cstheme="minorHAnsi"/>
                <w:sz w:val="18"/>
                <w:szCs w:val="18"/>
                <w:lang w:val="sl-SI"/>
              </w:rPr>
            </w:pPr>
          </w:p>
        </w:tc>
      </w:tr>
      <w:tr w:rsidR="00D773BF" w:rsidRPr="00C24451" w14:paraId="03C91EE5" w14:textId="77777777" w:rsidTr="00B318A1">
        <w:tc>
          <w:tcPr>
            <w:tcW w:w="1279" w:type="dxa"/>
            <w:shd w:val="clear" w:color="auto" w:fill="CCFF99"/>
          </w:tcPr>
          <w:p w14:paraId="6CA0C39A" w14:textId="77777777" w:rsidR="00D773BF" w:rsidRPr="00C24451" w:rsidRDefault="00D773BF" w:rsidP="000C3292">
            <w:pPr>
              <w:rPr>
                <w:rFonts w:asciiTheme="minorHAnsi" w:hAnsiTheme="minorHAnsi" w:cstheme="minorHAnsi"/>
                <w:b/>
                <w:bCs/>
                <w:lang w:val="sl-SI"/>
              </w:rPr>
            </w:pPr>
            <w:r w:rsidRPr="00C24451">
              <w:rPr>
                <w:rFonts w:asciiTheme="minorHAnsi" w:hAnsiTheme="minorHAnsi" w:cstheme="minorHAnsi"/>
                <w:b/>
                <w:bCs/>
                <w:lang w:val="sl-SI"/>
              </w:rPr>
              <w:t>TOT:</w:t>
            </w:r>
          </w:p>
        </w:tc>
        <w:tc>
          <w:tcPr>
            <w:tcW w:w="4953" w:type="dxa"/>
            <w:shd w:val="clear" w:color="auto" w:fill="CCFF99"/>
          </w:tcPr>
          <w:p w14:paraId="6E7CE813" w14:textId="77777777" w:rsidR="00D773BF" w:rsidRPr="00C24451" w:rsidRDefault="00D773BF" w:rsidP="000C3292">
            <w:pPr>
              <w:rPr>
                <w:rFonts w:asciiTheme="minorHAnsi" w:hAnsiTheme="minorHAnsi" w:cstheme="minorHAnsi"/>
                <w:b/>
                <w:bCs/>
                <w:lang w:val="sl-SI"/>
              </w:rPr>
            </w:pPr>
          </w:p>
        </w:tc>
        <w:tc>
          <w:tcPr>
            <w:tcW w:w="1418" w:type="dxa"/>
            <w:shd w:val="clear" w:color="auto" w:fill="CCFF99"/>
          </w:tcPr>
          <w:p w14:paraId="48E007EE" w14:textId="77777777" w:rsidR="00D773BF" w:rsidRPr="00C24451" w:rsidRDefault="00D773BF" w:rsidP="000C3292">
            <w:pPr>
              <w:jc w:val="center"/>
              <w:rPr>
                <w:rFonts w:asciiTheme="minorHAnsi" w:hAnsiTheme="minorHAnsi" w:cstheme="minorHAnsi"/>
                <w:b/>
                <w:bCs/>
                <w:lang w:val="sl-SI"/>
              </w:rPr>
            </w:pPr>
            <w:r w:rsidRPr="00C24451">
              <w:rPr>
                <w:rFonts w:asciiTheme="minorHAnsi" w:hAnsiTheme="minorHAnsi" w:cstheme="minorHAnsi"/>
                <w:b/>
                <w:bCs/>
                <w:lang w:val="sl-SI"/>
              </w:rPr>
              <w:t>1.175.870</w:t>
            </w:r>
          </w:p>
        </w:tc>
        <w:tc>
          <w:tcPr>
            <w:tcW w:w="5103" w:type="dxa"/>
            <w:shd w:val="clear" w:color="auto" w:fill="CCFF99"/>
          </w:tcPr>
          <w:p w14:paraId="559D0602" w14:textId="77777777" w:rsidR="00D773BF" w:rsidRPr="00C24451" w:rsidRDefault="00D773BF" w:rsidP="000C3292">
            <w:pPr>
              <w:rPr>
                <w:rFonts w:asciiTheme="minorHAnsi" w:hAnsiTheme="minorHAnsi" w:cstheme="minorHAnsi"/>
                <w:b/>
                <w:bCs/>
                <w:lang w:val="sl-SI"/>
              </w:rPr>
            </w:pPr>
          </w:p>
        </w:tc>
        <w:tc>
          <w:tcPr>
            <w:tcW w:w="1276" w:type="dxa"/>
            <w:shd w:val="clear" w:color="auto" w:fill="CCFF99"/>
          </w:tcPr>
          <w:p w14:paraId="03FC5EAF" w14:textId="1E2F10DC" w:rsidR="00D773BF" w:rsidRPr="00C24451" w:rsidRDefault="00E40BD5" w:rsidP="000C3292">
            <w:pPr>
              <w:jc w:val="center"/>
              <w:rPr>
                <w:rFonts w:asciiTheme="minorHAnsi" w:hAnsiTheme="minorHAnsi" w:cstheme="minorHAnsi"/>
                <w:b/>
                <w:bCs/>
                <w:lang w:val="sl-SI"/>
              </w:rPr>
            </w:pPr>
            <w:r>
              <w:rPr>
                <w:rFonts w:asciiTheme="minorHAnsi" w:hAnsiTheme="minorHAnsi" w:cstheme="minorHAnsi"/>
                <w:b/>
                <w:bCs/>
                <w:lang w:val="sl-SI"/>
              </w:rPr>
              <w:t>864.500</w:t>
            </w:r>
          </w:p>
        </w:tc>
      </w:tr>
    </w:tbl>
    <w:p w14:paraId="55B2D6F6" w14:textId="77777777" w:rsidR="00D773BF" w:rsidRPr="0084433F" w:rsidRDefault="00D773BF" w:rsidP="00D773BF">
      <w:pPr>
        <w:rPr>
          <w:rFonts w:ascii="Arial" w:hAnsi="Arial" w:cs="Arial"/>
          <w:sz w:val="21"/>
          <w:szCs w:val="21"/>
          <w:lang w:val="sl-SI"/>
        </w:rPr>
      </w:pPr>
    </w:p>
    <w:p w14:paraId="3DBC516E" w14:textId="493B65CD" w:rsidR="006A033C" w:rsidRPr="0084433F" w:rsidRDefault="006A033C" w:rsidP="00D773BF">
      <w:pPr>
        <w:spacing w:before="113" w:after="113" w:line="276" w:lineRule="auto"/>
        <w:jc w:val="center"/>
        <w:rPr>
          <w:rFonts w:ascii="Arial" w:hAnsi="Arial" w:cs="Arial"/>
          <w:sz w:val="21"/>
          <w:szCs w:val="21"/>
          <w:lang w:val="sl-SI"/>
        </w:rPr>
      </w:pPr>
    </w:p>
    <w:sectPr w:rsidR="006A033C" w:rsidRPr="0084433F" w:rsidSect="00D773BF">
      <w:footerReference w:type="default" r:id="rId14"/>
      <w:headerReference w:type="first" r:id="rId15"/>
      <w:pgSz w:w="16838" w:h="11906" w:orient="landscape" w:code="9"/>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E7E42" w14:textId="77777777" w:rsidR="00FA1B09" w:rsidRDefault="00FA1B09" w:rsidP="00A65D94">
      <w:r>
        <w:separator/>
      </w:r>
    </w:p>
  </w:endnote>
  <w:endnote w:type="continuationSeparator" w:id="0">
    <w:p w14:paraId="5D58B33E" w14:textId="77777777" w:rsidR="00FA1B09" w:rsidRDefault="00FA1B09" w:rsidP="00A6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ndara">
    <w:panose1 w:val="020E0502030303020204"/>
    <w:charset w:val="EE"/>
    <w:family w:val="swiss"/>
    <w:pitch w:val="variable"/>
    <w:sig w:usb0="A00002EF" w:usb1="4000A44B" w:usb2="00000000" w:usb3="00000000" w:csb0="0000019F" w:csb1="00000000"/>
  </w:font>
  <w:font w:name="Uni Sans Bold">
    <w:altName w:val="Yu Gothic"/>
    <w:panose1 w:val="00000000000000000000"/>
    <w:charset w:val="00"/>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494875"/>
      <w:docPartObj>
        <w:docPartGallery w:val="Page Numbers (Bottom of Page)"/>
        <w:docPartUnique/>
      </w:docPartObj>
    </w:sdtPr>
    <w:sdtEndPr>
      <w:rPr>
        <w:rFonts w:ascii="Arial" w:hAnsi="Arial" w:cs="Arial"/>
        <w:sz w:val="22"/>
        <w:szCs w:val="22"/>
      </w:rPr>
    </w:sdtEndPr>
    <w:sdtContent>
      <w:p w14:paraId="22800CEC" w14:textId="77777777" w:rsidR="00D773BF" w:rsidRPr="00A65D94" w:rsidRDefault="00D773BF" w:rsidP="00A65D94">
        <w:pPr>
          <w:pStyle w:val="Noga"/>
          <w:jc w:val="right"/>
          <w:rPr>
            <w:rFonts w:ascii="Arial" w:hAnsi="Arial" w:cs="Arial"/>
            <w:sz w:val="22"/>
            <w:szCs w:val="22"/>
          </w:rPr>
        </w:pPr>
        <w:r w:rsidRPr="00A65D94">
          <w:rPr>
            <w:rFonts w:ascii="Arial" w:hAnsi="Arial" w:cs="Arial"/>
            <w:sz w:val="22"/>
            <w:szCs w:val="22"/>
          </w:rPr>
          <w:fldChar w:fldCharType="begin"/>
        </w:r>
        <w:r w:rsidRPr="00A65D94">
          <w:rPr>
            <w:rFonts w:ascii="Arial" w:hAnsi="Arial" w:cs="Arial"/>
            <w:sz w:val="22"/>
            <w:szCs w:val="22"/>
          </w:rPr>
          <w:instrText>PAGE   \* MERGEFORMAT</w:instrText>
        </w:r>
        <w:r w:rsidRPr="00A65D94">
          <w:rPr>
            <w:rFonts w:ascii="Arial" w:hAnsi="Arial" w:cs="Arial"/>
            <w:sz w:val="22"/>
            <w:szCs w:val="22"/>
          </w:rPr>
          <w:fldChar w:fldCharType="separate"/>
        </w:r>
        <w:r w:rsidRPr="00A65D94">
          <w:rPr>
            <w:rFonts w:ascii="Arial" w:hAnsi="Arial" w:cs="Arial"/>
            <w:sz w:val="22"/>
            <w:szCs w:val="22"/>
            <w:lang w:val="sl-SI"/>
          </w:rPr>
          <w:t>2</w:t>
        </w:r>
        <w:r w:rsidRPr="00A65D94">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4495"/>
      <w:docPartObj>
        <w:docPartGallery w:val="Page Numbers (Bottom of Page)"/>
        <w:docPartUnique/>
      </w:docPartObj>
    </w:sdtPr>
    <w:sdtEndPr>
      <w:rPr>
        <w:rFonts w:ascii="Arial" w:hAnsi="Arial" w:cs="Arial"/>
        <w:sz w:val="22"/>
        <w:szCs w:val="22"/>
      </w:rPr>
    </w:sdtEndPr>
    <w:sdtContent>
      <w:p w14:paraId="2B066BEB" w14:textId="77777777" w:rsidR="0098033C" w:rsidRPr="00A65D94" w:rsidRDefault="0098033C" w:rsidP="00A65D94">
        <w:pPr>
          <w:pStyle w:val="Noga"/>
          <w:jc w:val="right"/>
          <w:rPr>
            <w:rFonts w:ascii="Arial" w:hAnsi="Arial" w:cs="Arial"/>
            <w:sz w:val="22"/>
            <w:szCs w:val="22"/>
          </w:rPr>
        </w:pPr>
        <w:r w:rsidRPr="00A65D94">
          <w:rPr>
            <w:rFonts w:ascii="Arial" w:hAnsi="Arial" w:cs="Arial"/>
            <w:sz w:val="22"/>
            <w:szCs w:val="22"/>
          </w:rPr>
          <w:fldChar w:fldCharType="begin"/>
        </w:r>
        <w:r w:rsidRPr="00A65D94">
          <w:rPr>
            <w:rFonts w:ascii="Arial" w:hAnsi="Arial" w:cs="Arial"/>
            <w:sz w:val="22"/>
            <w:szCs w:val="22"/>
          </w:rPr>
          <w:instrText>PAGE   \* MERGEFORMAT</w:instrText>
        </w:r>
        <w:r w:rsidRPr="00A65D94">
          <w:rPr>
            <w:rFonts w:ascii="Arial" w:hAnsi="Arial" w:cs="Arial"/>
            <w:sz w:val="22"/>
            <w:szCs w:val="22"/>
          </w:rPr>
          <w:fldChar w:fldCharType="separate"/>
        </w:r>
        <w:r w:rsidRPr="00A65D94">
          <w:rPr>
            <w:rFonts w:ascii="Arial" w:hAnsi="Arial" w:cs="Arial"/>
            <w:sz w:val="22"/>
            <w:szCs w:val="22"/>
            <w:lang w:val="sl-SI"/>
          </w:rPr>
          <w:t>2</w:t>
        </w:r>
        <w:r w:rsidRPr="00A65D94">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35C0" w14:textId="77777777" w:rsidR="00FA1B09" w:rsidRDefault="00FA1B09" w:rsidP="00A65D94">
      <w:r>
        <w:separator/>
      </w:r>
    </w:p>
  </w:footnote>
  <w:footnote w:type="continuationSeparator" w:id="0">
    <w:p w14:paraId="2D300D9D" w14:textId="77777777" w:rsidR="00FA1B09" w:rsidRDefault="00FA1B09" w:rsidP="00A6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6B87" w14:textId="77777777" w:rsidR="00D773BF" w:rsidRDefault="00D773BF" w:rsidP="00D6726E">
    <w:pPr>
      <w:pStyle w:val="Glava"/>
      <w:tabs>
        <w:tab w:val="clear" w:pos="4513"/>
        <w:tab w:val="clear" w:pos="9026"/>
        <w:tab w:val="left" w:pos="10150"/>
      </w:tabs>
    </w:pPr>
    <w:r>
      <w:rPr>
        <w:noProof/>
      </w:rPr>
      <w:drawing>
        <wp:anchor distT="0" distB="0" distL="114300" distR="114300" simplePos="0" relativeHeight="251660288" behindDoc="0" locked="0" layoutInCell="1" allowOverlap="1" wp14:anchorId="2B2E42BB" wp14:editId="28C2B788">
          <wp:simplePos x="0" y="0"/>
          <wp:positionH relativeFrom="column">
            <wp:posOffset>4679315</wp:posOffset>
          </wp:positionH>
          <wp:positionV relativeFrom="paragraph">
            <wp:posOffset>-126129</wp:posOffset>
          </wp:positionV>
          <wp:extent cx="1507453" cy="596265"/>
          <wp:effectExtent l="0" t="0" r="0" b="0"/>
          <wp:wrapNone/>
          <wp:docPr id="6"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53" cy="596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07ADB4" wp14:editId="2E9FAF4E">
          <wp:extent cx="1525527" cy="466345"/>
          <wp:effectExtent l="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1525527" cy="466345"/>
                  </a:xfrm>
                  <a:prstGeom prst="rect">
                    <a:avLst/>
                  </a:prstGeom>
                </pic:spPr>
              </pic:pic>
            </a:graphicData>
          </a:graphic>
        </wp:inline>
      </w:drawing>
    </w:r>
    <w:r>
      <w:tab/>
    </w:r>
  </w:p>
  <w:p w14:paraId="7AD9F707" w14:textId="77777777" w:rsidR="00D773BF" w:rsidRDefault="00D773BF" w:rsidP="00D6726E">
    <w:pPr>
      <w:pStyle w:val="Glava"/>
      <w:tabs>
        <w:tab w:val="clear" w:pos="4513"/>
        <w:tab w:val="clear" w:pos="9026"/>
        <w:tab w:val="left" w:pos="101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16FB" w14:textId="7632D784" w:rsidR="00C460E5" w:rsidRDefault="00C460E5" w:rsidP="00D6726E">
    <w:pPr>
      <w:pStyle w:val="Glava"/>
      <w:tabs>
        <w:tab w:val="clear" w:pos="4513"/>
        <w:tab w:val="clear" w:pos="9026"/>
        <w:tab w:val="left" w:pos="10150"/>
      </w:tabs>
    </w:pPr>
    <w:r>
      <w:rPr>
        <w:noProof/>
      </w:rPr>
      <w:drawing>
        <wp:anchor distT="0" distB="0" distL="114300" distR="114300" simplePos="0" relativeHeight="251658240" behindDoc="0" locked="0" layoutInCell="1" allowOverlap="1" wp14:anchorId="4C5E0257" wp14:editId="44718808">
          <wp:simplePos x="0" y="0"/>
          <wp:positionH relativeFrom="column">
            <wp:posOffset>4679315</wp:posOffset>
          </wp:positionH>
          <wp:positionV relativeFrom="paragraph">
            <wp:posOffset>-126129</wp:posOffset>
          </wp:positionV>
          <wp:extent cx="1507453" cy="596265"/>
          <wp:effectExtent l="0" t="0" r="0" b="0"/>
          <wp:wrapNone/>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53" cy="596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5EF416" wp14:editId="1A97EECE">
          <wp:extent cx="1525527" cy="4663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1525527" cy="466345"/>
                  </a:xfrm>
                  <a:prstGeom prst="rect">
                    <a:avLst/>
                  </a:prstGeom>
                </pic:spPr>
              </pic:pic>
            </a:graphicData>
          </a:graphic>
        </wp:inline>
      </w:drawing>
    </w:r>
    <w:r w:rsidR="00D6726E">
      <w:tab/>
    </w:r>
  </w:p>
  <w:p w14:paraId="106E8898" w14:textId="77777777" w:rsidR="00D6726E" w:rsidRDefault="00D6726E" w:rsidP="00D6726E">
    <w:pPr>
      <w:pStyle w:val="Glava"/>
      <w:tabs>
        <w:tab w:val="clear" w:pos="4513"/>
        <w:tab w:val="clear" w:pos="9026"/>
        <w:tab w:val="left" w:pos="101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79C"/>
    <w:multiLevelType w:val="hybridMultilevel"/>
    <w:tmpl w:val="5110249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B3B65"/>
    <w:multiLevelType w:val="hybridMultilevel"/>
    <w:tmpl w:val="BFF8F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35017"/>
    <w:multiLevelType w:val="hybridMultilevel"/>
    <w:tmpl w:val="9BD0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020FA"/>
    <w:multiLevelType w:val="multilevel"/>
    <w:tmpl w:val="0E98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813AB9"/>
    <w:multiLevelType w:val="hybridMultilevel"/>
    <w:tmpl w:val="ABE4DE54"/>
    <w:lvl w:ilvl="0" w:tplc="6B04F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E4D6A"/>
    <w:multiLevelType w:val="hybridMultilevel"/>
    <w:tmpl w:val="A74EE270"/>
    <w:lvl w:ilvl="0" w:tplc="6F2434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4A00ED"/>
    <w:multiLevelType w:val="multilevel"/>
    <w:tmpl w:val="53B6C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F2A29"/>
    <w:multiLevelType w:val="hybridMultilevel"/>
    <w:tmpl w:val="828A8390"/>
    <w:lvl w:ilvl="0" w:tplc="C7EE8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A44B0"/>
    <w:multiLevelType w:val="hybridMultilevel"/>
    <w:tmpl w:val="A98C13AC"/>
    <w:lvl w:ilvl="0" w:tplc="B31A8F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E3B0A"/>
    <w:multiLevelType w:val="hybridMultilevel"/>
    <w:tmpl w:val="372C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90386"/>
    <w:multiLevelType w:val="hybridMultilevel"/>
    <w:tmpl w:val="CF0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1713E"/>
    <w:multiLevelType w:val="multilevel"/>
    <w:tmpl w:val="0E98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F0AD7"/>
    <w:multiLevelType w:val="hybridMultilevel"/>
    <w:tmpl w:val="0CD24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FD3220"/>
    <w:multiLevelType w:val="multilevel"/>
    <w:tmpl w:val="495228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37424"/>
    <w:multiLevelType w:val="multilevel"/>
    <w:tmpl w:val="6234045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35334"/>
    <w:multiLevelType w:val="hybridMultilevel"/>
    <w:tmpl w:val="3EE06B70"/>
    <w:lvl w:ilvl="0" w:tplc="6FE29DCC">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712AD"/>
    <w:multiLevelType w:val="hybridMultilevel"/>
    <w:tmpl w:val="721A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412CB"/>
    <w:multiLevelType w:val="multilevel"/>
    <w:tmpl w:val="3EF0D9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243A6D"/>
    <w:multiLevelType w:val="hybridMultilevel"/>
    <w:tmpl w:val="5110249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CF5683"/>
    <w:multiLevelType w:val="hybridMultilevel"/>
    <w:tmpl w:val="A4B4FC7C"/>
    <w:lvl w:ilvl="0" w:tplc="B55E4CF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ACF47FD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5521B"/>
    <w:multiLevelType w:val="hybridMultilevel"/>
    <w:tmpl w:val="A11C1C1C"/>
    <w:lvl w:ilvl="0" w:tplc="B2C835D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E52E7"/>
    <w:multiLevelType w:val="hybridMultilevel"/>
    <w:tmpl w:val="9844EC06"/>
    <w:lvl w:ilvl="0" w:tplc="ECC6E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C0D17"/>
    <w:multiLevelType w:val="multilevel"/>
    <w:tmpl w:val="0E98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19C4DE8"/>
    <w:multiLevelType w:val="hybridMultilevel"/>
    <w:tmpl w:val="0CD246A6"/>
    <w:lvl w:ilvl="0" w:tplc="A852C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95078"/>
    <w:multiLevelType w:val="hybridMultilevel"/>
    <w:tmpl w:val="7DD8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1E14"/>
    <w:multiLevelType w:val="multilevel"/>
    <w:tmpl w:val="F350C5D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207D5"/>
    <w:multiLevelType w:val="hybridMultilevel"/>
    <w:tmpl w:val="2A7C2EFA"/>
    <w:lvl w:ilvl="0" w:tplc="6F2434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706D8E"/>
    <w:multiLevelType w:val="multilevel"/>
    <w:tmpl w:val="777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554DE"/>
    <w:multiLevelType w:val="hybridMultilevel"/>
    <w:tmpl w:val="0F9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8E6AA0"/>
    <w:multiLevelType w:val="hybridMultilevel"/>
    <w:tmpl w:val="53C4DD70"/>
    <w:lvl w:ilvl="0" w:tplc="79040E84">
      <w:start w:val="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6C4B5F"/>
    <w:multiLevelType w:val="multilevel"/>
    <w:tmpl w:val="0E98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AB5D29"/>
    <w:multiLevelType w:val="hybridMultilevel"/>
    <w:tmpl w:val="91F03DE6"/>
    <w:lvl w:ilvl="0" w:tplc="D77669E2">
      <w:start w:val="1"/>
      <w:numFmt w:val="lowerRoman"/>
      <w:lvlText w:val="(%1)"/>
      <w:lvlJc w:val="left"/>
      <w:pPr>
        <w:ind w:left="771" w:hanging="720"/>
      </w:pPr>
      <w:rPr>
        <w:rFonts w:hint="default"/>
      </w:rPr>
    </w:lvl>
    <w:lvl w:ilvl="1" w:tplc="04240019" w:tentative="1">
      <w:start w:val="1"/>
      <w:numFmt w:val="lowerLetter"/>
      <w:lvlText w:val="%2."/>
      <w:lvlJc w:val="left"/>
      <w:pPr>
        <w:ind w:left="1131" w:hanging="360"/>
      </w:pPr>
    </w:lvl>
    <w:lvl w:ilvl="2" w:tplc="0424001B" w:tentative="1">
      <w:start w:val="1"/>
      <w:numFmt w:val="lowerRoman"/>
      <w:lvlText w:val="%3."/>
      <w:lvlJc w:val="right"/>
      <w:pPr>
        <w:ind w:left="1851" w:hanging="180"/>
      </w:pPr>
    </w:lvl>
    <w:lvl w:ilvl="3" w:tplc="0424000F" w:tentative="1">
      <w:start w:val="1"/>
      <w:numFmt w:val="decimal"/>
      <w:lvlText w:val="%4."/>
      <w:lvlJc w:val="left"/>
      <w:pPr>
        <w:ind w:left="2571" w:hanging="360"/>
      </w:pPr>
    </w:lvl>
    <w:lvl w:ilvl="4" w:tplc="04240019" w:tentative="1">
      <w:start w:val="1"/>
      <w:numFmt w:val="lowerLetter"/>
      <w:lvlText w:val="%5."/>
      <w:lvlJc w:val="left"/>
      <w:pPr>
        <w:ind w:left="3291" w:hanging="360"/>
      </w:pPr>
    </w:lvl>
    <w:lvl w:ilvl="5" w:tplc="0424001B" w:tentative="1">
      <w:start w:val="1"/>
      <w:numFmt w:val="lowerRoman"/>
      <w:lvlText w:val="%6."/>
      <w:lvlJc w:val="right"/>
      <w:pPr>
        <w:ind w:left="4011" w:hanging="180"/>
      </w:pPr>
    </w:lvl>
    <w:lvl w:ilvl="6" w:tplc="0424000F" w:tentative="1">
      <w:start w:val="1"/>
      <w:numFmt w:val="decimal"/>
      <w:lvlText w:val="%7."/>
      <w:lvlJc w:val="left"/>
      <w:pPr>
        <w:ind w:left="4731" w:hanging="360"/>
      </w:pPr>
    </w:lvl>
    <w:lvl w:ilvl="7" w:tplc="04240019" w:tentative="1">
      <w:start w:val="1"/>
      <w:numFmt w:val="lowerLetter"/>
      <w:lvlText w:val="%8."/>
      <w:lvlJc w:val="left"/>
      <w:pPr>
        <w:ind w:left="5451" w:hanging="360"/>
      </w:pPr>
    </w:lvl>
    <w:lvl w:ilvl="8" w:tplc="0424001B" w:tentative="1">
      <w:start w:val="1"/>
      <w:numFmt w:val="lowerRoman"/>
      <w:lvlText w:val="%9."/>
      <w:lvlJc w:val="right"/>
      <w:pPr>
        <w:ind w:left="6171" w:hanging="180"/>
      </w:pPr>
    </w:lvl>
  </w:abstractNum>
  <w:abstractNum w:abstractNumId="32" w15:restartNumberingAfterBreak="0">
    <w:nsid w:val="5A454812"/>
    <w:multiLevelType w:val="hybridMultilevel"/>
    <w:tmpl w:val="18A240CE"/>
    <w:lvl w:ilvl="0" w:tplc="FCCA7C2C">
      <w:start w:val="1"/>
      <w:numFmt w:val="bullet"/>
      <w:lvlText w:val=""/>
      <w:lvlJc w:val="left"/>
      <w:pPr>
        <w:ind w:left="720" w:hanging="360"/>
      </w:pPr>
      <w:rPr>
        <w:rFonts w:ascii="Symbol" w:hAnsi="Symbol" w:hint="default"/>
        <w:b/>
        <w:i w:val="0"/>
        <w:color w:val="4472C4" w:themeColor="accent1"/>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FC589B"/>
    <w:multiLevelType w:val="hybridMultilevel"/>
    <w:tmpl w:val="071E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325985"/>
    <w:multiLevelType w:val="hybridMultilevel"/>
    <w:tmpl w:val="BA5E2C18"/>
    <w:lvl w:ilvl="0" w:tplc="1444EF54">
      <w:start w:val="1"/>
      <w:numFmt w:val="bullet"/>
      <w:lvlText w:val=""/>
      <w:lvlJc w:val="left"/>
      <w:pPr>
        <w:ind w:left="720" w:hanging="360"/>
      </w:pPr>
      <w:rPr>
        <w:rFonts w:ascii="Symbol" w:hAnsi="Symbol" w:hint="default"/>
        <w:b/>
        <w:i w:val="0"/>
        <w:color w:val="2F5496"/>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6D7E70"/>
    <w:multiLevelType w:val="multilevel"/>
    <w:tmpl w:val="0E985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F98583B"/>
    <w:multiLevelType w:val="hybridMultilevel"/>
    <w:tmpl w:val="1BBA3888"/>
    <w:lvl w:ilvl="0" w:tplc="08090019">
      <w:start w:val="5"/>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1382EC8"/>
    <w:multiLevelType w:val="hybridMultilevel"/>
    <w:tmpl w:val="E9D6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176DB"/>
    <w:multiLevelType w:val="hybridMultilevel"/>
    <w:tmpl w:val="83B2A86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85D5CD6"/>
    <w:multiLevelType w:val="multilevel"/>
    <w:tmpl w:val="A61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8A0F6B"/>
    <w:multiLevelType w:val="multilevel"/>
    <w:tmpl w:val="4A7E3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5A7EA2"/>
    <w:multiLevelType w:val="hybridMultilevel"/>
    <w:tmpl w:val="1166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7"/>
  </w:num>
  <w:num w:numId="5">
    <w:abstractNumId w:val="13"/>
  </w:num>
  <w:num w:numId="6">
    <w:abstractNumId w:val="19"/>
  </w:num>
  <w:num w:numId="7">
    <w:abstractNumId w:val="36"/>
  </w:num>
  <w:num w:numId="8">
    <w:abstractNumId w:val="35"/>
  </w:num>
  <w:num w:numId="9">
    <w:abstractNumId w:val="21"/>
  </w:num>
  <w:num w:numId="10">
    <w:abstractNumId w:val="27"/>
  </w:num>
  <w:num w:numId="11">
    <w:abstractNumId w:val="39"/>
  </w:num>
  <w:num w:numId="12">
    <w:abstractNumId w:val="25"/>
  </w:num>
  <w:num w:numId="13">
    <w:abstractNumId w:val="14"/>
  </w:num>
  <w:num w:numId="14">
    <w:abstractNumId w:val="29"/>
  </w:num>
  <w:num w:numId="15">
    <w:abstractNumId w:val="41"/>
  </w:num>
  <w:num w:numId="16">
    <w:abstractNumId w:val="18"/>
  </w:num>
  <w:num w:numId="17">
    <w:abstractNumId w:val="0"/>
  </w:num>
  <w:num w:numId="18">
    <w:abstractNumId w:val="32"/>
  </w:num>
  <w:num w:numId="19">
    <w:abstractNumId w:val="5"/>
  </w:num>
  <w:num w:numId="20">
    <w:abstractNumId w:val="40"/>
  </w:num>
  <w:num w:numId="21">
    <w:abstractNumId w:val="26"/>
  </w:num>
  <w:num w:numId="22">
    <w:abstractNumId w:val="11"/>
  </w:num>
  <w:num w:numId="23">
    <w:abstractNumId w:val="34"/>
  </w:num>
  <w:num w:numId="24">
    <w:abstractNumId w:val="17"/>
  </w:num>
  <w:num w:numId="25">
    <w:abstractNumId w:val="22"/>
  </w:num>
  <w:num w:numId="26">
    <w:abstractNumId w:val="3"/>
  </w:num>
  <w:num w:numId="27">
    <w:abstractNumId w:val="30"/>
  </w:num>
  <w:num w:numId="28">
    <w:abstractNumId w:val="28"/>
  </w:num>
  <w:num w:numId="29">
    <w:abstractNumId w:val="10"/>
  </w:num>
  <w:num w:numId="30">
    <w:abstractNumId w:val="24"/>
  </w:num>
  <w:num w:numId="31">
    <w:abstractNumId w:val="38"/>
  </w:num>
  <w:num w:numId="32">
    <w:abstractNumId w:val="9"/>
  </w:num>
  <w:num w:numId="33">
    <w:abstractNumId w:val="33"/>
  </w:num>
  <w:num w:numId="34">
    <w:abstractNumId w:val="4"/>
  </w:num>
  <w:num w:numId="35">
    <w:abstractNumId w:val="23"/>
  </w:num>
  <w:num w:numId="36">
    <w:abstractNumId w:val="37"/>
  </w:num>
  <w:num w:numId="37">
    <w:abstractNumId w:val="2"/>
  </w:num>
  <w:num w:numId="38">
    <w:abstractNumId w:val="20"/>
  </w:num>
  <w:num w:numId="39">
    <w:abstractNumId w:val="16"/>
  </w:num>
  <w:num w:numId="40">
    <w:abstractNumId w:val="4"/>
    <w:lvlOverride w:ilvl="0">
      <w:lvl w:ilvl="0" w:tplc="6B04FCA8">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abstractNumId w:val="31"/>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F"/>
    <w:rsid w:val="00015542"/>
    <w:rsid w:val="00015CA8"/>
    <w:rsid w:val="0002085B"/>
    <w:rsid w:val="00025578"/>
    <w:rsid w:val="00033D98"/>
    <w:rsid w:val="00035BD7"/>
    <w:rsid w:val="00047707"/>
    <w:rsid w:val="00050668"/>
    <w:rsid w:val="00051D2B"/>
    <w:rsid w:val="000567A5"/>
    <w:rsid w:val="00060193"/>
    <w:rsid w:val="00060B55"/>
    <w:rsid w:val="00071C78"/>
    <w:rsid w:val="000844A1"/>
    <w:rsid w:val="00085166"/>
    <w:rsid w:val="00096EDA"/>
    <w:rsid w:val="000B039B"/>
    <w:rsid w:val="000B732A"/>
    <w:rsid w:val="000C1727"/>
    <w:rsid w:val="000C5E33"/>
    <w:rsid w:val="000C7CE6"/>
    <w:rsid w:val="000D3167"/>
    <w:rsid w:val="000F0C00"/>
    <w:rsid w:val="000F643B"/>
    <w:rsid w:val="0010023D"/>
    <w:rsid w:val="0010487A"/>
    <w:rsid w:val="00107F7E"/>
    <w:rsid w:val="00130CCF"/>
    <w:rsid w:val="00131848"/>
    <w:rsid w:val="001336E5"/>
    <w:rsid w:val="00140776"/>
    <w:rsid w:val="00141BFB"/>
    <w:rsid w:val="00144B01"/>
    <w:rsid w:val="001518F3"/>
    <w:rsid w:val="00154F02"/>
    <w:rsid w:val="001615F2"/>
    <w:rsid w:val="00164223"/>
    <w:rsid w:val="00171948"/>
    <w:rsid w:val="001777BA"/>
    <w:rsid w:val="0018322B"/>
    <w:rsid w:val="00192325"/>
    <w:rsid w:val="00194612"/>
    <w:rsid w:val="001961E7"/>
    <w:rsid w:val="001A0772"/>
    <w:rsid w:val="001A1816"/>
    <w:rsid w:val="001B44F0"/>
    <w:rsid w:val="001C6D68"/>
    <w:rsid w:val="001D142D"/>
    <w:rsid w:val="001D1C16"/>
    <w:rsid w:val="001D382D"/>
    <w:rsid w:val="001D46E1"/>
    <w:rsid w:val="001D6B58"/>
    <w:rsid w:val="001E108F"/>
    <w:rsid w:val="001E56F2"/>
    <w:rsid w:val="00200B0B"/>
    <w:rsid w:val="00216420"/>
    <w:rsid w:val="00227282"/>
    <w:rsid w:val="002333BA"/>
    <w:rsid w:val="002347FA"/>
    <w:rsid w:val="0024090F"/>
    <w:rsid w:val="00265B24"/>
    <w:rsid w:val="00267457"/>
    <w:rsid w:val="00280D17"/>
    <w:rsid w:val="00283998"/>
    <w:rsid w:val="00291642"/>
    <w:rsid w:val="002960E8"/>
    <w:rsid w:val="002B1A79"/>
    <w:rsid w:val="002B30BB"/>
    <w:rsid w:val="002B61F4"/>
    <w:rsid w:val="002C17C0"/>
    <w:rsid w:val="002C3AD1"/>
    <w:rsid w:val="002C4439"/>
    <w:rsid w:val="002D0C9B"/>
    <w:rsid w:val="002D1FDF"/>
    <w:rsid w:val="002D6FC0"/>
    <w:rsid w:val="002D73BE"/>
    <w:rsid w:val="002E3584"/>
    <w:rsid w:val="002E3777"/>
    <w:rsid w:val="002F13E4"/>
    <w:rsid w:val="00301B22"/>
    <w:rsid w:val="003143FD"/>
    <w:rsid w:val="00316BEE"/>
    <w:rsid w:val="0032559A"/>
    <w:rsid w:val="0032736D"/>
    <w:rsid w:val="0032783B"/>
    <w:rsid w:val="00327BD3"/>
    <w:rsid w:val="003349E0"/>
    <w:rsid w:val="00347710"/>
    <w:rsid w:val="00352C0D"/>
    <w:rsid w:val="003542C0"/>
    <w:rsid w:val="00356DD4"/>
    <w:rsid w:val="0036176C"/>
    <w:rsid w:val="003624FF"/>
    <w:rsid w:val="00365327"/>
    <w:rsid w:val="003702E7"/>
    <w:rsid w:val="00374728"/>
    <w:rsid w:val="00375C8F"/>
    <w:rsid w:val="00381320"/>
    <w:rsid w:val="00385419"/>
    <w:rsid w:val="00385E4D"/>
    <w:rsid w:val="00387D03"/>
    <w:rsid w:val="00395862"/>
    <w:rsid w:val="003978F5"/>
    <w:rsid w:val="003A380A"/>
    <w:rsid w:val="003B0138"/>
    <w:rsid w:val="003B0D3A"/>
    <w:rsid w:val="003B11DD"/>
    <w:rsid w:val="003B17C3"/>
    <w:rsid w:val="003C2140"/>
    <w:rsid w:val="003C63C4"/>
    <w:rsid w:val="003D3003"/>
    <w:rsid w:val="003D69C5"/>
    <w:rsid w:val="003E2AD6"/>
    <w:rsid w:val="003E730A"/>
    <w:rsid w:val="003F6EB2"/>
    <w:rsid w:val="003F7564"/>
    <w:rsid w:val="00404379"/>
    <w:rsid w:val="00404D6C"/>
    <w:rsid w:val="00415FD7"/>
    <w:rsid w:val="00421AA0"/>
    <w:rsid w:val="0042374A"/>
    <w:rsid w:val="004277F3"/>
    <w:rsid w:val="00430118"/>
    <w:rsid w:val="00436F79"/>
    <w:rsid w:val="0045034B"/>
    <w:rsid w:val="004535F8"/>
    <w:rsid w:val="004537C2"/>
    <w:rsid w:val="00457BF2"/>
    <w:rsid w:val="00464A2F"/>
    <w:rsid w:val="00466474"/>
    <w:rsid w:val="00477861"/>
    <w:rsid w:val="0048793E"/>
    <w:rsid w:val="00490263"/>
    <w:rsid w:val="00490494"/>
    <w:rsid w:val="00496C45"/>
    <w:rsid w:val="00496D19"/>
    <w:rsid w:val="004A3EC5"/>
    <w:rsid w:val="004B058E"/>
    <w:rsid w:val="004B4E29"/>
    <w:rsid w:val="004C6DE9"/>
    <w:rsid w:val="004D0422"/>
    <w:rsid w:val="004D759D"/>
    <w:rsid w:val="004E021F"/>
    <w:rsid w:val="004E2B6A"/>
    <w:rsid w:val="004E6A36"/>
    <w:rsid w:val="00513D59"/>
    <w:rsid w:val="0051448A"/>
    <w:rsid w:val="005309DF"/>
    <w:rsid w:val="005333EF"/>
    <w:rsid w:val="00536AC1"/>
    <w:rsid w:val="00540E87"/>
    <w:rsid w:val="00541575"/>
    <w:rsid w:val="00541D03"/>
    <w:rsid w:val="00550265"/>
    <w:rsid w:val="005536F4"/>
    <w:rsid w:val="00556A72"/>
    <w:rsid w:val="00556C45"/>
    <w:rsid w:val="0056093E"/>
    <w:rsid w:val="00573FD6"/>
    <w:rsid w:val="0058102F"/>
    <w:rsid w:val="00591A38"/>
    <w:rsid w:val="005E283A"/>
    <w:rsid w:val="005E58CC"/>
    <w:rsid w:val="005E5E74"/>
    <w:rsid w:val="005F7317"/>
    <w:rsid w:val="00611FD2"/>
    <w:rsid w:val="00616DDE"/>
    <w:rsid w:val="00616ECC"/>
    <w:rsid w:val="006238B2"/>
    <w:rsid w:val="00630E4E"/>
    <w:rsid w:val="0063505F"/>
    <w:rsid w:val="006428D4"/>
    <w:rsid w:val="00651805"/>
    <w:rsid w:val="006539D9"/>
    <w:rsid w:val="00653A59"/>
    <w:rsid w:val="00653AD6"/>
    <w:rsid w:val="00654C64"/>
    <w:rsid w:val="00667164"/>
    <w:rsid w:val="0067139A"/>
    <w:rsid w:val="006714B2"/>
    <w:rsid w:val="006778B1"/>
    <w:rsid w:val="00684C5D"/>
    <w:rsid w:val="00691FB6"/>
    <w:rsid w:val="006A033C"/>
    <w:rsid w:val="006A5068"/>
    <w:rsid w:val="006B115B"/>
    <w:rsid w:val="006B6179"/>
    <w:rsid w:val="006C2192"/>
    <w:rsid w:val="006C3F36"/>
    <w:rsid w:val="006D2887"/>
    <w:rsid w:val="006D57DF"/>
    <w:rsid w:val="006D6F33"/>
    <w:rsid w:val="006E3EAE"/>
    <w:rsid w:val="006E4AD7"/>
    <w:rsid w:val="006E76A9"/>
    <w:rsid w:val="00701CE6"/>
    <w:rsid w:val="0070320A"/>
    <w:rsid w:val="007034EB"/>
    <w:rsid w:val="00711C18"/>
    <w:rsid w:val="00730675"/>
    <w:rsid w:val="007405EB"/>
    <w:rsid w:val="00740EBF"/>
    <w:rsid w:val="00742A4F"/>
    <w:rsid w:val="00745F81"/>
    <w:rsid w:val="00747426"/>
    <w:rsid w:val="00750410"/>
    <w:rsid w:val="0076481C"/>
    <w:rsid w:val="00770A73"/>
    <w:rsid w:val="0077338E"/>
    <w:rsid w:val="00775018"/>
    <w:rsid w:val="00786462"/>
    <w:rsid w:val="00787702"/>
    <w:rsid w:val="0079406B"/>
    <w:rsid w:val="00796000"/>
    <w:rsid w:val="007A6EC4"/>
    <w:rsid w:val="007C1EFF"/>
    <w:rsid w:val="007C6286"/>
    <w:rsid w:val="007C6FBA"/>
    <w:rsid w:val="007D3EC2"/>
    <w:rsid w:val="008020F4"/>
    <w:rsid w:val="008119F2"/>
    <w:rsid w:val="008136E7"/>
    <w:rsid w:val="00813F5D"/>
    <w:rsid w:val="008201DF"/>
    <w:rsid w:val="00821EFA"/>
    <w:rsid w:val="00822F71"/>
    <w:rsid w:val="008230A3"/>
    <w:rsid w:val="00827057"/>
    <w:rsid w:val="008304B9"/>
    <w:rsid w:val="0083453C"/>
    <w:rsid w:val="0084145D"/>
    <w:rsid w:val="0084387D"/>
    <w:rsid w:val="0084433F"/>
    <w:rsid w:val="008457AA"/>
    <w:rsid w:val="008525E4"/>
    <w:rsid w:val="00854BB2"/>
    <w:rsid w:val="00857C14"/>
    <w:rsid w:val="008730E7"/>
    <w:rsid w:val="008771D1"/>
    <w:rsid w:val="008773E1"/>
    <w:rsid w:val="00877512"/>
    <w:rsid w:val="00880F30"/>
    <w:rsid w:val="00881173"/>
    <w:rsid w:val="00882E85"/>
    <w:rsid w:val="00896BAD"/>
    <w:rsid w:val="008A5EA4"/>
    <w:rsid w:val="008C2D21"/>
    <w:rsid w:val="008C2D5E"/>
    <w:rsid w:val="008C47EF"/>
    <w:rsid w:val="008D592A"/>
    <w:rsid w:val="008E0353"/>
    <w:rsid w:val="008E07F1"/>
    <w:rsid w:val="008E3173"/>
    <w:rsid w:val="008F20BA"/>
    <w:rsid w:val="008F4098"/>
    <w:rsid w:val="008F499D"/>
    <w:rsid w:val="008F4C88"/>
    <w:rsid w:val="008F6951"/>
    <w:rsid w:val="00901AD2"/>
    <w:rsid w:val="00905512"/>
    <w:rsid w:val="00913288"/>
    <w:rsid w:val="00917081"/>
    <w:rsid w:val="009347BF"/>
    <w:rsid w:val="0094330B"/>
    <w:rsid w:val="009554A0"/>
    <w:rsid w:val="00956CFB"/>
    <w:rsid w:val="00964BAD"/>
    <w:rsid w:val="00970162"/>
    <w:rsid w:val="00975A3D"/>
    <w:rsid w:val="00976D68"/>
    <w:rsid w:val="0098033C"/>
    <w:rsid w:val="00990AFF"/>
    <w:rsid w:val="009A2FE4"/>
    <w:rsid w:val="009A595E"/>
    <w:rsid w:val="009B2C54"/>
    <w:rsid w:val="009B5BDB"/>
    <w:rsid w:val="009C24C6"/>
    <w:rsid w:val="009C5DA5"/>
    <w:rsid w:val="009C6E7A"/>
    <w:rsid w:val="009C6EA5"/>
    <w:rsid w:val="009D3CFD"/>
    <w:rsid w:val="009E19EC"/>
    <w:rsid w:val="009E3323"/>
    <w:rsid w:val="009F0572"/>
    <w:rsid w:val="009F35A5"/>
    <w:rsid w:val="00A0027D"/>
    <w:rsid w:val="00A056F9"/>
    <w:rsid w:val="00A075BA"/>
    <w:rsid w:val="00A12390"/>
    <w:rsid w:val="00A1435F"/>
    <w:rsid w:val="00A21849"/>
    <w:rsid w:val="00A31414"/>
    <w:rsid w:val="00A33851"/>
    <w:rsid w:val="00A5254D"/>
    <w:rsid w:val="00A56B91"/>
    <w:rsid w:val="00A61600"/>
    <w:rsid w:val="00A62896"/>
    <w:rsid w:val="00A647CD"/>
    <w:rsid w:val="00A65D94"/>
    <w:rsid w:val="00A937C8"/>
    <w:rsid w:val="00A96508"/>
    <w:rsid w:val="00AA1B21"/>
    <w:rsid w:val="00AA3DF3"/>
    <w:rsid w:val="00AB63CE"/>
    <w:rsid w:val="00AC0D1F"/>
    <w:rsid w:val="00AC35DD"/>
    <w:rsid w:val="00AD6238"/>
    <w:rsid w:val="00AE1C4B"/>
    <w:rsid w:val="00AF5141"/>
    <w:rsid w:val="00AF6E0E"/>
    <w:rsid w:val="00B1044B"/>
    <w:rsid w:val="00B11547"/>
    <w:rsid w:val="00B11616"/>
    <w:rsid w:val="00B2070C"/>
    <w:rsid w:val="00B22B46"/>
    <w:rsid w:val="00B25742"/>
    <w:rsid w:val="00B303B2"/>
    <w:rsid w:val="00B3140D"/>
    <w:rsid w:val="00B318A1"/>
    <w:rsid w:val="00B348F3"/>
    <w:rsid w:val="00B3660F"/>
    <w:rsid w:val="00B40E67"/>
    <w:rsid w:val="00B43A41"/>
    <w:rsid w:val="00B4612D"/>
    <w:rsid w:val="00B523C6"/>
    <w:rsid w:val="00B60ED8"/>
    <w:rsid w:val="00B61540"/>
    <w:rsid w:val="00B635A3"/>
    <w:rsid w:val="00B65039"/>
    <w:rsid w:val="00B75B7B"/>
    <w:rsid w:val="00B80E40"/>
    <w:rsid w:val="00B8214B"/>
    <w:rsid w:val="00B83F64"/>
    <w:rsid w:val="00B86CD5"/>
    <w:rsid w:val="00B87074"/>
    <w:rsid w:val="00B878F3"/>
    <w:rsid w:val="00B9563C"/>
    <w:rsid w:val="00B9774E"/>
    <w:rsid w:val="00BA07B0"/>
    <w:rsid w:val="00BA1279"/>
    <w:rsid w:val="00BB3656"/>
    <w:rsid w:val="00BB4C54"/>
    <w:rsid w:val="00BB7168"/>
    <w:rsid w:val="00BC24F1"/>
    <w:rsid w:val="00BC3077"/>
    <w:rsid w:val="00BC54F5"/>
    <w:rsid w:val="00BC6DEA"/>
    <w:rsid w:val="00BC7C0A"/>
    <w:rsid w:val="00BD3241"/>
    <w:rsid w:val="00BD3D68"/>
    <w:rsid w:val="00BD594A"/>
    <w:rsid w:val="00BD6509"/>
    <w:rsid w:val="00BE2650"/>
    <w:rsid w:val="00BE5085"/>
    <w:rsid w:val="00BF178A"/>
    <w:rsid w:val="00BF3725"/>
    <w:rsid w:val="00BF555D"/>
    <w:rsid w:val="00C044B2"/>
    <w:rsid w:val="00C104C3"/>
    <w:rsid w:val="00C22572"/>
    <w:rsid w:val="00C24451"/>
    <w:rsid w:val="00C32BE7"/>
    <w:rsid w:val="00C36850"/>
    <w:rsid w:val="00C4002D"/>
    <w:rsid w:val="00C460E5"/>
    <w:rsid w:val="00C5097E"/>
    <w:rsid w:val="00C54F4C"/>
    <w:rsid w:val="00C555EE"/>
    <w:rsid w:val="00C56572"/>
    <w:rsid w:val="00C67FC9"/>
    <w:rsid w:val="00C72C1A"/>
    <w:rsid w:val="00C759CC"/>
    <w:rsid w:val="00C86122"/>
    <w:rsid w:val="00CA11B6"/>
    <w:rsid w:val="00CA2E6D"/>
    <w:rsid w:val="00CA7B48"/>
    <w:rsid w:val="00CB0210"/>
    <w:rsid w:val="00CB077C"/>
    <w:rsid w:val="00CC0495"/>
    <w:rsid w:val="00CC1716"/>
    <w:rsid w:val="00CD0A7E"/>
    <w:rsid w:val="00CD621C"/>
    <w:rsid w:val="00D01986"/>
    <w:rsid w:val="00D019AF"/>
    <w:rsid w:val="00D2707E"/>
    <w:rsid w:val="00D32EF2"/>
    <w:rsid w:val="00D47943"/>
    <w:rsid w:val="00D53232"/>
    <w:rsid w:val="00D6726E"/>
    <w:rsid w:val="00D7229A"/>
    <w:rsid w:val="00D773BF"/>
    <w:rsid w:val="00D77C6F"/>
    <w:rsid w:val="00D835C3"/>
    <w:rsid w:val="00D860B1"/>
    <w:rsid w:val="00DA02C9"/>
    <w:rsid w:val="00DA1B3B"/>
    <w:rsid w:val="00DB0771"/>
    <w:rsid w:val="00DB1104"/>
    <w:rsid w:val="00DB283F"/>
    <w:rsid w:val="00DB3050"/>
    <w:rsid w:val="00DC289E"/>
    <w:rsid w:val="00DC36B2"/>
    <w:rsid w:val="00DC631E"/>
    <w:rsid w:val="00DC753F"/>
    <w:rsid w:val="00DD6355"/>
    <w:rsid w:val="00DD65B3"/>
    <w:rsid w:val="00E00296"/>
    <w:rsid w:val="00E10BF2"/>
    <w:rsid w:val="00E12E68"/>
    <w:rsid w:val="00E14364"/>
    <w:rsid w:val="00E1615F"/>
    <w:rsid w:val="00E161BF"/>
    <w:rsid w:val="00E17AAD"/>
    <w:rsid w:val="00E21C4E"/>
    <w:rsid w:val="00E22D6B"/>
    <w:rsid w:val="00E27F38"/>
    <w:rsid w:val="00E40BD5"/>
    <w:rsid w:val="00E40ECF"/>
    <w:rsid w:val="00E43B04"/>
    <w:rsid w:val="00E45418"/>
    <w:rsid w:val="00E5055E"/>
    <w:rsid w:val="00E53B46"/>
    <w:rsid w:val="00E61A79"/>
    <w:rsid w:val="00E652DA"/>
    <w:rsid w:val="00E76F0D"/>
    <w:rsid w:val="00E86598"/>
    <w:rsid w:val="00E97759"/>
    <w:rsid w:val="00EA1267"/>
    <w:rsid w:val="00EA64C2"/>
    <w:rsid w:val="00EA7F24"/>
    <w:rsid w:val="00EB764E"/>
    <w:rsid w:val="00EC2C91"/>
    <w:rsid w:val="00ED1E34"/>
    <w:rsid w:val="00EF4218"/>
    <w:rsid w:val="00F02BA4"/>
    <w:rsid w:val="00F05FD6"/>
    <w:rsid w:val="00F10CDF"/>
    <w:rsid w:val="00F25472"/>
    <w:rsid w:val="00F26B70"/>
    <w:rsid w:val="00F27575"/>
    <w:rsid w:val="00F41216"/>
    <w:rsid w:val="00F541E3"/>
    <w:rsid w:val="00F55BC6"/>
    <w:rsid w:val="00F56192"/>
    <w:rsid w:val="00F60F99"/>
    <w:rsid w:val="00F66F2C"/>
    <w:rsid w:val="00F679D1"/>
    <w:rsid w:val="00F70243"/>
    <w:rsid w:val="00F72AFF"/>
    <w:rsid w:val="00F754D1"/>
    <w:rsid w:val="00F85A79"/>
    <w:rsid w:val="00F9723A"/>
    <w:rsid w:val="00FA1B09"/>
    <w:rsid w:val="00FA5B38"/>
    <w:rsid w:val="00FA735A"/>
    <w:rsid w:val="00FB23EA"/>
    <w:rsid w:val="00FD3D95"/>
    <w:rsid w:val="00FD43E2"/>
    <w:rsid w:val="00FD58B9"/>
    <w:rsid w:val="00FD5ABD"/>
    <w:rsid w:val="00FD7112"/>
    <w:rsid w:val="00FE0681"/>
    <w:rsid w:val="00FE691C"/>
    <w:rsid w:val="00FF15C6"/>
    <w:rsid w:val="00FF2532"/>
    <w:rsid w:val="00FF2FD0"/>
    <w:rsid w:val="00FF30F4"/>
    <w:rsid w:val="00FF3FF6"/>
    <w:rsid w:val="00FF40F0"/>
    <w:rsid w:val="10ABC5B0"/>
    <w:rsid w:val="15CFB0BA"/>
    <w:rsid w:val="3808C101"/>
    <w:rsid w:val="4E9613D5"/>
    <w:rsid w:val="542CBD99"/>
    <w:rsid w:val="623C3FCE"/>
    <w:rsid w:val="63EA0559"/>
    <w:rsid w:val="6573E090"/>
    <w:rsid w:val="670FB0F1"/>
    <w:rsid w:val="6BF8F072"/>
    <w:rsid w:val="75E39AB7"/>
    <w:rsid w:val="7D56139D"/>
    <w:rsid w:val="7E9EA7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3D1F9"/>
  <w15:chartTrackingRefBased/>
  <w15:docId w15:val="{87BCA3AB-8F3F-7D45-AE0E-1553106C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C54F5"/>
    <w:rPr>
      <w:rFonts w:ascii="Times New Roman" w:eastAsia="Times New Roman" w:hAnsi="Times New Roman" w:cs="Times New Roman"/>
      <w:lang w:eastAsia="en-GB"/>
    </w:rPr>
  </w:style>
  <w:style w:type="paragraph" w:styleId="Naslov1">
    <w:name w:val="heading 1"/>
    <w:basedOn w:val="Navaden"/>
    <w:next w:val="Navaden"/>
    <w:link w:val="Naslov1Znak"/>
    <w:qFormat/>
    <w:rsid w:val="0077338E"/>
    <w:pPr>
      <w:keepNext/>
      <w:keepLines/>
      <w:shd w:val="clear" w:color="auto" w:fill="4472C4" w:themeFill="accent1"/>
      <w:spacing w:before="240" w:after="240"/>
      <w:jc w:val="both"/>
      <w:outlineLvl w:val="0"/>
    </w:pPr>
    <w:rPr>
      <w:rFonts w:ascii="Arial Nova" w:eastAsiaTheme="majorEastAsia" w:hAnsi="Arial Nova" w:cstheme="majorBidi"/>
      <w:b/>
      <w:smallCaps/>
      <w:color w:val="FFFFFF" w:themeColor="background1"/>
      <w:spacing w:val="10"/>
      <w:position w:val="4"/>
      <w:sz w:val="32"/>
      <w:szCs w:val="32"/>
      <w:lang w:val="sl-SI" w:eastAsia="sl-SI"/>
    </w:rPr>
  </w:style>
  <w:style w:type="paragraph" w:styleId="Naslov2">
    <w:name w:val="heading 2"/>
    <w:basedOn w:val="Navaden"/>
    <w:next w:val="Navaden"/>
    <w:link w:val="Naslov2Znak"/>
    <w:unhideWhenUsed/>
    <w:qFormat/>
    <w:rsid w:val="0077338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avaden"/>
    <w:next w:val="Navaden"/>
    <w:link w:val="Naslov3Znak"/>
    <w:uiPriority w:val="9"/>
    <w:unhideWhenUsed/>
    <w:qFormat/>
    <w:rsid w:val="00F754D1"/>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Naslov4">
    <w:name w:val="heading 4"/>
    <w:basedOn w:val="Navaden"/>
    <w:next w:val="Navaden"/>
    <w:link w:val="Naslov4Znak"/>
    <w:uiPriority w:val="9"/>
    <w:unhideWhenUsed/>
    <w:qFormat/>
    <w:rsid w:val="00DC36B2"/>
    <w:pPr>
      <w:keepNext/>
      <w:keepLines/>
      <w:spacing w:before="40" w:line="360" w:lineRule="auto"/>
      <w:jc w:val="both"/>
      <w:outlineLvl w:val="3"/>
    </w:pPr>
    <w:rPr>
      <w:rFonts w:asciiTheme="majorHAnsi" w:eastAsiaTheme="majorEastAsia" w:hAnsiTheme="majorHAnsi" w:cstheme="majorBidi"/>
      <w:i/>
      <w:iCs/>
      <w:color w:val="2F5496" w:themeColor="accent1" w:themeShade="BF"/>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C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216420"/>
    <w:rPr>
      <w:i/>
      <w:iCs/>
    </w:rPr>
  </w:style>
  <w:style w:type="character" w:customStyle="1" w:styleId="apple-converted-space">
    <w:name w:val="apple-converted-space"/>
    <w:basedOn w:val="Privzetapisavaodstavka"/>
    <w:rsid w:val="00216420"/>
  </w:style>
  <w:style w:type="paragraph" w:styleId="Odstavekseznama">
    <w:name w:val="List Paragraph"/>
    <w:basedOn w:val="Navaden"/>
    <w:link w:val="OdstavekseznamaZnak"/>
    <w:uiPriority w:val="34"/>
    <w:qFormat/>
    <w:rsid w:val="00BD3241"/>
    <w:pPr>
      <w:ind w:left="720"/>
      <w:contextualSpacing/>
    </w:pPr>
    <w:rPr>
      <w:rFonts w:asciiTheme="minorHAnsi" w:eastAsiaTheme="minorHAnsi" w:hAnsiTheme="minorHAnsi" w:cstheme="minorBidi"/>
      <w:lang w:eastAsia="en-US"/>
    </w:rPr>
  </w:style>
  <w:style w:type="paragraph" w:styleId="Glava">
    <w:name w:val="header"/>
    <w:basedOn w:val="Navaden"/>
    <w:link w:val="GlavaZnak"/>
    <w:uiPriority w:val="99"/>
    <w:unhideWhenUsed/>
    <w:rsid w:val="00EA64C2"/>
    <w:pPr>
      <w:tabs>
        <w:tab w:val="center" w:pos="4513"/>
        <w:tab w:val="right" w:pos="9026"/>
      </w:tabs>
    </w:pPr>
    <w:rPr>
      <w:rFonts w:asciiTheme="minorHAnsi" w:eastAsiaTheme="minorHAnsi" w:hAnsiTheme="minorHAnsi" w:cstheme="minorBidi"/>
      <w:lang w:eastAsia="en-US"/>
    </w:rPr>
  </w:style>
  <w:style w:type="character" w:customStyle="1" w:styleId="GlavaZnak">
    <w:name w:val="Glava Znak"/>
    <w:basedOn w:val="Privzetapisavaodstavka"/>
    <w:link w:val="Glava"/>
    <w:uiPriority w:val="99"/>
    <w:rsid w:val="00EA64C2"/>
  </w:style>
  <w:style w:type="paragraph" w:styleId="Noga">
    <w:name w:val="footer"/>
    <w:basedOn w:val="Navaden"/>
    <w:link w:val="NogaZnak"/>
    <w:uiPriority w:val="99"/>
    <w:unhideWhenUsed/>
    <w:rsid w:val="00EA64C2"/>
    <w:pPr>
      <w:tabs>
        <w:tab w:val="center" w:pos="4513"/>
        <w:tab w:val="right" w:pos="9026"/>
      </w:tabs>
    </w:pPr>
    <w:rPr>
      <w:rFonts w:asciiTheme="minorHAnsi" w:eastAsiaTheme="minorHAnsi" w:hAnsiTheme="minorHAnsi" w:cstheme="minorBidi"/>
      <w:lang w:eastAsia="en-US"/>
    </w:rPr>
  </w:style>
  <w:style w:type="character" w:customStyle="1" w:styleId="NogaZnak">
    <w:name w:val="Noga Znak"/>
    <w:basedOn w:val="Privzetapisavaodstavka"/>
    <w:link w:val="Noga"/>
    <w:uiPriority w:val="99"/>
    <w:rsid w:val="00EA64C2"/>
  </w:style>
  <w:style w:type="character" w:customStyle="1" w:styleId="OdstavekseznamaZnak">
    <w:name w:val="Odstavek seznama Znak"/>
    <w:link w:val="Odstavekseznama"/>
    <w:uiPriority w:val="34"/>
    <w:rsid w:val="00F541E3"/>
  </w:style>
  <w:style w:type="paragraph" w:styleId="Naslov">
    <w:name w:val="Title"/>
    <w:basedOn w:val="Navaden"/>
    <w:next w:val="Navaden"/>
    <w:link w:val="NaslovZnak"/>
    <w:uiPriority w:val="10"/>
    <w:qFormat/>
    <w:rsid w:val="0077338E"/>
    <w:pPr>
      <w:contextualSpacing/>
      <w:jc w:val="both"/>
    </w:pPr>
    <w:rPr>
      <w:rFonts w:asciiTheme="majorHAnsi" w:eastAsiaTheme="majorEastAsia" w:hAnsiTheme="majorHAnsi" w:cstheme="majorBidi"/>
      <w:spacing w:val="-10"/>
      <w:kern w:val="28"/>
      <w:sz w:val="56"/>
      <w:szCs w:val="56"/>
      <w:lang w:val="sl-SI" w:eastAsia="sl-SI"/>
    </w:rPr>
  </w:style>
  <w:style w:type="character" w:customStyle="1" w:styleId="NaslovZnak">
    <w:name w:val="Naslov Znak"/>
    <w:basedOn w:val="Privzetapisavaodstavka"/>
    <w:link w:val="Naslov"/>
    <w:uiPriority w:val="10"/>
    <w:rsid w:val="0077338E"/>
    <w:rPr>
      <w:rFonts w:asciiTheme="majorHAnsi" w:eastAsiaTheme="majorEastAsia" w:hAnsiTheme="majorHAnsi" w:cstheme="majorBidi"/>
      <w:spacing w:val="-10"/>
      <w:kern w:val="28"/>
      <w:sz w:val="56"/>
      <w:szCs w:val="56"/>
      <w:lang w:val="sl-SI" w:eastAsia="sl-SI"/>
    </w:rPr>
  </w:style>
  <w:style w:type="character" w:customStyle="1" w:styleId="Naslov1Znak">
    <w:name w:val="Naslov 1 Znak"/>
    <w:basedOn w:val="Privzetapisavaodstavka"/>
    <w:link w:val="Naslov1"/>
    <w:rsid w:val="0077338E"/>
    <w:rPr>
      <w:rFonts w:ascii="Arial Nova" w:eastAsiaTheme="majorEastAsia" w:hAnsi="Arial Nova" w:cstheme="majorBidi"/>
      <w:b/>
      <w:smallCaps/>
      <w:color w:val="FFFFFF" w:themeColor="background1"/>
      <w:spacing w:val="10"/>
      <w:position w:val="4"/>
      <w:sz w:val="32"/>
      <w:szCs w:val="32"/>
      <w:shd w:val="clear" w:color="auto" w:fill="4472C4" w:themeFill="accent1"/>
      <w:lang w:val="sl-SI" w:eastAsia="sl-SI"/>
    </w:rPr>
  </w:style>
  <w:style w:type="character" w:customStyle="1" w:styleId="Naslov2Znak">
    <w:name w:val="Naslov 2 Znak"/>
    <w:basedOn w:val="Privzetapisavaodstavka"/>
    <w:link w:val="Naslov2"/>
    <w:rsid w:val="0077338E"/>
    <w:rPr>
      <w:rFonts w:asciiTheme="majorHAnsi" w:eastAsiaTheme="majorEastAsia" w:hAnsiTheme="majorHAnsi" w:cstheme="majorBidi"/>
      <w:color w:val="2F5496" w:themeColor="accent1" w:themeShade="BF"/>
      <w:sz w:val="26"/>
      <w:szCs w:val="26"/>
    </w:rPr>
  </w:style>
  <w:style w:type="paragraph" w:styleId="Navadensplet">
    <w:name w:val="Normal (Web)"/>
    <w:basedOn w:val="Navaden"/>
    <w:uiPriority w:val="99"/>
    <w:rsid w:val="0077338E"/>
    <w:pPr>
      <w:spacing w:before="100" w:beforeAutospacing="1" w:after="100" w:afterAutospacing="1" w:line="360" w:lineRule="auto"/>
      <w:jc w:val="both"/>
    </w:pPr>
    <w:rPr>
      <w:rFonts w:ascii="Candara" w:eastAsiaTheme="minorEastAsia" w:hAnsi="Candara" w:cstheme="minorBidi"/>
      <w:lang w:val="sl-SI" w:eastAsia="sl-SI"/>
    </w:rPr>
  </w:style>
  <w:style w:type="paragraph" w:customStyle="1" w:styleId="paragraph">
    <w:name w:val="paragraph"/>
    <w:basedOn w:val="Navaden"/>
    <w:rsid w:val="0077338E"/>
    <w:pPr>
      <w:spacing w:before="100" w:beforeAutospacing="1" w:after="100" w:afterAutospacing="1"/>
    </w:pPr>
    <w:rPr>
      <w:lang w:val="sl-SI"/>
    </w:rPr>
  </w:style>
  <w:style w:type="character" w:customStyle="1" w:styleId="normaltextrun">
    <w:name w:val="normaltextrun"/>
    <w:basedOn w:val="Privzetapisavaodstavka"/>
    <w:rsid w:val="0077338E"/>
  </w:style>
  <w:style w:type="paragraph" w:styleId="Telobesedila">
    <w:name w:val="Body Text"/>
    <w:basedOn w:val="Navaden"/>
    <w:link w:val="TelobesedilaZnak"/>
    <w:rsid w:val="0077338E"/>
    <w:pPr>
      <w:spacing w:after="160" w:line="360" w:lineRule="auto"/>
      <w:jc w:val="both"/>
    </w:pPr>
    <w:rPr>
      <w:rFonts w:ascii="Candara" w:eastAsiaTheme="minorEastAsia" w:hAnsi="Candara" w:cstheme="minorBidi"/>
      <w:sz w:val="22"/>
      <w:szCs w:val="22"/>
      <w:lang w:val="sl-SI" w:eastAsia="sl-SI"/>
    </w:rPr>
  </w:style>
  <w:style w:type="character" w:customStyle="1" w:styleId="TelobesedilaZnak">
    <w:name w:val="Telo besedila Znak"/>
    <w:basedOn w:val="Privzetapisavaodstavka"/>
    <w:link w:val="Telobesedila"/>
    <w:rsid w:val="0077338E"/>
    <w:rPr>
      <w:rFonts w:ascii="Candara" w:eastAsiaTheme="minorEastAsia" w:hAnsi="Candara"/>
      <w:sz w:val="22"/>
      <w:szCs w:val="22"/>
      <w:lang w:val="sl-SI" w:eastAsia="sl-SI"/>
    </w:rPr>
  </w:style>
  <w:style w:type="character" w:styleId="Pripombasklic">
    <w:name w:val="annotation reference"/>
    <w:basedOn w:val="Privzetapisavaodstavka"/>
    <w:uiPriority w:val="99"/>
    <w:semiHidden/>
    <w:unhideWhenUsed/>
    <w:rsid w:val="00AC0D1F"/>
    <w:rPr>
      <w:sz w:val="16"/>
      <w:szCs w:val="16"/>
    </w:rPr>
  </w:style>
  <w:style w:type="paragraph" w:styleId="Pripombabesedilo">
    <w:name w:val="annotation text"/>
    <w:basedOn w:val="Navaden"/>
    <w:link w:val="PripombabesediloZnak"/>
    <w:uiPriority w:val="99"/>
    <w:unhideWhenUsed/>
    <w:rsid w:val="00AC0D1F"/>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AC0D1F"/>
    <w:rPr>
      <w:sz w:val="20"/>
      <w:szCs w:val="20"/>
    </w:rPr>
  </w:style>
  <w:style w:type="paragraph" w:styleId="Zadevapripombe">
    <w:name w:val="annotation subject"/>
    <w:basedOn w:val="Pripombabesedilo"/>
    <w:next w:val="Pripombabesedilo"/>
    <w:link w:val="ZadevapripombeZnak"/>
    <w:uiPriority w:val="99"/>
    <w:semiHidden/>
    <w:unhideWhenUsed/>
    <w:rsid w:val="00AC0D1F"/>
    <w:rPr>
      <w:b/>
      <w:bCs/>
    </w:rPr>
  </w:style>
  <w:style w:type="character" w:customStyle="1" w:styleId="ZadevapripombeZnak">
    <w:name w:val="Zadeva pripombe Znak"/>
    <w:basedOn w:val="PripombabesediloZnak"/>
    <w:link w:val="Zadevapripombe"/>
    <w:uiPriority w:val="99"/>
    <w:semiHidden/>
    <w:rsid w:val="00AC0D1F"/>
    <w:rPr>
      <w:b/>
      <w:bCs/>
      <w:sz w:val="20"/>
      <w:szCs w:val="20"/>
    </w:rPr>
  </w:style>
  <w:style w:type="character" w:customStyle="1" w:styleId="Naslov3Znak">
    <w:name w:val="Naslov 3 Znak"/>
    <w:basedOn w:val="Privzetapisavaodstavka"/>
    <w:link w:val="Naslov3"/>
    <w:uiPriority w:val="9"/>
    <w:rsid w:val="00F754D1"/>
    <w:rPr>
      <w:rFonts w:asciiTheme="majorHAnsi" w:eastAsiaTheme="majorEastAsia" w:hAnsiTheme="majorHAnsi" w:cstheme="majorBidi"/>
      <w:color w:val="1F3763" w:themeColor="accent1" w:themeShade="7F"/>
    </w:rPr>
  </w:style>
  <w:style w:type="character" w:customStyle="1" w:styleId="Naslov4Znak">
    <w:name w:val="Naslov 4 Znak"/>
    <w:basedOn w:val="Privzetapisavaodstavka"/>
    <w:link w:val="Naslov4"/>
    <w:uiPriority w:val="9"/>
    <w:rsid w:val="00DC36B2"/>
    <w:rPr>
      <w:rFonts w:asciiTheme="majorHAnsi" w:eastAsiaTheme="majorEastAsia" w:hAnsiTheme="majorHAnsi" w:cstheme="majorBidi"/>
      <w:i/>
      <w:iCs/>
      <w:color w:val="2F5496" w:themeColor="accent1" w:themeShade="BF"/>
      <w:szCs w:val="22"/>
      <w:lang w:val="sl-SI" w:eastAsia="sl-SI"/>
    </w:rPr>
  </w:style>
  <w:style w:type="character" w:styleId="Krepko">
    <w:name w:val="Strong"/>
    <w:basedOn w:val="Privzetapisavaodstavka"/>
    <w:uiPriority w:val="22"/>
    <w:qFormat/>
    <w:rsid w:val="00267457"/>
    <w:rPr>
      <w:b/>
      <w:bCs/>
    </w:rPr>
  </w:style>
  <w:style w:type="paragraph" w:customStyle="1" w:styleId="Default">
    <w:name w:val="Default"/>
    <w:rsid w:val="00BC54F5"/>
    <w:pPr>
      <w:autoSpaceDE w:val="0"/>
      <w:autoSpaceDN w:val="0"/>
      <w:adjustRightInd w:val="0"/>
    </w:pPr>
    <w:rPr>
      <w:rFonts w:ascii="Times New Roman" w:hAnsi="Times New Roman" w:cs="Times New Roman"/>
      <w:color w:val="000000"/>
    </w:rPr>
  </w:style>
  <w:style w:type="paragraph" w:styleId="Kazalovsebine1">
    <w:name w:val="toc 1"/>
    <w:basedOn w:val="Navaden"/>
    <w:next w:val="Navaden"/>
    <w:autoRedefine/>
    <w:uiPriority w:val="39"/>
    <w:unhideWhenUsed/>
    <w:rsid w:val="0098033C"/>
    <w:pPr>
      <w:spacing w:after="100"/>
    </w:pPr>
  </w:style>
  <w:style w:type="paragraph" w:styleId="Kazalovsebine2">
    <w:name w:val="toc 2"/>
    <w:basedOn w:val="Navaden"/>
    <w:next w:val="Navaden"/>
    <w:autoRedefine/>
    <w:uiPriority w:val="39"/>
    <w:unhideWhenUsed/>
    <w:rsid w:val="0098033C"/>
    <w:pPr>
      <w:tabs>
        <w:tab w:val="left" w:pos="880"/>
        <w:tab w:val="right" w:leader="dot" w:pos="9016"/>
      </w:tabs>
      <w:spacing w:after="100"/>
      <w:ind w:left="240"/>
    </w:pPr>
  </w:style>
  <w:style w:type="character" w:styleId="Hiperpovezava">
    <w:name w:val="Hyperlink"/>
    <w:basedOn w:val="Privzetapisavaodstavka"/>
    <w:uiPriority w:val="99"/>
    <w:unhideWhenUsed/>
    <w:rsid w:val="0098033C"/>
    <w:rPr>
      <w:color w:val="0563C1" w:themeColor="hyperlink"/>
      <w:u w:val="single"/>
    </w:rPr>
  </w:style>
  <w:style w:type="paragraph" w:customStyle="1" w:styleId="Rigadintestazione">
    <w:name w:val="Riga d'intestazione"/>
    <w:basedOn w:val="Navaden"/>
    <w:rsid w:val="00AB63CE"/>
    <w:pPr>
      <w:tabs>
        <w:tab w:val="center" w:pos="4819"/>
        <w:tab w:val="right" w:pos="9638"/>
      </w:tabs>
      <w:suppressAutoHyphens/>
    </w:pPr>
    <w:rPr>
      <w:kern w:val="1"/>
      <w:lang w:val="it-IT" w:eastAsia="zh-CN"/>
    </w:rPr>
  </w:style>
  <w:style w:type="paragraph" w:styleId="Revizija">
    <w:name w:val="Revision"/>
    <w:hidden/>
    <w:uiPriority w:val="99"/>
    <w:semiHidden/>
    <w:rsid w:val="00E8659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2774">
      <w:bodyDiv w:val="1"/>
      <w:marLeft w:val="0"/>
      <w:marRight w:val="0"/>
      <w:marTop w:val="0"/>
      <w:marBottom w:val="0"/>
      <w:divBdr>
        <w:top w:val="none" w:sz="0" w:space="0" w:color="auto"/>
        <w:left w:val="none" w:sz="0" w:space="0" w:color="auto"/>
        <w:bottom w:val="none" w:sz="0" w:space="0" w:color="auto"/>
        <w:right w:val="none" w:sz="0" w:space="0" w:color="auto"/>
      </w:divBdr>
    </w:div>
    <w:div w:id="68163484">
      <w:bodyDiv w:val="1"/>
      <w:marLeft w:val="0"/>
      <w:marRight w:val="0"/>
      <w:marTop w:val="0"/>
      <w:marBottom w:val="0"/>
      <w:divBdr>
        <w:top w:val="none" w:sz="0" w:space="0" w:color="auto"/>
        <w:left w:val="none" w:sz="0" w:space="0" w:color="auto"/>
        <w:bottom w:val="none" w:sz="0" w:space="0" w:color="auto"/>
        <w:right w:val="none" w:sz="0" w:space="0" w:color="auto"/>
      </w:divBdr>
    </w:div>
    <w:div w:id="96752085">
      <w:bodyDiv w:val="1"/>
      <w:marLeft w:val="0"/>
      <w:marRight w:val="0"/>
      <w:marTop w:val="0"/>
      <w:marBottom w:val="0"/>
      <w:divBdr>
        <w:top w:val="none" w:sz="0" w:space="0" w:color="auto"/>
        <w:left w:val="none" w:sz="0" w:space="0" w:color="auto"/>
        <w:bottom w:val="none" w:sz="0" w:space="0" w:color="auto"/>
        <w:right w:val="none" w:sz="0" w:space="0" w:color="auto"/>
      </w:divBdr>
    </w:div>
    <w:div w:id="168644606">
      <w:bodyDiv w:val="1"/>
      <w:marLeft w:val="0"/>
      <w:marRight w:val="0"/>
      <w:marTop w:val="0"/>
      <w:marBottom w:val="0"/>
      <w:divBdr>
        <w:top w:val="none" w:sz="0" w:space="0" w:color="auto"/>
        <w:left w:val="none" w:sz="0" w:space="0" w:color="auto"/>
        <w:bottom w:val="none" w:sz="0" w:space="0" w:color="auto"/>
        <w:right w:val="none" w:sz="0" w:space="0" w:color="auto"/>
      </w:divBdr>
    </w:div>
    <w:div w:id="377820234">
      <w:bodyDiv w:val="1"/>
      <w:marLeft w:val="0"/>
      <w:marRight w:val="0"/>
      <w:marTop w:val="0"/>
      <w:marBottom w:val="0"/>
      <w:divBdr>
        <w:top w:val="none" w:sz="0" w:space="0" w:color="auto"/>
        <w:left w:val="none" w:sz="0" w:space="0" w:color="auto"/>
        <w:bottom w:val="none" w:sz="0" w:space="0" w:color="auto"/>
        <w:right w:val="none" w:sz="0" w:space="0" w:color="auto"/>
      </w:divBdr>
    </w:div>
    <w:div w:id="395972969">
      <w:bodyDiv w:val="1"/>
      <w:marLeft w:val="0"/>
      <w:marRight w:val="0"/>
      <w:marTop w:val="0"/>
      <w:marBottom w:val="0"/>
      <w:divBdr>
        <w:top w:val="none" w:sz="0" w:space="0" w:color="auto"/>
        <w:left w:val="none" w:sz="0" w:space="0" w:color="auto"/>
        <w:bottom w:val="none" w:sz="0" w:space="0" w:color="auto"/>
        <w:right w:val="none" w:sz="0" w:space="0" w:color="auto"/>
      </w:divBdr>
    </w:div>
    <w:div w:id="587276394">
      <w:bodyDiv w:val="1"/>
      <w:marLeft w:val="0"/>
      <w:marRight w:val="0"/>
      <w:marTop w:val="0"/>
      <w:marBottom w:val="0"/>
      <w:divBdr>
        <w:top w:val="none" w:sz="0" w:space="0" w:color="auto"/>
        <w:left w:val="none" w:sz="0" w:space="0" w:color="auto"/>
        <w:bottom w:val="none" w:sz="0" w:space="0" w:color="auto"/>
        <w:right w:val="none" w:sz="0" w:space="0" w:color="auto"/>
      </w:divBdr>
      <w:divsChild>
        <w:div w:id="1728840393">
          <w:marLeft w:val="0"/>
          <w:marRight w:val="0"/>
          <w:marTop w:val="0"/>
          <w:marBottom w:val="0"/>
          <w:divBdr>
            <w:top w:val="none" w:sz="0" w:space="0" w:color="auto"/>
            <w:left w:val="none" w:sz="0" w:space="0" w:color="auto"/>
            <w:bottom w:val="none" w:sz="0" w:space="0" w:color="auto"/>
            <w:right w:val="none" w:sz="0" w:space="0" w:color="auto"/>
          </w:divBdr>
        </w:div>
        <w:div w:id="1680696845">
          <w:marLeft w:val="0"/>
          <w:marRight w:val="0"/>
          <w:marTop w:val="0"/>
          <w:marBottom w:val="0"/>
          <w:divBdr>
            <w:top w:val="none" w:sz="0" w:space="0" w:color="auto"/>
            <w:left w:val="none" w:sz="0" w:space="0" w:color="auto"/>
            <w:bottom w:val="none" w:sz="0" w:space="0" w:color="auto"/>
            <w:right w:val="none" w:sz="0" w:space="0" w:color="auto"/>
          </w:divBdr>
        </w:div>
      </w:divsChild>
    </w:div>
    <w:div w:id="702173251">
      <w:bodyDiv w:val="1"/>
      <w:marLeft w:val="0"/>
      <w:marRight w:val="0"/>
      <w:marTop w:val="0"/>
      <w:marBottom w:val="0"/>
      <w:divBdr>
        <w:top w:val="none" w:sz="0" w:space="0" w:color="auto"/>
        <w:left w:val="none" w:sz="0" w:space="0" w:color="auto"/>
        <w:bottom w:val="none" w:sz="0" w:space="0" w:color="auto"/>
        <w:right w:val="none" w:sz="0" w:space="0" w:color="auto"/>
      </w:divBdr>
    </w:div>
    <w:div w:id="925843901">
      <w:bodyDiv w:val="1"/>
      <w:marLeft w:val="0"/>
      <w:marRight w:val="0"/>
      <w:marTop w:val="0"/>
      <w:marBottom w:val="0"/>
      <w:divBdr>
        <w:top w:val="none" w:sz="0" w:space="0" w:color="auto"/>
        <w:left w:val="none" w:sz="0" w:space="0" w:color="auto"/>
        <w:bottom w:val="none" w:sz="0" w:space="0" w:color="auto"/>
        <w:right w:val="none" w:sz="0" w:space="0" w:color="auto"/>
      </w:divBdr>
    </w:div>
    <w:div w:id="1041780336">
      <w:bodyDiv w:val="1"/>
      <w:marLeft w:val="0"/>
      <w:marRight w:val="0"/>
      <w:marTop w:val="0"/>
      <w:marBottom w:val="0"/>
      <w:divBdr>
        <w:top w:val="none" w:sz="0" w:space="0" w:color="auto"/>
        <w:left w:val="none" w:sz="0" w:space="0" w:color="auto"/>
        <w:bottom w:val="none" w:sz="0" w:space="0" w:color="auto"/>
        <w:right w:val="none" w:sz="0" w:space="0" w:color="auto"/>
      </w:divBdr>
    </w:div>
    <w:div w:id="1109397226">
      <w:bodyDiv w:val="1"/>
      <w:marLeft w:val="0"/>
      <w:marRight w:val="0"/>
      <w:marTop w:val="0"/>
      <w:marBottom w:val="0"/>
      <w:divBdr>
        <w:top w:val="none" w:sz="0" w:space="0" w:color="auto"/>
        <w:left w:val="none" w:sz="0" w:space="0" w:color="auto"/>
        <w:bottom w:val="none" w:sz="0" w:space="0" w:color="auto"/>
        <w:right w:val="none" w:sz="0" w:space="0" w:color="auto"/>
      </w:divBdr>
    </w:div>
    <w:div w:id="1180046191">
      <w:bodyDiv w:val="1"/>
      <w:marLeft w:val="0"/>
      <w:marRight w:val="0"/>
      <w:marTop w:val="0"/>
      <w:marBottom w:val="0"/>
      <w:divBdr>
        <w:top w:val="none" w:sz="0" w:space="0" w:color="auto"/>
        <w:left w:val="none" w:sz="0" w:space="0" w:color="auto"/>
        <w:bottom w:val="none" w:sz="0" w:space="0" w:color="auto"/>
        <w:right w:val="none" w:sz="0" w:space="0" w:color="auto"/>
      </w:divBdr>
    </w:div>
    <w:div w:id="1300382228">
      <w:bodyDiv w:val="1"/>
      <w:marLeft w:val="0"/>
      <w:marRight w:val="0"/>
      <w:marTop w:val="0"/>
      <w:marBottom w:val="0"/>
      <w:divBdr>
        <w:top w:val="none" w:sz="0" w:space="0" w:color="auto"/>
        <w:left w:val="none" w:sz="0" w:space="0" w:color="auto"/>
        <w:bottom w:val="none" w:sz="0" w:space="0" w:color="auto"/>
        <w:right w:val="none" w:sz="0" w:space="0" w:color="auto"/>
      </w:divBdr>
      <w:divsChild>
        <w:div w:id="695351372">
          <w:marLeft w:val="0"/>
          <w:marRight w:val="0"/>
          <w:marTop w:val="0"/>
          <w:marBottom w:val="0"/>
          <w:divBdr>
            <w:top w:val="none" w:sz="0" w:space="0" w:color="auto"/>
            <w:left w:val="none" w:sz="0" w:space="0" w:color="auto"/>
            <w:bottom w:val="none" w:sz="0" w:space="0" w:color="auto"/>
            <w:right w:val="none" w:sz="0" w:space="0" w:color="auto"/>
          </w:divBdr>
          <w:divsChild>
            <w:div w:id="84770245">
              <w:marLeft w:val="0"/>
              <w:marRight w:val="0"/>
              <w:marTop w:val="0"/>
              <w:marBottom w:val="0"/>
              <w:divBdr>
                <w:top w:val="none" w:sz="0" w:space="0" w:color="auto"/>
                <w:left w:val="none" w:sz="0" w:space="0" w:color="auto"/>
                <w:bottom w:val="none" w:sz="0" w:space="0" w:color="auto"/>
                <w:right w:val="none" w:sz="0" w:space="0" w:color="auto"/>
              </w:divBdr>
              <w:divsChild>
                <w:div w:id="10491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684">
      <w:bodyDiv w:val="1"/>
      <w:marLeft w:val="0"/>
      <w:marRight w:val="0"/>
      <w:marTop w:val="0"/>
      <w:marBottom w:val="0"/>
      <w:divBdr>
        <w:top w:val="none" w:sz="0" w:space="0" w:color="auto"/>
        <w:left w:val="none" w:sz="0" w:space="0" w:color="auto"/>
        <w:bottom w:val="none" w:sz="0" w:space="0" w:color="auto"/>
        <w:right w:val="none" w:sz="0" w:space="0" w:color="auto"/>
      </w:divBdr>
    </w:div>
    <w:div w:id="1441602872">
      <w:bodyDiv w:val="1"/>
      <w:marLeft w:val="0"/>
      <w:marRight w:val="0"/>
      <w:marTop w:val="0"/>
      <w:marBottom w:val="0"/>
      <w:divBdr>
        <w:top w:val="none" w:sz="0" w:space="0" w:color="auto"/>
        <w:left w:val="none" w:sz="0" w:space="0" w:color="auto"/>
        <w:bottom w:val="none" w:sz="0" w:space="0" w:color="auto"/>
        <w:right w:val="none" w:sz="0" w:space="0" w:color="auto"/>
      </w:divBdr>
    </w:div>
    <w:div w:id="1685549956">
      <w:bodyDiv w:val="1"/>
      <w:marLeft w:val="0"/>
      <w:marRight w:val="0"/>
      <w:marTop w:val="0"/>
      <w:marBottom w:val="0"/>
      <w:divBdr>
        <w:top w:val="none" w:sz="0" w:space="0" w:color="auto"/>
        <w:left w:val="none" w:sz="0" w:space="0" w:color="auto"/>
        <w:bottom w:val="none" w:sz="0" w:space="0" w:color="auto"/>
        <w:right w:val="none" w:sz="0" w:space="0" w:color="auto"/>
      </w:divBdr>
    </w:div>
    <w:div w:id="17760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006C13D133B044A2FE54E907BA8834" ma:contentTypeVersion="16" ma:contentTypeDescription="Creare un nuovo documento." ma:contentTypeScope="" ma:versionID="174058885daec9b78f04af27e90fb3d3">
  <xsd:schema xmlns:xsd="http://www.w3.org/2001/XMLSchema" xmlns:xs="http://www.w3.org/2001/XMLSchema" xmlns:p="http://schemas.microsoft.com/office/2006/metadata/properties" xmlns:ns2="3b89cca4-e978-458c-bcc1-73e08626acf1" xmlns:ns3="93be59e3-129f-4f51-bcce-a0522aded1aa" targetNamespace="http://schemas.microsoft.com/office/2006/metadata/properties" ma:root="true" ma:fieldsID="c9091062767d77937414e461268a57ca" ns2:_="" ns3:_="">
    <xsd:import namespace="3b89cca4-e978-458c-bcc1-73e08626acf1"/>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cca4-e978-458c-bcc1-73e08626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ae7c482-cb11-48fe-baf6-c7c41126a2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ff71396d-1a93-4535-90bd-8032c279f3d4}" ma:internalName="TaxCatchAll" ma:showField="CatchAllData" ma:web="93be59e3-129f-4f51-bcce-a0522ade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be59e3-129f-4f51-bcce-a0522aded1aa" xsi:nil="true"/>
    <lcf76f155ced4ddcb4097134ff3c332f xmlns="3b89cca4-e978-458c-bcc1-73e08626acf1">
      <Terms xmlns="http://schemas.microsoft.com/office/infopath/2007/PartnerControls"/>
    </lcf76f155ced4ddcb4097134ff3c332f>
    <SharedWithUsers xmlns="93be59e3-129f-4f51-bcce-a0522aded1aa">
      <UserInfo>
        <DisplayName>Romina Kocina</DisplayName>
        <AccountId>5420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8624F6-FDFF-4B7D-B1E7-F84D59EE1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cca4-e978-458c-bcc1-73e08626acf1"/>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54A1F-1D9F-45BD-8780-52FA57153E33}">
  <ds:schemaRefs>
    <ds:schemaRef ds:uri="http://schemas.microsoft.com/office/2006/metadata/properties"/>
    <ds:schemaRef ds:uri="http://schemas.microsoft.com/office/infopath/2007/PartnerControls"/>
    <ds:schemaRef ds:uri="93be59e3-129f-4f51-bcce-a0522aded1aa"/>
    <ds:schemaRef ds:uri="3b89cca4-e978-458c-bcc1-73e08626acf1"/>
  </ds:schemaRefs>
</ds:datastoreItem>
</file>

<file path=customXml/itemProps3.xml><?xml version="1.0" encoding="utf-8"?>
<ds:datastoreItem xmlns:ds="http://schemas.openxmlformats.org/officeDocument/2006/customXml" ds:itemID="{D9E6D7CF-5C83-4843-8D0E-FCCA01C521A5}">
  <ds:schemaRefs>
    <ds:schemaRef ds:uri="http://schemas.microsoft.com/sharepoint/v3/contenttype/forms"/>
  </ds:schemaRefs>
</ds:datastoreItem>
</file>

<file path=customXml/itemProps4.xml><?xml version="1.0" encoding="utf-8"?>
<ds:datastoreItem xmlns:ds="http://schemas.openxmlformats.org/officeDocument/2006/customXml" ds:itemID="{6BAD0809-F3AA-402B-B3AF-77D1B657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2804</Words>
  <Characters>15984</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 Kaja</dc:creator>
  <cp:keywords/>
  <dc:description/>
  <cp:lastModifiedBy>Miran Ljucovič</cp:lastModifiedBy>
  <cp:revision>2</cp:revision>
  <cp:lastPrinted>2022-10-14T09:42:00Z</cp:lastPrinted>
  <dcterms:created xsi:type="dcterms:W3CDTF">2022-10-14T16:50:00Z</dcterms:created>
  <dcterms:modified xsi:type="dcterms:W3CDTF">2022-10-14T16:50:00Z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0x01010009006C13D133B044A2FE54E907BA8834</vt:lpwstr>
  </property>
  <property fmtid="{D5CDD505-2E9C-101B-9397-08002B2CF9AE}" pid="3" name="MediaServiceImageTags">
    <vt:lpwstr/>
  </property>
</Properties>
</file>