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1884659C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7565A1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 xml:space="preserve">79/18, </w:t>
      </w:r>
      <w:r w:rsidR="007565A1">
        <w:rPr>
          <w:rFonts w:ascii="Arial" w:hAnsi="Arial" w:cs="Arial"/>
          <w:sz w:val="22"/>
          <w:szCs w:val="22"/>
          <w:lang w:val="sl-SI"/>
        </w:rPr>
        <w:t>78/</w:t>
      </w:r>
      <w:r w:rsidR="00F2117E">
        <w:rPr>
          <w:rFonts w:ascii="Arial" w:hAnsi="Arial" w:cs="Arial"/>
          <w:sz w:val="22"/>
          <w:szCs w:val="22"/>
          <w:lang w:val="sl-SI"/>
        </w:rPr>
        <w:t>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</w:t>
      </w:r>
      <w:r w:rsidR="006708DE">
        <w:rPr>
          <w:rFonts w:ascii="Arial" w:hAnsi="Arial" w:cs="Arial"/>
          <w:sz w:val="22"/>
          <w:szCs w:val="22"/>
          <w:lang w:val="sl-SI"/>
        </w:rPr>
        <w:t>,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</w:t>
      </w:r>
      <w:r w:rsidR="00222D86">
        <w:rPr>
          <w:rFonts w:ascii="Arial" w:hAnsi="Arial" w:cs="Arial"/>
          <w:sz w:val="22"/>
          <w:szCs w:val="22"/>
          <w:lang w:val="sl-SI"/>
        </w:rPr>
        <w:t xml:space="preserve">21. decembra 2023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59C7F338" w14:textId="77777777" w:rsidR="006708DE" w:rsidRDefault="006708DE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20F841CE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za leto </w:t>
      </w:r>
      <w:r w:rsidR="00E10F68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46FB29C0" w:rsidR="009B25E6" w:rsidRDefault="00222D8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20% skupne vrednosti Načrta pridobivanja nepremičnega premoženja za leto </w:t>
      </w:r>
      <w:r w:rsidR="00D019C7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5D59C3">
        <w:rPr>
          <w:rFonts w:ascii="Arial" w:eastAsia="Times New Roman" w:hAnsi="Arial" w:cs="Arial"/>
          <w:noProof/>
          <w:sz w:val="22"/>
          <w:szCs w:val="22"/>
          <w:lang w:val="sl-SI"/>
        </w:rPr>
        <w:t>292.530</w:t>
      </w:r>
      <w:r w:rsidR="004C16EB">
        <w:rPr>
          <w:rFonts w:ascii="Arial" w:eastAsia="Times New Roman" w:hAnsi="Arial" w:cs="Arial"/>
          <w:noProof/>
          <w:sz w:val="22"/>
          <w:szCs w:val="22"/>
          <w:lang w:val="sl-SI"/>
        </w:rPr>
        <w:t>,00 EUR</w:t>
      </w:r>
      <w:r w:rsidR="008E72B3">
        <w:rPr>
          <w:rFonts w:ascii="Arial" w:eastAsia="Times New Roman" w:hAnsi="Arial" w:cs="Arial"/>
          <w:noProof/>
          <w:sz w:val="22"/>
          <w:szCs w:val="22"/>
          <w:lang w:val="sl-SI"/>
        </w:rPr>
        <w:t>,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</w:t>
      </w:r>
    </w:p>
    <w:p w14:paraId="411EE22E" w14:textId="47CCDDF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</w:t>
      </w:r>
      <w:r w:rsidR="00D019C7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E8024A">
        <w:rPr>
          <w:rFonts w:ascii="Arial" w:eastAsia="Times New Roman" w:hAnsi="Arial" w:cs="Arial"/>
          <w:noProof/>
          <w:sz w:val="22"/>
          <w:szCs w:val="22"/>
          <w:lang w:val="sl-SI"/>
        </w:rPr>
        <w:t>53</w:t>
      </w:r>
      <w:r w:rsidR="002927AF">
        <w:rPr>
          <w:rFonts w:ascii="Arial" w:eastAsia="Times New Roman" w:hAnsi="Arial" w:cs="Arial"/>
          <w:noProof/>
          <w:sz w:val="22"/>
          <w:szCs w:val="22"/>
          <w:lang w:val="sl-SI"/>
        </w:rPr>
        <w:t>4</w:t>
      </w:r>
      <w:r w:rsidR="00E8024A">
        <w:rPr>
          <w:rFonts w:ascii="Arial" w:eastAsia="Times New Roman" w:hAnsi="Arial" w:cs="Arial"/>
          <w:noProof/>
          <w:sz w:val="22"/>
          <w:szCs w:val="22"/>
          <w:lang w:val="sl-SI"/>
        </w:rPr>
        <w:t>.000,00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71A36C2" w14:textId="4D8AAA96" w:rsidR="00462F45" w:rsidRDefault="00462F45" w:rsidP="008E72B3">
      <w:pPr>
        <w:pStyle w:val="Bodytext20"/>
        <w:shd w:val="clear" w:color="auto" w:fill="auto"/>
        <w:spacing w:before="0" w:line="240" w:lineRule="auto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2.</w:t>
      </w:r>
    </w:p>
    <w:p w14:paraId="3E6B61FE" w14:textId="77777777" w:rsidR="008E72B3" w:rsidRDefault="008E72B3" w:rsidP="008E72B3">
      <w:pPr>
        <w:pStyle w:val="Bodytext20"/>
        <w:shd w:val="clear" w:color="auto" w:fill="auto"/>
        <w:spacing w:before="0" w:line="240" w:lineRule="auto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5E97E8EA" w14:textId="077578E2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Ta sklep začne veljati z dnem uveljavitve Odloka o proračunu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 xml:space="preserve">ne Nova Gorica za leto </w:t>
      </w:r>
      <w:r w:rsidR="00E8024A">
        <w:rPr>
          <w:rFonts w:ascii="Arial" w:hAnsi="Arial" w:cs="Arial"/>
          <w:noProof/>
          <w:sz w:val="22"/>
          <w:szCs w:val="22"/>
          <w:lang w:val="sl-SI"/>
        </w:rPr>
        <w:t>2024</w:t>
      </w:r>
      <w:r>
        <w:rPr>
          <w:rFonts w:ascii="Arial" w:hAnsi="Arial" w:cs="Arial"/>
          <w:noProof/>
          <w:sz w:val="22"/>
          <w:szCs w:val="22"/>
          <w:lang w:val="sl-SI"/>
        </w:rPr>
        <w:t>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05E2332B" w14:textId="77777777" w:rsidR="006708DE" w:rsidRDefault="006708DE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627A7086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5E84EF17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4780-0006/2023</w:t>
      </w:r>
      <w:r w:rsidR="00746BE7">
        <w:rPr>
          <w:rFonts w:ascii="Arial" w:hAnsi="Arial" w:cs="Arial"/>
          <w:noProof/>
          <w:sz w:val="22"/>
          <w:szCs w:val="22"/>
          <w:lang w:val="sl-SI"/>
        </w:rPr>
        <w:t>-21</w:t>
      </w:r>
    </w:p>
    <w:p w14:paraId="6AB5C56E" w14:textId="3F7774E5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  <w:r w:rsidR="006708DE">
        <w:rPr>
          <w:rFonts w:ascii="Arial" w:hAnsi="Arial" w:cs="Arial"/>
          <w:noProof/>
          <w:sz w:val="22"/>
          <w:szCs w:val="22"/>
          <w:lang w:val="sl-SI"/>
        </w:rPr>
        <w:t xml:space="preserve"> dne</w:t>
      </w:r>
      <w:r w:rsidR="008E72B3">
        <w:rPr>
          <w:rFonts w:ascii="Arial" w:hAnsi="Arial" w:cs="Arial"/>
          <w:noProof/>
          <w:sz w:val="22"/>
          <w:szCs w:val="22"/>
          <w:lang w:val="sl-SI"/>
        </w:rPr>
        <w:t xml:space="preserve"> 21. decembra 2023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21A09EA2" w14:textId="5E0A8C83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63642D05" w14:textId="01898EBF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</w:t>
      </w:r>
    </w:p>
    <w:sectPr w:rsidR="00593833" w:rsidRPr="008608C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B23D" w14:textId="77777777" w:rsidR="00205994" w:rsidRDefault="00205994">
      <w:r>
        <w:separator/>
      </w:r>
    </w:p>
  </w:endnote>
  <w:endnote w:type="continuationSeparator" w:id="0">
    <w:p w14:paraId="7102F177" w14:textId="77777777" w:rsidR="00205994" w:rsidRDefault="0020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B76A" w14:textId="77777777" w:rsidR="00205994" w:rsidRDefault="00205994">
      <w:r>
        <w:separator/>
      </w:r>
    </w:p>
  </w:footnote>
  <w:footnote w:type="continuationSeparator" w:id="0">
    <w:p w14:paraId="4976D11A" w14:textId="77777777" w:rsidR="00205994" w:rsidRDefault="0020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D059E"/>
    <w:rsid w:val="00146382"/>
    <w:rsid w:val="001B4541"/>
    <w:rsid w:val="00205994"/>
    <w:rsid w:val="00222D86"/>
    <w:rsid w:val="00261AC8"/>
    <w:rsid w:val="002927AF"/>
    <w:rsid w:val="002A5B83"/>
    <w:rsid w:val="002B019D"/>
    <w:rsid w:val="002F4A2F"/>
    <w:rsid w:val="003A41FB"/>
    <w:rsid w:val="003C5616"/>
    <w:rsid w:val="003C7C9F"/>
    <w:rsid w:val="004444E6"/>
    <w:rsid w:val="00444E0B"/>
    <w:rsid w:val="004620DF"/>
    <w:rsid w:val="00462F45"/>
    <w:rsid w:val="004639D2"/>
    <w:rsid w:val="004C16EB"/>
    <w:rsid w:val="005160E6"/>
    <w:rsid w:val="00523EEC"/>
    <w:rsid w:val="00554028"/>
    <w:rsid w:val="00575BEF"/>
    <w:rsid w:val="005763E6"/>
    <w:rsid w:val="00593833"/>
    <w:rsid w:val="005D33B4"/>
    <w:rsid w:val="005D59C3"/>
    <w:rsid w:val="00622A3E"/>
    <w:rsid w:val="006708DE"/>
    <w:rsid w:val="006845D1"/>
    <w:rsid w:val="006937D9"/>
    <w:rsid w:val="00716DDA"/>
    <w:rsid w:val="0071789D"/>
    <w:rsid w:val="00746BE7"/>
    <w:rsid w:val="007565A1"/>
    <w:rsid w:val="007812B9"/>
    <w:rsid w:val="0078757A"/>
    <w:rsid w:val="00797E5D"/>
    <w:rsid w:val="007A7E2E"/>
    <w:rsid w:val="007F32EC"/>
    <w:rsid w:val="00814CFC"/>
    <w:rsid w:val="008608C5"/>
    <w:rsid w:val="008E72B3"/>
    <w:rsid w:val="009273FC"/>
    <w:rsid w:val="00991A75"/>
    <w:rsid w:val="009A3944"/>
    <w:rsid w:val="009A771B"/>
    <w:rsid w:val="009B25E6"/>
    <w:rsid w:val="009B7E7E"/>
    <w:rsid w:val="009E33BD"/>
    <w:rsid w:val="009F0655"/>
    <w:rsid w:val="009F4E83"/>
    <w:rsid w:val="00A5130E"/>
    <w:rsid w:val="00A91A64"/>
    <w:rsid w:val="00A920D3"/>
    <w:rsid w:val="00AA3E9D"/>
    <w:rsid w:val="00B615EA"/>
    <w:rsid w:val="00B6360A"/>
    <w:rsid w:val="00B66C8D"/>
    <w:rsid w:val="00B9064A"/>
    <w:rsid w:val="00BD7D4F"/>
    <w:rsid w:val="00C42146"/>
    <w:rsid w:val="00CC7700"/>
    <w:rsid w:val="00D019C7"/>
    <w:rsid w:val="00D85EA0"/>
    <w:rsid w:val="00D86CB1"/>
    <w:rsid w:val="00E06FB6"/>
    <w:rsid w:val="00E10F68"/>
    <w:rsid w:val="00E8024A"/>
    <w:rsid w:val="00EB249F"/>
    <w:rsid w:val="00F2117E"/>
    <w:rsid w:val="00F33D7C"/>
    <w:rsid w:val="00F43F29"/>
    <w:rsid w:val="00F53C55"/>
    <w:rsid w:val="00F55492"/>
    <w:rsid w:val="00F6084C"/>
    <w:rsid w:val="00FC63BB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7</cp:revision>
  <dcterms:created xsi:type="dcterms:W3CDTF">2023-12-07T13:34:00Z</dcterms:created>
  <dcterms:modified xsi:type="dcterms:W3CDTF">2023-12-22T09:34:00Z</dcterms:modified>
</cp:coreProperties>
</file>