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CF1549" w14:textId="70D48744" w:rsidR="00D554EE" w:rsidRPr="00B14994" w:rsidRDefault="00D554EE" w:rsidP="006B7E34">
      <w:bookmarkStart w:id="0" w:name="_Hlk74910192"/>
      <w:bookmarkEnd w:id="0"/>
    </w:p>
    <w:p w14:paraId="24562415" w14:textId="3F6FBACA" w:rsidR="00D07314" w:rsidRPr="00B14994" w:rsidRDefault="00D07314" w:rsidP="000819EA">
      <w:pPr>
        <w:tabs>
          <w:tab w:val="left" w:pos="2340"/>
        </w:tabs>
      </w:pPr>
    </w:p>
    <w:p w14:paraId="79303F6C" w14:textId="1FC90AFE" w:rsidR="00116FAD" w:rsidRPr="00B14994" w:rsidRDefault="00116FAD" w:rsidP="006B7E34"/>
    <w:p w14:paraId="157AE62D" w14:textId="77777777" w:rsidR="00D25234" w:rsidRPr="00B14994" w:rsidRDefault="00D25234" w:rsidP="006B7E34"/>
    <w:p w14:paraId="7FD9BDDC" w14:textId="77777777" w:rsidR="00E65813" w:rsidRPr="00E65813" w:rsidRDefault="00E65813" w:rsidP="00E65813">
      <w:pPr>
        <w:pStyle w:val="Naslov"/>
      </w:pPr>
      <w:r w:rsidRPr="00E65813">
        <w:t xml:space="preserve">Akcijski načrt za trajnostno energijo in podnebne spremembe - SECAP </w:t>
      </w:r>
    </w:p>
    <w:p w14:paraId="5F558EC4" w14:textId="77777777" w:rsidR="00E65813" w:rsidRPr="00E65813" w:rsidRDefault="00E65813" w:rsidP="00E65813">
      <w:pPr>
        <w:pStyle w:val="Naslov"/>
      </w:pPr>
      <w:r w:rsidRPr="00E65813">
        <w:t>2. del</w:t>
      </w:r>
    </w:p>
    <w:p w14:paraId="12F7B6C3" w14:textId="169480CD" w:rsidR="00DD58AC" w:rsidRPr="00B14994" w:rsidRDefault="00DD58AC" w:rsidP="00D01333">
      <w:pPr>
        <w:pStyle w:val="Naslov"/>
      </w:pPr>
      <w:r w:rsidRPr="00B14994">
        <w:t>ANALIZA RANLJIVOSTI IN TVEGANJ</w:t>
      </w:r>
      <w:r w:rsidR="00C64B82" w:rsidRPr="00B14994">
        <w:t>A</w:t>
      </w:r>
      <w:r w:rsidRPr="00B14994">
        <w:t xml:space="preserve"> </w:t>
      </w:r>
      <w:r w:rsidR="00536A2B">
        <w:t>ZARADI</w:t>
      </w:r>
      <w:r w:rsidRPr="00B14994">
        <w:t xml:space="preserve"> PODNEBN</w:t>
      </w:r>
      <w:r w:rsidR="00536A2B">
        <w:t>IH</w:t>
      </w:r>
      <w:r w:rsidRPr="00B14994">
        <w:t xml:space="preserve"> SPREMEMB</w:t>
      </w:r>
    </w:p>
    <w:p w14:paraId="2E21BA97" w14:textId="537CA02A" w:rsidR="00DD58AC" w:rsidRPr="00B14994" w:rsidRDefault="00DD58AC" w:rsidP="00D01333">
      <w:pPr>
        <w:pStyle w:val="Naslov"/>
      </w:pPr>
      <w:r w:rsidRPr="00B14994">
        <w:t xml:space="preserve">za </w:t>
      </w:r>
      <w:r w:rsidR="00D47C32">
        <w:t xml:space="preserve">Mestno </w:t>
      </w:r>
      <w:r w:rsidR="00C36082">
        <w:t>o</w:t>
      </w:r>
      <w:r w:rsidRPr="00B14994">
        <w:t xml:space="preserve">bčino </w:t>
      </w:r>
      <w:r w:rsidR="00D47C32">
        <w:t>Nova Gorica</w:t>
      </w:r>
    </w:p>
    <w:p w14:paraId="56D1150F" w14:textId="77777777" w:rsidR="00DD58AC" w:rsidRPr="00B14994" w:rsidRDefault="00DD58AC" w:rsidP="006B7E34"/>
    <w:p w14:paraId="0AC4A6BE" w14:textId="77777777" w:rsidR="00023B48" w:rsidRPr="00B14994" w:rsidRDefault="00023B48" w:rsidP="006B7E34"/>
    <w:p w14:paraId="7011F058" w14:textId="132D5D35" w:rsidR="006F7861" w:rsidRPr="00B14994" w:rsidRDefault="006F7861" w:rsidP="00D01333">
      <w:pPr>
        <w:pStyle w:val="Podnaslov"/>
      </w:pPr>
      <w:r w:rsidRPr="00B14994">
        <w:t xml:space="preserve">DS </w:t>
      </w:r>
      <w:r w:rsidR="00013D7B">
        <w:t>3.2</w:t>
      </w:r>
      <w:r w:rsidRPr="00B14994">
        <w:t xml:space="preserve"> </w:t>
      </w:r>
      <w:r w:rsidR="00F06A95" w:rsidRPr="00B14994">
        <w:t>–</w:t>
      </w:r>
      <w:r w:rsidRPr="00B14994">
        <w:t xml:space="preserve"> </w:t>
      </w:r>
      <w:r w:rsidR="00DD58AC" w:rsidRPr="00B14994">
        <w:t>Prilagaj</w:t>
      </w:r>
      <w:r w:rsidR="00B724DD" w:rsidRPr="00B14994">
        <w:t>an</w:t>
      </w:r>
      <w:r w:rsidR="00DD58AC" w:rsidRPr="00B14994">
        <w:t>je in ocena ranlji</w:t>
      </w:r>
      <w:r w:rsidR="00DD58AC" w:rsidRPr="00E65813">
        <w:t>vosti</w:t>
      </w:r>
    </w:p>
    <w:p w14:paraId="104304C0" w14:textId="001D7DE7" w:rsidR="00E65813" w:rsidRPr="00EF0B8F" w:rsidRDefault="00DD58AC" w:rsidP="00B01FD7">
      <w:pPr>
        <w:rPr>
          <w:color w:val="0070C0"/>
        </w:rPr>
      </w:pPr>
      <w:r w:rsidRPr="0070627A">
        <w:t xml:space="preserve">Aktivnost: Analiza ranljivosti in tveganja </w:t>
      </w:r>
      <w:r w:rsidR="00536A2B" w:rsidRPr="0070627A">
        <w:t>zaradi</w:t>
      </w:r>
      <w:r w:rsidRPr="0070627A">
        <w:t xml:space="preserve"> podnebn</w:t>
      </w:r>
      <w:r w:rsidR="00536A2B" w:rsidRPr="0070627A">
        <w:t>ih</w:t>
      </w:r>
      <w:r w:rsidRPr="0070627A">
        <w:t xml:space="preserve"> sprememb za </w:t>
      </w:r>
      <w:r w:rsidR="00D47C32">
        <w:t xml:space="preserve">Mestno </w:t>
      </w:r>
      <w:r w:rsidRPr="0070627A">
        <w:t xml:space="preserve">občino </w:t>
      </w:r>
      <w:r w:rsidR="00D47C32">
        <w:t>Nova Gorica</w:t>
      </w:r>
    </w:p>
    <w:p w14:paraId="7B58C8DA" w14:textId="77777777" w:rsidR="006C7D72" w:rsidRPr="00B14994" w:rsidRDefault="006C7D72" w:rsidP="00EF0B8F">
      <w:pPr>
        <w:pStyle w:val="Podnaslov"/>
      </w:pPr>
    </w:p>
    <w:tbl>
      <w:tblPr>
        <w:tblW w:w="5000" w:type="pct"/>
        <w:tblCellMar>
          <w:left w:w="113" w:type="dxa"/>
        </w:tblCellMar>
        <w:tblLook w:val="04A0" w:firstRow="1" w:lastRow="0" w:firstColumn="1" w:lastColumn="0" w:noHBand="0" w:noVBand="1"/>
      </w:tblPr>
      <w:tblGrid>
        <w:gridCol w:w="9638"/>
      </w:tblGrid>
      <w:tr w:rsidR="006F7861" w:rsidRPr="00B14994" w14:paraId="539B14CD" w14:textId="77777777" w:rsidTr="00C3001F">
        <w:tc>
          <w:tcPr>
            <w:tcW w:w="5000" w:type="pct"/>
            <w:tcBorders>
              <w:top w:val="nil"/>
              <w:left w:val="nil"/>
              <w:bottom w:val="nil"/>
              <w:right w:val="nil"/>
            </w:tcBorders>
            <w:shd w:val="clear" w:color="auto" w:fill="auto"/>
          </w:tcPr>
          <w:p w14:paraId="5303CB4C" w14:textId="081A7AE3" w:rsidR="006F7861" w:rsidRPr="00B14994" w:rsidRDefault="00F06A95" w:rsidP="006E171A">
            <w:pPr>
              <w:pStyle w:val="Brezrazmikov"/>
              <w:spacing w:line="259" w:lineRule="auto"/>
              <w:jc w:val="both"/>
              <w:rPr>
                <w:lang w:val="sl-SI"/>
              </w:rPr>
            </w:pPr>
            <w:r w:rsidRPr="00B14994">
              <w:rPr>
                <w:rStyle w:val="PodnaslovZnak"/>
              </w:rPr>
              <w:t>Predvideni datum oddaje</w:t>
            </w:r>
            <w:r w:rsidR="006F7861" w:rsidRPr="00B14994">
              <w:rPr>
                <w:rFonts w:ascii="Trebuchet MS" w:hAnsi="Trebuchet MS"/>
                <w:lang w:val="sl-SI"/>
              </w:rPr>
              <w:t xml:space="preserve">: </w:t>
            </w:r>
            <w:r w:rsidR="00CB58F8" w:rsidRPr="00CB58F8">
              <w:rPr>
                <w:lang w:val="sl-SI"/>
              </w:rPr>
              <w:t>30.6.2021</w:t>
            </w:r>
          </w:p>
        </w:tc>
      </w:tr>
      <w:tr w:rsidR="006F7861" w:rsidRPr="00B14994" w14:paraId="028990EF" w14:textId="77777777" w:rsidTr="00C3001F">
        <w:tc>
          <w:tcPr>
            <w:tcW w:w="5000" w:type="pct"/>
            <w:tcBorders>
              <w:top w:val="nil"/>
              <w:left w:val="nil"/>
              <w:bottom w:val="nil"/>
              <w:right w:val="nil"/>
            </w:tcBorders>
            <w:shd w:val="clear" w:color="auto" w:fill="auto"/>
          </w:tcPr>
          <w:p w14:paraId="7F79E66B" w14:textId="3B9F16B1" w:rsidR="006F7861" w:rsidRPr="00B14994" w:rsidRDefault="00F06A95" w:rsidP="00A4439A">
            <w:pPr>
              <w:pStyle w:val="Brezrazmikov"/>
              <w:tabs>
                <w:tab w:val="clear" w:pos="8365"/>
                <w:tab w:val="left" w:pos="6450"/>
              </w:tabs>
              <w:spacing w:line="259" w:lineRule="auto"/>
              <w:jc w:val="both"/>
              <w:rPr>
                <w:lang w:val="sl-SI"/>
              </w:rPr>
            </w:pPr>
            <w:r w:rsidRPr="00B14994">
              <w:rPr>
                <w:rStyle w:val="PodnaslovZnak"/>
              </w:rPr>
              <w:t>Stanje</w:t>
            </w:r>
            <w:r w:rsidRPr="00B14994">
              <w:rPr>
                <w:lang w:val="sl-SI"/>
              </w:rPr>
              <w:t xml:space="preserve">: </w:t>
            </w:r>
            <w:r w:rsidR="00BB2915">
              <w:rPr>
                <w:lang w:val="sl-SI"/>
              </w:rPr>
              <w:t>Zaključno poročilo</w:t>
            </w:r>
            <w:r w:rsidR="00A4439A" w:rsidRPr="00B14994">
              <w:rPr>
                <w:lang w:val="sl-SI"/>
              </w:rPr>
              <w:tab/>
            </w:r>
          </w:p>
        </w:tc>
      </w:tr>
      <w:tr w:rsidR="006F7861" w:rsidRPr="00B14994" w14:paraId="2C0726A2" w14:textId="77777777" w:rsidTr="00C3001F">
        <w:tc>
          <w:tcPr>
            <w:tcW w:w="5000" w:type="pct"/>
            <w:tcBorders>
              <w:top w:val="nil"/>
              <w:left w:val="nil"/>
              <w:bottom w:val="nil"/>
              <w:right w:val="nil"/>
            </w:tcBorders>
            <w:shd w:val="clear" w:color="auto" w:fill="auto"/>
          </w:tcPr>
          <w:p w14:paraId="7289D040" w14:textId="4A446BE5" w:rsidR="006F7861" w:rsidRPr="00B14994" w:rsidRDefault="00F06A95" w:rsidP="006F7861">
            <w:pPr>
              <w:pStyle w:val="Brezrazmikov"/>
              <w:spacing w:line="259" w:lineRule="auto"/>
              <w:jc w:val="both"/>
              <w:rPr>
                <w:lang w:val="sl-SI"/>
              </w:rPr>
            </w:pPr>
            <w:r w:rsidRPr="00B14994">
              <w:rPr>
                <w:rStyle w:val="PodnaslovZnak"/>
              </w:rPr>
              <w:t>Verzija</w:t>
            </w:r>
            <w:r w:rsidR="006F7861" w:rsidRPr="00B14994">
              <w:rPr>
                <w:rFonts w:ascii="Trebuchet MS" w:hAnsi="Trebuchet MS" w:cstheme="minorBidi"/>
                <w:b/>
                <w:color w:val="203B88"/>
                <w:sz w:val="24"/>
                <w:szCs w:val="24"/>
                <w:lang w:val="sl-SI"/>
              </w:rPr>
              <w:t xml:space="preserve">: </w:t>
            </w:r>
            <w:r w:rsidR="006F7861" w:rsidRPr="00C46646">
              <w:rPr>
                <w:lang w:val="sl-SI"/>
              </w:rPr>
              <w:t>1.</w:t>
            </w:r>
            <w:r w:rsidR="00FF2E41">
              <w:rPr>
                <w:lang w:val="sl-SI"/>
              </w:rPr>
              <w:t>1</w:t>
            </w:r>
          </w:p>
        </w:tc>
      </w:tr>
      <w:tr w:rsidR="006F7861" w:rsidRPr="00B14994" w14:paraId="298DF653" w14:textId="77777777" w:rsidTr="00C3001F">
        <w:tc>
          <w:tcPr>
            <w:tcW w:w="5000" w:type="pct"/>
            <w:tcBorders>
              <w:top w:val="nil"/>
              <w:left w:val="nil"/>
              <w:bottom w:val="nil"/>
              <w:right w:val="nil"/>
            </w:tcBorders>
            <w:shd w:val="clear" w:color="auto" w:fill="auto"/>
          </w:tcPr>
          <w:p w14:paraId="2961D751" w14:textId="5D9A5D12" w:rsidR="006F7861" w:rsidRPr="00B14994" w:rsidRDefault="00F06A95" w:rsidP="00C3001F">
            <w:pPr>
              <w:pStyle w:val="Podnaslov"/>
              <w:spacing w:after="0"/>
            </w:pPr>
            <w:r w:rsidRPr="00B14994">
              <w:t>Datum verzije</w:t>
            </w:r>
            <w:r w:rsidR="006F7861" w:rsidRPr="00B14994">
              <w:t>:</w:t>
            </w:r>
            <w:r w:rsidR="00A4439A" w:rsidRPr="00B14994">
              <w:rPr>
                <w:b w:val="0"/>
                <w:color w:val="auto"/>
                <w:sz w:val="20"/>
                <w:szCs w:val="22"/>
              </w:rPr>
              <w:t xml:space="preserve"> </w:t>
            </w:r>
            <w:r w:rsidR="00C129DB">
              <w:rPr>
                <w:b w:val="0"/>
                <w:color w:val="auto"/>
                <w:sz w:val="20"/>
                <w:szCs w:val="22"/>
              </w:rPr>
              <w:t>30</w:t>
            </w:r>
            <w:r w:rsidR="00D47C32">
              <w:rPr>
                <w:b w:val="0"/>
                <w:color w:val="auto"/>
                <w:sz w:val="20"/>
                <w:szCs w:val="22"/>
              </w:rPr>
              <w:t xml:space="preserve">. </w:t>
            </w:r>
            <w:r w:rsidR="007A0276">
              <w:rPr>
                <w:b w:val="0"/>
                <w:color w:val="auto"/>
                <w:sz w:val="20"/>
                <w:szCs w:val="22"/>
              </w:rPr>
              <w:t>12</w:t>
            </w:r>
            <w:r w:rsidR="00B36DFA">
              <w:rPr>
                <w:b w:val="0"/>
                <w:color w:val="auto"/>
                <w:sz w:val="20"/>
                <w:szCs w:val="22"/>
              </w:rPr>
              <w:t>. 2021</w:t>
            </w:r>
          </w:p>
        </w:tc>
      </w:tr>
      <w:tr w:rsidR="006F7861" w:rsidRPr="00B14994" w14:paraId="2A726DCC" w14:textId="77777777" w:rsidTr="00C3001F">
        <w:trPr>
          <w:trHeight w:val="282"/>
        </w:trPr>
        <w:tc>
          <w:tcPr>
            <w:tcW w:w="5000" w:type="pct"/>
            <w:tcBorders>
              <w:top w:val="nil"/>
              <w:left w:val="nil"/>
              <w:bottom w:val="nil"/>
              <w:right w:val="nil"/>
            </w:tcBorders>
            <w:shd w:val="clear" w:color="auto" w:fill="auto"/>
          </w:tcPr>
          <w:p w14:paraId="462F94F6" w14:textId="7D0D45F4" w:rsidR="006F7861" w:rsidRPr="00B14994" w:rsidRDefault="00F06A95" w:rsidP="006E171A">
            <w:pPr>
              <w:pStyle w:val="Brezrazmikov"/>
              <w:spacing w:line="259" w:lineRule="auto"/>
              <w:rPr>
                <w:lang w:val="sl-SI"/>
              </w:rPr>
            </w:pPr>
            <w:r w:rsidRPr="00B14994">
              <w:rPr>
                <w:rFonts w:ascii="Trebuchet MS" w:hAnsi="Trebuchet MS" w:cstheme="minorBidi"/>
                <w:b/>
                <w:color w:val="203B88"/>
                <w:sz w:val="24"/>
                <w:szCs w:val="24"/>
                <w:lang w:val="sl-SI"/>
              </w:rPr>
              <w:t>Odgovorni partner za rezultat</w:t>
            </w:r>
            <w:r w:rsidR="006F7861" w:rsidRPr="00B14994">
              <w:rPr>
                <w:rFonts w:ascii="Trebuchet MS" w:hAnsi="Trebuchet MS"/>
                <w:lang w:val="sl-SI"/>
              </w:rPr>
              <w:t xml:space="preserve">: </w:t>
            </w:r>
            <w:r w:rsidR="006F7861" w:rsidRPr="00C46646">
              <w:rPr>
                <w:lang w:val="sl-SI"/>
              </w:rPr>
              <w:t>PP</w:t>
            </w:r>
            <w:r w:rsidR="00DD58AC" w:rsidRPr="00C46646">
              <w:rPr>
                <w:lang w:val="sl-SI"/>
              </w:rPr>
              <w:t>07</w:t>
            </w:r>
            <w:r w:rsidRPr="00C46646">
              <w:rPr>
                <w:lang w:val="sl-SI"/>
              </w:rPr>
              <w:t xml:space="preserve"> - </w:t>
            </w:r>
            <w:r w:rsidR="00DD58AC" w:rsidRPr="00C46646">
              <w:rPr>
                <w:lang w:val="sl-SI"/>
              </w:rPr>
              <w:t>GOLEA</w:t>
            </w:r>
          </w:p>
        </w:tc>
      </w:tr>
      <w:tr w:rsidR="006F7861" w:rsidRPr="00B14994" w14:paraId="08FC6010" w14:textId="77777777" w:rsidTr="00C3001F">
        <w:tc>
          <w:tcPr>
            <w:tcW w:w="5000" w:type="pct"/>
            <w:tcBorders>
              <w:top w:val="nil"/>
              <w:left w:val="nil"/>
              <w:bottom w:val="nil"/>
              <w:right w:val="nil"/>
            </w:tcBorders>
            <w:shd w:val="clear" w:color="auto" w:fill="auto"/>
          </w:tcPr>
          <w:p w14:paraId="02EAE914" w14:textId="11797A0D" w:rsidR="006F7861" w:rsidRPr="00B14994" w:rsidRDefault="00F06A95" w:rsidP="006F7861">
            <w:pPr>
              <w:pStyle w:val="Brezrazmikov"/>
              <w:spacing w:line="259" w:lineRule="auto"/>
              <w:rPr>
                <w:lang w:val="sl-SI"/>
              </w:rPr>
            </w:pPr>
            <w:r w:rsidRPr="00B14994">
              <w:rPr>
                <w:rFonts w:ascii="Trebuchet MS" w:hAnsi="Trebuchet MS" w:cstheme="minorBidi"/>
                <w:b/>
                <w:color w:val="203B88"/>
                <w:sz w:val="24"/>
                <w:szCs w:val="24"/>
                <w:lang w:val="sl-SI"/>
              </w:rPr>
              <w:t>Avtorji</w:t>
            </w:r>
            <w:r w:rsidR="006F7861" w:rsidRPr="00B14994">
              <w:rPr>
                <w:rFonts w:ascii="Trebuchet MS" w:hAnsi="Trebuchet MS"/>
                <w:lang w:val="sl-SI"/>
              </w:rPr>
              <w:t xml:space="preserve">: </w:t>
            </w:r>
            <w:r w:rsidR="00DD58AC" w:rsidRPr="00C46646">
              <w:rPr>
                <w:lang w:val="sl-SI"/>
              </w:rPr>
              <w:t>GOLEA</w:t>
            </w:r>
            <w:r w:rsidR="00853D8F" w:rsidRPr="00C46646">
              <w:rPr>
                <w:lang w:val="sl-SI"/>
              </w:rPr>
              <w:t>,</w:t>
            </w:r>
            <w:r w:rsidR="00DD58AC" w:rsidRPr="00C46646">
              <w:rPr>
                <w:lang w:val="sl-SI"/>
              </w:rPr>
              <w:t xml:space="preserve"> </w:t>
            </w:r>
            <w:r w:rsidR="00C64B82" w:rsidRPr="00C46646">
              <w:rPr>
                <w:lang w:val="sl-SI"/>
              </w:rPr>
              <w:t xml:space="preserve">UL </w:t>
            </w:r>
            <w:r w:rsidR="00DD58AC" w:rsidRPr="00C46646">
              <w:rPr>
                <w:lang w:val="sl-SI"/>
              </w:rPr>
              <w:t>NTF,</w:t>
            </w:r>
            <w:r w:rsidR="00C64B82" w:rsidRPr="00C46646">
              <w:rPr>
                <w:lang w:val="sl-SI"/>
              </w:rPr>
              <w:t xml:space="preserve"> UL FGG, UL</w:t>
            </w:r>
            <w:r w:rsidR="00DD58AC" w:rsidRPr="00C46646">
              <w:rPr>
                <w:lang w:val="sl-SI"/>
              </w:rPr>
              <w:t xml:space="preserve"> BF, NIJZ</w:t>
            </w:r>
            <w:r w:rsidR="00C64B82" w:rsidRPr="00C46646">
              <w:rPr>
                <w:lang w:val="sl-SI"/>
              </w:rPr>
              <w:t>,</w:t>
            </w:r>
            <w:r w:rsidR="00DD58AC" w:rsidRPr="00C46646">
              <w:rPr>
                <w:lang w:val="sl-SI"/>
              </w:rPr>
              <w:t xml:space="preserve"> Gozd</w:t>
            </w:r>
            <w:r w:rsidR="00C64B82" w:rsidRPr="00C46646">
              <w:rPr>
                <w:lang w:val="sl-SI"/>
              </w:rPr>
              <w:t>arski inštitut Slovenije</w:t>
            </w:r>
            <w:r w:rsidR="00DD58AC" w:rsidRPr="00C46646">
              <w:rPr>
                <w:lang w:val="sl-SI"/>
              </w:rPr>
              <w:t>, Um</w:t>
            </w:r>
            <w:r w:rsidR="00C64B82" w:rsidRPr="00C46646">
              <w:rPr>
                <w:lang w:val="sl-SI"/>
              </w:rPr>
              <w:t>a</w:t>
            </w:r>
            <w:r w:rsidR="00DD58AC" w:rsidRPr="00C46646">
              <w:rPr>
                <w:lang w:val="sl-SI"/>
              </w:rPr>
              <w:t>notera</w:t>
            </w:r>
          </w:p>
        </w:tc>
      </w:tr>
    </w:tbl>
    <w:p w14:paraId="3466AAD4" w14:textId="77777777" w:rsidR="006C7D72" w:rsidRPr="00B14994" w:rsidRDefault="006C7D72" w:rsidP="006B7E34"/>
    <w:p w14:paraId="4117A02B" w14:textId="77777777" w:rsidR="00834374" w:rsidRPr="00B14994" w:rsidRDefault="00834374" w:rsidP="006B7E34"/>
    <w:p w14:paraId="2F8C65E3" w14:textId="6B8C0BEE" w:rsidR="00462A0D" w:rsidRPr="00B14994" w:rsidRDefault="00834374" w:rsidP="006B7E34">
      <w:pPr>
        <w:pStyle w:val="Contenutocornice"/>
      </w:pPr>
      <w:r w:rsidRPr="00B14994">
        <w:t xml:space="preserve">Vsebina tega dokumenta odraža stališča samo avtorja in organ upravljanja programa </w:t>
      </w:r>
      <w:proofErr w:type="spellStart"/>
      <w:r w:rsidRPr="00B14994">
        <w:t>Interreg</w:t>
      </w:r>
      <w:proofErr w:type="spellEnd"/>
      <w:r w:rsidRPr="00B14994">
        <w:t xml:space="preserve"> V-A Italija-Slovenija 2014-2020 ni odgovoren za kakršno koli uporabo informacij, ki jih vsebuje.</w:t>
      </w:r>
      <w:r w:rsidR="00E65813" w:rsidRPr="00E65813">
        <w:t xml:space="preserve"> Dokument je bil izdelan v okviru projekta SECAP, sofinanciranega s strani programa </w:t>
      </w:r>
      <w:proofErr w:type="spellStart"/>
      <w:r w:rsidR="00E65813" w:rsidRPr="00E65813">
        <w:t>Interreg</w:t>
      </w:r>
      <w:proofErr w:type="spellEnd"/>
      <w:r w:rsidR="00E65813" w:rsidRPr="00E65813">
        <w:t xml:space="preserve"> Slovenija – Italija, iz sredstev Evropskega sklada za regionalni razvoj.</w:t>
      </w:r>
    </w:p>
    <w:p w14:paraId="2D9F00CA" w14:textId="77777777" w:rsidR="00462A0D" w:rsidRPr="00B14994" w:rsidRDefault="00462A0D">
      <w:pPr>
        <w:rPr>
          <w:rFonts w:cs="Tahoma"/>
        </w:rPr>
      </w:pPr>
      <w:r w:rsidRPr="00B14994">
        <w:br w:type="page"/>
      </w:r>
    </w:p>
    <w:p w14:paraId="26138F51" w14:textId="47EE005A" w:rsidR="00834374" w:rsidRPr="00B14994" w:rsidRDefault="00834374" w:rsidP="006B7E34">
      <w:pPr>
        <w:pStyle w:val="Contenutocornice"/>
      </w:pPr>
    </w:p>
    <w:p w14:paraId="109054AA" w14:textId="0C0CBAAE" w:rsidR="00462A0D" w:rsidRPr="00B14994" w:rsidRDefault="00462A0D" w:rsidP="006B7E34">
      <w:pPr>
        <w:pStyle w:val="Contenutocornice"/>
      </w:pPr>
    </w:p>
    <w:p w14:paraId="5F624C2C" w14:textId="59111F35" w:rsidR="00462A0D" w:rsidRPr="00B14994" w:rsidRDefault="00462A0D" w:rsidP="006B7E34">
      <w:pPr>
        <w:pStyle w:val="Contenutocornice"/>
      </w:pPr>
    </w:p>
    <w:p w14:paraId="00E70B53" w14:textId="3AAA252D" w:rsidR="00462A0D" w:rsidRPr="00B14994" w:rsidRDefault="00462A0D" w:rsidP="006B7E34">
      <w:pPr>
        <w:pStyle w:val="Contenutocornice"/>
      </w:pPr>
    </w:p>
    <w:p w14:paraId="2C6107C4" w14:textId="4DB4F37C" w:rsidR="00462A0D" w:rsidRPr="00B14994" w:rsidRDefault="00462A0D" w:rsidP="00462A0D">
      <w:pPr>
        <w:pStyle w:val="Podnaslov"/>
        <w:rPr>
          <w:sz w:val="32"/>
          <w:szCs w:val="32"/>
        </w:rPr>
      </w:pPr>
      <w:r w:rsidRPr="00B14994">
        <w:rPr>
          <w:sz w:val="32"/>
          <w:szCs w:val="32"/>
        </w:rPr>
        <w:t xml:space="preserve">Avtorji </w:t>
      </w:r>
      <w:r w:rsidR="00E65813">
        <w:rPr>
          <w:sz w:val="32"/>
          <w:szCs w:val="32"/>
        </w:rPr>
        <w:t>dokumenta</w:t>
      </w:r>
    </w:p>
    <w:tbl>
      <w:tblPr>
        <w:tblW w:w="9639" w:type="dxa"/>
        <w:tblLayout w:type="fixed"/>
        <w:tblLook w:val="04A0" w:firstRow="1" w:lastRow="0" w:firstColumn="1" w:lastColumn="0" w:noHBand="0" w:noVBand="1"/>
      </w:tblPr>
      <w:tblGrid>
        <w:gridCol w:w="2410"/>
        <w:gridCol w:w="2268"/>
        <w:gridCol w:w="1985"/>
        <w:gridCol w:w="2976"/>
      </w:tblGrid>
      <w:tr w:rsidR="00720597" w:rsidRPr="00B14994" w14:paraId="2047AD23" w14:textId="77777777" w:rsidTr="007E34E7">
        <w:tc>
          <w:tcPr>
            <w:tcW w:w="2410" w:type="dxa"/>
            <w:tcBorders>
              <w:top w:val="nil"/>
              <w:left w:val="nil"/>
              <w:bottom w:val="nil"/>
              <w:right w:val="nil"/>
            </w:tcBorders>
          </w:tcPr>
          <w:p w14:paraId="3BF47696" w14:textId="4247BF70" w:rsidR="00113265" w:rsidRPr="00B14994" w:rsidRDefault="00113265" w:rsidP="00BB2915">
            <w:pPr>
              <w:pStyle w:val="Contenutocornice"/>
              <w:spacing w:after="0"/>
              <w:ind w:left="37"/>
              <w:jc w:val="left"/>
              <w:rPr>
                <w:b/>
                <w:bCs/>
                <w:sz w:val="20"/>
                <w:szCs w:val="20"/>
              </w:rPr>
            </w:pPr>
            <w:r w:rsidRPr="00B14994">
              <w:rPr>
                <w:b/>
                <w:bCs/>
                <w:sz w:val="20"/>
                <w:szCs w:val="20"/>
              </w:rPr>
              <w:t>Goriška lokalna energetska agencija, Nova Gorica</w:t>
            </w:r>
          </w:p>
          <w:p w14:paraId="7EC28B59" w14:textId="77777777" w:rsidR="003A5629" w:rsidRPr="00C621E4" w:rsidRDefault="00113265" w:rsidP="00CF224F">
            <w:pPr>
              <w:pStyle w:val="Contenutocornice"/>
              <w:spacing w:after="0"/>
              <w:ind w:left="40"/>
              <w:rPr>
                <w:sz w:val="18"/>
                <w:szCs w:val="18"/>
              </w:rPr>
            </w:pPr>
            <w:r w:rsidRPr="00C621E4">
              <w:rPr>
                <w:sz w:val="18"/>
                <w:szCs w:val="18"/>
              </w:rPr>
              <w:t>Trg Edvarda Kardelja 1,</w:t>
            </w:r>
          </w:p>
          <w:p w14:paraId="55880C1F" w14:textId="2275080C" w:rsidR="00113265" w:rsidRPr="00C621E4" w:rsidRDefault="00113265" w:rsidP="00CF224F">
            <w:pPr>
              <w:pStyle w:val="Contenutocornice"/>
              <w:spacing w:after="0"/>
              <w:ind w:left="40"/>
              <w:rPr>
                <w:sz w:val="18"/>
                <w:szCs w:val="18"/>
              </w:rPr>
            </w:pPr>
            <w:r w:rsidRPr="00C621E4">
              <w:rPr>
                <w:sz w:val="18"/>
                <w:szCs w:val="18"/>
              </w:rPr>
              <w:t>5000 Nova Gorica</w:t>
            </w:r>
          </w:p>
          <w:p w14:paraId="56421DA4" w14:textId="77777777" w:rsidR="00113265" w:rsidRPr="00CF224F" w:rsidRDefault="00113265" w:rsidP="00CF224F">
            <w:pPr>
              <w:pStyle w:val="Contenutocornice"/>
              <w:spacing w:after="0"/>
              <w:ind w:left="40"/>
              <w:rPr>
                <w:sz w:val="18"/>
                <w:szCs w:val="18"/>
              </w:rPr>
            </w:pPr>
            <w:r w:rsidRPr="00CF224F">
              <w:rPr>
                <w:sz w:val="18"/>
                <w:szCs w:val="18"/>
              </w:rPr>
              <w:t>Avtorji:</w:t>
            </w:r>
          </w:p>
          <w:p w14:paraId="356B1AC6" w14:textId="77777777" w:rsidR="00113265" w:rsidRPr="00C621E4" w:rsidRDefault="00113265" w:rsidP="00CF224F">
            <w:pPr>
              <w:pStyle w:val="Contenutocornice"/>
              <w:spacing w:after="0"/>
              <w:ind w:left="40"/>
              <w:rPr>
                <w:sz w:val="18"/>
                <w:szCs w:val="18"/>
              </w:rPr>
            </w:pPr>
            <w:r w:rsidRPr="00C621E4">
              <w:rPr>
                <w:sz w:val="18"/>
                <w:szCs w:val="18"/>
              </w:rPr>
              <w:t>Ivana Kacafura</w:t>
            </w:r>
          </w:p>
          <w:p w14:paraId="4D941EFD" w14:textId="77777777" w:rsidR="00113265" w:rsidRPr="00B14994" w:rsidRDefault="00113265" w:rsidP="00CF224F">
            <w:pPr>
              <w:pStyle w:val="Contenutocornice"/>
              <w:spacing w:after="0"/>
              <w:ind w:left="40"/>
              <w:rPr>
                <w:sz w:val="20"/>
                <w:szCs w:val="20"/>
              </w:rPr>
            </w:pPr>
            <w:r w:rsidRPr="00C621E4">
              <w:rPr>
                <w:sz w:val="18"/>
                <w:szCs w:val="18"/>
              </w:rPr>
              <w:t>Marta Stopar</w:t>
            </w:r>
          </w:p>
          <w:p w14:paraId="0CB4241D" w14:textId="17630A70" w:rsidR="00113265" w:rsidRPr="00B14994" w:rsidRDefault="00113265" w:rsidP="00CF224F">
            <w:pPr>
              <w:pStyle w:val="Contenutocornice"/>
              <w:spacing w:after="0"/>
              <w:ind w:left="37"/>
              <w:rPr>
                <w:sz w:val="20"/>
                <w:szCs w:val="20"/>
              </w:rPr>
            </w:pPr>
          </w:p>
        </w:tc>
        <w:tc>
          <w:tcPr>
            <w:tcW w:w="7229" w:type="dxa"/>
            <w:gridSpan w:val="3"/>
            <w:tcBorders>
              <w:top w:val="nil"/>
              <w:left w:val="nil"/>
              <w:bottom w:val="nil"/>
              <w:right w:val="nil"/>
            </w:tcBorders>
            <w:vAlign w:val="center"/>
          </w:tcPr>
          <w:p w14:paraId="00B44F02" w14:textId="2D5E7E0F" w:rsidR="00113265" w:rsidRPr="00B14994" w:rsidRDefault="00113265" w:rsidP="00CF224F">
            <w:pPr>
              <w:pStyle w:val="Contenutocornice"/>
              <w:spacing w:after="0"/>
              <w:jc w:val="center"/>
              <w:rPr>
                <w:sz w:val="20"/>
                <w:szCs w:val="20"/>
              </w:rPr>
            </w:pPr>
            <w:r w:rsidRPr="00B14994">
              <w:rPr>
                <w:noProof/>
                <w:sz w:val="20"/>
                <w:szCs w:val="20"/>
                <w:lang w:eastAsia="sl-SI"/>
              </w:rPr>
              <w:drawing>
                <wp:inline distT="0" distB="0" distL="0" distR="0" wp14:anchorId="27F0495D" wp14:editId="51214B15">
                  <wp:extent cx="3554095" cy="590550"/>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54095" cy="590550"/>
                          </a:xfrm>
                          <a:prstGeom prst="rect">
                            <a:avLst/>
                          </a:prstGeom>
                          <a:noFill/>
                          <a:ln>
                            <a:noFill/>
                          </a:ln>
                        </pic:spPr>
                      </pic:pic>
                    </a:graphicData>
                  </a:graphic>
                </wp:inline>
              </w:drawing>
            </w:r>
          </w:p>
        </w:tc>
      </w:tr>
      <w:tr w:rsidR="00C46646" w:rsidRPr="00B14994" w14:paraId="461E70E4" w14:textId="40B026E3" w:rsidTr="007E34E7">
        <w:tc>
          <w:tcPr>
            <w:tcW w:w="2410" w:type="dxa"/>
            <w:tcBorders>
              <w:top w:val="nil"/>
              <w:left w:val="nil"/>
              <w:bottom w:val="nil"/>
              <w:right w:val="nil"/>
            </w:tcBorders>
            <w:vAlign w:val="center"/>
          </w:tcPr>
          <w:p w14:paraId="04E99788" w14:textId="77777777" w:rsidR="00C46646" w:rsidRPr="00B14994" w:rsidRDefault="00C46646" w:rsidP="00C46646">
            <w:pPr>
              <w:pStyle w:val="Contenutocornice"/>
              <w:spacing w:after="0"/>
              <w:ind w:left="37"/>
              <w:jc w:val="left"/>
              <w:rPr>
                <w:b/>
                <w:bCs/>
                <w:sz w:val="20"/>
                <w:szCs w:val="20"/>
              </w:rPr>
            </w:pPr>
            <w:r w:rsidRPr="00B14994">
              <w:rPr>
                <w:b/>
                <w:bCs/>
                <w:sz w:val="20"/>
                <w:szCs w:val="20"/>
              </w:rPr>
              <w:t>Univerza v Ljubljani</w:t>
            </w:r>
          </w:p>
          <w:p w14:paraId="1066E46C" w14:textId="78A6E334" w:rsidR="00C46646" w:rsidRPr="00B14994" w:rsidRDefault="00C46646" w:rsidP="00C46646">
            <w:pPr>
              <w:pStyle w:val="Contenutocornice"/>
              <w:spacing w:after="0"/>
              <w:ind w:left="37"/>
              <w:jc w:val="left"/>
              <w:rPr>
                <w:b/>
                <w:bCs/>
                <w:sz w:val="20"/>
                <w:szCs w:val="20"/>
              </w:rPr>
            </w:pPr>
            <w:r w:rsidRPr="00B14994">
              <w:rPr>
                <w:b/>
                <w:bCs/>
                <w:sz w:val="20"/>
                <w:szCs w:val="20"/>
              </w:rPr>
              <w:t>Naravoslovnotehniška fakulteta</w:t>
            </w:r>
          </w:p>
          <w:p w14:paraId="66D00EDD" w14:textId="77777777" w:rsidR="00C46646" w:rsidRPr="00C621E4" w:rsidRDefault="00C46646" w:rsidP="00C46646">
            <w:pPr>
              <w:pStyle w:val="Contenutocornice"/>
              <w:spacing w:after="0"/>
              <w:ind w:left="40"/>
              <w:rPr>
                <w:sz w:val="18"/>
                <w:szCs w:val="18"/>
              </w:rPr>
            </w:pPr>
            <w:r w:rsidRPr="00C621E4">
              <w:rPr>
                <w:sz w:val="18"/>
                <w:szCs w:val="18"/>
              </w:rPr>
              <w:t>Aškerčeva 12,</w:t>
            </w:r>
          </w:p>
          <w:p w14:paraId="35673E46" w14:textId="7D70ADFF" w:rsidR="00C46646" w:rsidRPr="00C621E4" w:rsidRDefault="00C46646" w:rsidP="00C46646">
            <w:pPr>
              <w:pStyle w:val="Contenutocornice"/>
              <w:spacing w:after="0"/>
              <w:ind w:left="40"/>
              <w:rPr>
                <w:sz w:val="18"/>
                <w:szCs w:val="18"/>
              </w:rPr>
            </w:pPr>
            <w:r w:rsidRPr="00C621E4">
              <w:rPr>
                <w:sz w:val="18"/>
                <w:szCs w:val="18"/>
              </w:rPr>
              <w:t>1000 Ljubljana</w:t>
            </w:r>
          </w:p>
          <w:p w14:paraId="16493C61" w14:textId="77777777" w:rsidR="00C46646" w:rsidRPr="00C621E4" w:rsidRDefault="00C46646" w:rsidP="00C46646">
            <w:pPr>
              <w:pStyle w:val="Contenutocornice"/>
              <w:spacing w:after="0"/>
              <w:ind w:left="40"/>
              <w:rPr>
                <w:sz w:val="18"/>
                <w:szCs w:val="18"/>
              </w:rPr>
            </w:pPr>
            <w:r w:rsidRPr="00C621E4">
              <w:rPr>
                <w:sz w:val="18"/>
                <w:szCs w:val="18"/>
              </w:rPr>
              <w:t>Sektor: vode</w:t>
            </w:r>
          </w:p>
          <w:p w14:paraId="4AB25F8B" w14:textId="195C355D" w:rsidR="00C46646" w:rsidRPr="00C621E4" w:rsidRDefault="00C46646" w:rsidP="00C46646">
            <w:pPr>
              <w:pStyle w:val="Contenutocornice"/>
              <w:spacing w:after="0"/>
              <w:ind w:left="40"/>
              <w:rPr>
                <w:sz w:val="18"/>
                <w:szCs w:val="18"/>
              </w:rPr>
            </w:pPr>
            <w:r w:rsidRPr="00C621E4">
              <w:rPr>
                <w:sz w:val="18"/>
                <w:szCs w:val="18"/>
              </w:rPr>
              <w:t>Avtorji:</w:t>
            </w:r>
          </w:p>
          <w:p w14:paraId="0177E251" w14:textId="6A2AD552" w:rsidR="00C46646" w:rsidRPr="00C621E4" w:rsidRDefault="00C46646" w:rsidP="00C46646">
            <w:pPr>
              <w:pStyle w:val="Contenutocornice"/>
              <w:spacing w:after="0"/>
              <w:ind w:left="40"/>
              <w:rPr>
                <w:sz w:val="18"/>
                <w:szCs w:val="18"/>
              </w:rPr>
            </w:pPr>
            <w:r w:rsidRPr="00C621E4">
              <w:rPr>
                <w:sz w:val="18"/>
                <w:szCs w:val="18"/>
              </w:rPr>
              <w:t>Barbara Čenčur Curk</w:t>
            </w:r>
          </w:p>
          <w:p w14:paraId="45966408" w14:textId="5D7B31CE" w:rsidR="00C46646" w:rsidRPr="00C621E4" w:rsidRDefault="00C46646" w:rsidP="00C46646">
            <w:pPr>
              <w:pStyle w:val="Contenutocornice"/>
              <w:spacing w:after="0"/>
              <w:ind w:left="40"/>
              <w:rPr>
                <w:sz w:val="18"/>
                <w:szCs w:val="18"/>
              </w:rPr>
            </w:pPr>
            <w:r w:rsidRPr="00C621E4">
              <w:rPr>
                <w:sz w:val="18"/>
                <w:szCs w:val="18"/>
              </w:rPr>
              <w:t>Ana Strgar</w:t>
            </w:r>
          </w:p>
          <w:p w14:paraId="25A52605" w14:textId="4675A182" w:rsidR="00C46646" w:rsidRPr="00B14994" w:rsidRDefault="00C46646" w:rsidP="00C46646">
            <w:pPr>
              <w:pStyle w:val="Contenutocornice"/>
              <w:spacing w:after="0"/>
              <w:ind w:left="37"/>
              <w:jc w:val="left"/>
              <w:rPr>
                <w:sz w:val="20"/>
                <w:szCs w:val="20"/>
              </w:rPr>
            </w:pPr>
          </w:p>
        </w:tc>
        <w:tc>
          <w:tcPr>
            <w:tcW w:w="2268" w:type="dxa"/>
            <w:tcBorders>
              <w:top w:val="nil"/>
              <w:left w:val="nil"/>
              <w:bottom w:val="nil"/>
              <w:right w:val="nil"/>
            </w:tcBorders>
            <w:vAlign w:val="center"/>
          </w:tcPr>
          <w:p w14:paraId="4BB050F4" w14:textId="1B456FD5" w:rsidR="00C46646" w:rsidRPr="00B14994" w:rsidRDefault="00C46646" w:rsidP="00C46646">
            <w:pPr>
              <w:pStyle w:val="Contenutocornice"/>
              <w:spacing w:after="0"/>
              <w:ind w:left="-113"/>
              <w:jc w:val="center"/>
              <w:rPr>
                <w:sz w:val="20"/>
                <w:szCs w:val="20"/>
              </w:rPr>
            </w:pPr>
            <w:r w:rsidRPr="00B14994">
              <w:rPr>
                <w:noProof/>
                <w:lang w:eastAsia="sl-SI"/>
              </w:rPr>
              <w:drawing>
                <wp:inline distT="0" distB="0" distL="0" distR="0" wp14:anchorId="79AED9F5" wp14:editId="01742947">
                  <wp:extent cx="1139825" cy="827146"/>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9825" cy="827146"/>
                          </a:xfrm>
                          <a:prstGeom prst="rect">
                            <a:avLst/>
                          </a:prstGeom>
                          <a:noFill/>
                          <a:ln>
                            <a:noFill/>
                          </a:ln>
                        </pic:spPr>
                      </pic:pic>
                    </a:graphicData>
                  </a:graphic>
                </wp:inline>
              </w:drawing>
            </w:r>
          </w:p>
        </w:tc>
        <w:tc>
          <w:tcPr>
            <w:tcW w:w="1985" w:type="dxa"/>
            <w:tcBorders>
              <w:top w:val="nil"/>
              <w:left w:val="nil"/>
              <w:bottom w:val="nil"/>
              <w:right w:val="nil"/>
            </w:tcBorders>
          </w:tcPr>
          <w:p w14:paraId="67A4F29B" w14:textId="77777777" w:rsidR="00C46646" w:rsidRPr="00B14994" w:rsidRDefault="00C46646" w:rsidP="00D622F5">
            <w:pPr>
              <w:pStyle w:val="Contenutocornice"/>
              <w:spacing w:after="0"/>
              <w:ind w:left="37"/>
              <w:jc w:val="left"/>
              <w:rPr>
                <w:b/>
                <w:bCs/>
                <w:sz w:val="20"/>
                <w:szCs w:val="20"/>
              </w:rPr>
            </w:pPr>
            <w:r w:rsidRPr="00B14994">
              <w:rPr>
                <w:b/>
                <w:bCs/>
                <w:sz w:val="20"/>
                <w:szCs w:val="20"/>
              </w:rPr>
              <w:t>Univerza v Ljubljani</w:t>
            </w:r>
          </w:p>
          <w:p w14:paraId="3DFC1D51" w14:textId="77777777" w:rsidR="00C46646" w:rsidRPr="00B14994" w:rsidRDefault="00C46646" w:rsidP="00C46646">
            <w:pPr>
              <w:pStyle w:val="Contenutocornice"/>
              <w:spacing w:after="0"/>
              <w:ind w:left="37"/>
              <w:rPr>
                <w:b/>
                <w:bCs/>
                <w:sz w:val="20"/>
                <w:szCs w:val="20"/>
              </w:rPr>
            </w:pPr>
            <w:r w:rsidRPr="00B14994">
              <w:rPr>
                <w:b/>
                <w:bCs/>
                <w:sz w:val="20"/>
                <w:szCs w:val="20"/>
              </w:rPr>
              <w:t>Biotehniška fakulteta</w:t>
            </w:r>
          </w:p>
          <w:p w14:paraId="0BFD93AE" w14:textId="77777777" w:rsidR="00C46646" w:rsidRPr="00C621E4" w:rsidRDefault="00C46646" w:rsidP="00C46646">
            <w:pPr>
              <w:pStyle w:val="Contenutocornice"/>
              <w:spacing w:after="0"/>
              <w:ind w:left="37"/>
              <w:rPr>
                <w:sz w:val="18"/>
                <w:szCs w:val="18"/>
              </w:rPr>
            </w:pPr>
            <w:r w:rsidRPr="00C621E4">
              <w:rPr>
                <w:sz w:val="18"/>
                <w:szCs w:val="18"/>
              </w:rPr>
              <w:t>Jamnikarjeva 101, 1000 Ljubljana</w:t>
            </w:r>
          </w:p>
          <w:p w14:paraId="1A17393A" w14:textId="77777777" w:rsidR="00C46646" w:rsidRPr="00C621E4" w:rsidRDefault="00C46646" w:rsidP="00C46646">
            <w:pPr>
              <w:pStyle w:val="Contenutocornice"/>
              <w:spacing w:after="0"/>
              <w:ind w:left="37"/>
              <w:rPr>
                <w:sz w:val="18"/>
                <w:szCs w:val="18"/>
              </w:rPr>
            </w:pPr>
            <w:r w:rsidRPr="00C621E4">
              <w:rPr>
                <w:sz w:val="18"/>
                <w:szCs w:val="18"/>
              </w:rPr>
              <w:t>Sektor: kmetijstvo</w:t>
            </w:r>
          </w:p>
          <w:p w14:paraId="07FB36B2" w14:textId="77777777" w:rsidR="00C46646" w:rsidRPr="00C621E4" w:rsidRDefault="00C46646" w:rsidP="00C46646">
            <w:pPr>
              <w:pStyle w:val="Contenutocornice"/>
              <w:spacing w:after="0"/>
              <w:ind w:left="37"/>
              <w:rPr>
                <w:sz w:val="18"/>
                <w:szCs w:val="18"/>
              </w:rPr>
            </w:pPr>
            <w:r w:rsidRPr="00C621E4">
              <w:rPr>
                <w:sz w:val="18"/>
                <w:szCs w:val="18"/>
              </w:rPr>
              <w:t>Avtorji:</w:t>
            </w:r>
          </w:p>
          <w:p w14:paraId="4B6E0F39" w14:textId="77777777" w:rsidR="00C46646" w:rsidRPr="00C621E4" w:rsidRDefault="00C46646" w:rsidP="00C46646">
            <w:pPr>
              <w:pStyle w:val="Contenutocornice"/>
              <w:spacing w:after="0"/>
              <w:ind w:left="37"/>
              <w:rPr>
                <w:sz w:val="18"/>
                <w:szCs w:val="18"/>
              </w:rPr>
            </w:pPr>
            <w:r w:rsidRPr="00C621E4">
              <w:rPr>
                <w:sz w:val="18"/>
                <w:szCs w:val="18"/>
              </w:rPr>
              <w:t>Tjaša Pogačar</w:t>
            </w:r>
          </w:p>
          <w:p w14:paraId="584ADF43" w14:textId="77777777" w:rsidR="00C46646" w:rsidRPr="00C621E4" w:rsidRDefault="00C46646" w:rsidP="00C46646">
            <w:pPr>
              <w:pStyle w:val="Contenutocornice"/>
              <w:spacing w:after="0"/>
              <w:ind w:left="37"/>
              <w:rPr>
                <w:sz w:val="18"/>
                <w:szCs w:val="18"/>
              </w:rPr>
            </w:pPr>
            <w:r w:rsidRPr="00C621E4">
              <w:rPr>
                <w:sz w:val="18"/>
                <w:szCs w:val="18"/>
              </w:rPr>
              <w:t>Rozalija Cvejić</w:t>
            </w:r>
          </w:p>
          <w:p w14:paraId="40D0ABC8" w14:textId="3C9399DC" w:rsidR="00C46646" w:rsidRPr="00B14994" w:rsidRDefault="00C46646" w:rsidP="00C46646">
            <w:pPr>
              <w:pStyle w:val="Contenutocornice"/>
              <w:spacing w:after="0"/>
              <w:ind w:left="37"/>
              <w:rPr>
                <w:sz w:val="20"/>
                <w:szCs w:val="20"/>
              </w:rPr>
            </w:pPr>
          </w:p>
        </w:tc>
        <w:tc>
          <w:tcPr>
            <w:tcW w:w="2976" w:type="dxa"/>
            <w:tcBorders>
              <w:top w:val="nil"/>
              <w:left w:val="nil"/>
              <w:bottom w:val="nil"/>
              <w:right w:val="nil"/>
            </w:tcBorders>
            <w:vAlign w:val="center"/>
          </w:tcPr>
          <w:p w14:paraId="205ADEEA" w14:textId="4B63FA36" w:rsidR="00C46646" w:rsidRPr="00B14994" w:rsidRDefault="00C46646" w:rsidP="00C46646">
            <w:pPr>
              <w:pStyle w:val="Contenutocornice"/>
              <w:spacing w:after="0"/>
              <w:ind w:left="-100"/>
              <w:jc w:val="center"/>
            </w:pPr>
            <w:r w:rsidRPr="00B14994">
              <w:rPr>
                <w:noProof/>
                <w:lang w:eastAsia="sl-SI"/>
              </w:rPr>
              <w:drawing>
                <wp:inline distT="0" distB="0" distL="0" distR="0" wp14:anchorId="5582C088" wp14:editId="14211639">
                  <wp:extent cx="962025" cy="943758"/>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81466" cy="962830"/>
                          </a:xfrm>
                          <a:prstGeom prst="rect">
                            <a:avLst/>
                          </a:prstGeom>
                          <a:noFill/>
                          <a:ln>
                            <a:noFill/>
                          </a:ln>
                        </pic:spPr>
                      </pic:pic>
                    </a:graphicData>
                  </a:graphic>
                </wp:inline>
              </w:drawing>
            </w:r>
          </w:p>
        </w:tc>
      </w:tr>
      <w:tr w:rsidR="00C46646" w:rsidRPr="00B14994" w14:paraId="15AE9E0D" w14:textId="592686E1" w:rsidTr="007E34E7">
        <w:trPr>
          <w:trHeight w:val="2700"/>
        </w:trPr>
        <w:tc>
          <w:tcPr>
            <w:tcW w:w="2410" w:type="dxa"/>
            <w:tcBorders>
              <w:top w:val="nil"/>
              <w:left w:val="nil"/>
              <w:bottom w:val="nil"/>
              <w:right w:val="nil"/>
            </w:tcBorders>
          </w:tcPr>
          <w:p w14:paraId="3149760D" w14:textId="77777777" w:rsidR="00C46646" w:rsidRPr="00B14994" w:rsidRDefault="00C46646" w:rsidP="00C46646">
            <w:pPr>
              <w:pStyle w:val="Contenutocornice"/>
              <w:spacing w:after="0"/>
              <w:ind w:left="37"/>
              <w:rPr>
                <w:b/>
                <w:bCs/>
                <w:sz w:val="20"/>
                <w:szCs w:val="20"/>
              </w:rPr>
            </w:pPr>
            <w:r w:rsidRPr="00B14994">
              <w:rPr>
                <w:b/>
                <w:bCs/>
                <w:sz w:val="20"/>
                <w:szCs w:val="20"/>
              </w:rPr>
              <w:t>Univerza v Ljubljani</w:t>
            </w:r>
          </w:p>
          <w:p w14:paraId="6A428BFD" w14:textId="5FFCC6FB" w:rsidR="00C46646" w:rsidRPr="00B14994" w:rsidRDefault="00C46646" w:rsidP="00C46646">
            <w:pPr>
              <w:pStyle w:val="Contenutocornice"/>
              <w:spacing w:after="0"/>
              <w:ind w:left="37"/>
              <w:jc w:val="left"/>
              <w:rPr>
                <w:b/>
                <w:bCs/>
                <w:sz w:val="20"/>
                <w:szCs w:val="20"/>
              </w:rPr>
            </w:pPr>
            <w:r w:rsidRPr="00B14994">
              <w:rPr>
                <w:b/>
                <w:bCs/>
                <w:sz w:val="20"/>
                <w:szCs w:val="20"/>
              </w:rPr>
              <w:t>Fakulteta za gradbeništvo in geodezijo</w:t>
            </w:r>
          </w:p>
          <w:p w14:paraId="6BCD9FB5" w14:textId="77777777" w:rsidR="00C46646" w:rsidRPr="00C621E4" w:rsidRDefault="00C46646" w:rsidP="00C46646">
            <w:pPr>
              <w:pStyle w:val="Contenutocornice"/>
              <w:spacing w:after="0"/>
              <w:ind w:left="37"/>
              <w:rPr>
                <w:sz w:val="18"/>
                <w:szCs w:val="18"/>
              </w:rPr>
            </w:pPr>
            <w:r w:rsidRPr="00C621E4">
              <w:rPr>
                <w:sz w:val="18"/>
                <w:szCs w:val="18"/>
              </w:rPr>
              <w:t>Jamova 2,</w:t>
            </w:r>
          </w:p>
          <w:p w14:paraId="7F6A877C" w14:textId="5E472E71" w:rsidR="00C46646" w:rsidRPr="00C621E4" w:rsidRDefault="00C46646" w:rsidP="00C46646">
            <w:pPr>
              <w:pStyle w:val="Contenutocornice"/>
              <w:spacing w:after="0"/>
              <w:ind w:left="37"/>
              <w:rPr>
                <w:sz w:val="18"/>
                <w:szCs w:val="18"/>
              </w:rPr>
            </w:pPr>
            <w:r w:rsidRPr="00C621E4">
              <w:rPr>
                <w:sz w:val="18"/>
                <w:szCs w:val="18"/>
              </w:rPr>
              <w:t>1000 Ljubljana</w:t>
            </w:r>
          </w:p>
          <w:p w14:paraId="320D1AC3" w14:textId="77777777" w:rsidR="00C46646" w:rsidRPr="00C621E4" w:rsidRDefault="00C46646" w:rsidP="00C46646">
            <w:pPr>
              <w:pStyle w:val="Contenutocornice"/>
              <w:spacing w:after="0"/>
              <w:ind w:left="37"/>
              <w:rPr>
                <w:sz w:val="18"/>
                <w:szCs w:val="18"/>
              </w:rPr>
            </w:pPr>
            <w:r w:rsidRPr="00C621E4">
              <w:rPr>
                <w:sz w:val="18"/>
                <w:szCs w:val="18"/>
              </w:rPr>
              <w:t>Sektor: vode</w:t>
            </w:r>
          </w:p>
          <w:p w14:paraId="10F39271" w14:textId="184272F9" w:rsidR="00C46646" w:rsidRPr="00C621E4" w:rsidRDefault="00C46646" w:rsidP="00C46646">
            <w:pPr>
              <w:pStyle w:val="Contenutocornice"/>
              <w:spacing w:after="0"/>
              <w:ind w:left="37"/>
              <w:rPr>
                <w:sz w:val="18"/>
                <w:szCs w:val="18"/>
              </w:rPr>
            </w:pPr>
            <w:r w:rsidRPr="00C621E4">
              <w:rPr>
                <w:sz w:val="18"/>
                <w:szCs w:val="18"/>
              </w:rPr>
              <w:t>Avtor:</w:t>
            </w:r>
          </w:p>
          <w:p w14:paraId="18DDA2E9" w14:textId="613DB9D3" w:rsidR="00C46646" w:rsidRPr="00C621E4" w:rsidRDefault="00C46646" w:rsidP="00C46646">
            <w:pPr>
              <w:pStyle w:val="Contenutocornice"/>
              <w:spacing w:after="0"/>
              <w:ind w:left="37"/>
              <w:rPr>
                <w:sz w:val="18"/>
                <w:szCs w:val="18"/>
              </w:rPr>
            </w:pPr>
            <w:r w:rsidRPr="00C621E4">
              <w:rPr>
                <w:sz w:val="18"/>
                <w:szCs w:val="18"/>
              </w:rPr>
              <w:t>Primož Banovec</w:t>
            </w:r>
          </w:p>
        </w:tc>
        <w:tc>
          <w:tcPr>
            <w:tcW w:w="2268" w:type="dxa"/>
            <w:tcBorders>
              <w:top w:val="nil"/>
              <w:left w:val="nil"/>
              <w:bottom w:val="nil"/>
              <w:right w:val="nil"/>
            </w:tcBorders>
            <w:vAlign w:val="center"/>
          </w:tcPr>
          <w:p w14:paraId="09BF9472" w14:textId="5A56FE73" w:rsidR="00C46646" w:rsidRPr="00B14994" w:rsidRDefault="00C46646" w:rsidP="00C46646">
            <w:pPr>
              <w:pStyle w:val="Contenutocornice"/>
              <w:spacing w:after="0"/>
              <w:ind w:left="-113"/>
              <w:jc w:val="center"/>
              <w:rPr>
                <w:sz w:val="20"/>
                <w:szCs w:val="20"/>
              </w:rPr>
            </w:pPr>
            <w:r w:rsidRPr="00B14994">
              <w:rPr>
                <w:noProof/>
                <w:lang w:eastAsia="sl-SI"/>
              </w:rPr>
              <w:drawing>
                <wp:inline distT="0" distB="0" distL="0" distR="0" wp14:anchorId="1CF31D3D" wp14:editId="2909C031">
                  <wp:extent cx="1337788" cy="83185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64494" cy="848456"/>
                          </a:xfrm>
                          <a:prstGeom prst="rect">
                            <a:avLst/>
                          </a:prstGeom>
                          <a:noFill/>
                          <a:ln>
                            <a:noFill/>
                          </a:ln>
                        </pic:spPr>
                      </pic:pic>
                    </a:graphicData>
                  </a:graphic>
                </wp:inline>
              </w:drawing>
            </w:r>
          </w:p>
        </w:tc>
        <w:tc>
          <w:tcPr>
            <w:tcW w:w="1985" w:type="dxa"/>
            <w:tcBorders>
              <w:top w:val="nil"/>
              <w:left w:val="nil"/>
              <w:bottom w:val="nil"/>
              <w:right w:val="nil"/>
            </w:tcBorders>
          </w:tcPr>
          <w:p w14:paraId="3C1F43A7" w14:textId="77777777" w:rsidR="00C46646" w:rsidRPr="00B14994" w:rsidRDefault="00C46646" w:rsidP="00C46646">
            <w:pPr>
              <w:pStyle w:val="Contenutocornice"/>
              <w:spacing w:after="0"/>
              <w:rPr>
                <w:b/>
                <w:bCs/>
                <w:sz w:val="20"/>
                <w:szCs w:val="20"/>
              </w:rPr>
            </w:pPr>
            <w:r w:rsidRPr="00B14994">
              <w:rPr>
                <w:b/>
                <w:bCs/>
                <w:sz w:val="20"/>
                <w:szCs w:val="20"/>
              </w:rPr>
              <w:t>Umanotera</w:t>
            </w:r>
          </w:p>
          <w:p w14:paraId="16732740" w14:textId="77777777" w:rsidR="00C46646" w:rsidRPr="00C621E4" w:rsidRDefault="00C46646" w:rsidP="00C46646">
            <w:pPr>
              <w:pStyle w:val="Contenutocornice"/>
              <w:spacing w:after="0"/>
              <w:ind w:left="37"/>
              <w:rPr>
                <w:sz w:val="18"/>
                <w:szCs w:val="18"/>
              </w:rPr>
            </w:pPr>
            <w:r w:rsidRPr="00C621E4">
              <w:rPr>
                <w:sz w:val="18"/>
                <w:szCs w:val="18"/>
              </w:rPr>
              <w:t>Trubarjeva 50,</w:t>
            </w:r>
          </w:p>
          <w:p w14:paraId="5AB583F6" w14:textId="77777777" w:rsidR="00C46646" w:rsidRPr="00C621E4" w:rsidRDefault="00C46646" w:rsidP="00C46646">
            <w:pPr>
              <w:pStyle w:val="Contenutocornice"/>
              <w:spacing w:after="0"/>
              <w:ind w:left="37"/>
              <w:rPr>
                <w:sz w:val="18"/>
                <w:szCs w:val="18"/>
              </w:rPr>
            </w:pPr>
            <w:r w:rsidRPr="00C621E4">
              <w:rPr>
                <w:sz w:val="18"/>
                <w:szCs w:val="18"/>
              </w:rPr>
              <w:t>1000 Ljubljana</w:t>
            </w:r>
          </w:p>
          <w:p w14:paraId="009459AD" w14:textId="77777777" w:rsidR="00C46646" w:rsidRPr="00C621E4" w:rsidRDefault="00C46646" w:rsidP="00C46646">
            <w:pPr>
              <w:pStyle w:val="Contenutocornice"/>
              <w:spacing w:after="0"/>
              <w:ind w:left="37"/>
              <w:rPr>
                <w:sz w:val="18"/>
                <w:szCs w:val="18"/>
              </w:rPr>
            </w:pPr>
            <w:r w:rsidRPr="00C621E4">
              <w:rPr>
                <w:sz w:val="18"/>
                <w:szCs w:val="18"/>
              </w:rPr>
              <w:t>Sektor: turizem</w:t>
            </w:r>
          </w:p>
          <w:p w14:paraId="5640E523" w14:textId="77777777" w:rsidR="00C46646" w:rsidRPr="00C621E4" w:rsidRDefault="00C46646" w:rsidP="00C46646">
            <w:pPr>
              <w:pStyle w:val="Contenutocornice"/>
              <w:spacing w:after="0"/>
              <w:ind w:left="37"/>
              <w:rPr>
                <w:sz w:val="18"/>
                <w:szCs w:val="18"/>
              </w:rPr>
            </w:pPr>
            <w:r w:rsidRPr="00C621E4">
              <w:rPr>
                <w:sz w:val="18"/>
                <w:szCs w:val="18"/>
              </w:rPr>
              <w:t>Avtorji:</w:t>
            </w:r>
          </w:p>
          <w:p w14:paraId="12A35EC3" w14:textId="77777777" w:rsidR="00C46646" w:rsidRPr="00C621E4" w:rsidRDefault="00C46646" w:rsidP="00C46646">
            <w:pPr>
              <w:pStyle w:val="Contenutocornice"/>
              <w:spacing w:after="0"/>
              <w:ind w:left="37"/>
              <w:rPr>
                <w:sz w:val="18"/>
                <w:szCs w:val="18"/>
              </w:rPr>
            </w:pPr>
            <w:r w:rsidRPr="00C621E4">
              <w:rPr>
                <w:sz w:val="18"/>
                <w:szCs w:val="18"/>
              </w:rPr>
              <w:t>Renata Karba</w:t>
            </w:r>
          </w:p>
          <w:p w14:paraId="20772520" w14:textId="77777777" w:rsidR="00C46646" w:rsidRPr="00C621E4" w:rsidRDefault="00C46646" w:rsidP="00C46646">
            <w:pPr>
              <w:pStyle w:val="Contenutocornice"/>
              <w:spacing w:after="0"/>
              <w:ind w:left="37"/>
              <w:rPr>
                <w:sz w:val="18"/>
                <w:szCs w:val="18"/>
              </w:rPr>
            </w:pPr>
            <w:r w:rsidRPr="00C621E4">
              <w:rPr>
                <w:sz w:val="18"/>
                <w:szCs w:val="18"/>
              </w:rPr>
              <w:t xml:space="preserve">Jonas </w:t>
            </w:r>
            <w:proofErr w:type="spellStart"/>
            <w:r w:rsidRPr="00C621E4">
              <w:rPr>
                <w:sz w:val="18"/>
                <w:szCs w:val="18"/>
              </w:rPr>
              <w:t>Sonnenschein</w:t>
            </w:r>
            <w:proofErr w:type="spellEnd"/>
          </w:p>
          <w:p w14:paraId="361157B5" w14:textId="0EF997E8" w:rsidR="00C46646" w:rsidRPr="00C621E4" w:rsidRDefault="00C46646" w:rsidP="00C46646">
            <w:pPr>
              <w:pStyle w:val="Contenutocornice"/>
              <w:spacing w:after="0"/>
              <w:ind w:left="37"/>
              <w:rPr>
                <w:sz w:val="18"/>
                <w:szCs w:val="18"/>
              </w:rPr>
            </w:pPr>
          </w:p>
        </w:tc>
        <w:tc>
          <w:tcPr>
            <w:tcW w:w="2976" w:type="dxa"/>
            <w:tcBorders>
              <w:top w:val="nil"/>
              <w:left w:val="nil"/>
              <w:bottom w:val="nil"/>
              <w:right w:val="nil"/>
            </w:tcBorders>
            <w:vAlign w:val="center"/>
          </w:tcPr>
          <w:p w14:paraId="525E78CB" w14:textId="15D7FEA4" w:rsidR="00C46646" w:rsidRPr="00B14994" w:rsidRDefault="00C46646" w:rsidP="00C46646">
            <w:pPr>
              <w:pStyle w:val="Contenutocornice"/>
              <w:spacing w:after="0"/>
              <w:ind w:left="-100"/>
              <w:jc w:val="center"/>
            </w:pPr>
            <w:r w:rsidRPr="00B14994">
              <w:rPr>
                <w:noProof/>
                <w:lang w:eastAsia="sl-SI"/>
              </w:rPr>
              <w:drawing>
                <wp:inline distT="0" distB="0" distL="0" distR="0" wp14:anchorId="1A508E08" wp14:editId="1F658214">
                  <wp:extent cx="1771578" cy="377083"/>
                  <wp:effectExtent l="0" t="0" r="63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01114" cy="383370"/>
                          </a:xfrm>
                          <a:prstGeom prst="rect">
                            <a:avLst/>
                          </a:prstGeom>
                          <a:noFill/>
                          <a:ln>
                            <a:noFill/>
                          </a:ln>
                        </pic:spPr>
                      </pic:pic>
                    </a:graphicData>
                  </a:graphic>
                </wp:inline>
              </w:drawing>
            </w:r>
          </w:p>
        </w:tc>
      </w:tr>
      <w:tr w:rsidR="00C46646" w:rsidRPr="00B14994" w14:paraId="018F6BEE" w14:textId="77777777" w:rsidTr="007E34E7">
        <w:tc>
          <w:tcPr>
            <w:tcW w:w="2410" w:type="dxa"/>
            <w:tcBorders>
              <w:top w:val="nil"/>
              <w:left w:val="nil"/>
              <w:bottom w:val="nil"/>
              <w:right w:val="nil"/>
            </w:tcBorders>
          </w:tcPr>
          <w:p w14:paraId="382A3E8C" w14:textId="77777777" w:rsidR="00C46646" w:rsidRPr="00B14994" w:rsidRDefault="00C46646" w:rsidP="00C46646">
            <w:pPr>
              <w:pStyle w:val="Contenutocornice"/>
              <w:spacing w:after="0"/>
              <w:rPr>
                <w:b/>
                <w:bCs/>
                <w:sz w:val="20"/>
                <w:szCs w:val="20"/>
              </w:rPr>
            </w:pPr>
            <w:r w:rsidRPr="00B14994">
              <w:rPr>
                <w:b/>
                <w:bCs/>
                <w:sz w:val="20"/>
                <w:szCs w:val="20"/>
              </w:rPr>
              <w:t>Nacionalni Institut za javno zdravje</w:t>
            </w:r>
          </w:p>
          <w:p w14:paraId="47AE53E1" w14:textId="77777777" w:rsidR="00C46646" w:rsidRPr="00C621E4" w:rsidRDefault="00C46646" w:rsidP="00C46646">
            <w:pPr>
              <w:pStyle w:val="Contenutocornice"/>
              <w:spacing w:after="0"/>
              <w:ind w:left="37"/>
              <w:rPr>
                <w:sz w:val="18"/>
                <w:szCs w:val="18"/>
              </w:rPr>
            </w:pPr>
            <w:r w:rsidRPr="00C621E4">
              <w:rPr>
                <w:sz w:val="18"/>
                <w:szCs w:val="18"/>
              </w:rPr>
              <w:t>Trubarjeva 2,</w:t>
            </w:r>
          </w:p>
          <w:p w14:paraId="05D4C279" w14:textId="77777777" w:rsidR="00C46646" w:rsidRPr="00C621E4" w:rsidRDefault="00C46646" w:rsidP="00C46646">
            <w:pPr>
              <w:pStyle w:val="Contenutocornice"/>
              <w:spacing w:after="0"/>
              <w:ind w:left="37"/>
              <w:rPr>
                <w:sz w:val="18"/>
                <w:szCs w:val="18"/>
              </w:rPr>
            </w:pPr>
            <w:r w:rsidRPr="00C621E4">
              <w:rPr>
                <w:sz w:val="18"/>
                <w:szCs w:val="18"/>
              </w:rPr>
              <w:t>1000 Ljubljana</w:t>
            </w:r>
          </w:p>
          <w:p w14:paraId="4E35465E" w14:textId="77777777" w:rsidR="00C46646" w:rsidRPr="00C621E4" w:rsidRDefault="00C46646" w:rsidP="00C46646">
            <w:pPr>
              <w:pStyle w:val="Contenutocornice"/>
              <w:spacing w:after="0"/>
              <w:ind w:left="37"/>
              <w:rPr>
                <w:sz w:val="18"/>
                <w:szCs w:val="18"/>
              </w:rPr>
            </w:pPr>
            <w:r w:rsidRPr="00C621E4">
              <w:rPr>
                <w:sz w:val="18"/>
                <w:szCs w:val="18"/>
              </w:rPr>
              <w:t>Sektor: zdravje</w:t>
            </w:r>
          </w:p>
          <w:p w14:paraId="6CD956A4" w14:textId="77777777" w:rsidR="00C46646" w:rsidRPr="00C621E4" w:rsidRDefault="00C46646" w:rsidP="00C46646">
            <w:pPr>
              <w:pStyle w:val="Contenutocornice"/>
              <w:spacing w:after="0"/>
              <w:ind w:left="37"/>
              <w:rPr>
                <w:sz w:val="18"/>
                <w:szCs w:val="18"/>
              </w:rPr>
            </w:pPr>
            <w:r w:rsidRPr="00C621E4">
              <w:rPr>
                <w:sz w:val="18"/>
                <w:szCs w:val="18"/>
              </w:rPr>
              <w:t>Avtorji:</w:t>
            </w:r>
          </w:p>
          <w:p w14:paraId="68DDD141" w14:textId="77777777" w:rsidR="00C46646" w:rsidRPr="00C621E4" w:rsidRDefault="00C46646" w:rsidP="00C46646">
            <w:pPr>
              <w:pStyle w:val="Contenutocornice"/>
              <w:spacing w:after="0"/>
              <w:ind w:left="37"/>
              <w:rPr>
                <w:sz w:val="18"/>
                <w:szCs w:val="18"/>
              </w:rPr>
            </w:pPr>
            <w:r w:rsidRPr="00C621E4">
              <w:rPr>
                <w:sz w:val="18"/>
                <w:szCs w:val="18"/>
              </w:rPr>
              <w:t>Ana Hojs</w:t>
            </w:r>
          </w:p>
          <w:p w14:paraId="20B1983C" w14:textId="77777777" w:rsidR="00C46646" w:rsidRPr="00C621E4" w:rsidRDefault="00C46646" w:rsidP="00C46646">
            <w:pPr>
              <w:pStyle w:val="Contenutocornice"/>
              <w:spacing w:after="0"/>
              <w:ind w:left="37"/>
              <w:rPr>
                <w:sz w:val="18"/>
                <w:szCs w:val="18"/>
              </w:rPr>
            </w:pPr>
            <w:r w:rsidRPr="00C621E4">
              <w:rPr>
                <w:sz w:val="18"/>
                <w:szCs w:val="18"/>
              </w:rPr>
              <w:t>Simona Perčič</w:t>
            </w:r>
          </w:p>
          <w:p w14:paraId="1F65FD32" w14:textId="77777777" w:rsidR="00C46646" w:rsidRPr="00C46646" w:rsidRDefault="00C46646" w:rsidP="00C46646">
            <w:pPr>
              <w:pStyle w:val="Contenutocornice"/>
              <w:spacing w:after="0"/>
              <w:ind w:left="37"/>
              <w:rPr>
                <w:sz w:val="18"/>
                <w:szCs w:val="18"/>
              </w:rPr>
            </w:pPr>
            <w:r w:rsidRPr="00C46646">
              <w:rPr>
                <w:sz w:val="18"/>
                <w:szCs w:val="18"/>
              </w:rPr>
              <w:t>Majda Pohar</w:t>
            </w:r>
          </w:p>
          <w:p w14:paraId="28FC5BF7" w14:textId="77777777" w:rsidR="00C46646" w:rsidRPr="00C46646" w:rsidRDefault="00C46646" w:rsidP="00C46646">
            <w:pPr>
              <w:pStyle w:val="Contenutocornice"/>
              <w:spacing w:after="0"/>
              <w:ind w:left="37"/>
              <w:rPr>
                <w:sz w:val="18"/>
                <w:szCs w:val="18"/>
              </w:rPr>
            </w:pPr>
            <w:r w:rsidRPr="00C46646">
              <w:rPr>
                <w:sz w:val="18"/>
                <w:szCs w:val="18"/>
              </w:rPr>
              <w:t>Katarina Bitenc</w:t>
            </w:r>
          </w:p>
          <w:p w14:paraId="417AFB96" w14:textId="77777777" w:rsidR="00C46646" w:rsidRPr="00C46646" w:rsidRDefault="00C46646" w:rsidP="00C46646">
            <w:pPr>
              <w:pStyle w:val="Contenutocornice"/>
              <w:spacing w:after="0"/>
              <w:ind w:left="37"/>
              <w:rPr>
                <w:sz w:val="18"/>
                <w:szCs w:val="18"/>
              </w:rPr>
            </w:pPr>
            <w:r w:rsidRPr="00C46646">
              <w:rPr>
                <w:sz w:val="18"/>
                <w:szCs w:val="18"/>
              </w:rPr>
              <w:t xml:space="preserve">Mario </w:t>
            </w:r>
            <w:proofErr w:type="spellStart"/>
            <w:r w:rsidRPr="00C46646">
              <w:rPr>
                <w:sz w:val="18"/>
                <w:szCs w:val="18"/>
              </w:rPr>
              <w:t>Fafangel</w:t>
            </w:r>
            <w:proofErr w:type="spellEnd"/>
          </w:p>
          <w:p w14:paraId="30CC13F7" w14:textId="77777777" w:rsidR="00C46646" w:rsidRPr="00C46646" w:rsidRDefault="00C46646" w:rsidP="00C46646">
            <w:pPr>
              <w:pStyle w:val="Contenutocornice"/>
              <w:spacing w:after="0"/>
              <w:ind w:left="37"/>
              <w:rPr>
                <w:sz w:val="18"/>
                <w:szCs w:val="18"/>
              </w:rPr>
            </w:pPr>
            <w:r w:rsidRPr="00C46646">
              <w:rPr>
                <w:sz w:val="18"/>
                <w:szCs w:val="18"/>
              </w:rPr>
              <w:t>Metka Zaletel</w:t>
            </w:r>
          </w:p>
          <w:p w14:paraId="390682E6" w14:textId="06BDCFD7" w:rsidR="00C46646" w:rsidRPr="00C46646" w:rsidRDefault="00C46646" w:rsidP="00C46646">
            <w:pPr>
              <w:pStyle w:val="Contenutocornice"/>
              <w:spacing w:after="0"/>
              <w:ind w:left="37"/>
              <w:rPr>
                <w:b/>
                <w:bCs/>
                <w:sz w:val="20"/>
                <w:szCs w:val="20"/>
              </w:rPr>
            </w:pPr>
            <w:proofErr w:type="spellStart"/>
            <w:r w:rsidRPr="00C46646">
              <w:rPr>
                <w:sz w:val="18"/>
                <w:szCs w:val="18"/>
              </w:rPr>
              <w:t>Victoria</w:t>
            </w:r>
            <w:proofErr w:type="spellEnd"/>
            <w:r w:rsidRPr="00C46646">
              <w:rPr>
                <w:sz w:val="18"/>
                <w:szCs w:val="18"/>
              </w:rPr>
              <w:t xml:space="preserve"> Zakrajšek</w:t>
            </w:r>
          </w:p>
        </w:tc>
        <w:tc>
          <w:tcPr>
            <w:tcW w:w="2268" w:type="dxa"/>
            <w:tcBorders>
              <w:top w:val="nil"/>
              <w:left w:val="nil"/>
              <w:bottom w:val="nil"/>
              <w:right w:val="nil"/>
            </w:tcBorders>
            <w:vAlign w:val="center"/>
          </w:tcPr>
          <w:p w14:paraId="49D87F54" w14:textId="582A05AB" w:rsidR="00C46646" w:rsidRPr="00B14994" w:rsidRDefault="00C46646" w:rsidP="00C46646">
            <w:pPr>
              <w:pStyle w:val="Contenutocornice"/>
              <w:spacing w:after="0"/>
              <w:ind w:left="-113"/>
              <w:jc w:val="center"/>
              <w:rPr>
                <w:noProof/>
              </w:rPr>
            </w:pPr>
            <w:r w:rsidRPr="00B14994">
              <w:rPr>
                <w:noProof/>
                <w:lang w:eastAsia="sl-SI"/>
              </w:rPr>
              <w:drawing>
                <wp:inline distT="0" distB="0" distL="0" distR="0" wp14:anchorId="5F286316" wp14:editId="2B6E2766">
                  <wp:extent cx="1031590" cy="8743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46490" cy="887025"/>
                          </a:xfrm>
                          <a:prstGeom prst="rect">
                            <a:avLst/>
                          </a:prstGeom>
                          <a:noFill/>
                          <a:ln>
                            <a:noFill/>
                          </a:ln>
                        </pic:spPr>
                      </pic:pic>
                    </a:graphicData>
                  </a:graphic>
                </wp:inline>
              </w:drawing>
            </w:r>
          </w:p>
        </w:tc>
        <w:tc>
          <w:tcPr>
            <w:tcW w:w="1985" w:type="dxa"/>
            <w:tcBorders>
              <w:top w:val="nil"/>
              <w:left w:val="nil"/>
              <w:bottom w:val="nil"/>
              <w:right w:val="nil"/>
            </w:tcBorders>
          </w:tcPr>
          <w:p w14:paraId="0030872E" w14:textId="77777777" w:rsidR="00C46646" w:rsidRPr="00B14994" w:rsidRDefault="00C46646" w:rsidP="00C46646">
            <w:pPr>
              <w:pStyle w:val="Contenutocornice"/>
              <w:spacing w:after="0"/>
              <w:rPr>
                <w:b/>
                <w:bCs/>
                <w:sz w:val="20"/>
                <w:szCs w:val="20"/>
              </w:rPr>
            </w:pPr>
            <w:r w:rsidRPr="00B14994">
              <w:rPr>
                <w:b/>
                <w:bCs/>
                <w:sz w:val="20"/>
                <w:szCs w:val="20"/>
              </w:rPr>
              <w:t>Gozdarski inštitut Slovenije</w:t>
            </w:r>
          </w:p>
          <w:p w14:paraId="60BEABCD" w14:textId="77777777" w:rsidR="00C46646" w:rsidRPr="00C621E4" w:rsidRDefault="00C46646" w:rsidP="00C46646">
            <w:pPr>
              <w:pStyle w:val="Contenutocornice"/>
              <w:spacing w:after="0"/>
              <w:ind w:left="37"/>
              <w:rPr>
                <w:sz w:val="18"/>
                <w:szCs w:val="18"/>
              </w:rPr>
            </w:pPr>
            <w:r w:rsidRPr="00C621E4">
              <w:rPr>
                <w:sz w:val="18"/>
                <w:szCs w:val="18"/>
              </w:rPr>
              <w:t>Večna pot 2,</w:t>
            </w:r>
          </w:p>
          <w:p w14:paraId="0DD1CB3E" w14:textId="77777777" w:rsidR="00C46646" w:rsidRPr="00C621E4" w:rsidRDefault="00C46646" w:rsidP="00C46646">
            <w:pPr>
              <w:pStyle w:val="Contenutocornice"/>
              <w:spacing w:after="0"/>
              <w:ind w:left="37"/>
              <w:rPr>
                <w:sz w:val="18"/>
                <w:szCs w:val="18"/>
              </w:rPr>
            </w:pPr>
            <w:r w:rsidRPr="00C621E4">
              <w:rPr>
                <w:sz w:val="18"/>
                <w:szCs w:val="18"/>
              </w:rPr>
              <w:t>1000 Ljubljana</w:t>
            </w:r>
          </w:p>
          <w:p w14:paraId="446EBD60" w14:textId="77777777" w:rsidR="00C46646" w:rsidRPr="00C621E4" w:rsidRDefault="00C46646" w:rsidP="00C46646">
            <w:pPr>
              <w:pStyle w:val="Contenutocornice"/>
              <w:spacing w:after="0"/>
              <w:ind w:left="37"/>
              <w:rPr>
                <w:sz w:val="18"/>
                <w:szCs w:val="18"/>
              </w:rPr>
            </w:pPr>
            <w:r w:rsidRPr="00C621E4">
              <w:rPr>
                <w:sz w:val="18"/>
                <w:szCs w:val="18"/>
              </w:rPr>
              <w:t>Sektor: turizem</w:t>
            </w:r>
          </w:p>
          <w:p w14:paraId="6763DA06" w14:textId="77777777" w:rsidR="00C46646" w:rsidRPr="00C621E4" w:rsidRDefault="00C46646" w:rsidP="00C46646">
            <w:pPr>
              <w:pStyle w:val="Contenutocornice"/>
              <w:spacing w:after="0"/>
              <w:ind w:left="37"/>
              <w:rPr>
                <w:sz w:val="18"/>
                <w:szCs w:val="18"/>
              </w:rPr>
            </w:pPr>
            <w:r w:rsidRPr="00C621E4">
              <w:rPr>
                <w:sz w:val="18"/>
                <w:szCs w:val="18"/>
              </w:rPr>
              <w:t>Avtorji:</w:t>
            </w:r>
          </w:p>
          <w:p w14:paraId="7CB00353" w14:textId="77777777" w:rsidR="00C46646" w:rsidRPr="00C621E4" w:rsidRDefault="00C46646" w:rsidP="00C46646">
            <w:pPr>
              <w:pStyle w:val="Contenutocornice"/>
              <w:spacing w:after="0"/>
              <w:ind w:left="37"/>
              <w:rPr>
                <w:sz w:val="18"/>
                <w:szCs w:val="18"/>
              </w:rPr>
            </w:pPr>
            <w:r w:rsidRPr="00C621E4">
              <w:rPr>
                <w:sz w:val="18"/>
                <w:szCs w:val="18"/>
              </w:rPr>
              <w:t>Urša Vilhar</w:t>
            </w:r>
          </w:p>
          <w:p w14:paraId="5D5CFF82" w14:textId="77777777" w:rsidR="00C46646" w:rsidRDefault="00C46646" w:rsidP="00C46646">
            <w:pPr>
              <w:pStyle w:val="Contenutocornice"/>
              <w:spacing w:after="0"/>
              <w:rPr>
                <w:sz w:val="18"/>
                <w:szCs w:val="18"/>
              </w:rPr>
            </w:pPr>
            <w:r w:rsidRPr="00C621E4">
              <w:rPr>
                <w:sz w:val="18"/>
                <w:szCs w:val="18"/>
              </w:rPr>
              <w:t>Aleksander Marinšek</w:t>
            </w:r>
          </w:p>
          <w:p w14:paraId="6122EB49" w14:textId="77777777" w:rsidR="00C46646" w:rsidRDefault="00C46646" w:rsidP="00C46646">
            <w:pPr>
              <w:pStyle w:val="Contenutocornice"/>
              <w:spacing w:after="0"/>
              <w:rPr>
                <w:rFonts w:ascii="Calibri" w:hAnsi="Calibri" w:cs="Calibri"/>
                <w:color w:val="222222"/>
                <w:sz w:val="20"/>
                <w:szCs w:val="20"/>
                <w:shd w:val="clear" w:color="auto" w:fill="FFFFFF"/>
              </w:rPr>
            </w:pPr>
            <w:proofErr w:type="spellStart"/>
            <w:r>
              <w:rPr>
                <w:rFonts w:ascii="Calibri" w:hAnsi="Calibri" w:cs="Calibri"/>
                <w:color w:val="222222"/>
                <w:sz w:val="20"/>
                <w:szCs w:val="20"/>
                <w:shd w:val="clear" w:color="auto" w:fill="FFFFFF"/>
              </w:rPr>
              <w:t>Nikica</w:t>
            </w:r>
            <w:proofErr w:type="spellEnd"/>
            <w:r>
              <w:rPr>
                <w:rFonts w:ascii="Calibri" w:hAnsi="Calibri" w:cs="Calibri"/>
                <w:color w:val="222222"/>
                <w:sz w:val="20"/>
                <w:szCs w:val="20"/>
                <w:shd w:val="clear" w:color="auto" w:fill="FFFFFF"/>
              </w:rPr>
              <w:t xml:space="preserve"> Ogris</w:t>
            </w:r>
          </w:p>
          <w:p w14:paraId="1BB493B6" w14:textId="77777777" w:rsidR="00C46646" w:rsidRDefault="00C46646" w:rsidP="00C46646">
            <w:pPr>
              <w:pStyle w:val="Contenutocornice"/>
              <w:spacing w:after="0"/>
              <w:rPr>
                <w:rFonts w:ascii="Calibri" w:hAnsi="Calibri" w:cs="Calibri"/>
                <w:color w:val="222222"/>
                <w:sz w:val="20"/>
                <w:szCs w:val="20"/>
                <w:shd w:val="clear" w:color="auto" w:fill="FFFFFF"/>
              </w:rPr>
            </w:pPr>
            <w:r>
              <w:rPr>
                <w:rFonts w:ascii="Calibri" w:hAnsi="Calibri" w:cs="Calibri"/>
                <w:color w:val="222222"/>
                <w:sz w:val="20"/>
                <w:szCs w:val="20"/>
                <w:shd w:val="clear" w:color="auto" w:fill="FFFFFF"/>
              </w:rPr>
              <w:t>Erika Kozamernik</w:t>
            </w:r>
          </w:p>
          <w:p w14:paraId="1199A830" w14:textId="2EB2A617" w:rsidR="00C46646" w:rsidRPr="00B14994" w:rsidRDefault="00C46646" w:rsidP="00C46646">
            <w:pPr>
              <w:pStyle w:val="Contenutocornice"/>
              <w:spacing w:after="0"/>
              <w:rPr>
                <w:b/>
                <w:bCs/>
                <w:sz w:val="20"/>
                <w:szCs w:val="20"/>
              </w:rPr>
            </w:pPr>
            <w:r>
              <w:rPr>
                <w:rFonts w:ascii="Calibri" w:hAnsi="Calibri" w:cs="Calibri"/>
                <w:color w:val="222222"/>
                <w:sz w:val="20"/>
                <w:szCs w:val="20"/>
                <w:shd w:val="clear" w:color="auto" w:fill="FFFFFF"/>
              </w:rPr>
              <w:t>Matevž Triplat</w:t>
            </w:r>
          </w:p>
        </w:tc>
        <w:tc>
          <w:tcPr>
            <w:tcW w:w="2976" w:type="dxa"/>
            <w:tcBorders>
              <w:top w:val="nil"/>
              <w:left w:val="nil"/>
              <w:bottom w:val="nil"/>
              <w:right w:val="nil"/>
            </w:tcBorders>
            <w:vAlign w:val="center"/>
          </w:tcPr>
          <w:p w14:paraId="4ED5F7C7" w14:textId="4DEBD09E" w:rsidR="00C46646" w:rsidRPr="00B14994" w:rsidRDefault="00C46646" w:rsidP="00C46646">
            <w:pPr>
              <w:pStyle w:val="Contenutocornice"/>
              <w:spacing w:after="0"/>
              <w:ind w:left="-100"/>
              <w:jc w:val="center"/>
              <w:rPr>
                <w:noProof/>
              </w:rPr>
            </w:pPr>
            <w:r w:rsidRPr="00B14994">
              <w:rPr>
                <w:noProof/>
                <w:lang w:eastAsia="sl-SI"/>
              </w:rPr>
              <w:drawing>
                <wp:inline distT="0" distB="0" distL="0" distR="0" wp14:anchorId="6AAF1C68" wp14:editId="5AE1A7E8">
                  <wp:extent cx="1771034" cy="419100"/>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22893" cy="431372"/>
                          </a:xfrm>
                          <a:prstGeom prst="rect">
                            <a:avLst/>
                          </a:prstGeom>
                          <a:noFill/>
                          <a:ln>
                            <a:noFill/>
                          </a:ln>
                        </pic:spPr>
                      </pic:pic>
                    </a:graphicData>
                  </a:graphic>
                </wp:inline>
              </w:drawing>
            </w:r>
          </w:p>
        </w:tc>
      </w:tr>
    </w:tbl>
    <w:p w14:paraId="4D59B1D6" w14:textId="382D796D" w:rsidR="00834374" w:rsidRPr="00B14994" w:rsidRDefault="00834374" w:rsidP="006B7E34">
      <w:pPr>
        <w:sectPr w:rsidR="00834374" w:rsidRPr="00B14994">
          <w:headerReference w:type="default" r:id="rId15"/>
          <w:footerReference w:type="default" r:id="rId16"/>
          <w:pgSz w:w="11906" w:h="16838"/>
          <w:pgMar w:top="1417" w:right="1134" w:bottom="1134" w:left="1134" w:header="708" w:footer="708" w:gutter="0"/>
          <w:cols w:space="708"/>
          <w:docGrid w:linePitch="360"/>
        </w:sectPr>
      </w:pPr>
      <w:r w:rsidRPr="00B14994">
        <w:tab/>
      </w:r>
    </w:p>
    <w:p w14:paraId="28E366A2" w14:textId="77777777" w:rsidR="00F06A95" w:rsidRPr="00B14994" w:rsidRDefault="00F06A95" w:rsidP="00F06A95">
      <w:pPr>
        <w:pStyle w:val="Brezrazmikov"/>
        <w:spacing w:line="259" w:lineRule="auto"/>
        <w:jc w:val="both"/>
        <w:rPr>
          <w:rFonts w:ascii="Trebuchet MS" w:hAnsi="Trebuchet MS" w:cstheme="minorBidi"/>
          <w:b/>
          <w:color w:val="203B88"/>
          <w:sz w:val="32"/>
          <w:szCs w:val="32"/>
          <w:lang w:val="sl-SI"/>
        </w:rPr>
      </w:pPr>
      <w:r w:rsidRPr="00B14994">
        <w:rPr>
          <w:rFonts w:ascii="Trebuchet MS" w:hAnsi="Trebuchet MS" w:cstheme="minorBidi"/>
          <w:b/>
          <w:color w:val="203B88"/>
          <w:sz w:val="32"/>
          <w:szCs w:val="32"/>
          <w:lang w:val="sl-SI"/>
        </w:rPr>
        <w:lastRenderedPageBreak/>
        <w:t>Pregled dokumenta</w:t>
      </w:r>
    </w:p>
    <w:p w14:paraId="36E50D46" w14:textId="77777777" w:rsidR="00F06A95" w:rsidRPr="00B14994" w:rsidRDefault="00F06A95" w:rsidP="00F91232"/>
    <w:p w14:paraId="0C3B07A8" w14:textId="66DF091D" w:rsidR="00F06A95" w:rsidRPr="00B14994" w:rsidRDefault="00DD58AC" w:rsidP="00F06A95">
      <w:pPr>
        <w:pStyle w:val="Brezrazmikov"/>
        <w:spacing w:line="259" w:lineRule="auto"/>
        <w:jc w:val="both"/>
        <w:rPr>
          <w:b/>
          <w:sz w:val="28"/>
          <w:lang w:val="sl-SI"/>
        </w:rPr>
      </w:pPr>
      <w:r w:rsidRPr="00B14994">
        <w:rPr>
          <w:rFonts w:ascii="Trebuchet MS" w:hAnsi="Trebuchet MS" w:cstheme="minorBidi"/>
          <w:b/>
          <w:color w:val="203B88"/>
          <w:sz w:val="24"/>
          <w:szCs w:val="24"/>
          <w:lang w:val="sl-SI"/>
        </w:rPr>
        <w:t>Izdelava dokumenta</w:t>
      </w:r>
      <w:r w:rsidR="00F06A95" w:rsidRPr="00B14994">
        <w:rPr>
          <w:b/>
          <w:sz w:val="28"/>
          <w:lang w:val="sl-SI"/>
        </w:rPr>
        <w:t xml:space="preserve"> </w:t>
      </w:r>
    </w:p>
    <w:p w14:paraId="2E2BD24F" w14:textId="77777777" w:rsidR="00F06A95" w:rsidRPr="00F91232" w:rsidRDefault="00F06A95" w:rsidP="00F91232"/>
    <w:tbl>
      <w:tblPr>
        <w:tblStyle w:val="Navadnatabela2"/>
        <w:tblW w:w="964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6"/>
        <w:gridCol w:w="1560"/>
        <w:gridCol w:w="2239"/>
        <w:gridCol w:w="2013"/>
        <w:gridCol w:w="2552"/>
      </w:tblGrid>
      <w:tr w:rsidR="00F06A95" w:rsidRPr="00B14994" w14:paraId="6E9CC71C" w14:textId="77777777" w:rsidTr="00103AF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vAlign w:val="center"/>
          </w:tcPr>
          <w:p w14:paraId="4FA1679C" w14:textId="77777777" w:rsidR="00F06A95" w:rsidRPr="00B14994" w:rsidRDefault="00F06A95" w:rsidP="00305F30">
            <w:pPr>
              <w:ind w:left="45"/>
              <w:jc w:val="left"/>
            </w:pPr>
            <w:r w:rsidRPr="00B14994">
              <w:t>Verzija</w:t>
            </w:r>
          </w:p>
        </w:tc>
        <w:tc>
          <w:tcPr>
            <w:cnfStyle w:val="000001000000" w:firstRow="0" w:lastRow="0" w:firstColumn="0" w:lastColumn="0" w:oddVBand="0" w:evenVBand="1"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vAlign w:val="center"/>
          </w:tcPr>
          <w:p w14:paraId="7E10B29F" w14:textId="77777777" w:rsidR="00F06A95" w:rsidRPr="00B14994" w:rsidRDefault="00F06A95" w:rsidP="00305F30">
            <w:pPr>
              <w:ind w:left="45"/>
              <w:jc w:val="left"/>
            </w:pPr>
            <w:r w:rsidRPr="00B14994">
              <w:t>Datum</w:t>
            </w:r>
          </w:p>
        </w:tc>
        <w:tc>
          <w:tcPr>
            <w:cnfStyle w:val="000010000000" w:firstRow="0" w:lastRow="0" w:firstColumn="0" w:lastColumn="0" w:oddVBand="1" w:evenVBand="0" w:oddHBand="0" w:evenHBand="0" w:firstRowFirstColumn="0" w:firstRowLastColumn="0" w:lastRowFirstColumn="0" w:lastRowLastColumn="0"/>
            <w:tcW w:w="2239" w:type="dxa"/>
            <w:tcBorders>
              <w:top w:val="none" w:sz="0" w:space="0" w:color="auto"/>
              <w:left w:val="none" w:sz="0" w:space="0" w:color="auto"/>
              <w:bottom w:val="none" w:sz="0" w:space="0" w:color="auto"/>
              <w:right w:val="none" w:sz="0" w:space="0" w:color="auto"/>
            </w:tcBorders>
            <w:vAlign w:val="center"/>
          </w:tcPr>
          <w:p w14:paraId="61A16DA1" w14:textId="77777777" w:rsidR="00F06A95" w:rsidRPr="00B14994" w:rsidRDefault="00F06A95" w:rsidP="00305F30">
            <w:pPr>
              <w:ind w:left="45"/>
              <w:jc w:val="left"/>
            </w:pPr>
            <w:r w:rsidRPr="00B14994">
              <w:t>Avtor</w:t>
            </w:r>
          </w:p>
        </w:tc>
        <w:tc>
          <w:tcPr>
            <w:cnfStyle w:val="000001000000" w:firstRow="0" w:lastRow="0" w:firstColumn="0" w:lastColumn="0" w:oddVBand="0" w:evenVBand="1" w:oddHBand="0" w:evenHBand="0" w:firstRowFirstColumn="0" w:firstRowLastColumn="0" w:lastRowFirstColumn="0" w:lastRowLastColumn="0"/>
            <w:tcW w:w="2013" w:type="dxa"/>
            <w:tcBorders>
              <w:top w:val="none" w:sz="0" w:space="0" w:color="auto"/>
              <w:left w:val="none" w:sz="0" w:space="0" w:color="auto"/>
              <w:bottom w:val="none" w:sz="0" w:space="0" w:color="auto"/>
              <w:right w:val="none" w:sz="0" w:space="0" w:color="auto"/>
            </w:tcBorders>
            <w:vAlign w:val="center"/>
          </w:tcPr>
          <w:p w14:paraId="08F79AAD" w14:textId="77777777" w:rsidR="00F06A95" w:rsidRPr="00B14994" w:rsidRDefault="00F06A95" w:rsidP="00305F30">
            <w:pPr>
              <w:ind w:left="45"/>
              <w:jc w:val="left"/>
            </w:pPr>
            <w:r w:rsidRPr="00B14994">
              <w:t>Organizacija</w:t>
            </w:r>
          </w:p>
        </w:tc>
        <w:tc>
          <w:tcPr>
            <w:cnfStyle w:val="000010000000" w:firstRow="0" w:lastRow="0" w:firstColumn="0" w:lastColumn="0" w:oddVBand="1"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cBorders>
            <w:vAlign w:val="center"/>
          </w:tcPr>
          <w:p w14:paraId="1DF58284" w14:textId="77777777" w:rsidR="00F06A95" w:rsidRPr="00B14994" w:rsidRDefault="00F06A95" w:rsidP="00305F30">
            <w:pPr>
              <w:ind w:left="45"/>
              <w:jc w:val="left"/>
            </w:pPr>
            <w:r w:rsidRPr="00B14994">
              <w:t>Komentarji</w:t>
            </w:r>
          </w:p>
        </w:tc>
      </w:tr>
      <w:tr w:rsidR="00F06A95" w:rsidRPr="00B14994" w14:paraId="3B12F32E" w14:textId="77777777" w:rsidTr="00103AF8">
        <w:tc>
          <w:tcPr>
            <w:cnfStyle w:val="000010000000" w:firstRow="0" w:lastRow="0" w:firstColumn="0" w:lastColumn="0" w:oddVBand="1" w:evenVBand="0" w:oddHBand="0" w:evenHBand="0" w:firstRowFirstColumn="0" w:firstRowLastColumn="0" w:lastRowFirstColumn="0" w:lastRowLastColumn="0"/>
            <w:tcW w:w="1276" w:type="dxa"/>
            <w:tcBorders>
              <w:left w:val="none" w:sz="0" w:space="0" w:color="auto"/>
              <w:right w:val="none" w:sz="0" w:space="0" w:color="auto"/>
            </w:tcBorders>
            <w:vAlign w:val="center"/>
          </w:tcPr>
          <w:p w14:paraId="0F8F701D" w14:textId="4A8A232F" w:rsidR="00F06A95" w:rsidRPr="00B14994" w:rsidRDefault="00F06A95" w:rsidP="00305F30">
            <w:pPr>
              <w:ind w:left="45"/>
              <w:jc w:val="left"/>
            </w:pPr>
            <w:r w:rsidRPr="00B14994">
              <w:t>1.</w:t>
            </w:r>
            <w:r w:rsidR="00305F30">
              <w:t>0</w:t>
            </w:r>
          </w:p>
        </w:tc>
        <w:tc>
          <w:tcPr>
            <w:cnfStyle w:val="000001000000" w:firstRow="0" w:lastRow="0" w:firstColumn="0" w:lastColumn="0" w:oddVBand="0" w:evenVBand="1" w:oddHBand="0" w:evenHBand="0" w:firstRowFirstColumn="0" w:firstRowLastColumn="0" w:lastRowFirstColumn="0" w:lastRowLastColumn="0"/>
            <w:tcW w:w="1560" w:type="dxa"/>
            <w:tcBorders>
              <w:left w:val="none" w:sz="0" w:space="0" w:color="auto"/>
              <w:right w:val="none" w:sz="0" w:space="0" w:color="auto"/>
            </w:tcBorders>
            <w:vAlign w:val="center"/>
          </w:tcPr>
          <w:p w14:paraId="0CCCD497" w14:textId="6DABBE98" w:rsidR="00F06A95" w:rsidRPr="00B14994" w:rsidRDefault="00F06A95" w:rsidP="00305F30">
            <w:pPr>
              <w:ind w:left="45"/>
              <w:jc w:val="left"/>
            </w:pPr>
          </w:p>
        </w:tc>
        <w:tc>
          <w:tcPr>
            <w:cnfStyle w:val="000010000000" w:firstRow="0" w:lastRow="0" w:firstColumn="0" w:lastColumn="0" w:oddVBand="1" w:evenVBand="0" w:oddHBand="0" w:evenHBand="0" w:firstRowFirstColumn="0" w:firstRowLastColumn="0" w:lastRowFirstColumn="0" w:lastRowLastColumn="0"/>
            <w:tcW w:w="2239" w:type="dxa"/>
            <w:tcBorders>
              <w:left w:val="none" w:sz="0" w:space="0" w:color="auto"/>
              <w:right w:val="none" w:sz="0" w:space="0" w:color="auto"/>
            </w:tcBorders>
            <w:vAlign w:val="center"/>
          </w:tcPr>
          <w:p w14:paraId="29046658" w14:textId="229AF8C9" w:rsidR="00F06A95" w:rsidRPr="00B14994" w:rsidRDefault="00DD58AC" w:rsidP="00305F30">
            <w:pPr>
              <w:ind w:left="45"/>
              <w:jc w:val="left"/>
            </w:pPr>
            <w:r w:rsidRPr="00B14994">
              <w:t xml:space="preserve">Ivana </w:t>
            </w:r>
            <w:r w:rsidR="00C64B82" w:rsidRPr="00B14994">
              <w:t>Kacafura</w:t>
            </w:r>
            <w:r w:rsidRPr="00B14994">
              <w:t>, Marta</w:t>
            </w:r>
            <w:r w:rsidR="00C64B82" w:rsidRPr="00B14994">
              <w:t xml:space="preserve"> Stopar</w:t>
            </w:r>
          </w:p>
        </w:tc>
        <w:tc>
          <w:tcPr>
            <w:cnfStyle w:val="000001000000" w:firstRow="0" w:lastRow="0" w:firstColumn="0" w:lastColumn="0" w:oddVBand="0" w:evenVBand="1" w:oddHBand="0" w:evenHBand="0" w:firstRowFirstColumn="0" w:firstRowLastColumn="0" w:lastRowFirstColumn="0" w:lastRowLastColumn="0"/>
            <w:tcW w:w="2013" w:type="dxa"/>
            <w:tcBorders>
              <w:left w:val="none" w:sz="0" w:space="0" w:color="auto"/>
              <w:right w:val="none" w:sz="0" w:space="0" w:color="auto"/>
            </w:tcBorders>
            <w:vAlign w:val="center"/>
          </w:tcPr>
          <w:p w14:paraId="28D70E5E" w14:textId="35010F22" w:rsidR="00F06A95" w:rsidRPr="00B14994" w:rsidRDefault="00DD58AC" w:rsidP="00305F30">
            <w:pPr>
              <w:ind w:left="45"/>
              <w:jc w:val="left"/>
            </w:pPr>
            <w:r w:rsidRPr="00B14994">
              <w:t>GOLEA</w:t>
            </w:r>
          </w:p>
        </w:tc>
        <w:tc>
          <w:tcPr>
            <w:cnfStyle w:val="000010000000" w:firstRow="0" w:lastRow="0" w:firstColumn="0" w:lastColumn="0" w:oddVBand="1" w:evenVBand="0" w:oddHBand="0" w:evenHBand="0" w:firstRowFirstColumn="0" w:firstRowLastColumn="0" w:lastRowFirstColumn="0" w:lastRowLastColumn="0"/>
            <w:tcW w:w="2552" w:type="dxa"/>
            <w:tcBorders>
              <w:left w:val="none" w:sz="0" w:space="0" w:color="auto"/>
              <w:right w:val="none" w:sz="0" w:space="0" w:color="auto"/>
            </w:tcBorders>
            <w:vAlign w:val="center"/>
          </w:tcPr>
          <w:p w14:paraId="5D4F022A" w14:textId="751433F9" w:rsidR="00F06A95" w:rsidRPr="00B14994" w:rsidRDefault="00DD58AC" w:rsidP="00305F30">
            <w:pPr>
              <w:ind w:left="45"/>
              <w:jc w:val="left"/>
            </w:pPr>
            <w:r w:rsidRPr="00B14994">
              <w:t xml:space="preserve">Priprava poglavij </w:t>
            </w:r>
            <w:r w:rsidR="00C64B82" w:rsidRPr="00B14994">
              <w:t>2</w:t>
            </w:r>
            <w:r w:rsidRPr="00B14994">
              <w:t>-5</w:t>
            </w:r>
          </w:p>
        </w:tc>
      </w:tr>
      <w:tr w:rsidR="00F06A95" w:rsidRPr="00B14994" w14:paraId="73A54B14" w14:textId="77777777" w:rsidTr="00103AF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vAlign w:val="center"/>
          </w:tcPr>
          <w:p w14:paraId="6107F118" w14:textId="077F4FCD" w:rsidR="00F06A95" w:rsidRPr="00B14994" w:rsidRDefault="00DD58AC" w:rsidP="00305F30">
            <w:pPr>
              <w:ind w:left="45"/>
              <w:jc w:val="left"/>
            </w:pPr>
            <w:r w:rsidRPr="00B14994">
              <w:t>1.</w:t>
            </w:r>
            <w:r w:rsidR="00305F30">
              <w:t>0</w:t>
            </w:r>
          </w:p>
        </w:tc>
        <w:tc>
          <w:tcPr>
            <w:cnfStyle w:val="000001000000" w:firstRow="0" w:lastRow="0" w:firstColumn="0" w:lastColumn="0" w:oddVBand="0" w:evenVBand="1"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vAlign w:val="center"/>
          </w:tcPr>
          <w:p w14:paraId="08B90734" w14:textId="25933240" w:rsidR="00F06A95" w:rsidRPr="00B14994" w:rsidRDefault="00F06A95" w:rsidP="00305F30">
            <w:pPr>
              <w:ind w:left="45"/>
              <w:jc w:val="left"/>
            </w:pPr>
          </w:p>
        </w:tc>
        <w:tc>
          <w:tcPr>
            <w:cnfStyle w:val="000010000000" w:firstRow="0" w:lastRow="0" w:firstColumn="0" w:lastColumn="0" w:oddVBand="1" w:evenVBand="0" w:oddHBand="0" w:evenHBand="0" w:firstRowFirstColumn="0" w:firstRowLastColumn="0" w:lastRowFirstColumn="0" w:lastRowLastColumn="0"/>
            <w:tcW w:w="2239" w:type="dxa"/>
            <w:tcBorders>
              <w:top w:val="none" w:sz="0" w:space="0" w:color="auto"/>
              <w:left w:val="none" w:sz="0" w:space="0" w:color="auto"/>
              <w:bottom w:val="none" w:sz="0" w:space="0" w:color="auto"/>
              <w:right w:val="none" w:sz="0" w:space="0" w:color="auto"/>
            </w:tcBorders>
            <w:vAlign w:val="center"/>
          </w:tcPr>
          <w:p w14:paraId="3D56156E" w14:textId="76606D1A" w:rsidR="00AD44E9" w:rsidRPr="00B14994" w:rsidRDefault="00305F30" w:rsidP="00305F30">
            <w:pPr>
              <w:ind w:left="45"/>
              <w:jc w:val="left"/>
            </w:pPr>
            <w:r>
              <w:t>Avtorji sektorjev</w:t>
            </w:r>
          </w:p>
        </w:tc>
        <w:tc>
          <w:tcPr>
            <w:cnfStyle w:val="000001000000" w:firstRow="0" w:lastRow="0" w:firstColumn="0" w:lastColumn="0" w:oddVBand="0" w:evenVBand="1" w:oddHBand="0" w:evenHBand="0" w:firstRowFirstColumn="0" w:firstRowLastColumn="0" w:lastRowFirstColumn="0" w:lastRowLastColumn="0"/>
            <w:tcW w:w="2013" w:type="dxa"/>
            <w:tcBorders>
              <w:top w:val="none" w:sz="0" w:space="0" w:color="auto"/>
              <w:left w:val="none" w:sz="0" w:space="0" w:color="auto"/>
              <w:bottom w:val="none" w:sz="0" w:space="0" w:color="auto"/>
              <w:right w:val="none" w:sz="0" w:space="0" w:color="auto"/>
            </w:tcBorders>
            <w:vAlign w:val="center"/>
          </w:tcPr>
          <w:p w14:paraId="2A80F800" w14:textId="51860735" w:rsidR="00F06A95" w:rsidRPr="00B14994" w:rsidRDefault="00305F30" w:rsidP="00305F30">
            <w:pPr>
              <w:ind w:left="45"/>
              <w:jc w:val="left"/>
            </w:pPr>
            <w:r w:rsidRPr="00305F30">
              <w:t>UL NTF, UL FGG, UL BF, NIJZ, Gozdarski inštitut Slovenije, Umanotera</w:t>
            </w:r>
          </w:p>
        </w:tc>
        <w:tc>
          <w:tcPr>
            <w:cnfStyle w:val="000010000000" w:firstRow="0" w:lastRow="0" w:firstColumn="0" w:lastColumn="0" w:oddVBand="1"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cBorders>
            <w:vAlign w:val="center"/>
          </w:tcPr>
          <w:p w14:paraId="30B6E614" w14:textId="6A274CAC" w:rsidR="00F06A95" w:rsidRPr="00B14994" w:rsidRDefault="00305F30" w:rsidP="00305F30">
            <w:pPr>
              <w:ind w:left="45"/>
              <w:jc w:val="left"/>
            </w:pPr>
            <w:r>
              <w:t>Priprava sektorskih poglavij</w:t>
            </w:r>
          </w:p>
        </w:tc>
      </w:tr>
      <w:tr w:rsidR="00DD58AC" w:rsidRPr="00B14994" w14:paraId="77551A1F" w14:textId="77777777" w:rsidTr="00103AF8">
        <w:tc>
          <w:tcPr>
            <w:cnfStyle w:val="000010000000" w:firstRow="0" w:lastRow="0" w:firstColumn="0" w:lastColumn="0" w:oddVBand="1" w:evenVBand="0" w:oddHBand="0" w:evenHBand="0" w:firstRowFirstColumn="0" w:firstRowLastColumn="0" w:lastRowFirstColumn="0" w:lastRowLastColumn="0"/>
            <w:tcW w:w="1276" w:type="dxa"/>
            <w:tcBorders>
              <w:left w:val="none" w:sz="0" w:space="0" w:color="auto"/>
              <w:right w:val="none" w:sz="0" w:space="0" w:color="auto"/>
            </w:tcBorders>
            <w:vAlign w:val="center"/>
          </w:tcPr>
          <w:p w14:paraId="427BEF9B" w14:textId="49B4277D" w:rsidR="00DD58AC" w:rsidRPr="00B14994" w:rsidRDefault="00305F30" w:rsidP="00305F30">
            <w:pPr>
              <w:ind w:left="45"/>
              <w:jc w:val="left"/>
            </w:pPr>
            <w:r>
              <w:t>1.0.</w:t>
            </w:r>
          </w:p>
        </w:tc>
        <w:tc>
          <w:tcPr>
            <w:cnfStyle w:val="000001000000" w:firstRow="0" w:lastRow="0" w:firstColumn="0" w:lastColumn="0" w:oddVBand="0" w:evenVBand="1" w:oddHBand="0" w:evenHBand="0" w:firstRowFirstColumn="0" w:firstRowLastColumn="0" w:lastRowFirstColumn="0" w:lastRowLastColumn="0"/>
            <w:tcW w:w="1560" w:type="dxa"/>
            <w:tcBorders>
              <w:left w:val="none" w:sz="0" w:space="0" w:color="auto"/>
              <w:right w:val="none" w:sz="0" w:space="0" w:color="auto"/>
            </w:tcBorders>
            <w:vAlign w:val="center"/>
          </w:tcPr>
          <w:p w14:paraId="27A3EB7F" w14:textId="1AFB9732" w:rsidR="00DD58AC" w:rsidRPr="00B14994" w:rsidRDefault="00DD58AC" w:rsidP="00305F30">
            <w:pPr>
              <w:ind w:left="45"/>
              <w:jc w:val="left"/>
            </w:pPr>
          </w:p>
        </w:tc>
        <w:tc>
          <w:tcPr>
            <w:cnfStyle w:val="000010000000" w:firstRow="0" w:lastRow="0" w:firstColumn="0" w:lastColumn="0" w:oddVBand="1" w:evenVBand="0" w:oddHBand="0" w:evenHBand="0" w:firstRowFirstColumn="0" w:firstRowLastColumn="0" w:lastRowFirstColumn="0" w:lastRowLastColumn="0"/>
            <w:tcW w:w="2239" w:type="dxa"/>
            <w:tcBorders>
              <w:left w:val="none" w:sz="0" w:space="0" w:color="auto"/>
              <w:right w:val="none" w:sz="0" w:space="0" w:color="auto"/>
            </w:tcBorders>
            <w:vAlign w:val="center"/>
          </w:tcPr>
          <w:p w14:paraId="568E26F9" w14:textId="35491C8F" w:rsidR="00DD58AC" w:rsidRPr="00B14994" w:rsidRDefault="00305F30" w:rsidP="00305F30">
            <w:pPr>
              <w:ind w:left="45"/>
              <w:jc w:val="left"/>
            </w:pPr>
            <w:r>
              <w:t>Barbara Čenčur Curk, Ana Strgar</w:t>
            </w:r>
          </w:p>
        </w:tc>
        <w:tc>
          <w:tcPr>
            <w:cnfStyle w:val="000001000000" w:firstRow="0" w:lastRow="0" w:firstColumn="0" w:lastColumn="0" w:oddVBand="0" w:evenVBand="1" w:oddHBand="0" w:evenHBand="0" w:firstRowFirstColumn="0" w:firstRowLastColumn="0" w:lastRowFirstColumn="0" w:lastRowLastColumn="0"/>
            <w:tcW w:w="2013" w:type="dxa"/>
            <w:tcBorders>
              <w:left w:val="none" w:sz="0" w:space="0" w:color="auto"/>
              <w:right w:val="none" w:sz="0" w:space="0" w:color="auto"/>
            </w:tcBorders>
            <w:vAlign w:val="center"/>
          </w:tcPr>
          <w:p w14:paraId="267A155F" w14:textId="0F59DD62" w:rsidR="00DD58AC" w:rsidRPr="00B14994" w:rsidRDefault="00305F30" w:rsidP="00305F30">
            <w:pPr>
              <w:ind w:left="45"/>
              <w:jc w:val="left"/>
            </w:pPr>
            <w:r>
              <w:t>UL NTF</w:t>
            </w:r>
          </w:p>
        </w:tc>
        <w:tc>
          <w:tcPr>
            <w:cnfStyle w:val="000010000000" w:firstRow="0" w:lastRow="0" w:firstColumn="0" w:lastColumn="0" w:oddVBand="1" w:evenVBand="0" w:oddHBand="0" w:evenHBand="0" w:firstRowFirstColumn="0" w:firstRowLastColumn="0" w:lastRowFirstColumn="0" w:lastRowLastColumn="0"/>
            <w:tcW w:w="2552" w:type="dxa"/>
            <w:tcBorders>
              <w:left w:val="none" w:sz="0" w:space="0" w:color="auto"/>
              <w:right w:val="none" w:sz="0" w:space="0" w:color="auto"/>
            </w:tcBorders>
            <w:vAlign w:val="center"/>
          </w:tcPr>
          <w:p w14:paraId="34929B1B" w14:textId="738E9253" w:rsidR="00DD58AC" w:rsidRPr="00B14994" w:rsidRDefault="00305F30" w:rsidP="00305F30">
            <w:pPr>
              <w:ind w:left="45"/>
              <w:jc w:val="left"/>
            </w:pPr>
            <w:r>
              <w:t>Oblikovna priprava poročila in pregled</w:t>
            </w:r>
          </w:p>
        </w:tc>
      </w:tr>
      <w:tr w:rsidR="00B36DFA" w:rsidRPr="00B14994" w14:paraId="6C775199" w14:textId="77777777" w:rsidTr="00B36DF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vAlign w:val="center"/>
          </w:tcPr>
          <w:p w14:paraId="5E8E7700" w14:textId="48D03E39" w:rsidR="00B36DFA" w:rsidRDefault="00B36DFA" w:rsidP="00B36DFA">
            <w:pPr>
              <w:ind w:left="45"/>
              <w:jc w:val="left"/>
            </w:pPr>
          </w:p>
        </w:tc>
        <w:tc>
          <w:tcPr>
            <w:cnfStyle w:val="000001000000" w:firstRow="0" w:lastRow="0" w:firstColumn="0" w:lastColumn="0" w:oddVBand="0" w:evenVBand="1"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vAlign w:val="center"/>
          </w:tcPr>
          <w:p w14:paraId="1A781CA2" w14:textId="4E08F5F3" w:rsidR="00B36DFA" w:rsidRPr="00B14994" w:rsidRDefault="00B36DFA" w:rsidP="00B36DFA">
            <w:pPr>
              <w:ind w:left="45"/>
              <w:jc w:val="left"/>
            </w:pPr>
          </w:p>
        </w:tc>
        <w:tc>
          <w:tcPr>
            <w:cnfStyle w:val="000010000000" w:firstRow="0" w:lastRow="0" w:firstColumn="0" w:lastColumn="0" w:oddVBand="1" w:evenVBand="0" w:oddHBand="0" w:evenHBand="0" w:firstRowFirstColumn="0" w:firstRowLastColumn="0" w:lastRowFirstColumn="0" w:lastRowLastColumn="0"/>
            <w:tcW w:w="2239" w:type="dxa"/>
            <w:tcBorders>
              <w:top w:val="none" w:sz="0" w:space="0" w:color="auto"/>
              <w:left w:val="none" w:sz="0" w:space="0" w:color="auto"/>
              <w:bottom w:val="none" w:sz="0" w:space="0" w:color="auto"/>
              <w:right w:val="none" w:sz="0" w:space="0" w:color="auto"/>
            </w:tcBorders>
            <w:vAlign w:val="center"/>
          </w:tcPr>
          <w:p w14:paraId="0CEF4055" w14:textId="0DF012AC" w:rsidR="00B36DFA" w:rsidRDefault="00B36DFA" w:rsidP="00B36DFA">
            <w:pPr>
              <w:ind w:left="45"/>
              <w:jc w:val="left"/>
            </w:pPr>
          </w:p>
        </w:tc>
        <w:tc>
          <w:tcPr>
            <w:cnfStyle w:val="000001000000" w:firstRow="0" w:lastRow="0" w:firstColumn="0" w:lastColumn="0" w:oddVBand="0" w:evenVBand="1" w:oddHBand="0" w:evenHBand="0" w:firstRowFirstColumn="0" w:firstRowLastColumn="0" w:lastRowFirstColumn="0" w:lastRowLastColumn="0"/>
            <w:tcW w:w="2013" w:type="dxa"/>
            <w:tcBorders>
              <w:top w:val="none" w:sz="0" w:space="0" w:color="auto"/>
              <w:left w:val="none" w:sz="0" w:space="0" w:color="auto"/>
              <w:bottom w:val="none" w:sz="0" w:space="0" w:color="auto"/>
              <w:right w:val="none" w:sz="0" w:space="0" w:color="auto"/>
            </w:tcBorders>
            <w:vAlign w:val="center"/>
          </w:tcPr>
          <w:p w14:paraId="5183A950" w14:textId="1310FE14" w:rsidR="00B36DFA" w:rsidRDefault="00B36DFA" w:rsidP="00B36DFA">
            <w:pPr>
              <w:ind w:left="45"/>
              <w:jc w:val="left"/>
            </w:pPr>
          </w:p>
        </w:tc>
        <w:tc>
          <w:tcPr>
            <w:cnfStyle w:val="000010000000" w:firstRow="0" w:lastRow="0" w:firstColumn="0" w:lastColumn="0" w:oddVBand="1" w:evenVBand="0" w:oddHBand="0" w:evenHBand="0" w:firstRowFirstColumn="0" w:firstRowLastColumn="0" w:lastRowFirstColumn="0" w:lastRowLastColumn="0"/>
            <w:tcW w:w="2552" w:type="dxa"/>
            <w:tcBorders>
              <w:top w:val="none" w:sz="0" w:space="0" w:color="auto"/>
              <w:left w:val="none" w:sz="0" w:space="0" w:color="auto"/>
              <w:bottom w:val="none" w:sz="0" w:space="0" w:color="auto"/>
              <w:right w:val="none" w:sz="0" w:space="0" w:color="auto"/>
            </w:tcBorders>
            <w:vAlign w:val="center"/>
          </w:tcPr>
          <w:p w14:paraId="430330E3" w14:textId="3B85B22B" w:rsidR="00B36DFA" w:rsidRDefault="00B36DFA" w:rsidP="00B36DFA">
            <w:pPr>
              <w:ind w:left="45"/>
              <w:jc w:val="left"/>
            </w:pPr>
          </w:p>
        </w:tc>
      </w:tr>
    </w:tbl>
    <w:p w14:paraId="273E38DA" w14:textId="5C8E0D50" w:rsidR="00F06A95" w:rsidRPr="00B14994" w:rsidRDefault="00F06A95" w:rsidP="00F91232"/>
    <w:p w14:paraId="50A1A794" w14:textId="680B750F" w:rsidR="00DD58AC" w:rsidRDefault="00DD58AC" w:rsidP="00DD58AC">
      <w:pPr>
        <w:pStyle w:val="Brezrazmikov"/>
        <w:spacing w:line="259" w:lineRule="auto"/>
        <w:jc w:val="both"/>
        <w:rPr>
          <w:rFonts w:ascii="Trebuchet MS" w:hAnsi="Trebuchet MS" w:cstheme="minorBidi"/>
          <w:b/>
          <w:color w:val="203B88"/>
          <w:sz w:val="24"/>
          <w:szCs w:val="24"/>
          <w:lang w:val="sl-SI"/>
        </w:rPr>
      </w:pPr>
      <w:r w:rsidRPr="00B14994">
        <w:rPr>
          <w:rFonts w:ascii="Trebuchet MS" w:hAnsi="Trebuchet MS" w:cstheme="minorBidi"/>
          <w:b/>
          <w:color w:val="203B88"/>
          <w:sz w:val="24"/>
          <w:szCs w:val="24"/>
          <w:lang w:val="sl-SI"/>
        </w:rPr>
        <w:t>Revizija dokumenta</w:t>
      </w:r>
    </w:p>
    <w:p w14:paraId="1A96A0F6" w14:textId="77777777" w:rsidR="00E65813" w:rsidRPr="00B14994" w:rsidRDefault="00E65813" w:rsidP="00DD58AC">
      <w:pPr>
        <w:pStyle w:val="Brezrazmikov"/>
        <w:spacing w:line="259" w:lineRule="auto"/>
        <w:jc w:val="both"/>
        <w:rPr>
          <w:rFonts w:ascii="Trebuchet MS" w:hAnsi="Trebuchet MS" w:cstheme="minorBidi"/>
          <w:b/>
          <w:color w:val="203B88"/>
          <w:sz w:val="24"/>
          <w:szCs w:val="24"/>
          <w:lang w:val="sl-SI"/>
        </w:rPr>
      </w:pPr>
    </w:p>
    <w:tbl>
      <w:tblPr>
        <w:tblW w:w="964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6"/>
        <w:gridCol w:w="1560"/>
        <w:gridCol w:w="2239"/>
        <w:gridCol w:w="2013"/>
        <w:gridCol w:w="2552"/>
      </w:tblGrid>
      <w:tr w:rsidR="00DD58AC" w:rsidRPr="00C621E4" w14:paraId="76090D57" w14:textId="77777777" w:rsidTr="00103AF8">
        <w:tc>
          <w:tcPr>
            <w:tcW w:w="1276" w:type="dxa"/>
            <w:shd w:val="clear" w:color="auto" w:fill="auto"/>
            <w:vAlign w:val="center"/>
          </w:tcPr>
          <w:p w14:paraId="3342ED02" w14:textId="77777777" w:rsidR="00DD58AC" w:rsidRPr="00B14994" w:rsidRDefault="00DD58AC" w:rsidP="00C621E4">
            <w:pPr>
              <w:ind w:left="45"/>
            </w:pPr>
            <w:r w:rsidRPr="00B14994">
              <w:t>Verzija</w:t>
            </w:r>
          </w:p>
        </w:tc>
        <w:tc>
          <w:tcPr>
            <w:tcW w:w="1560" w:type="dxa"/>
            <w:shd w:val="clear" w:color="auto" w:fill="auto"/>
            <w:vAlign w:val="center"/>
          </w:tcPr>
          <w:p w14:paraId="298B4137" w14:textId="77777777" w:rsidR="00DD58AC" w:rsidRPr="00B14994" w:rsidRDefault="00DD58AC" w:rsidP="00C621E4">
            <w:pPr>
              <w:ind w:left="45"/>
            </w:pPr>
            <w:r w:rsidRPr="00B14994">
              <w:t>Datum</w:t>
            </w:r>
          </w:p>
        </w:tc>
        <w:tc>
          <w:tcPr>
            <w:tcW w:w="2239" w:type="dxa"/>
            <w:shd w:val="clear" w:color="auto" w:fill="auto"/>
            <w:vAlign w:val="center"/>
          </w:tcPr>
          <w:p w14:paraId="5E51AC80" w14:textId="77777777" w:rsidR="00DD58AC" w:rsidRPr="00B14994" w:rsidRDefault="00DD58AC" w:rsidP="00C621E4">
            <w:pPr>
              <w:ind w:left="45"/>
            </w:pPr>
            <w:r w:rsidRPr="00B14994">
              <w:t>Avtor</w:t>
            </w:r>
          </w:p>
        </w:tc>
        <w:tc>
          <w:tcPr>
            <w:tcW w:w="2013" w:type="dxa"/>
            <w:shd w:val="clear" w:color="auto" w:fill="auto"/>
            <w:vAlign w:val="center"/>
          </w:tcPr>
          <w:p w14:paraId="7E539C50" w14:textId="77777777" w:rsidR="00DD58AC" w:rsidRPr="00B14994" w:rsidRDefault="00DD58AC" w:rsidP="00C621E4">
            <w:pPr>
              <w:ind w:left="45"/>
            </w:pPr>
            <w:r w:rsidRPr="00B14994">
              <w:t>Organizacija</w:t>
            </w:r>
          </w:p>
        </w:tc>
        <w:tc>
          <w:tcPr>
            <w:tcW w:w="2552" w:type="dxa"/>
            <w:shd w:val="clear" w:color="auto" w:fill="auto"/>
            <w:vAlign w:val="center"/>
          </w:tcPr>
          <w:p w14:paraId="68A0A5E4" w14:textId="77777777" w:rsidR="00DD58AC" w:rsidRPr="00B14994" w:rsidRDefault="00DD58AC" w:rsidP="00C621E4">
            <w:pPr>
              <w:ind w:left="45"/>
            </w:pPr>
            <w:r w:rsidRPr="00B14994">
              <w:t>Komentarji</w:t>
            </w:r>
          </w:p>
        </w:tc>
      </w:tr>
      <w:tr w:rsidR="00DD58AC" w:rsidRPr="00C621E4" w14:paraId="5B03D57D" w14:textId="77777777" w:rsidTr="00103AF8">
        <w:tc>
          <w:tcPr>
            <w:tcW w:w="1276" w:type="dxa"/>
            <w:shd w:val="clear" w:color="auto" w:fill="auto"/>
            <w:vAlign w:val="center"/>
          </w:tcPr>
          <w:p w14:paraId="5451C9ED" w14:textId="75231CA8" w:rsidR="00DD58AC" w:rsidRPr="00B14994" w:rsidRDefault="00DD58AC" w:rsidP="00C621E4">
            <w:pPr>
              <w:ind w:left="45"/>
            </w:pPr>
            <w:r w:rsidRPr="00B14994">
              <w:t>2.1</w:t>
            </w:r>
          </w:p>
        </w:tc>
        <w:tc>
          <w:tcPr>
            <w:tcW w:w="1560" w:type="dxa"/>
            <w:shd w:val="clear" w:color="auto" w:fill="auto"/>
            <w:vAlign w:val="center"/>
          </w:tcPr>
          <w:p w14:paraId="60BC64BC" w14:textId="77777777" w:rsidR="00DD58AC" w:rsidRPr="00B14994" w:rsidRDefault="00DD58AC" w:rsidP="00C621E4">
            <w:pPr>
              <w:ind w:left="45"/>
            </w:pPr>
          </w:p>
        </w:tc>
        <w:tc>
          <w:tcPr>
            <w:tcW w:w="2239" w:type="dxa"/>
            <w:shd w:val="clear" w:color="auto" w:fill="auto"/>
            <w:vAlign w:val="center"/>
          </w:tcPr>
          <w:p w14:paraId="36715FC2" w14:textId="0DABC5D6" w:rsidR="00DD58AC" w:rsidRPr="00B14994" w:rsidRDefault="00DD58AC" w:rsidP="00C621E4">
            <w:pPr>
              <w:ind w:left="45"/>
            </w:pPr>
          </w:p>
        </w:tc>
        <w:tc>
          <w:tcPr>
            <w:tcW w:w="2013" w:type="dxa"/>
            <w:shd w:val="clear" w:color="auto" w:fill="auto"/>
            <w:vAlign w:val="center"/>
          </w:tcPr>
          <w:p w14:paraId="367358B0" w14:textId="11D15060" w:rsidR="00DD58AC" w:rsidRPr="00B14994" w:rsidRDefault="00DD58AC" w:rsidP="00C621E4">
            <w:pPr>
              <w:ind w:left="45"/>
            </w:pPr>
          </w:p>
        </w:tc>
        <w:tc>
          <w:tcPr>
            <w:tcW w:w="2552" w:type="dxa"/>
            <w:shd w:val="clear" w:color="auto" w:fill="auto"/>
            <w:vAlign w:val="center"/>
          </w:tcPr>
          <w:p w14:paraId="021E2F28" w14:textId="26053E1B" w:rsidR="00DD58AC" w:rsidRPr="00B14994" w:rsidRDefault="00DD58AC" w:rsidP="00C621E4">
            <w:pPr>
              <w:ind w:left="45"/>
            </w:pPr>
          </w:p>
        </w:tc>
      </w:tr>
      <w:tr w:rsidR="00DD58AC" w:rsidRPr="00C621E4" w14:paraId="4A044DB4" w14:textId="77777777" w:rsidTr="00103AF8">
        <w:tc>
          <w:tcPr>
            <w:tcW w:w="1276" w:type="dxa"/>
            <w:shd w:val="clear" w:color="auto" w:fill="auto"/>
            <w:vAlign w:val="center"/>
          </w:tcPr>
          <w:p w14:paraId="3D2212F3" w14:textId="6A244D06" w:rsidR="00DD58AC" w:rsidRPr="00B14994" w:rsidRDefault="00DD58AC" w:rsidP="00C621E4">
            <w:pPr>
              <w:ind w:left="45"/>
            </w:pPr>
            <w:r w:rsidRPr="00B14994">
              <w:t>2.2</w:t>
            </w:r>
          </w:p>
        </w:tc>
        <w:tc>
          <w:tcPr>
            <w:tcW w:w="1560" w:type="dxa"/>
            <w:shd w:val="clear" w:color="auto" w:fill="auto"/>
            <w:vAlign w:val="center"/>
          </w:tcPr>
          <w:p w14:paraId="5F3DCC64" w14:textId="77777777" w:rsidR="00DD58AC" w:rsidRPr="00B14994" w:rsidRDefault="00DD58AC" w:rsidP="00C621E4">
            <w:pPr>
              <w:ind w:left="45"/>
            </w:pPr>
          </w:p>
        </w:tc>
        <w:tc>
          <w:tcPr>
            <w:tcW w:w="2239" w:type="dxa"/>
            <w:shd w:val="clear" w:color="auto" w:fill="auto"/>
            <w:vAlign w:val="center"/>
          </w:tcPr>
          <w:p w14:paraId="60D7098B" w14:textId="77777777" w:rsidR="00DD58AC" w:rsidRPr="00B14994" w:rsidRDefault="00DD58AC" w:rsidP="00C621E4">
            <w:pPr>
              <w:ind w:left="45"/>
            </w:pPr>
          </w:p>
        </w:tc>
        <w:tc>
          <w:tcPr>
            <w:tcW w:w="2013" w:type="dxa"/>
            <w:shd w:val="clear" w:color="auto" w:fill="auto"/>
            <w:vAlign w:val="center"/>
          </w:tcPr>
          <w:p w14:paraId="349604F2" w14:textId="77777777" w:rsidR="00DD58AC" w:rsidRPr="00B14994" w:rsidRDefault="00DD58AC" w:rsidP="00C621E4">
            <w:pPr>
              <w:ind w:left="45"/>
            </w:pPr>
          </w:p>
        </w:tc>
        <w:tc>
          <w:tcPr>
            <w:tcW w:w="2552" w:type="dxa"/>
            <w:shd w:val="clear" w:color="auto" w:fill="auto"/>
            <w:vAlign w:val="center"/>
          </w:tcPr>
          <w:p w14:paraId="7A487D85" w14:textId="77777777" w:rsidR="00DD58AC" w:rsidRPr="00B14994" w:rsidRDefault="00DD58AC" w:rsidP="00C621E4">
            <w:pPr>
              <w:ind w:left="45"/>
            </w:pPr>
          </w:p>
        </w:tc>
      </w:tr>
    </w:tbl>
    <w:p w14:paraId="7F63D081" w14:textId="77777777" w:rsidR="00DD58AC" w:rsidRPr="00C621E4" w:rsidRDefault="00DD58AC" w:rsidP="00F91232"/>
    <w:p w14:paraId="1917BCF8" w14:textId="59E058CB" w:rsidR="00F06A95" w:rsidRPr="00B14994" w:rsidRDefault="00F06A95" w:rsidP="00F06A95">
      <w:pPr>
        <w:pStyle w:val="Brezrazmikov"/>
        <w:spacing w:line="259" w:lineRule="auto"/>
        <w:jc w:val="both"/>
        <w:rPr>
          <w:rFonts w:ascii="Trebuchet MS" w:hAnsi="Trebuchet MS" w:cstheme="minorBidi"/>
          <w:b/>
          <w:color w:val="203B88"/>
          <w:sz w:val="24"/>
          <w:szCs w:val="24"/>
          <w:lang w:val="sl-SI"/>
        </w:rPr>
      </w:pPr>
      <w:r w:rsidRPr="00B14994">
        <w:rPr>
          <w:rFonts w:ascii="Trebuchet MS" w:hAnsi="Trebuchet MS" w:cstheme="minorBidi"/>
          <w:b/>
          <w:color w:val="203B88"/>
          <w:sz w:val="24"/>
          <w:szCs w:val="24"/>
          <w:lang w:val="sl-SI"/>
        </w:rPr>
        <w:t>Kontakt</w:t>
      </w:r>
      <w:r w:rsidR="00932F5C">
        <w:rPr>
          <w:rFonts w:ascii="Trebuchet MS" w:hAnsi="Trebuchet MS" w:cstheme="minorBidi"/>
          <w:b/>
          <w:color w:val="203B88"/>
          <w:sz w:val="24"/>
          <w:szCs w:val="24"/>
          <w:lang w:val="sl-SI"/>
        </w:rPr>
        <w:t>n</w:t>
      </w:r>
      <w:r w:rsidRPr="00B14994">
        <w:rPr>
          <w:rFonts w:ascii="Trebuchet MS" w:hAnsi="Trebuchet MS" w:cstheme="minorBidi"/>
          <w:b/>
          <w:color w:val="203B88"/>
          <w:sz w:val="24"/>
          <w:szCs w:val="24"/>
          <w:lang w:val="sl-SI"/>
        </w:rPr>
        <w:t>i podatki za dokument</w:t>
      </w:r>
    </w:p>
    <w:p w14:paraId="271BE8E8" w14:textId="77777777" w:rsidR="00F06A95" w:rsidRPr="00F91232" w:rsidRDefault="00F06A95" w:rsidP="00F91232"/>
    <w:tbl>
      <w:tblPr>
        <w:tblW w:w="5000" w:type="pct"/>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5" w:type="dxa"/>
          <w:left w:w="55" w:type="dxa"/>
          <w:bottom w:w="55" w:type="dxa"/>
          <w:right w:w="55" w:type="dxa"/>
        </w:tblCellMar>
        <w:tblLook w:val="0000" w:firstRow="0" w:lastRow="0" w:firstColumn="0" w:lastColumn="0" w:noHBand="0" w:noVBand="0"/>
      </w:tblPr>
      <w:tblGrid>
        <w:gridCol w:w="2605"/>
        <w:gridCol w:w="2935"/>
        <w:gridCol w:w="4088"/>
      </w:tblGrid>
      <w:tr w:rsidR="00F06A95" w:rsidRPr="00B14994" w14:paraId="1F76501E" w14:textId="77777777" w:rsidTr="00C64B82">
        <w:trPr>
          <w:cantSplit/>
          <w:tblHeader/>
        </w:trPr>
        <w:tc>
          <w:tcPr>
            <w:tcW w:w="26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B92B4B" w14:textId="77777777" w:rsidR="00F06A95" w:rsidRPr="00B14994" w:rsidRDefault="00F06A95" w:rsidP="006B7E34">
            <w:r w:rsidRPr="00B14994">
              <w:t>Ime</w:t>
            </w:r>
          </w:p>
        </w:tc>
        <w:tc>
          <w:tcPr>
            <w:tcW w:w="29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BEB4BC" w14:textId="77777777" w:rsidR="00F06A95" w:rsidRPr="00B14994" w:rsidRDefault="00F06A95" w:rsidP="006B7E34">
            <w:r w:rsidRPr="00B14994">
              <w:t>Organizacija</w:t>
            </w:r>
          </w:p>
        </w:tc>
        <w:tc>
          <w:tcPr>
            <w:tcW w:w="40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287DFF" w14:textId="77777777" w:rsidR="00F06A95" w:rsidRPr="00B14994" w:rsidRDefault="00F06A95" w:rsidP="006B7E34">
            <w:r w:rsidRPr="00B14994">
              <w:t>Kontaktni podatki</w:t>
            </w:r>
          </w:p>
        </w:tc>
      </w:tr>
      <w:tr w:rsidR="00F06A95" w:rsidRPr="00B14994" w14:paraId="0C5D2D9E" w14:textId="77777777" w:rsidTr="00C64B82">
        <w:trPr>
          <w:cantSplit/>
        </w:trPr>
        <w:tc>
          <w:tcPr>
            <w:tcW w:w="2609" w:type="dxa"/>
            <w:tcBorders>
              <w:top w:val="single" w:sz="4" w:space="0" w:color="000000"/>
              <w:left w:val="single" w:sz="4" w:space="0" w:color="000000"/>
              <w:bottom w:val="single" w:sz="4" w:space="0" w:color="000000"/>
              <w:right w:val="single" w:sz="4" w:space="0" w:color="000000"/>
            </w:tcBorders>
            <w:shd w:val="clear" w:color="auto" w:fill="auto"/>
          </w:tcPr>
          <w:p w14:paraId="18EC5662" w14:textId="2E483534" w:rsidR="00F06A95" w:rsidRPr="00B14994" w:rsidRDefault="00DD58AC" w:rsidP="006B7E34">
            <w:r w:rsidRPr="00B14994">
              <w:t>Ivana Kacafura</w:t>
            </w:r>
          </w:p>
        </w:tc>
        <w:tc>
          <w:tcPr>
            <w:tcW w:w="2939" w:type="dxa"/>
            <w:tcBorders>
              <w:top w:val="single" w:sz="4" w:space="0" w:color="000000"/>
              <w:left w:val="single" w:sz="4" w:space="0" w:color="000000"/>
              <w:bottom w:val="single" w:sz="4" w:space="0" w:color="000000"/>
              <w:right w:val="single" w:sz="4" w:space="0" w:color="000000"/>
            </w:tcBorders>
            <w:shd w:val="clear" w:color="auto" w:fill="auto"/>
          </w:tcPr>
          <w:p w14:paraId="3DBAAC04" w14:textId="47421C1F" w:rsidR="00F06A95" w:rsidRPr="00B14994" w:rsidRDefault="00DD58AC" w:rsidP="006B7E34">
            <w:r w:rsidRPr="00B14994">
              <w:t>GOLEA</w:t>
            </w:r>
          </w:p>
        </w:tc>
        <w:tc>
          <w:tcPr>
            <w:tcW w:w="4092" w:type="dxa"/>
            <w:tcBorders>
              <w:top w:val="single" w:sz="4" w:space="0" w:color="000000"/>
              <w:left w:val="single" w:sz="4" w:space="0" w:color="000000"/>
              <w:bottom w:val="single" w:sz="4" w:space="0" w:color="000000"/>
              <w:right w:val="single" w:sz="4" w:space="0" w:color="000000"/>
            </w:tcBorders>
            <w:shd w:val="clear" w:color="auto" w:fill="auto"/>
          </w:tcPr>
          <w:p w14:paraId="3D65FB0E" w14:textId="38F3FCB2" w:rsidR="00F06A95" w:rsidRPr="00305F30" w:rsidRDefault="00DD58AC" w:rsidP="006B7E34">
            <w:pPr>
              <w:pStyle w:val="Contenutotabella"/>
              <w:rPr>
                <w:rFonts w:ascii="Trebuchet MS" w:hAnsi="Trebuchet MS" w:cstheme="minorBidi"/>
                <w:lang w:val="sl-SI" w:eastAsia="en-US"/>
              </w:rPr>
            </w:pPr>
            <w:r w:rsidRPr="00305F30">
              <w:rPr>
                <w:rFonts w:ascii="Trebuchet MS" w:hAnsi="Trebuchet MS" w:cstheme="minorBidi"/>
                <w:lang w:val="sl-SI" w:eastAsia="en-US"/>
              </w:rPr>
              <w:t>Ivana.kacafura@golea.si</w:t>
            </w:r>
          </w:p>
        </w:tc>
      </w:tr>
    </w:tbl>
    <w:p w14:paraId="67E81457" w14:textId="69A8E130" w:rsidR="00D435CE" w:rsidRPr="00B14994" w:rsidRDefault="00D435CE" w:rsidP="006B7E34"/>
    <w:p w14:paraId="0ED3D4DE" w14:textId="77777777" w:rsidR="00D435CE" w:rsidRPr="00B14994" w:rsidRDefault="00D435CE" w:rsidP="006B7E34">
      <w:r w:rsidRPr="00B14994">
        <w:br w:type="page"/>
      </w:r>
    </w:p>
    <w:p w14:paraId="4A458FC2" w14:textId="75F8D31C" w:rsidR="00D25234" w:rsidRPr="00B14994" w:rsidRDefault="00D435CE" w:rsidP="00D435CE">
      <w:pPr>
        <w:pStyle w:val="Brezrazmikov"/>
        <w:spacing w:after="120" w:line="259" w:lineRule="auto"/>
        <w:jc w:val="both"/>
        <w:rPr>
          <w:rFonts w:ascii="Trebuchet MS" w:hAnsi="Trebuchet MS" w:cstheme="minorBidi"/>
          <w:b/>
          <w:color w:val="203B88"/>
          <w:sz w:val="32"/>
          <w:szCs w:val="32"/>
          <w:lang w:val="sl-SI"/>
        </w:rPr>
      </w:pPr>
      <w:r w:rsidRPr="00B14994">
        <w:rPr>
          <w:rFonts w:ascii="Trebuchet MS" w:hAnsi="Trebuchet MS" w:cstheme="minorBidi"/>
          <w:b/>
          <w:color w:val="203B88"/>
          <w:sz w:val="32"/>
          <w:szCs w:val="32"/>
          <w:lang w:val="sl-SI"/>
        </w:rPr>
        <w:lastRenderedPageBreak/>
        <w:t>VSEBINA</w:t>
      </w:r>
    </w:p>
    <w:sdt>
      <w:sdtPr>
        <w:rPr>
          <w:rFonts w:eastAsiaTheme="minorHAnsi"/>
          <w:color w:val="auto"/>
          <w:lang w:eastAsia="en-US"/>
        </w:rPr>
        <w:id w:val="1673446091"/>
        <w:docPartObj>
          <w:docPartGallery w:val="Table of Contents"/>
          <w:docPartUnique/>
        </w:docPartObj>
      </w:sdtPr>
      <w:sdtEndPr/>
      <w:sdtContent>
        <w:p w14:paraId="68DB6D51" w14:textId="4CDB0140" w:rsidR="007A0276" w:rsidRDefault="00D435CE">
          <w:pPr>
            <w:pStyle w:val="Kazalovsebine1"/>
            <w:tabs>
              <w:tab w:val="left" w:pos="440"/>
              <w:tab w:val="right" w:leader="dot" w:pos="9628"/>
            </w:tabs>
            <w:rPr>
              <w:rFonts w:asciiTheme="minorHAnsi" w:hAnsiTheme="minorHAnsi"/>
              <w:noProof/>
              <w:color w:val="auto"/>
              <w:lang w:eastAsia="sl-SI"/>
            </w:rPr>
          </w:pPr>
          <w:r w:rsidRPr="00B14994">
            <w:rPr>
              <w:rFonts w:ascii="Calibri" w:hAnsi="Calibri"/>
            </w:rPr>
            <w:fldChar w:fldCharType="begin"/>
          </w:r>
          <w:r w:rsidRPr="00B14994">
            <w:rPr>
              <w:rFonts w:ascii="Calibri" w:hAnsi="Calibri"/>
            </w:rPr>
            <w:instrText xml:space="preserve"> TOC \o "1-3" \h \z \u </w:instrText>
          </w:r>
          <w:r w:rsidRPr="00B14994">
            <w:rPr>
              <w:rFonts w:ascii="Calibri" w:hAnsi="Calibri"/>
            </w:rPr>
            <w:fldChar w:fldCharType="separate"/>
          </w:r>
          <w:hyperlink w:anchor="_Toc97026718" w:history="1">
            <w:r w:rsidR="007A0276" w:rsidRPr="00530130">
              <w:rPr>
                <w:rStyle w:val="Hiperpovezava"/>
                <w:noProof/>
              </w:rPr>
              <w:t>1.</w:t>
            </w:r>
            <w:r w:rsidR="007A0276">
              <w:rPr>
                <w:rFonts w:asciiTheme="minorHAnsi" w:hAnsiTheme="minorHAnsi"/>
                <w:noProof/>
                <w:color w:val="auto"/>
                <w:lang w:eastAsia="sl-SI"/>
              </w:rPr>
              <w:tab/>
            </w:r>
            <w:r w:rsidR="007A0276" w:rsidRPr="00530130">
              <w:rPr>
                <w:rStyle w:val="Hiperpovezava"/>
                <w:noProof/>
              </w:rPr>
              <w:t>Povzetek poročila</w:t>
            </w:r>
            <w:r w:rsidR="007A0276">
              <w:rPr>
                <w:noProof/>
                <w:webHidden/>
              </w:rPr>
              <w:tab/>
            </w:r>
            <w:r w:rsidR="007A0276">
              <w:rPr>
                <w:noProof/>
                <w:webHidden/>
              </w:rPr>
              <w:fldChar w:fldCharType="begin"/>
            </w:r>
            <w:r w:rsidR="007A0276">
              <w:rPr>
                <w:noProof/>
                <w:webHidden/>
              </w:rPr>
              <w:instrText xml:space="preserve"> PAGEREF _Toc97026718 \h </w:instrText>
            </w:r>
            <w:r w:rsidR="007A0276">
              <w:rPr>
                <w:noProof/>
                <w:webHidden/>
              </w:rPr>
            </w:r>
            <w:r w:rsidR="007A0276">
              <w:rPr>
                <w:noProof/>
                <w:webHidden/>
              </w:rPr>
              <w:fldChar w:fldCharType="separate"/>
            </w:r>
            <w:r w:rsidR="007A0276">
              <w:rPr>
                <w:noProof/>
                <w:webHidden/>
              </w:rPr>
              <w:t>16</w:t>
            </w:r>
            <w:r w:rsidR="007A0276">
              <w:rPr>
                <w:noProof/>
                <w:webHidden/>
              </w:rPr>
              <w:fldChar w:fldCharType="end"/>
            </w:r>
          </w:hyperlink>
        </w:p>
        <w:p w14:paraId="44FDB6EF" w14:textId="35405259" w:rsidR="007A0276" w:rsidRDefault="007A0276">
          <w:pPr>
            <w:pStyle w:val="Kazalovsebine2"/>
            <w:rPr>
              <w:rFonts w:asciiTheme="minorHAnsi" w:hAnsiTheme="minorHAnsi"/>
              <w:noProof/>
              <w:color w:val="auto"/>
              <w:lang w:eastAsia="sl-SI"/>
            </w:rPr>
          </w:pPr>
          <w:hyperlink w:anchor="_Toc97026719" w:history="1">
            <w:r w:rsidRPr="00530130">
              <w:rPr>
                <w:rStyle w:val="Hiperpovezava"/>
                <w:noProof/>
                <w14:scene3d>
                  <w14:camera w14:prst="orthographicFront"/>
                  <w14:lightRig w14:rig="threePt" w14:dir="t">
                    <w14:rot w14:lat="0" w14:lon="0" w14:rev="0"/>
                  </w14:lightRig>
                </w14:scene3d>
              </w:rPr>
              <w:t>1.1.</w:t>
            </w:r>
            <w:r>
              <w:rPr>
                <w:rFonts w:asciiTheme="minorHAnsi" w:hAnsiTheme="minorHAnsi"/>
                <w:noProof/>
                <w:color w:val="auto"/>
                <w:lang w:eastAsia="sl-SI"/>
              </w:rPr>
              <w:tab/>
            </w:r>
            <w:r w:rsidRPr="00530130">
              <w:rPr>
                <w:rStyle w:val="Hiperpovezava"/>
                <w:noProof/>
              </w:rPr>
              <w:t>Scenariji in kazalniki okolja</w:t>
            </w:r>
            <w:r>
              <w:rPr>
                <w:noProof/>
                <w:webHidden/>
              </w:rPr>
              <w:tab/>
            </w:r>
            <w:r>
              <w:rPr>
                <w:noProof/>
                <w:webHidden/>
              </w:rPr>
              <w:fldChar w:fldCharType="begin"/>
            </w:r>
            <w:r>
              <w:rPr>
                <w:noProof/>
                <w:webHidden/>
              </w:rPr>
              <w:instrText xml:space="preserve"> PAGEREF _Toc97026719 \h </w:instrText>
            </w:r>
            <w:r>
              <w:rPr>
                <w:noProof/>
                <w:webHidden/>
              </w:rPr>
            </w:r>
            <w:r>
              <w:rPr>
                <w:noProof/>
                <w:webHidden/>
              </w:rPr>
              <w:fldChar w:fldCharType="separate"/>
            </w:r>
            <w:r>
              <w:rPr>
                <w:noProof/>
                <w:webHidden/>
              </w:rPr>
              <w:t>16</w:t>
            </w:r>
            <w:r>
              <w:rPr>
                <w:noProof/>
                <w:webHidden/>
              </w:rPr>
              <w:fldChar w:fldCharType="end"/>
            </w:r>
          </w:hyperlink>
        </w:p>
        <w:p w14:paraId="545FC7FD" w14:textId="4908DE6A" w:rsidR="007A0276" w:rsidRDefault="007A0276">
          <w:pPr>
            <w:pStyle w:val="Kazalovsebine2"/>
            <w:rPr>
              <w:rFonts w:asciiTheme="minorHAnsi" w:hAnsiTheme="minorHAnsi"/>
              <w:noProof/>
              <w:color w:val="auto"/>
              <w:lang w:eastAsia="sl-SI"/>
            </w:rPr>
          </w:pPr>
          <w:hyperlink w:anchor="_Toc97026720" w:history="1">
            <w:r w:rsidRPr="00530130">
              <w:rPr>
                <w:rStyle w:val="Hiperpovezava"/>
                <w:noProof/>
                <w14:scene3d>
                  <w14:camera w14:prst="orthographicFront"/>
                  <w14:lightRig w14:rig="threePt" w14:dir="t">
                    <w14:rot w14:lat="0" w14:lon="0" w14:rev="0"/>
                  </w14:lightRig>
                </w14:scene3d>
              </w:rPr>
              <w:t>1.2.</w:t>
            </w:r>
            <w:r>
              <w:rPr>
                <w:rFonts w:asciiTheme="minorHAnsi" w:hAnsiTheme="minorHAnsi"/>
                <w:noProof/>
                <w:color w:val="auto"/>
                <w:lang w:eastAsia="sl-SI"/>
              </w:rPr>
              <w:tab/>
            </w:r>
            <w:r w:rsidRPr="00530130">
              <w:rPr>
                <w:rStyle w:val="Hiperpovezava"/>
                <w:noProof/>
              </w:rPr>
              <w:t>Metodologija ranljivosti in tveganja zaradi podnebnih sprememb</w:t>
            </w:r>
            <w:r>
              <w:rPr>
                <w:noProof/>
                <w:webHidden/>
              </w:rPr>
              <w:tab/>
            </w:r>
            <w:r>
              <w:rPr>
                <w:noProof/>
                <w:webHidden/>
              </w:rPr>
              <w:fldChar w:fldCharType="begin"/>
            </w:r>
            <w:r>
              <w:rPr>
                <w:noProof/>
                <w:webHidden/>
              </w:rPr>
              <w:instrText xml:space="preserve"> PAGEREF _Toc97026720 \h </w:instrText>
            </w:r>
            <w:r>
              <w:rPr>
                <w:noProof/>
                <w:webHidden/>
              </w:rPr>
            </w:r>
            <w:r>
              <w:rPr>
                <w:noProof/>
                <w:webHidden/>
              </w:rPr>
              <w:fldChar w:fldCharType="separate"/>
            </w:r>
            <w:r>
              <w:rPr>
                <w:noProof/>
                <w:webHidden/>
              </w:rPr>
              <w:t>18</w:t>
            </w:r>
            <w:r>
              <w:rPr>
                <w:noProof/>
                <w:webHidden/>
              </w:rPr>
              <w:fldChar w:fldCharType="end"/>
            </w:r>
          </w:hyperlink>
        </w:p>
        <w:p w14:paraId="79881497" w14:textId="31D978F5" w:rsidR="007A0276" w:rsidRDefault="007A0276">
          <w:pPr>
            <w:pStyle w:val="Kazalovsebine2"/>
            <w:rPr>
              <w:rFonts w:asciiTheme="minorHAnsi" w:hAnsiTheme="minorHAnsi"/>
              <w:noProof/>
              <w:color w:val="auto"/>
              <w:lang w:eastAsia="sl-SI"/>
            </w:rPr>
          </w:pPr>
          <w:hyperlink w:anchor="_Toc97026721" w:history="1">
            <w:r w:rsidRPr="00530130">
              <w:rPr>
                <w:rStyle w:val="Hiperpovezava"/>
                <w:noProof/>
                <w14:scene3d>
                  <w14:camera w14:prst="orthographicFront"/>
                  <w14:lightRig w14:rig="threePt" w14:dir="t">
                    <w14:rot w14:lat="0" w14:lon="0" w14:rev="0"/>
                  </w14:lightRig>
                </w14:scene3d>
              </w:rPr>
              <w:t>1.3.</w:t>
            </w:r>
            <w:r>
              <w:rPr>
                <w:rFonts w:asciiTheme="minorHAnsi" w:hAnsiTheme="minorHAnsi"/>
                <w:noProof/>
                <w:color w:val="auto"/>
                <w:lang w:eastAsia="sl-SI"/>
              </w:rPr>
              <w:tab/>
            </w:r>
            <w:r w:rsidRPr="00530130">
              <w:rPr>
                <w:rStyle w:val="Hiperpovezava"/>
                <w:noProof/>
              </w:rPr>
              <w:t>Sektor kmetijstvo</w:t>
            </w:r>
            <w:r>
              <w:rPr>
                <w:noProof/>
                <w:webHidden/>
              </w:rPr>
              <w:tab/>
            </w:r>
            <w:r>
              <w:rPr>
                <w:noProof/>
                <w:webHidden/>
              </w:rPr>
              <w:fldChar w:fldCharType="begin"/>
            </w:r>
            <w:r>
              <w:rPr>
                <w:noProof/>
                <w:webHidden/>
              </w:rPr>
              <w:instrText xml:space="preserve"> PAGEREF _Toc97026721 \h </w:instrText>
            </w:r>
            <w:r>
              <w:rPr>
                <w:noProof/>
                <w:webHidden/>
              </w:rPr>
            </w:r>
            <w:r>
              <w:rPr>
                <w:noProof/>
                <w:webHidden/>
              </w:rPr>
              <w:fldChar w:fldCharType="separate"/>
            </w:r>
            <w:r>
              <w:rPr>
                <w:noProof/>
                <w:webHidden/>
              </w:rPr>
              <w:t>18</w:t>
            </w:r>
            <w:r>
              <w:rPr>
                <w:noProof/>
                <w:webHidden/>
              </w:rPr>
              <w:fldChar w:fldCharType="end"/>
            </w:r>
          </w:hyperlink>
        </w:p>
        <w:p w14:paraId="748AE355" w14:textId="55EC119B" w:rsidR="007A0276" w:rsidRDefault="007A0276">
          <w:pPr>
            <w:pStyle w:val="Kazalovsebine2"/>
            <w:rPr>
              <w:rFonts w:asciiTheme="minorHAnsi" w:hAnsiTheme="minorHAnsi"/>
              <w:noProof/>
              <w:color w:val="auto"/>
              <w:lang w:eastAsia="sl-SI"/>
            </w:rPr>
          </w:pPr>
          <w:hyperlink w:anchor="_Toc97026722" w:history="1">
            <w:r w:rsidRPr="00530130">
              <w:rPr>
                <w:rStyle w:val="Hiperpovezava"/>
                <w:noProof/>
                <w14:scene3d>
                  <w14:camera w14:prst="orthographicFront"/>
                  <w14:lightRig w14:rig="threePt" w14:dir="t">
                    <w14:rot w14:lat="0" w14:lon="0" w14:rev="0"/>
                  </w14:lightRig>
                </w14:scene3d>
              </w:rPr>
              <w:t>1.4.</w:t>
            </w:r>
            <w:r>
              <w:rPr>
                <w:rFonts w:asciiTheme="minorHAnsi" w:hAnsiTheme="minorHAnsi"/>
                <w:noProof/>
                <w:color w:val="auto"/>
                <w:lang w:eastAsia="sl-SI"/>
              </w:rPr>
              <w:tab/>
            </w:r>
            <w:r w:rsidRPr="00530130">
              <w:rPr>
                <w:rStyle w:val="Hiperpovezava"/>
                <w:noProof/>
              </w:rPr>
              <w:t>Sektor gozdarstvo</w:t>
            </w:r>
            <w:r>
              <w:rPr>
                <w:noProof/>
                <w:webHidden/>
              </w:rPr>
              <w:tab/>
            </w:r>
            <w:r>
              <w:rPr>
                <w:noProof/>
                <w:webHidden/>
              </w:rPr>
              <w:fldChar w:fldCharType="begin"/>
            </w:r>
            <w:r>
              <w:rPr>
                <w:noProof/>
                <w:webHidden/>
              </w:rPr>
              <w:instrText xml:space="preserve"> PAGEREF _Toc97026722 \h </w:instrText>
            </w:r>
            <w:r>
              <w:rPr>
                <w:noProof/>
                <w:webHidden/>
              </w:rPr>
            </w:r>
            <w:r>
              <w:rPr>
                <w:noProof/>
                <w:webHidden/>
              </w:rPr>
              <w:fldChar w:fldCharType="separate"/>
            </w:r>
            <w:r>
              <w:rPr>
                <w:noProof/>
                <w:webHidden/>
              </w:rPr>
              <w:t>20</w:t>
            </w:r>
            <w:r>
              <w:rPr>
                <w:noProof/>
                <w:webHidden/>
              </w:rPr>
              <w:fldChar w:fldCharType="end"/>
            </w:r>
          </w:hyperlink>
        </w:p>
        <w:p w14:paraId="0F402519" w14:textId="42291AB9" w:rsidR="007A0276" w:rsidRDefault="007A0276">
          <w:pPr>
            <w:pStyle w:val="Kazalovsebine2"/>
            <w:rPr>
              <w:rFonts w:asciiTheme="minorHAnsi" w:hAnsiTheme="minorHAnsi"/>
              <w:noProof/>
              <w:color w:val="auto"/>
              <w:lang w:eastAsia="sl-SI"/>
            </w:rPr>
          </w:pPr>
          <w:hyperlink w:anchor="_Toc97026723" w:history="1">
            <w:r w:rsidRPr="00530130">
              <w:rPr>
                <w:rStyle w:val="Hiperpovezava"/>
                <w:noProof/>
                <w14:scene3d>
                  <w14:camera w14:prst="orthographicFront"/>
                  <w14:lightRig w14:rig="threePt" w14:dir="t">
                    <w14:rot w14:lat="0" w14:lon="0" w14:rev="0"/>
                  </w14:lightRig>
                </w14:scene3d>
              </w:rPr>
              <w:t>1.5.</w:t>
            </w:r>
            <w:r>
              <w:rPr>
                <w:rFonts w:asciiTheme="minorHAnsi" w:hAnsiTheme="minorHAnsi"/>
                <w:noProof/>
                <w:color w:val="auto"/>
                <w:lang w:eastAsia="sl-SI"/>
              </w:rPr>
              <w:tab/>
            </w:r>
            <w:r w:rsidRPr="00530130">
              <w:rPr>
                <w:rStyle w:val="Hiperpovezava"/>
                <w:noProof/>
              </w:rPr>
              <w:t>Sektor zdravstvo</w:t>
            </w:r>
            <w:r>
              <w:rPr>
                <w:noProof/>
                <w:webHidden/>
              </w:rPr>
              <w:tab/>
            </w:r>
            <w:r>
              <w:rPr>
                <w:noProof/>
                <w:webHidden/>
              </w:rPr>
              <w:fldChar w:fldCharType="begin"/>
            </w:r>
            <w:r>
              <w:rPr>
                <w:noProof/>
                <w:webHidden/>
              </w:rPr>
              <w:instrText xml:space="preserve"> PAGEREF _Toc97026723 \h </w:instrText>
            </w:r>
            <w:r>
              <w:rPr>
                <w:noProof/>
                <w:webHidden/>
              </w:rPr>
            </w:r>
            <w:r>
              <w:rPr>
                <w:noProof/>
                <w:webHidden/>
              </w:rPr>
              <w:fldChar w:fldCharType="separate"/>
            </w:r>
            <w:r>
              <w:rPr>
                <w:noProof/>
                <w:webHidden/>
              </w:rPr>
              <w:t>24</w:t>
            </w:r>
            <w:r>
              <w:rPr>
                <w:noProof/>
                <w:webHidden/>
              </w:rPr>
              <w:fldChar w:fldCharType="end"/>
            </w:r>
          </w:hyperlink>
        </w:p>
        <w:p w14:paraId="2ADBF53E" w14:textId="66591121" w:rsidR="007A0276" w:rsidRDefault="007A0276">
          <w:pPr>
            <w:pStyle w:val="Kazalovsebine2"/>
            <w:rPr>
              <w:rFonts w:asciiTheme="minorHAnsi" w:hAnsiTheme="minorHAnsi"/>
              <w:noProof/>
              <w:color w:val="auto"/>
              <w:lang w:eastAsia="sl-SI"/>
            </w:rPr>
          </w:pPr>
          <w:hyperlink w:anchor="_Toc97026724" w:history="1">
            <w:r w:rsidRPr="00530130">
              <w:rPr>
                <w:rStyle w:val="Hiperpovezava"/>
                <w:noProof/>
                <w14:scene3d>
                  <w14:camera w14:prst="orthographicFront"/>
                  <w14:lightRig w14:rig="threePt" w14:dir="t">
                    <w14:rot w14:lat="0" w14:lon="0" w14:rev="0"/>
                  </w14:lightRig>
                </w14:scene3d>
              </w:rPr>
              <w:t>1.6.</w:t>
            </w:r>
            <w:r>
              <w:rPr>
                <w:rFonts w:asciiTheme="minorHAnsi" w:hAnsiTheme="minorHAnsi"/>
                <w:noProof/>
                <w:color w:val="auto"/>
                <w:lang w:eastAsia="sl-SI"/>
              </w:rPr>
              <w:tab/>
            </w:r>
            <w:r w:rsidRPr="00530130">
              <w:rPr>
                <w:rStyle w:val="Hiperpovezava"/>
                <w:noProof/>
              </w:rPr>
              <w:t>Sektor turizem</w:t>
            </w:r>
            <w:r>
              <w:rPr>
                <w:noProof/>
                <w:webHidden/>
              </w:rPr>
              <w:tab/>
            </w:r>
            <w:r>
              <w:rPr>
                <w:noProof/>
                <w:webHidden/>
              </w:rPr>
              <w:fldChar w:fldCharType="begin"/>
            </w:r>
            <w:r>
              <w:rPr>
                <w:noProof/>
                <w:webHidden/>
              </w:rPr>
              <w:instrText xml:space="preserve"> PAGEREF _Toc97026724 \h </w:instrText>
            </w:r>
            <w:r>
              <w:rPr>
                <w:noProof/>
                <w:webHidden/>
              </w:rPr>
            </w:r>
            <w:r>
              <w:rPr>
                <w:noProof/>
                <w:webHidden/>
              </w:rPr>
              <w:fldChar w:fldCharType="separate"/>
            </w:r>
            <w:r>
              <w:rPr>
                <w:noProof/>
                <w:webHidden/>
              </w:rPr>
              <w:t>29</w:t>
            </w:r>
            <w:r>
              <w:rPr>
                <w:noProof/>
                <w:webHidden/>
              </w:rPr>
              <w:fldChar w:fldCharType="end"/>
            </w:r>
          </w:hyperlink>
        </w:p>
        <w:p w14:paraId="535C1819" w14:textId="38F1B3B2" w:rsidR="007A0276" w:rsidRDefault="007A0276">
          <w:pPr>
            <w:pStyle w:val="Kazalovsebine2"/>
            <w:rPr>
              <w:rFonts w:asciiTheme="minorHAnsi" w:hAnsiTheme="minorHAnsi"/>
              <w:noProof/>
              <w:color w:val="auto"/>
              <w:lang w:eastAsia="sl-SI"/>
            </w:rPr>
          </w:pPr>
          <w:hyperlink w:anchor="_Toc97026725" w:history="1">
            <w:r w:rsidRPr="00530130">
              <w:rPr>
                <w:rStyle w:val="Hiperpovezava"/>
                <w:rFonts w:eastAsia="Calibri"/>
                <w:noProof/>
                <w:lang w:eastAsia="sl-SI"/>
                <w14:scene3d>
                  <w14:camera w14:prst="orthographicFront"/>
                  <w14:lightRig w14:rig="threePt" w14:dir="t">
                    <w14:rot w14:lat="0" w14:lon="0" w14:rev="0"/>
                  </w14:lightRig>
                </w14:scene3d>
              </w:rPr>
              <w:t>1.7.</w:t>
            </w:r>
            <w:r>
              <w:rPr>
                <w:rFonts w:asciiTheme="minorHAnsi" w:hAnsiTheme="minorHAnsi"/>
                <w:noProof/>
                <w:color w:val="auto"/>
                <w:lang w:eastAsia="sl-SI"/>
              </w:rPr>
              <w:tab/>
            </w:r>
            <w:r w:rsidRPr="00530130">
              <w:rPr>
                <w:rStyle w:val="Hiperpovezava"/>
                <w:rFonts w:eastAsia="Calibri"/>
                <w:noProof/>
                <w:lang w:eastAsia="sl-SI"/>
              </w:rPr>
              <w:t>Sektor vodni viri</w:t>
            </w:r>
            <w:r>
              <w:rPr>
                <w:noProof/>
                <w:webHidden/>
              </w:rPr>
              <w:tab/>
            </w:r>
            <w:r>
              <w:rPr>
                <w:noProof/>
                <w:webHidden/>
              </w:rPr>
              <w:fldChar w:fldCharType="begin"/>
            </w:r>
            <w:r>
              <w:rPr>
                <w:noProof/>
                <w:webHidden/>
              </w:rPr>
              <w:instrText xml:space="preserve"> PAGEREF _Toc97026725 \h </w:instrText>
            </w:r>
            <w:r>
              <w:rPr>
                <w:noProof/>
                <w:webHidden/>
              </w:rPr>
            </w:r>
            <w:r>
              <w:rPr>
                <w:noProof/>
                <w:webHidden/>
              </w:rPr>
              <w:fldChar w:fldCharType="separate"/>
            </w:r>
            <w:r>
              <w:rPr>
                <w:noProof/>
                <w:webHidden/>
              </w:rPr>
              <w:t>32</w:t>
            </w:r>
            <w:r>
              <w:rPr>
                <w:noProof/>
                <w:webHidden/>
              </w:rPr>
              <w:fldChar w:fldCharType="end"/>
            </w:r>
          </w:hyperlink>
        </w:p>
        <w:p w14:paraId="0F15695A" w14:textId="5D8DFBD7" w:rsidR="007A0276" w:rsidRDefault="007A0276">
          <w:pPr>
            <w:pStyle w:val="Kazalovsebine2"/>
            <w:rPr>
              <w:rFonts w:asciiTheme="minorHAnsi" w:hAnsiTheme="minorHAnsi"/>
              <w:noProof/>
              <w:color w:val="auto"/>
              <w:lang w:eastAsia="sl-SI"/>
            </w:rPr>
          </w:pPr>
          <w:hyperlink w:anchor="_Toc97026726" w:history="1">
            <w:r w:rsidRPr="00530130">
              <w:rPr>
                <w:rStyle w:val="Hiperpovezava"/>
                <w:rFonts w:eastAsia="Calibri"/>
                <w:noProof/>
                <w:lang w:eastAsia="sl-SI"/>
                <w14:scene3d>
                  <w14:camera w14:prst="orthographicFront"/>
                  <w14:lightRig w14:rig="threePt" w14:dir="t">
                    <w14:rot w14:lat="0" w14:lon="0" w14:rev="0"/>
                  </w14:lightRig>
                </w14:scene3d>
              </w:rPr>
              <w:t>1.8.</w:t>
            </w:r>
            <w:r>
              <w:rPr>
                <w:rFonts w:asciiTheme="minorHAnsi" w:hAnsiTheme="minorHAnsi"/>
                <w:noProof/>
                <w:color w:val="auto"/>
                <w:lang w:eastAsia="sl-SI"/>
              </w:rPr>
              <w:tab/>
            </w:r>
            <w:r w:rsidRPr="00530130">
              <w:rPr>
                <w:rStyle w:val="Hiperpovezava"/>
                <w:rFonts w:eastAsia="Calibri"/>
                <w:noProof/>
                <w:lang w:eastAsia="sl-SI"/>
              </w:rPr>
              <w:t>Sektor vodovodni sistemi</w:t>
            </w:r>
            <w:r>
              <w:rPr>
                <w:noProof/>
                <w:webHidden/>
              </w:rPr>
              <w:tab/>
            </w:r>
            <w:r>
              <w:rPr>
                <w:noProof/>
                <w:webHidden/>
              </w:rPr>
              <w:fldChar w:fldCharType="begin"/>
            </w:r>
            <w:r>
              <w:rPr>
                <w:noProof/>
                <w:webHidden/>
              </w:rPr>
              <w:instrText xml:space="preserve"> PAGEREF _Toc97026726 \h </w:instrText>
            </w:r>
            <w:r>
              <w:rPr>
                <w:noProof/>
                <w:webHidden/>
              </w:rPr>
            </w:r>
            <w:r>
              <w:rPr>
                <w:noProof/>
                <w:webHidden/>
              </w:rPr>
              <w:fldChar w:fldCharType="separate"/>
            </w:r>
            <w:r>
              <w:rPr>
                <w:noProof/>
                <w:webHidden/>
              </w:rPr>
              <w:t>35</w:t>
            </w:r>
            <w:r>
              <w:rPr>
                <w:noProof/>
                <w:webHidden/>
              </w:rPr>
              <w:fldChar w:fldCharType="end"/>
            </w:r>
          </w:hyperlink>
        </w:p>
        <w:p w14:paraId="4377553F" w14:textId="449B3424" w:rsidR="007A0276" w:rsidRDefault="007A0276">
          <w:pPr>
            <w:pStyle w:val="Kazalovsebine2"/>
            <w:rPr>
              <w:rFonts w:asciiTheme="minorHAnsi" w:hAnsiTheme="minorHAnsi"/>
              <w:noProof/>
              <w:color w:val="auto"/>
              <w:lang w:eastAsia="sl-SI"/>
            </w:rPr>
          </w:pPr>
          <w:hyperlink w:anchor="_Toc97026727" w:history="1">
            <w:r w:rsidRPr="00530130">
              <w:rPr>
                <w:rStyle w:val="Hiperpovezava"/>
                <w:noProof/>
                <w:lang w:eastAsia="sl-SI"/>
                <w14:scene3d>
                  <w14:camera w14:prst="orthographicFront"/>
                  <w14:lightRig w14:rig="threePt" w14:dir="t">
                    <w14:rot w14:lat="0" w14:lon="0" w14:rev="0"/>
                  </w14:lightRig>
                </w14:scene3d>
              </w:rPr>
              <w:t>1.9.</w:t>
            </w:r>
            <w:r>
              <w:rPr>
                <w:rFonts w:asciiTheme="minorHAnsi" w:hAnsiTheme="minorHAnsi"/>
                <w:noProof/>
                <w:color w:val="auto"/>
                <w:lang w:eastAsia="sl-SI"/>
              </w:rPr>
              <w:tab/>
            </w:r>
            <w:r w:rsidRPr="00530130">
              <w:rPr>
                <w:rStyle w:val="Hiperpovezava"/>
                <w:noProof/>
                <w:lang w:eastAsia="sl-SI"/>
              </w:rPr>
              <w:t>Sektor poplavna varnost</w:t>
            </w:r>
            <w:r>
              <w:rPr>
                <w:noProof/>
                <w:webHidden/>
              </w:rPr>
              <w:tab/>
            </w:r>
            <w:r>
              <w:rPr>
                <w:noProof/>
                <w:webHidden/>
              </w:rPr>
              <w:fldChar w:fldCharType="begin"/>
            </w:r>
            <w:r>
              <w:rPr>
                <w:noProof/>
                <w:webHidden/>
              </w:rPr>
              <w:instrText xml:space="preserve"> PAGEREF _Toc97026727 \h </w:instrText>
            </w:r>
            <w:r>
              <w:rPr>
                <w:noProof/>
                <w:webHidden/>
              </w:rPr>
            </w:r>
            <w:r>
              <w:rPr>
                <w:noProof/>
                <w:webHidden/>
              </w:rPr>
              <w:fldChar w:fldCharType="separate"/>
            </w:r>
            <w:r>
              <w:rPr>
                <w:noProof/>
                <w:webHidden/>
              </w:rPr>
              <w:t>38</w:t>
            </w:r>
            <w:r>
              <w:rPr>
                <w:noProof/>
                <w:webHidden/>
              </w:rPr>
              <w:fldChar w:fldCharType="end"/>
            </w:r>
          </w:hyperlink>
        </w:p>
        <w:p w14:paraId="540E2A87" w14:textId="40F6FB59" w:rsidR="007A0276" w:rsidRDefault="007A0276">
          <w:pPr>
            <w:pStyle w:val="Kazalovsebine1"/>
            <w:tabs>
              <w:tab w:val="left" w:pos="440"/>
              <w:tab w:val="right" w:leader="dot" w:pos="9628"/>
            </w:tabs>
            <w:rPr>
              <w:rFonts w:asciiTheme="minorHAnsi" w:hAnsiTheme="minorHAnsi"/>
              <w:noProof/>
              <w:color w:val="auto"/>
              <w:lang w:eastAsia="sl-SI"/>
            </w:rPr>
          </w:pPr>
          <w:hyperlink w:anchor="_Toc97026728" w:history="1">
            <w:r w:rsidRPr="00530130">
              <w:rPr>
                <w:rStyle w:val="Hiperpovezava"/>
                <w:rFonts w:eastAsia="Calibri"/>
                <w:noProof/>
                <w:lang w:eastAsia="sl-SI"/>
              </w:rPr>
              <w:t>2.</w:t>
            </w:r>
            <w:r>
              <w:rPr>
                <w:rFonts w:asciiTheme="minorHAnsi" w:hAnsiTheme="minorHAnsi"/>
                <w:noProof/>
                <w:color w:val="auto"/>
                <w:lang w:eastAsia="sl-SI"/>
              </w:rPr>
              <w:tab/>
            </w:r>
            <w:r w:rsidRPr="00530130">
              <w:rPr>
                <w:rStyle w:val="Hiperpovezava"/>
                <w:rFonts w:eastAsia="Calibri"/>
                <w:noProof/>
                <w:lang w:eastAsia="sl-SI"/>
              </w:rPr>
              <w:t>Uvod</w:t>
            </w:r>
            <w:r>
              <w:rPr>
                <w:noProof/>
                <w:webHidden/>
              </w:rPr>
              <w:tab/>
            </w:r>
            <w:r>
              <w:rPr>
                <w:noProof/>
                <w:webHidden/>
              </w:rPr>
              <w:fldChar w:fldCharType="begin"/>
            </w:r>
            <w:r>
              <w:rPr>
                <w:noProof/>
                <w:webHidden/>
              </w:rPr>
              <w:instrText xml:space="preserve"> PAGEREF _Toc97026728 \h </w:instrText>
            </w:r>
            <w:r>
              <w:rPr>
                <w:noProof/>
                <w:webHidden/>
              </w:rPr>
            </w:r>
            <w:r>
              <w:rPr>
                <w:noProof/>
                <w:webHidden/>
              </w:rPr>
              <w:fldChar w:fldCharType="separate"/>
            </w:r>
            <w:r>
              <w:rPr>
                <w:noProof/>
                <w:webHidden/>
              </w:rPr>
              <w:t>41</w:t>
            </w:r>
            <w:r>
              <w:rPr>
                <w:noProof/>
                <w:webHidden/>
              </w:rPr>
              <w:fldChar w:fldCharType="end"/>
            </w:r>
          </w:hyperlink>
        </w:p>
        <w:p w14:paraId="3E825250" w14:textId="6960AE84" w:rsidR="007A0276" w:rsidRDefault="007A0276">
          <w:pPr>
            <w:pStyle w:val="Kazalovsebine1"/>
            <w:tabs>
              <w:tab w:val="left" w:pos="440"/>
              <w:tab w:val="right" w:leader="dot" w:pos="9628"/>
            </w:tabs>
            <w:rPr>
              <w:rFonts w:asciiTheme="minorHAnsi" w:hAnsiTheme="minorHAnsi"/>
              <w:noProof/>
              <w:color w:val="auto"/>
              <w:lang w:eastAsia="sl-SI"/>
            </w:rPr>
          </w:pPr>
          <w:hyperlink w:anchor="_Toc97026729" w:history="1">
            <w:r w:rsidRPr="00530130">
              <w:rPr>
                <w:rStyle w:val="Hiperpovezava"/>
                <w:noProof/>
              </w:rPr>
              <w:t>3.</w:t>
            </w:r>
            <w:r>
              <w:rPr>
                <w:rFonts w:asciiTheme="minorHAnsi" w:hAnsiTheme="minorHAnsi"/>
                <w:noProof/>
                <w:color w:val="auto"/>
                <w:lang w:eastAsia="sl-SI"/>
              </w:rPr>
              <w:tab/>
            </w:r>
            <w:r w:rsidRPr="00530130">
              <w:rPr>
                <w:rStyle w:val="Hiperpovezava"/>
                <w:noProof/>
              </w:rPr>
              <w:t>Obravnavno območje</w:t>
            </w:r>
            <w:r>
              <w:rPr>
                <w:noProof/>
                <w:webHidden/>
              </w:rPr>
              <w:tab/>
            </w:r>
            <w:r>
              <w:rPr>
                <w:noProof/>
                <w:webHidden/>
              </w:rPr>
              <w:fldChar w:fldCharType="begin"/>
            </w:r>
            <w:r>
              <w:rPr>
                <w:noProof/>
                <w:webHidden/>
              </w:rPr>
              <w:instrText xml:space="preserve"> PAGEREF _Toc97026729 \h </w:instrText>
            </w:r>
            <w:r>
              <w:rPr>
                <w:noProof/>
                <w:webHidden/>
              </w:rPr>
            </w:r>
            <w:r>
              <w:rPr>
                <w:noProof/>
                <w:webHidden/>
              </w:rPr>
              <w:fldChar w:fldCharType="separate"/>
            </w:r>
            <w:r>
              <w:rPr>
                <w:noProof/>
                <w:webHidden/>
              </w:rPr>
              <w:t>43</w:t>
            </w:r>
            <w:r>
              <w:rPr>
                <w:noProof/>
                <w:webHidden/>
              </w:rPr>
              <w:fldChar w:fldCharType="end"/>
            </w:r>
          </w:hyperlink>
        </w:p>
        <w:p w14:paraId="289C95AA" w14:textId="231A01EC" w:rsidR="007A0276" w:rsidRDefault="007A0276">
          <w:pPr>
            <w:pStyle w:val="Kazalovsebine2"/>
            <w:rPr>
              <w:rFonts w:asciiTheme="minorHAnsi" w:hAnsiTheme="minorHAnsi"/>
              <w:noProof/>
              <w:color w:val="auto"/>
              <w:lang w:eastAsia="sl-SI"/>
            </w:rPr>
          </w:pPr>
          <w:hyperlink w:anchor="_Toc97026730" w:history="1">
            <w:r w:rsidRPr="00530130">
              <w:rPr>
                <w:rStyle w:val="Hiperpovezava"/>
                <w:noProof/>
                <w14:scene3d>
                  <w14:camera w14:prst="orthographicFront"/>
                  <w14:lightRig w14:rig="threePt" w14:dir="t">
                    <w14:rot w14:lat="0" w14:lon="0" w14:rev="0"/>
                  </w14:lightRig>
                </w14:scene3d>
              </w:rPr>
              <w:t>3.1.</w:t>
            </w:r>
            <w:r>
              <w:rPr>
                <w:rFonts w:asciiTheme="minorHAnsi" w:hAnsiTheme="minorHAnsi"/>
                <w:noProof/>
                <w:color w:val="auto"/>
                <w:lang w:eastAsia="sl-SI"/>
              </w:rPr>
              <w:tab/>
            </w:r>
            <w:r w:rsidRPr="00530130">
              <w:rPr>
                <w:rStyle w:val="Hiperpovezava"/>
                <w:noProof/>
              </w:rPr>
              <w:t>Opis obravnavanega območja</w:t>
            </w:r>
            <w:r>
              <w:rPr>
                <w:noProof/>
                <w:webHidden/>
              </w:rPr>
              <w:tab/>
            </w:r>
            <w:r>
              <w:rPr>
                <w:noProof/>
                <w:webHidden/>
              </w:rPr>
              <w:fldChar w:fldCharType="begin"/>
            </w:r>
            <w:r>
              <w:rPr>
                <w:noProof/>
                <w:webHidden/>
              </w:rPr>
              <w:instrText xml:space="preserve"> PAGEREF _Toc97026730 \h </w:instrText>
            </w:r>
            <w:r>
              <w:rPr>
                <w:noProof/>
                <w:webHidden/>
              </w:rPr>
            </w:r>
            <w:r>
              <w:rPr>
                <w:noProof/>
                <w:webHidden/>
              </w:rPr>
              <w:fldChar w:fldCharType="separate"/>
            </w:r>
            <w:r>
              <w:rPr>
                <w:noProof/>
                <w:webHidden/>
              </w:rPr>
              <w:t>43</w:t>
            </w:r>
            <w:r>
              <w:rPr>
                <w:noProof/>
                <w:webHidden/>
              </w:rPr>
              <w:fldChar w:fldCharType="end"/>
            </w:r>
          </w:hyperlink>
        </w:p>
        <w:p w14:paraId="1A2662FE" w14:textId="6886389D" w:rsidR="007A0276" w:rsidRDefault="007A0276">
          <w:pPr>
            <w:pStyle w:val="Kazalovsebine2"/>
            <w:rPr>
              <w:rFonts w:asciiTheme="minorHAnsi" w:hAnsiTheme="minorHAnsi"/>
              <w:noProof/>
              <w:color w:val="auto"/>
              <w:lang w:eastAsia="sl-SI"/>
            </w:rPr>
          </w:pPr>
          <w:hyperlink w:anchor="_Toc97026731" w:history="1">
            <w:r w:rsidRPr="00530130">
              <w:rPr>
                <w:rStyle w:val="Hiperpovezava"/>
                <w:noProof/>
                <w14:scene3d>
                  <w14:camera w14:prst="orthographicFront"/>
                  <w14:lightRig w14:rig="threePt" w14:dir="t">
                    <w14:rot w14:lat="0" w14:lon="0" w14:rev="0"/>
                  </w14:lightRig>
                </w14:scene3d>
              </w:rPr>
              <w:t>3.1.</w:t>
            </w:r>
            <w:r>
              <w:rPr>
                <w:rFonts w:asciiTheme="minorHAnsi" w:hAnsiTheme="minorHAnsi"/>
                <w:noProof/>
                <w:color w:val="auto"/>
                <w:lang w:eastAsia="sl-SI"/>
              </w:rPr>
              <w:tab/>
            </w:r>
            <w:r w:rsidRPr="00530130">
              <w:rPr>
                <w:rStyle w:val="Hiperpovezava"/>
                <w:noProof/>
              </w:rPr>
              <w:t>Viri</w:t>
            </w:r>
            <w:r>
              <w:rPr>
                <w:noProof/>
                <w:webHidden/>
              </w:rPr>
              <w:tab/>
            </w:r>
            <w:r>
              <w:rPr>
                <w:noProof/>
                <w:webHidden/>
              </w:rPr>
              <w:fldChar w:fldCharType="begin"/>
            </w:r>
            <w:r>
              <w:rPr>
                <w:noProof/>
                <w:webHidden/>
              </w:rPr>
              <w:instrText xml:space="preserve"> PAGEREF _Toc97026731 \h </w:instrText>
            </w:r>
            <w:r>
              <w:rPr>
                <w:noProof/>
                <w:webHidden/>
              </w:rPr>
            </w:r>
            <w:r>
              <w:rPr>
                <w:noProof/>
                <w:webHidden/>
              </w:rPr>
              <w:fldChar w:fldCharType="separate"/>
            </w:r>
            <w:r>
              <w:rPr>
                <w:noProof/>
                <w:webHidden/>
              </w:rPr>
              <w:t>44</w:t>
            </w:r>
            <w:r>
              <w:rPr>
                <w:noProof/>
                <w:webHidden/>
              </w:rPr>
              <w:fldChar w:fldCharType="end"/>
            </w:r>
          </w:hyperlink>
        </w:p>
        <w:p w14:paraId="4DB061A5" w14:textId="590E6264" w:rsidR="007A0276" w:rsidRDefault="007A0276">
          <w:pPr>
            <w:pStyle w:val="Kazalovsebine1"/>
            <w:tabs>
              <w:tab w:val="left" w:pos="440"/>
              <w:tab w:val="right" w:leader="dot" w:pos="9628"/>
            </w:tabs>
            <w:rPr>
              <w:rFonts w:asciiTheme="minorHAnsi" w:hAnsiTheme="minorHAnsi"/>
              <w:noProof/>
              <w:color w:val="auto"/>
              <w:lang w:eastAsia="sl-SI"/>
            </w:rPr>
          </w:pPr>
          <w:hyperlink w:anchor="_Toc97026732" w:history="1">
            <w:r w:rsidRPr="00530130">
              <w:rPr>
                <w:rStyle w:val="Hiperpovezava"/>
                <w:noProof/>
              </w:rPr>
              <w:t>4.</w:t>
            </w:r>
            <w:r>
              <w:rPr>
                <w:rFonts w:asciiTheme="minorHAnsi" w:hAnsiTheme="minorHAnsi"/>
                <w:noProof/>
                <w:color w:val="auto"/>
                <w:lang w:eastAsia="sl-SI"/>
              </w:rPr>
              <w:tab/>
            </w:r>
            <w:r w:rsidRPr="00530130">
              <w:rPr>
                <w:rStyle w:val="Hiperpovezava"/>
                <w:noProof/>
              </w:rPr>
              <w:t>Stanje podnebja in projekcije podnebnih sprememb</w:t>
            </w:r>
            <w:r>
              <w:rPr>
                <w:noProof/>
                <w:webHidden/>
              </w:rPr>
              <w:tab/>
            </w:r>
            <w:r>
              <w:rPr>
                <w:noProof/>
                <w:webHidden/>
              </w:rPr>
              <w:fldChar w:fldCharType="begin"/>
            </w:r>
            <w:r>
              <w:rPr>
                <w:noProof/>
                <w:webHidden/>
              </w:rPr>
              <w:instrText xml:space="preserve"> PAGEREF _Toc97026732 \h </w:instrText>
            </w:r>
            <w:r>
              <w:rPr>
                <w:noProof/>
                <w:webHidden/>
              </w:rPr>
            </w:r>
            <w:r>
              <w:rPr>
                <w:noProof/>
                <w:webHidden/>
              </w:rPr>
              <w:fldChar w:fldCharType="separate"/>
            </w:r>
            <w:r>
              <w:rPr>
                <w:noProof/>
                <w:webHidden/>
              </w:rPr>
              <w:t>45</w:t>
            </w:r>
            <w:r>
              <w:rPr>
                <w:noProof/>
                <w:webHidden/>
              </w:rPr>
              <w:fldChar w:fldCharType="end"/>
            </w:r>
          </w:hyperlink>
        </w:p>
        <w:p w14:paraId="029ED9B3" w14:textId="3ADE9181" w:rsidR="007A0276" w:rsidRDefault="007A0276">
          <w:pPr>
            <w:pStyle w:val="Kazalovsebine2"/>
            <w:rPr>
              <w:rFonts w:asciiTheme="minorHAnsi" w:hAnsiTheme="minorHAnsi"/>
              <w:noProof/>
              <w:color w:val="auto"/>
              <w:lang w:eastAsia="sl-SI"/>
            </w:rPr>
          </w:pPr>
          <w:hyperlink w:anchor="_Toc97026733" w:history="1">
            <w:r w:rsidRPr="00530130">
              <w:rPr>
                <w:rStyle w:val="Hiperpovezava"/>
                <w:noProof/>
                <w14:scene3d>
                  <w14:camera w14:prst="orthographicFront"/>
                  <w14:lightRig w14:rig="threePt" w14:dir="t">
                    <w14:rot w14:lat="0" w14:lon="0" w14:rev="0"/>
                  </w14:lightRig>
                </w14:scene3d>
              </w:rPr>
              <w:t>4.1.</w:t>
            </w:r>
            <w:r>
              <w:rPr>
                <w:rFonts w:asciiTheme="minorHAnsi" w:hAnsiTheme="minorHAnsi"/>
                <w:noProof/>
                <w:color w:val="auto"/>
                <w:lang w:eastAsia="sl-SI"/>
              </w:rPr>
              <w:tab/>
            </w:r>
            <w:r w:rsidRPr="00530130">
              <w:rPr>
                <w:rStyle w:val="Hiperpovezava"/>
                <w:noProof/>
              </w:rPr>
              <w:t>Obstoječe stanje podnebja</w:t>
            </w:r>
            <w:r>
              <w:rPr>
                <w:noProof/>
                <w:webHidden/>
              </w:rPr>
              <w:tab/>
            </w:r>
            <w:r>
              <w:rPr>
                <w:noProof/>
                <w:webHidden/>
              </w:rPr>
              <w:fldChar w:fldCharType="begin"/>
            </w:r>
            <w:r>
              <w:rPr>
                <w:noProof/>
                <w:webHidden/>
              </w:rPr>
              <w:instrText xml:space="preserve"> PAGEREF _Toc97026733 \h </w:instrText>
            </w:r>
            <w:r>
              <w:rPr>
                <w:noProof/>
                <w:webHidden/>
              </w:rPr>
            </w:r>
            <w:r>
              <w:rPr>
                <w:noProof/>
                <w:webHidden/>
              </w:rPr>
              <w:fldChar w:fldCharType="separate"/>
            </w:r>
            <w:r>
              <w:rPr>
                <w:noProof/>
                <w:webHidden/>
              </w:rPr>
              <w:t>45</w:t>
            </w:r>
            <w:r>
              <w:rPr>
                <w:noProof/>
                <w:webHidden/>
              </w:rPr>
              <w:fldChar w:fldCharType="end"/>
            </w:r>
          </w:hyperlink>
        </w:p>
        <w:p w14:paraId="23126AF1" w14:textId="3C78404C" w:rsidR="007A0276" w:rsidRDefault="007A0276">
          <w:pPr>
            <w:pStyle w:val="Kazalovsebine2"/>
            <w:rPr>
              <w:rFonts w:asciiTheme="minorHAnsi" w:hAnsiTheme="minorHAnsi"/>
              <w:noProof/>
              <w:color w:val="auto"/>
              <w:lang w:eastAsia="sl-SI"/>
            </w:rPr>
          </w:pPr>
          <w:hyperlink w:anchor="_Toc97026734" w:history="1">
            <w:r w:rsidRPr="00530130">
              <w:rPr>
                <w:rStyle w:val="Hiperpovezava"/>
                <w:noProof/>
                <w14:scene3d>
                  <w14:camera w14:prst="orthographicFront"/>
                  <w14:lightRig w14:rig="threePt" w14:dir="t">
                    <w14:rot w14:lat="0" w14:lon="0" w14:rev="0"/>
                  </w14:lightRig>
                </w14:scene3d>
              </w:rPr>
              <w:t>4.2.</w:t>
            </w:r>
            <w:r>
              <w:rPr>
                <w:rFonts w:asciiTheme="minorHAnsi" w:hAnsiTheme="minorHAnsi"/>
                <w:noProof/>
                <w:color w:val="auto"/>
                <w:lang w:eastAsia="sl-SI"/>
              </w:rPr>
              <w:tab/>
            </w:r>
            <w:r w:rsidRPr="00530130">
              <w:rPr>
                <w:rStyle w:val="Hiperpovezava"/>
                <w:noProof/>
              </w:rPr>
              <w:t>Scenariji RCP in projekcije podnebnih sprememb</w:t>
            </w:r>
            <w:r>
              <w:rPr>
                <w:noProof/>
                <w:webHidden/>
              </w:rPr>
              <w:tab/>
            </w:r>
            <w:r>
              <w:rPr>
                <w:noProof/>
                <w:webHidden/>
              </w:rPr>
              <w:fldChar w:fldCharType="begin"/>
            </w:r>
            <w:r>
              <w:rPr>
                <w:noProof/>
                <w:webHidden/>
              </w:rPr>
              <w:instrText xml:space="preserve"> PAGEREF _Toc97026734 \h </w:instrText>
            </w:r>
            <w:r>
              <w:rPr>
                <w:noProof/>
                <w:webHidden/>
              </w:rPr>
            </w:r>
            <w:r>
              <w:rPr>
                <w:noProof/>
                <w:webHidden/>
              </w:rPr>
              <w:fldChar w:fldCharType="separate"/>
            </w:r>
            <w:r>
              <w:rPr>
                <w:noProof/>
                <w:webHidden/>
              </w:rPr>
              <w:t>45</w:t>
            </w:r>
            <w:r>
              <w:rPr>
                <w:noProof/>
                <w:webHidden/>
              </w:rPr>
              <w:fldChar w:fldCharType="end"/>
            </w:r>
          </w:hyperlink>
        </w:p>
        <w:p w14:paraId="149D5AE6" w14:textId="35FF674A"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35" w:history="1">
            <w:r w:rsidRPr="00530130">
              <w:rPr>
                <w:rStyle w:val="Hiperpovezava"/>
                <w:noProof/>
                <w14:scene3d>
                  <w14:camera w14:prst="orthographicFront"/>
                  <w14:lightRig w14:rig="threePt" w14:dir="t">
                    <w14:rot w14:lat="0" w14:lon="0" w14:rev="0"/>
                  </w14:lightRig>
                </w14:scene3d>
              </w:rPr>
              <w:t>4.2.1.</w:t>
            </w:r>
            <w:r>
              <w:rPr>
                <w:rFonts w:asciiTheme="minorHAnsi" w:hAnsiTheme="minorHAnsi"/>
                <w:noProof/>
                <w:color w:val="auto"/>
                <w:lang w:eastAsia="sl-SI"/>
              </w:rPr>
              <w:tab/>
            </w:r>
            <w:r w:rsidRPr="00530130">
              <w:rPr>
                <w:rStyle w:val="Hiperpovezava"/>
                <w:noProof/>
              </w:rPr>
              <w:t>Kazalniki stanja okolja za območje</w:t>
            </w:r>
            <w:r>
              <w:rPr>
                <w:noProof/>
                <w:webHidden/>
              </w:rPr>
              <w:tab/>
            </w:r>
            <w:r>
              <w:rPr>
                <w:noProof/>
                <w:webHidden/>
              </w:rPr>
              <w:fldChar w:fldCharType="begin"/>
            </w:r>
            <w:r>
              <w:rPr>
                <w:noProof/>
                <w:webHidden/>
              </w:rPr>
              <w:instrText xml:space="preserve"> PAGEREF _Toc97026735 \h </w:instrText>
            </w:r>
            <w:r>
              <w:rPr>
                <w:noProof/>
                <w:webHidden/>
              </w:rPr>
            </w:r>
            <w:r>
              <w:rPr>
                <w:noProof/>
                <w:webHidden/>
              </w:rPr>
              <w:fldChar w:fldCharType="separate"/>
            </w:r>
            <w:r>
              <w:rPr>
                <w:noProof/>
                <w:webHidden/>
              </w:rPr>
              <w:t>47</w:t>
            </w:r>
            <w:r>
              <w:rPr>
                <w:noProof/>
                <w:webHidden/>
              </w:rPr>
              <w:fldChar w:fldCharType="end"/>
            </w:r>
          </w:hyperlink>
        </w:p>
        <w:p w14:paraId="73B4EEA3" w14:textId="358D6A26"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36" w:history="1">
            <w:r w:rsidRPr="00530130">
              <w:rPr>
                <w:rStyle w:val="Hiperpovezava"/>
                <w:rFonts w:eastAsia="Calibri"/>
                <w:noProof/>
                <w:lang w:eastAsia="sl-SI"/>
                <w14:scene3d>
                  <w14:camera w14:prst="orthographicFront"/>
                  <w14:lightRig w14:rig="threePt" w14:dir="t">
                    <w14:rot w14:lat="0" w14:lon="0" w14:rev="0"/>
                  </w14:lightRig>
                </w14:scene3d>
              </w:rPr>
              <w:t>4.2.2.</w:t>
            </w:r>
            <w:r>
              <w:rPr>
                <w:rFonts w:asciiTheme="minorHAnsi" w:hAnsiTheme="minorHAnsi"/>
                <w:noProof/>
                <w:color w:val="auto"/>
                <w:lang w:eastAsia="sl-SI"/>
              </w:rPr>
              <w:tab/>
            </w:r>
            <w:r w:rsidRPr="00530130">
              <w:rPr>
                <w:rStyle w:val="Hiperpovezava"/>
                <w:rFonts w:eastAsia="Calibri"/>
                <w:noProof/>
                <w:lang w:eastAsia="sl-SI"/>
              </w:rPr>
              <w:t>Padavine</w:t>
            </w:r>
            <w:r>
              <w:rPr>
                <w:noProof/>
                <w:webHidden/>
              </w:rPr>
              <w:tab/>
            </w:r>
            <w:r>
              <w:rPr>
                <w:noProof/>
                <w:webHidden/>
              </w:rPr>
              <w:fldChar w:fldCharType="begin"/>
            </w:r>
            <w:r>
              <w:rPr>
                <w:noProof/>
                <w:webHidden/>
              </w:rPr>
              <w:instrText xml:space="preserve"> PAGEREF _Toc97026736 \h </w:instrText>
            </w:r>
            <w:r>
              <w:rPr>
                <w:noProof/>
                <w:webHidden/>
              </w:rPr>
            </w:r>
            <w:r>
              <w:rPr>
                <w:noProof/>
                <w:webHidden/>
              </w:rPr>
              <w:fldChar w:fldCharType="separate"/>
            </w:r>
            <w:r>
              <w:rPr>
                <w:noProof/>
                <w:webHidden/>
              </w:rPr>
              <w:t>53</w:t>
            </w:r>
            <w:r>
              <w:rPr>
                <w:noProof/>
                <w:webHidden/>
              </w:rPr>
              <w:fldChar w:fldCharType="end"/>
            </w:r>
          </w:hyperlink>
        </w:p>
        <w:p w14:paraId="7F33CF2F" w14:textId="436501C7"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37" w:history="1">
            <w:r w:rsidRPr="00530130">
              <w:rPr>
                <w:rStyle w:val="Hiperpovezava"/>
                <w:rFonts w:eastAsia="Calibri"/>
                <w:noProof/>
                <w:lang w:eastAsia="sl-SI"/>
                <w14:scene3d>
                  <w14:camera w14:prst="orthographicFront"/>
                  <w14:lightRig w14:rig="threePt" w14:dir="t">
                    <w14:rot w14:lat="0" w14:lon="0" w14:rev="0"/>
                  </w14:lightRig>
                </w14:scene3d>
              </w:rPr>
              <w:t>4.2.3.</w:t>
            </w:r>
            <w:r>
              <w:rPr>
                <w:rFonts w:asciiTheme="minorHAnsi" w:hAnsiTheme="minorHAnsi"/>
                <w:noProof/>
                <w:color w:val="auto"/>
                <w:lang w:eastAsia="sl-SI"/>
              </w:rPr>
              <w:tab/>
            </w:r>
            <w:r w:rsidRPr="00530130">
              <w:rPr>
                <w:rStyle w:val="Hiperpovezava"/>
                <w:rFonts w:eastAsia="Calibri"/>
                <w:noProof/>
                <w:lang w:eastAsia="sl-SI"/>
              </w:rPr>
              <w:t>Veter</w:t>
            </w:r>
            <w:r>
              <w:rPr>
                <w:noProof/>
                <w:webHidden/>
              </w:rPr>
              <w:tab/>
            </w:r>
            <w:r>
              <w:rPr>
                <w:noProof/>
                <w:webHidden/>
              </w:rPr>
              <w:fldChar w:fldCharType="begin"/>
            </w:r>
            <w:r>
              <w:rPr>
                <w:noProof/>
                <w:webHidden/>
              </w:rPr>
              <w:instrText xml:space="preserve"> PAGEREF _Toc97026737 \h </w:instrText>
            </w:r>
            <w:r>
              <w:rPr>
                <w:noProof/>
                <w:webHidden/>
              </w:rPr>
            </w:r>
            <w:r>
              <w:rPr>
                <w:noProof/>
                <w:webHidden/>
              </w:rPr>
              <w:fldChar w:fldCharType="separate"/>
            </w:r>
            <w:r>
              <w:rPr>
                <w:noProof/>
                <w:webHidden/>
              </w:rPr>
              <w:t>56</w:t>
            </w:r>
            <w:r>
              <w:rPr>
                <w:noProof/>
                <w:webHidden/>
              </w:rPr>
              <w:fldChar w:fldCharType="end"/>
            </w:r>
          </w:hyperlink>
        </w:p>
        <w:p w14:paraId="01A0348A" w14:textId="6448AAC8"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38" w:history="1">
            <w:r w:rsidRPr="00530130">
              <w:rPr>
                <w:rStyle w:val="Hiperpovezava"/>
                <w:rFonts w:eastAsia="Calibri"/>
                <w:noProof/>
                <w:lang w:eastAsia="sl-SI"/>
                <w14:scene3d>
                  <w14:camera w14:prst="orthographicFront"/>
                  <w14:lightRig w14:rig="threePt" w14:dir="t">
                    <w14:rot w14:lat="0" w14:lon="0" w14:rev="0"/>
                  </w14:lightRig>
                </w14:scene3d>
              </w:rPr>
              <w:t>4.2.4.</w:t>
            </w:r>
            <w:r>
              <w:rPr>
                <w:rFonts w:asciiTheme="minorHAnsi" w:hAnsiTheme="minorHAnsi"/>
                <w:noProof/>
                <w:color w:val="auto"/>
                <w:lang w:eastAsia="sl-SI"/>
              </w:rPr>
              <w:tab/>
            </w:r>
            <w:r w:rsidRPr="00530130">
              <w:rPr>
                <w:rStyle w:val="Hiperpovezava"/>
                <w:rFonts w:eastAsia="Calibri"/>
                <w:noProof/>
                <w:lang w:eastAsia="sl-SI"/>
              </w:rPr>
              <w:t>Vodna bilanca</w:t>
            </w:r>
            <w:r>
              <w:rPr>
                <w:noProof/>
                <w:webHidden/>
              </w:rPr>
              <w:tab/>
            </w:r>
            <w:r>
              <w:rPr>
                <w:noProof/>
                <w:webHidden/>
              </w:rPr>
              <w:fldChar w:fldCharType="begin"/>
            </w:r>
            <w:r>
              <w:rPr>
                <w:noProof/>
                <w:webHidden/>
              </w:rPr>
              <w:instrText xml:space="preserve"> PAGEREF _Toc97026738 \h </w:instrText>
            </w:r>
            <w:r>
              <w:rPr>
                <w:noProof/>
                <w:webHidden/>
              </w:rPr>
            </w:r>
            <w:r>
              <w:rPr>
                <w:noProof/>
                <w:webHidden/>
              </w:rPr>
              <w:fldChar w:fldCharType="separate"/>
            </w:r>
            <w:r>
              <w:rPr>
                <w:noProof/>
                <w:webHidden/>
              </w:rPr>
              <w:t>57</w:t>
            </w:r>
            <w:r>
              <w:rPr>
                <w:noProof/>
                <w:webHidden/>
              </w:rPr>
              <w:fldChar w:fldCharType="end"/>
            </w:r>
          </w:hyperlink>
        </w:p>
        <w:p w14:paraId="7A0C4C59" w14:textId="25A86F86"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39" w:history="1">
            <w:r w:rsidRPr="00530130">
              <w:rPr>
                <w:rStyle w:val="Hiperpovezava"/>
                <w:rFonts w:eastAsia="Calibri"/>
                <w:noProof/>
                <w:lang w:eastAsia="sl-SI"/>
                <w14:scene3d>
                  <w14:camera w14:prst="orthographicFront"/>
                  <w14:lightRig w14:rig="threePt" w14:dir="t">
                    <w14:rot w14:lat="0" w14:lon="0" w14:rev="0"/>
                  </w14:lightRig>
                </w14:scene3d>
              </w:rPr>
              <w:t>4.2.5.</w:t>
            </w:r>
            <w:r>
              <w:rPr>
                <w:rFonts w:asciiTheme="minorHAnsi" w:hAnsiTheme="minorHAnsi"/>
                <w:noProof/>
                <w:color w:val="auto"/>
                <w:lang w:eastAsia="sl-SI"/>
              </w:rPr>
              <w:tab/>
            </w:r>
            <w:r w:rsidRPr="00530130">
              <w:rPr>
                <w:rStyle w:val="Hiperpovezava"/>
                <w:rFonts w:eastAsia="Calibri"/>
                <w:noProof/>
                <w:lang w:eastAsia="sl-SI"/>
              </w:rPr>
              <w:t>Energetski kazalniki</w:t>
            </w:r>
            <w:r>
              <w:rPr>
                <w:noProof/>
                <w:webHidden/>
              </w:rPr>
              <w:tab/>
            </w:r>
            <w:r>
              <w:rPr>
                <w:noProof/>
                <w:webHidden/>
              </w:rPr>
              <w:fldChar w:fldCharType="begin"/>
            </w:r>
            <w:r>
              <w:rPr>
                <w:noProof/>
                <w:webHidden/>
              </w:rPr>
              <w:instrText xml:space="preserve"> PAGEREF _Toc97026739 \h </w:instrText>
            </w:r>
            <w:r>
              <w:rPr>
                <w:noProof/>
                <w:webHidden/>
              </w:rPr>
            </w:r>
            <w:r>
              <w:rPr>
                <w:noProof/>
                <w:webHidden/>
              </w:rPr>
              <w:fldChar w:fldCharType="separate"/>
            </w:r>
            <w:r>
              <w:rPr>
                <w:noProof/>
                <w:webHidden/>
              </w:rPr>
              <w:t>59</w:t>
            </w:r>
            <w:r>
              <w:rPr>
                <w:noProof/>
                <w:webHidden/>
              </w:rPr>
              <w:fldChar w:fldCharType="end"/>
            </w:r>
          </w:hyperlink>
        </w:p>
        <w:p w14:paraId="44D9F7B5" w14:textId="34F5881D" w:rsidR="007A0276" w:rsidRDefault="007A0276">
          <w:pPr>
            <w:pStyle w:val="Kazalovsebine2"/>
            <w:rPr>
              <w:rFonts w:asciiTheme="minorHAnsi" w:hAnsiTheme="minorHAnsi"/>
              <w:noProof/>
              <w:color w:val="auto"/>
              <w:lang w:eastAsia="sl-SI"/>
            </w:rPr>
          </w:pPr>
          <w:hyperlink w:anchor="_Toc97026740" w:history="1">
            <w:r w:rsidRPr="00530130">
              <w:rPr>
                <w:rStyle w:val="Hiperpovezava"/>
                <w:noProof/>
                <w14:scene3d>
                  <w14:camera w14:prst="orthographicFront"/>
                  <w14:lightRig w14:rig="threePt" w14:dir="t">
                    <w14:rot w14:lat="0" w14:lon="0" w14:rev="0"/>
                  </w14:lightRig>
                </w14:scene3d>
              </w:rPr>
              <w:t>4.3.</w:t>
            </w:r>
            <w:r>
              <w:rPr>
                <w:rFonts w:asciiTheme="minorHAnsi" w:hAnsiTheme="minorHAnsi"/>
                <w:noProof/>
                <w:color w:val="auto"/>
                <w:lang w:eastAsia="sl-SI"/>
              </w:rPr>
              <w:tab/>
            </w:r>
            <w:r w:rsidRPr="00530130">
              <w:rPr>
                <w:rStyle w:val="Hiperpovezava"/>
                <w:noProof/>
              </w:rPr>
              <w:t>Viri</w:t>
            </w:r>
            <w:r>
              <w:rPr>
                <w:noProof/>
                <w:webHidden/>
              </w:rPr>
              <w:tab/>
            </w:r>
            <w:r>
              <w:rPr>
                <w:noProof/>
                <w:webHidden/>
              </w:rPr>
              <w:fldChar w:fldCharType="begin"/>
            </w:r>
            <w:r>
              <w:rPr>
                <w:noProof/>
                <w:webHidden/>
              </w:rPr>
              <w:instrText xml:space="preserve"> PAGEREF _Toc97026740 \h </w:instrText>
            </w:r>
            <w:r>
              <w:rPr>
                <w:noProof/>
                <w:webHidden/>
              </w:rPr>
            </w:r>
            <w:r>
              <w:rPr>
                <w:noProof/>
                <w:webHidden/>
              </w:rPr>
              <w:fldChar w:fldCharType="separate"/>
            </w:r>
            <w:r>
              <w:rPr>
                <w:noProof/>
                <w:webHidden/>
              </w:rPr>
              <w:t>62</w:t>
            </w:r>
            <w:r>
              <w:rPr>
                <w:noProof/>
                <w:webHidden/>
              </w:rPr>
              <w:fldChar w:fldCharType="end"/>
            </w:r>
          </w:hyperlink>
        </w:p>
        <w:p w14:paraId="7900A60E" w14:textId="00B61BF7" w:rsidR="007A0276" w:rsidRDefault="007A0276">
          <w:pPr>
            <w:pStyle w:val="Kazalovsebine1"/>
            <w:tabs>
              <w:tab w:val="left" w:pos="440"/>
              <w:tab w:val="right" w:leader="dot" w:pos="9628"/>
            </w:tabs>
            <w:rPr>
              <w:rFonts w:asciiTheme="minorHAnsi" w:hAnsiTheme="minorHAnsi"/>
              <w:noProof/>
              <w:color w:val="auto"/>
              <w:lang w:eastAsia="sl-SI"/>
            </w:rPr>
          </w:pPr>
          <w:hyperlink w:anchor="_Toc97026741" w:history="1">
            <w:r w:rsidRPr="00530130">
              <w:rPr>
                <w:rStyle w:val="Hiperpovezava"/>
                <w:rFonts w:eastAsia="Calibri"/>
                <w:noProof/>
                <w:lang w:eastAsia="sl-SI"/>
              </w:rPr>
              <w:t>5.</w:t>
            </w:r>
            <w:r>
              <w:rPr>
                <w:rFonts w:asciiTheme="minorHAnsi" w:hAnsiTheme="minorHAnsi"/>
                <w:noProof/>
                <w:color w:val="auto"/>
                <w:lang w:eastAsia="sl-SI"/>
              </w:rPr>
              <w:tab/>
            </w:r>
            <w:r w:rsidRPr="00530130">
              <w:rPr>
                <w:rStyle w:val="Hiperpovezava"/>
                <w:noProof/>
              </w:rPr>
              <w:t>Metodologija</w:t>
            </w:r>
            <w:r w:rsidRPr="00530130">
              <w:rPr>
                <w:rStyle w:val="Hiperpovezava"/>
                <w:rFonts w:eastAsia="Calibri"/>
                <w:noProof/>
                <w:lang w:eastAsia="sl-SI"/>
              </w:rPr>
              <w:t xml:space="preserve"> ranljivosti in tveganja zaradi podnebnih sprememb</w:t>
            </w:r>
            <w:r>
              <w:rPr>
                <w:noProof/>
                <w:webHidden/>
              </w:rPr>
              <w:tab/>
            </w:r>
            <w:r>
              <w:rPr>
                <w:noProof/>
                <w:webHidden/>
              </w:rPr>
              <w:fldChar w:fldCharType="begin"/>
            </w:r>
            <w:r>
              <w:rPr>
                <w:noProof/>
                <w:webHidden/>
              </w:rPr>
              <w:instrText xml:space="preserve"> PAGEREF _Toc97026741 \h </w:instrText>
            </w:r>
            <w:r>
              <w:rPr>
                <w:noProof/>
                <w:webHidden/>
              </w:rPr>
            </w:r>
            <w:r>
              <w:rPr>
                <w:noProof/>
                <w:webHidden/>
              </w:rPr>
              <w:fldChar w:fldCharType="separate"/>
            </w:r>
            <w:r>
              <w:rPr>
                <w:noProof/>
                <w:webHidden/>
              </w:rPr>
              <w:t>63</w:t>
            </w:r>
            <w:r>
              <w:rPr>
                <w:noProof/>
                <w:webHidden/>
              </w:rPr>
              <w:fldChar w:fldCharType="end"/>
            </w:r>
          </w:hyperlink>
        </w:p>
        <w:p w14:paraId="28EF55FB" w14:textId="36FAB168" w:rsidR="007A0276" w:rsidRDefault="007A0276">
          <w:pPr>
            <w:pStyle w:val="Kazalovsebine2"/>
            <w:rPr>
              <w:rFonts w:asciiTheme="minorHAnsi" w:hAnsiTheme="minorHAnsi"/>
              <w:noProof/>
              <w:color w:val="auto"/>
              <w:lang w:eastAsia="sl-SI"/>
            </w:rPr>
          </w:pPr>
          <w:hyperlink w:anchor="_Toc97026742" w:history="1">
            <w:r w:rsidRPr="00530130">
              <w:rPr>
                <w:rStyle w:val="Hiperpovezava"/>
                <w:noProof/>
                <w14:scene3d>
                  <w14:camera w14:prst="orthographicFront"/>
                  <w14:lightRig w14:rig="threePt" w14:dir="t">
                    <w14:rot w14:lat="0" w14:lon="0" w14:rev="0"/>
                  </w14:lightRig>
                </w14:scene3d>
              </w:rPr>
              <w:t>5.1.</w:t>
            </w:r>
            <w:r>
              <w:rPr>
                <w:rFonts w:asciiTheme="minorHAnsi" w:hAnsiTheme="minorHAnsi"/>
                <w:noProof/>
                <w:color w:val="auto"/>
                <w:lang w:eastAsia="sl-SI"/>
              </w:rPr>
              <w:tab/>
            </w:r>
            <w:r w:rsidRPr="00530130">
              <w:rPr>
                <w:rStyle w:val="Hiperpovezava"/>
                <w:noProof/>
              </w:rPr>
              <w:t>Metodologija ocene ranljivosti</w:t>
            </w:r>
            <w:r>
              <w:rPr>
                <w:noProof/>
                <w:webHidden/>
              </w:rPr>
              <w:tab/>
            </w:r>
            <w:r>
              <w:rPr>
                <w:noProof/>
                <w:webHidden/>
              </w:rPr>
              <w:fldChar w:fldCharType="begin"/>
            </w:r>
            <w:r>
              <w:rPr>
                <w:noProof/>
                <w:webHidden/>
              </w:rPr>
              <w:instrText xml:space="preserve"> PAGEREF _Toc97026742 \h </w:instrText>
            </w:r>
            <w:r>
              <w:rPr>
                <w:noProof/>
                <w:webHidden/>
              </w:rPr>
            </w:r>
            <w:r>
              <w:rPr>
                <w:noProof/>
                <w:webHidden/>
              </w:rPr>
              <w:fldChar w:fldCharType="separate"/>
            </w:r>
            <w:r>
              <w:rPr>
                <w:noProof/>
                <w:webHidden/>
              </w:rPr>
              <w:t>63</w:t>
            </w:r>
            <w:r>
              <w:rPr>
                <w:noProof/>
                <w:webHidden/>
              </w:rPr>
              <w:fldChar w:fldCharType="end"/>
            </w:r>
          </w:hyperlink>
        </w:p>
        <w:p w14:paraId="00C2516F" w14:textId="67B200C3" w:rsidR="007A0276" w:rsidRDefault="007A0276">
          <w:pPr>
            <w:pStyle w:val="Kazalovsebine2"/>
            <w:rPr>
              <w:rFonts w:asciiTheme="minorHAnsi" w:hAnsiTheme="minorHAnsi"/>
              <w:noProof/>
              <w:color w:val="auto"/>
              <w:lang w:eastAsia="sl-SI"/>
            </w:rPr>
          </w:pPr>
          <w:hyperlink w:anchor="_Toc97026743" w:history="1">
            <w:r w:rsidRPr="00530130">
              <w:rPr>
                <w:rStyle w:val="Hiperpovezava"/>
                <w:noProof/>
                <w14:scene3d>
                  <w14:camera w14:prst="orthographicFront"/>
                  <w14:lightRig w14:rig="threePt" w14:dir="t">
                    <w14:rot w14:lat="0" w14:lon="0" w14:rev="0"/>
                  </w14:lightRig>
                </w14:scene3d>
              </w:rPr>
              <w:t>5.2.</w:t>
            </w:r>
            <w:r>
              <w:rPr>
                <w:rFonts w:asciiTheme="minorHAnsi" w:hAnsiTheme="minorHAnsi"/>
                <w:noProof/>
                <w:color w:val="auto"/>
                <w:lang w:eastAsia="sl-SI"/>
              </w:rPr>
              <w:tab/>
            </w:r>
            <w:r w:rsidRPr="00530130">
              <w:rPr>
                <w:rStyle w:val="Hiperpovezava"/>
                <w:noProof/>
              </w:rPr>
              <w:t>Metodologija ocene tveganja</w:t>
            </w:r>
            <w:r>
              <w:rPr>
                <w:noProof/>
                <w:webHidden/>
              </w:rPr>
              <w:tab/>
            </w:r>
            <w:r>
              <w:rPr>
                <w:noProof/>
                <w:webHidden/>
              </w:rPr>
              <w:fldChar w:fldCharType="begin"/>
            </w:r>
            <w:r>
              <w:rPr>
                <w:noProof/>
                <w:webHidden/>
              </w:rPr>
              <w:instrText xml:space="preserve"> PAGEREF _Toc97026743 \h </w:instrText>
            </w:r>
            <w:r>
              <w:rPr>
                <w:noProof/>
                <w:webHidden/>
              </w:rPr>
            </w:r>
            <w:r>
              <w:rPr>
                <w:noProof/>
                <w:webHidden/>
              </w:rPr>
              <w:fldChar w:fldCharType="separate"/>
            </w:r>
            <w:r>
              <w:rPr>
                <w:noProof/>
                <w:webHidden/>
              </w:rPr>
              <w:t>67</w:t>
            </w:r>
            <w:r>
              <w:rPr>
                <w:noProof/>
                <w:webHidden/>
              </w:rPr>
              <w:fldChar w:fldCharType="end"/>
            </w:r>
          </w:hyperlink>
        </w:p>
        <w:p w14:paraId="39BABB3C" w14:textId="4B7CDFE7" w:rsidR="007A0276" w:rsidRDefault="007A0276">
          <w:pPr>
            <w:pStyle w:val="Kazalovsebine2"/>
            <w:rPr>
              <w:rFonts w:asciiTheme="minorHAnsi" w:hAnsiTheme="minorHAnsi"/>
              <w:noProof/>
              <w:color w:val="auto"/>
              <w:lang w:eastAsia="sl-SI"/>
            </w:rPr>
          </w:pPr>
          <w:hyperlink w:anchor="_Toc97026744" w:history="1">
            <w:r w:rsidRPr="00530130">
              <w:rPr>
                <w:rStyle w:val="Hiperpovezava"/>
                <w:noProof/>
                <w14:scene3d>
                  <w14:camera w14:prst="orthographicFront"/>
                  <w14:lightRig w14:rig="threePt" w14:dir="t">
                    <w14:rot w14:lat="0" w14:lon="0" w14:rev="0"/>
                  </w14:lightRig>
                </w14:scene3d>
              </w:rPr>
              <w:t>5.3.</w:t>
            </w:r>
            <w:r>
              <w:rPr>
                <w:rFonts w:asciiTheme="minorHAnsi" w:hAnsiTheme="minorHAnsi"/>
                <w:noProof/>
                <w:color w:val="auto"/>
                <w:lang w:eastAsia="sl-SI"/>
              </w:rPr>
              <w:tab/>
            </w:r>
            <w:r w:rsidRPr="00530130">
              <w:rPr>
                <w:rStyle w:val="Hiperpovezava"/>
                <w:noProof/>
              </w:rPr>
              <w:t>Viri</w:t>
            </w:r>
            <w:r>
              <w:rPr>
                <w:noProof/>
                <w:webHidden/>
              </w:rPr>
              <w:tab/>
            </w:r>
            <w:r>
              <w:rPr>
                <w:noProof/>
                <w:webHidden/>
              </w:rPr>
              <w:fldChar w:fldCharType="begin"/>
            </w:r>
            <w:r>
              <w:rPr>
                <w:noProof/>
                <w:webHidden/>
              </w:rPr>
              <w:instrText xml:space="preserve"> PAGEREF _Toc97026744 \h </w:instrText>
            </w:r>
            <w:r>
              <w:rPr>
                <w:noProof/>
                <w:webHidden/>
              </w:rPr>
            </w:r>
            <w:r>
              <w:rPr>
                <w:noProof/>
                <w:webHidden/>
              </w:rPr>
              <w:fldChar w:fldCharType="separate"/>
            </w:r>
            <w:r>
              <w:rPr>
                <w:noProof/>
                <w:webHidden/>
              </w:rPr>
              <w:t>69</w:t>
            </w:r>
            <w:r>
              <w:rPr>
                <w:noProof/>
                <w:webHidden/>
              </w:rPr>
              <w:fldChar w:fldCharType="end"/>
            </w:r>
          </w:hyperlink>
        </w:p>
        <w:p w14:paraId="4BADB135" w14:textId="3765F28F" w:rsidR="007A0276" w:rsidRDefault="007A0276">
          <w:pPr>
            <w:pStyle w:val="Kazalovsebine1"/>
            <w:tabs>
              <w:tab w:val="left" w:pos="440"/>
              <w:tab w:val="right" w:leader="dot" w:pos="9628"/>
            </w:tabs>
            <w:rPr>
              <w:rFonts w:asciiTheme="minorHAnsi" w:hAnsiTheme="minorHAnsi"/>
              <w:noProof/>
              <w:color w:val="auto"/>
              <w:lang w:eastAsia="sl-SI"/>
            </w:rPr>
          </w:pPr>
          <w:hyperlink w:anchor="_Toc97026745" w:history="1">
            <w:r w:rsidRPr="00530130">
              <w:rPr>
                <w:rStyle w:val="Hiperpovezava"/>
                <w:rFonts w:eastAsia="Calibri"/>
                <w:noProof/>
                <w:lang w:eastAsia="sl-SI"/>
              </w:rPr>
              <w:t>6.</w:t>
            </w:r>
            <w:r>
              <w:rPr>
                <w:rFonts w:asciiTheme="minorHAnsi" w:hAnsiTheme="minorHAnsi"/>
                <w:noProof/>
                <w:color w:val="auto"/>
                <w:lang w:eastAsia="sl-SI"/>
              </w:rPr>
              <w:tab/>
            </w:r>
            <w:r w:rsidRPr="00530130">
              <w:rPr>
                <w:rStyle w:val="Hiperpovezava"/>
                <w:rFonts w:eastAsia="Calibri"/>
                <w:noProof/>
                <w:lang w:eastAsia="sl-SI"/>
              </w:rPr>
              <w:t>Analiza ranljivosti na podnebne spremembe in ocena tveganja za posamezne sektorje</w:t>
            </w:r>
            <w:r>
              <w:rPr>
                <w:noProof/>
                <w:webHidden/>
              </w:rPr>
              <w:tab/>
            </w:r>
            <w:r>
              <w:rPr>
                <w:noProof/>
                <w:webHidden/>
              </w:rPr>
              <w:fldChar w:fldCharType="begin"/>
            </w:r>
            <w:r>
              <w:rPr>
                <w:noProof/>
                <w:webHidden/>
              </w:rPr>
              <w:instrText xml:space="preserve"> PAGEREF _Toc97026745 \h </w:instrText>
            </w:r>
            <w:r>
              <w:rPr>
                <w:noProof/>
                <w:webHidden/>
              </w:rPr>
            </w:r>
            <w:r>
              <w:rPr>
                <w:noProof/>
                <w:webHidden/>
              </w:rPr>
              <w:fldChar w:fldCharType="separate"/>
            </w:r>
            <w:r>
              <w:rPr>
                <w:noProof/>
                <w:webHidden/>
              </w:rPr>
              <w:t>70</w:t>
            </w:r>
            <w:r>
              <w:rPr>
                <w:noProof/>
                <w:webHidden/>
              </w:rPr>
              <w:fldChar w:fldCharType="end"/>
            </w:r>
          </w:hyperlink>
        </w:p>
        <w:p w14:paraId="61741D56" w14:textId="4190A74E" w:rsidR="007A0276" w:rsidRDefault="007A0276">
          <w:pPr>
            <w:pStyle w:val="Kazalovsebine2"/>
            <w:rPr>
              <w:rFonts w:asciiTheme="minorHAnsi" w:hAnsiTheme="minorHAnsi"/>
              <w:noProof/>
              <w:color w:val="auto"/>
              <w:lang w:eastAsia="sl-SI"/>
            </w:rPr>
          </w:pPr>
          <w:hyperlink w:anchor="_Toc97026746" w:history="1">
            <w:r w:rsidRPr="00530130">
              <w:rPr>
                <w:rStyle w:val="Hiperpovezava"/>
                <w:noProof/>
                <w14:scene3d>
                  <w14:camera w14:prst="orthographicFront"/>
                  <w14:lightRig w14:rig="threePt" w14:dir="t">
                    <w14:rot w14:lat="0" w14:lon="0" w14:rev="0"/>
                  </w14:lightRig>
                </w14:scene3d>
              </w:rPr>
              <w:t>6.1.</w:t>
            </w:r>
            <w:r>
              <w:rPr>
                <w:rFonts w:asciiTheme="minorHAnsi" w:hAnsiTheme="minorHAnsi"/>
                <w:noProof/>
                <w:color w:val="auto"/>
                <w:lang w:eastAsia="sl-SI"/>
              </w:rPr>
              <w:tab/>
            </w:r>
            <w:r w:rsidRPr="00530130">
              <w:rPr>
                <w:rStyle w:val="Hiperpovezava"/>
                <w:rFonts w:eastAsia="Calibri"/>
                <w:noProof/>
                <w:lang w:eastAsia="sl-SI"/>
              </w:rPr>
              <w:t xml:space="preserve">Sektor </w:t>
            </w:r>
            <w:r w:rsidRPr="00530130">
              <w:rPr>
                <w:rStyle w:val="Hiperpovezava"/>
                <w:noProof/>
              </w:rPr>
              <w:t>kmetijstvo</w:t>
            </w:r>
            <w:r>
              <w:rPr>
                <w:noProof/>
                <w:webHidden/>
              </w:rPr>
              <w:tab/>
            </w:r>
            <w:r>
              <w:rPr>
                <w:noProof/>
                <w:webHidden/>
              </w:rPr>
              <w:fldChar w:fldCharType="begin"/>
            </w:r>
            <w:r>
              <w:rPr>
                <w:noProof/>
                <w:webHidden/>
              </w:rPr>
              <w:instrText xml:space="preserve"> PAGEREF _Toc97026746 \h </w:instrText>
            </w:r>
            <w:r>
              <w:rPr>
                <w:noProof/>
                <w:webHidden/>
              </w:rPr>
            </w:r>
            <w:r>
              <w:rPr>
                <w:noProof/>
                <w:webHidden/>
              </w:rPr>
              <w:fldChar w:fldCharType="separate"/>
            </w:r>
            <w:r>
              <w:rPr>
                <w:noProof/>
                <w:webHidden/>
              </w:rPr>
              <w:t>70</w:t>
            </w:r>
            <w:r>
              <w:rPr>
                <w:noProof/>
                <w:webHidden/>
              </w:rPr>
              <w:fldChar w:fldCharType="end"/>
            </w:r>
          </w:hyperlink>
        </w:p>
        <w:p w14:paraId="3E965957" w14:textId="5B5CAAD5"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47" w:history="1">
            <w:r w:rsidRPr="00530130">
              <w:rPr>
                <w:rStyle w:val="Hiperpovezava"/>
                <w:noProof/>
                <w14:scene3d>
                  <w14:camera w14:prst="orthographicFront"/>
                  <w14:lightRig w14:rig="threePt" w14:dir="t">
                    <w14:rot w14:lat="0" w14:lon="0" w14:rev="0"/>
                  </w14:lightRig>
                </w14:scene3d>
              </w:rPr>
              <w:t>6.1.1.</w:t>
            </w:r>
            <w:r>
              <w:rPr>
                <w:rFonts w:asciiTheme="minorHAnsi" w:hAnsiTheme="minorHAnsi"/>
                <w:noProof/>
                <w:color w:val="auto"/>
                <w:lang w:eastAsia="sl-SI"/>
              </w:rPr>
              <w:tab/>
            </w:r>
            <w:r w:rsidRPr="00530130">
              <w:rPr>
                <w:rStyle w:val="Hiperpovezava"/>
                <w:noProof/>
              </w:rPr>
              <w:t>Metodologija sektorja kmetijstvo</w:t>
            </w:r>
            <w:r>
              <w:rPr>
                <w:noProof/>
                <w:webHidden/>
              </w:rPr>
              <w:tab/>
            </w:r>
            <w:r>
              <w:rPr>
                <w:noProof/>
                <w:webHidden/>
              </w:rPr>
              <w:fldChar w:fldCharType="begin"/>
            </w:r>
            <w:r>
              <w:rPr>
                <w:noProof/>
                <w:webHidden/>
              </w:rPr>
              <w:instrText xml:space="preserve"> PAGEREF _Toc97026747 \h </w:instrText>
            </w:r>
            <w:r>
              <w:rPr>
                <w:noProof/>
                <w:webHidden/>
              </w:rPr>
            </w:r>
            <w:r>
              <w:rPr>
                <w:noProof/>
                <w:webHidden/>
              </w:rPr>
              <w:fldChar w:fldCharType="separate"/>
            </w:r>
            <w:r>
              <w:rPr>
                <w:noProof/>
                <w:webHidden/>
              </w:rPr>
              <w:t>70</w:t>
            </w:r>
            <w:r>
              <w:rPr>
                <w:noProof/>
                <w:webHidden/>
              </w:rPr>
              <w:fldChar w:fldCharType="end"/>
            </w:r>
          </w:hyperlink>
        </w:p>
        <w:p w14:paraId="28EE2411" w14:textId="0CCF68FE"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48" w:history="1">
            <w:r w:rsidRPr="00530130">
              <w:rPr>
                <w:rStyle w:val="Hiperpovezava"/>
                <w:noProof/>
                <w14:scene3d>
                  <w14:camera w14:prst="orthographicFront"/>
                  <w14:lightRig w14:rig="threePt" w14:dir="t">
                    <w14:rot w14:lat="0" w14:lon="0" w14:rev="0"/>
                  </w14:lightRig>
                </w14:scene3d>
              </w:rPr>
              <w:t>6.1.2.</w:t>
            </w:r>
            <w:r>
              <w:rPr>
                <w:rFonts w:asciiTheme="minorHAnsi" w:hAnsiTheme="minorHAnsi"/>
                <w:noProof/>
                <w:color w:val="auto"/>
                <w:lang w:eastAsia="sl-SI"/>
              </w:rPr>
              <w:tab/>
            </w:r>
            <w:r w:rsidRPr="00530130">
              <w:rPr>
                <w:rStyle w:val="Hiperpovezava"/>
                <w:noProof/>
              </w:rPr>
              <w:t>Zakonodajni okvir za sektor kmetijstvo</w:t>
            </w:r>
            <w:r>
              <w:rPr>
                <w:noProof/>
                <w:webHidden/>
              </w:rPr>
              <w:tab/>
            </w:r>
            <w:r>
              <w:rPr>
                <w:noProof/>
                <w:webHidden/>
              </w:rPr>
              <w:fldChar w:fldCharType="begin"/>
            </w:r>
            <w:r>
              <w:rPr>
                <w:noProof/>
                <w:webHidden/>
              </w:rPr>
              <w:instrText xml:space="preserve"> PAGEREF _Toc97026748 \h </w:instrText>
            </w:r>
            <w:r>
              <w:rPr>
                <w:noProof/>
                <w:webHidden/>
              </w:rPr>
            </w:r>
            <w:r>
              <w:rPr>
                <w:noProof/>
                <w:webHidden/>
              </w:rPr>
              <w:fldChar w:fldCharType="separate"/>
            </w:r>
            <w:r>
              <w:rPr>
                <w:noProof/>
                <w:webHidden/>
              </w:rPr>
              <w:t>78</w:t>
            </w:r>
            <w:r>
              <w:rPr>
                <w:noProof/>
                <w:webHidden/>
              </w:rPr>
              <w:fldChar w:fldCharType="end"/>
            </w:r>
          </w:hyperlink>
        </w:p>
        <w:p w14:paraId="52EA6243" w14:textId="77AED40D"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49" w:history="1">
            <w:r w:rsidRPr="00530130">
              <w:rPr>
                <w:rStyle w:val="Hiperpovezava"/>
                <w:noProof/>
                <w14:scene3d>
                  <w14:camera w14:prst="orthographicFront"/>
                  <w14:lightRig w14:rig="threePt" w14:dir="t">
                    <w14:rot w14:lat="0" w14:lon="0" w14:rev="0"/>
                  </w14:lightRig>
                </w14:scene3d>
              </w:rPr>
              <w:t>6.1.3.</w:t>
            </w:r>
            <w:r>
              <w:rPr>
                <w:rFonts w:asciiTheme="minorHAnsi" w:hAnsiTheme="minorHAnsi"/>
                <w:noProof/>
                <w:color w:val="auto"/>
                <w:lang w:eastAsia="sl-SI"/>
              </w:rPr>
              <w:tab/>
            </w:r>
            <w:r w:rsidRPr="00530130">
              <w:rPr>
                <w:rStyle w:val="Hiperpovezava"/>
                <w:noProof/>
              </w:rPr>
              <w:t>Obstoječe stanje sektorja kmetijstvo</w:t>
            </w:r>
            <w:r>
              <w:rPr>
                <w:noProof/>
                <w:webHidden/>
              </w:rPr>
              <w:tab/>
            </w:r>
            <w:r>
              <w:rPr>
                <w:noProof/>
                <w:webHidden/>
              </w:rPr>
              <w:fldChar w:fldCharType="begin"/>
            </w:r>
            <w:r>
              <w:rPr>
                <w:noProof/>
                <w:webHidden/>
              </w:rPr>
              <w:instrText xml:space="preserve"> PAGEREF _Toc97026749 \h </w:instrText>
            </w:r>
            <w:r>
              <w:rPr>
                <w:noProof/>
                <w:webHidden/>
              </w:rPr>
            </w:r>
            <w:r>
              <w:rPr>
                <w:noProof/>
                <w:webHidden/>
              </w:rPr>
              <w:fldChar w:fldCharType="separate"/>
            </w:r>
            <w:r>
              <w:rPr>
                <w:noProof/>
                <w:webHidden/>
              </w:rPr>
              <w:t>84</w:t>
            </w:r>
            <w:r>
              <w:rPr>
                <w:noProof/>
                <w:webHidden/>
              </w:rPr>
              <w:fldChar w:fldCharType="end"/>
            </w:r>
          </w:hyperlink>
        </w:p>
        <w:p w14:paraId="04C88620" w14:textId="79F58020"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50" w:history="1">
            <w:r w:rsidRPr="00530130">
              <w:rPr>
                <w:rStyle w:val="Hiperpovezava"/>
                <w:noProof/>
                <w14:scene3d>
                  <w14:camera w14:prst="orthographicFront"/>
                  <w14:lightRig w14:rig="threePt" w14:dir="t">
                    <w14:rot w14:lat="0" w14:lon="0" w14:rev="0"/>
                  </w14:lightRig>
                </w14:scene3d>
              </w:rPr>
              <w:t>6.1.4.</w:t>
            </w:r>
            <w:r>
              <w:rPr>
                <w:rFonts w:asciiTheme="minorHAnsi" w:hAnsiTheme="minorHAnsi"/>
                <w:noProof/>
                <w:color w:val="auto"/>
                <w:lang w:eastAsia="sl-SI"/>
              </w:rPr>
              <w:tab/>
            </w:r>
            <w:r w:rsidRPr="00530130">
              <w:rPr>
                <w:rStyle w:val="Hiperpovezava"/>
                <w:noProof/>
              </w:rPr>
              <w:t>Ocena potencialnih vplivov podnebnih sprememb na sektor kmetijstvo po kazalnikih</w:t>
            </w:r>
            <w:r>
              <w:rPr>
                <w:noProof/>
                <w:webHidden/>
              </w:rPr>
              <w:tab/>
            </w:r>
            <w:r>
              <w:rPr>
                <w:noProof/>
                <w:webHidden/>
              </w:rPr>
              <w:fldChar w:fldCharType="begin"/>
            </w:r>
            <w:r>
              <w:rPr>
                <w:noProof/>
                <w:webHidden/>
              </w:rPr>
              <w:instrText xml:space="preserve"> PAGEREF _Toc97026750 \h </w:instrText>
            </w:r>
            <w:r>
              <w:rPr>
                <w:noProof/>
                <w:webHidden/>
              </w:rPr>
            </w:r>
            <w:r>
              <w:rPr>
                <w:noProof/>
                <w:webHidden/>
              </w:rPr>
              <w:fldChar w:fldCharType="separate"/>
            </w:r>
            <w:r>
              <w:rPr>
                <w:noProof/>
                <w:webHidden/>
              </w:rPr>
              <w:t>85</w:t>
            </w:r>
            <w:r>
              <w:rPr>
                <w:noProof/>
                <w:webHidden/>
              </w:rPr>
              <w:fldChar w:fldCharType="end"/>
            </w:r>
          </w:hyperlink>
        </w:p>
        <w:p w14:paraId="1BCE2EAD" w14:textId="636EB567"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51" w:history="1">
            <w:r w:rsidRPr="00530130">
              <w:rPr>
                <w:rStyle w:val="Hiperpovezava"/>
                <w:noProof/>
                <w14:scene3d>
                  <w14:camera w14:prst="orthographicFront"/>
                  <w14:lightRig w14:rig="threePt" w14:dir="t">
                    <w14:rot w14:lat="0" w14:lon="0" w14:rev="0"/>
                  </w14:lightRig>
                </w14:scene3d>
              </w:rPr>
              <w:t>6.1.5.</w:t>
            </w:r>
            <w:r>
              <w:rPr>
                <w:rFonts w:asciiTheme="minorHAnsi" w:hAnsiTheme="minorHAnsi"/>
                <w:noProof/>
                <w:color w:val="auto"/>
                <w:lang w:eastAsia="sl-SI"/>
              </w:rPr>
              <w:tab/>
            </w:r>
            <w:r w:rsidRPr="00530130">
              <w:rPr>
                <w:rStyle w:val="Hiperpovezava"/>
                <w:noProof/>
              </w:rPr>
              <w:t>Ocena sposobnosti prilagajanja sektorja kmetijstvo</w:t>
            </w:r>
            <w:r>
              <w:rPr>
                <w:noProof/>
                <w:webHidden/>
              </w:rPr>
              <w:tab/>
            </w:r>
            <w:r>
              <w:rPr>
                <w:noProof/>
                <w:webHidden/>
              </w:rPr>
              <w:fldChar w:fldCharType="begin"/>
            </w:r>
            <w:r>
              <w:rPr>
                <w:noProof/>
                <w:webHidden/>
              </w:rPr>
              <w:instrText xml:space="preserve"> PAGEREF _Toc97026751 \h </w:instrText>
            </w:r>
            <w:r>
              <w:rPr>
                <w:noProof/>
                <w:webHidden/>
              </w:rPr>
            </w:r>
            <w:r>
              <w:rPr>
                <w:noProof/>
                <w:webHidden/>
              </w:rPr>
              <w:fldChar w:fldCharType="separate"/>
            </w:r>
            <w:r>
              <w:rPr>
                <w:noProof/>
                <w:webHidden/>
              </w:rPr>
              <w:t>94</w:t>
            </w:r>
            <w:r>
              <w:rPr>
                <w:noProof/>
                <w:webHidden/>
              </w:rPr>
              <w:fldChar w:fldCharType="end"/>
            </w:r>
          </w:hyperlink>
        </w:p>
        <w:p w14:paraId="4FE16D67" w14:textId="0AF79B43"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52" w:history="1">
            <w:r w:rsidRPr="00530130">
              <w:rPr>
                <w:rStyle w:val="Hiperpovezava"/>
                <w:noProof/>
                <w14:scene3d>
                  <w14:camera w14:prst="orthographicFront"/>
                  <w14:lightRig w14:rig="threePt" w14:dir="t">
                    <w14:rot w14:lat="0" w14:lon="0" w14:rev="0"/>
                  </w14:lightRig>
                </w14:scene3d>
              </w:rPr>
              <w:t>6.1.6.</w:t>
            </w:r>
            <w:r>
              <w:rPr>
                <w:rFonts w:asciiTheme="minorHAnsi" w:hAnsiTheme="minorHAnsi"/>
                <w:noProof/>
                <w:color w:val="auto"/>
                <w:lang w:eastAsia="sl-SI"/>
              </w:rPr>
              <w:tab/>
            </w:r>
            <w:r w:rsidRPr="00530130">
              <w:rPr>
                <w:rStyle w:val="Hiperpovezava"/>
                <w:noProof/>
              </w:rPr>
              <w:t>Ocena ranljivosti sektorja kmetijstvo</w:t>
            </w:r>
            <w:r>
              <w:rPr>
                <w:noProof/>
                <w:webHidden/>
              </w:rPr>
              <w:tab/>
            </w:r>
            <w:r>
              <w:rPr>
                <w:noProof/>
                <w:webHidden/>
              </w:rPr>
              <w:fldChar w:fldCharType="begin"/>
            </w:r>
            <w:r>
              <w:rPr>
                <w:noProof/>
                <w:webHidden/>
              </w:rPr>
              <w:instrText xml:space="preserve"> PAGEREF _Toc97026752 \h </w:instrText>
            </w:r>
            <w:r>
              <w:rPr>
                <w:noProof/>
                <w:webHidden/>
              </w:rPr>
            </w:r>
            <w:r>
              <w:rPr>
                <w:noProof/>
                <w:webHidden/>
              </w:rPr>
              <w:fldChar w:fldCharType="separate"/>
            </w:r>
            <w:r>
              <w:rPr>
                <w:noProof/>
                <w:webHidden/>
              </w:rPr>
              <w:t>95</w:t>
            </w:r>
            <w:r>
              <w:rPr>
                <w:noProof/>
                <w:webHidden/>
              </w:rPr>
              <w:fldChar w:fldCharType="end"/>
            </w:r>
          </w:hyperlink>
        </w:p>
        <w:p w14:paraId="162ED7FF" w14:textId="73720CEF"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53" w:history="1">
            <w:r w:rsidRPr="00530130">
              <w:rPr>
                <w:rStyle w:val="Hiperpovezava"/>
                <w:noProof/>
                <w14:scene3d>
                  <w14:camera w14:prst="orthographicFront"/>
                  <w14:lightRig w14:rig="threePt" w14:dir="t">
                    <w14:rot w14:lat="0" w14:lon="0" w14:rev="0"/>
                  </w14:lightRig>
                </w14:scene3d>
              </w:rPr>
              <w:t>6.1.7.</w:t>
            </w:r>
            <w:r>
              <w:rPr>
                <w:rFonts w:asciiTheme="minorHAnsi" w:hAnsiTheme="minorHAnsi"/>
                <w:noProof/>
                <w:color w:val="auto"/>
                <w:lang w:eastAsia="sl-SI"/>
              </w:rPr>
              <w:tab/>
            </w:r>
            <w:r w:rsidRPr="00530130">
              <w:rPr>
                <w:rStyle w:val="Hiperpovezava"/>
                <w:noProof/>
              </w:rPr>
              <w:t>Ocena tveganja sektorja kmetijstvo</w:t>
            </w:r>
            <w:r>
              <w:rPr>
                <w:noProof/>
                <w:webHidden/>
              </w:rPr>
              <w:tab/>
            </w:r>
            <w:r>
              <w:rPr>
                <w:noProof/>
                <w:webHidden/>
              </w:rPr>
              <w:fldChar w:fldCharType="begin"/>
            </w:r>
            <w:r>
              <w:rPr>
                <w:noProof/>
                <w:webHidden/>
              </w:rPr>
              <w:instrText xml:space="preserve"> PAGEREF _Toc97026753 \h </w:instrText>
            </w:r>
            <w:r>
              <w:rPr>
                <w:noProof/>
                <w:webHidden/>
              </w:rPr>
            </w:r>
            <w:r>
              <w:rPr>
                <w:noProof/>
                <w:webHidden/>
              </w:rPr>
              <w:fldChar w:fldCharType="separate"/>
            </w:r>
            <w:r>
              <w:rPr>
                <w:noProof/>
                <w:webHidden/>
              </w:rPr>
              <w:t>97</w:t>
            </w:r>
            <w:r>
              <w:rPr>
                <w:noProof/>
                <w:webHidden/>
              </w:rPr>
              <w:fldChar w:fldCharType="end"/>
            </w:r>
          </w:hyperlink>
        </w:p>
        <w:p w14:paraId="1E21015E" w14:textId="016E4248"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54" w:history="1">
            <w:r w:rsidRPr="00530130">
              <w:rPr>
                <w:rStyle w:val="Hiperpovezava"/>
                <w:noProof/>
                <w14:scene3d>
                  <w14:camera w14:prst="orthographicFront"/>
                  <w14:lightRig w14:rig="threePt" w14:dir="t">
                    <w14:rot w14:lat="0" w14:lon="0" w14:rev="0"/>
                  </w14:lightRig>
                </w14:scene3d>
              </w:rPr>
              <w:t>6.1.8.</w:t>
            </w:r>
            <w:r>
              <w:rPr>
                <w:rFonts w:asciiTheme="minorHAnsi" w:hAnsiTheme="minorHAnsi"/>
                <w:noProof/>
                <w:color w:val="auto"/>
                <w:lang w:eastAsia="sl-SI"/>
              </w:rPr>
              <w:tab/>
            </w:r>
            <w:r w:rsidRPr="00530130">
              <w:rPr>
                <w:rStyle w:val="Hiperpovezava"/>
                <w:noProof/>
              </w:rPr>
              <w:t>Ukrepi za prilagajanje na podnebne spremembe v kmetijstvu</w:t>
            </w:r>
            <w:r>
              <w:rPr>
                <w:noProof/>
                <w:webHidden/>
              </w:rPr>
              <w:tab/>
            </w:r>
            <w:r>
              <w:rPr>
                <w:noProof/>
                <w:webHidden/>
              </w:rPr>
              <w:fldChar w:fldCharType="begin"/>
            </w:r>
            <w:r>
              <w:rPr>
                <w:noProof/>
                <w:webHidden/>
              </w:rPr>
              <w:instrText xml:space="preserve"> PAGEREF _Toc97026754 \h </w:instrText>
            </w:r>
            <w:r>
              <w:rPr>
                <w:noProof/>
                <w:webHidden/>
              </w:rPr>
            </w:r>
            <w:r>
              <w:rPr>
                <w:noProof/>
                <w:webHidden/>
              </w:rPr>
              <w:fldChar w:fldCharType="separate"/>
            </w:r>
            <w:r>
              <w:rPr>
                <w:noProof/>
                <w:webHidden/>
              </w:rPr>
              <w:t>101</w:t>
            </w:r>
            <w:r>
              <w:rPr>
                <w:noProof/>
                <w:webHidden/>
              </w:rPr>
              <w:fldChar w:fldCharType="end"/>
            </w:r>
          </w:hyperlink>
        </w:p>
        <w:p w14:paraId="733E41AC" w14:textId="0A2C4190"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55" w:history="1">
            <w:r w:rsidRPr="00530130">
              <w:rPr>
                <w:rStyle w:val="Hiperpovezava"/>
                <w:noProof/>
                <w14:scene3d>
                  <w14:camera w14:prst="orthographicFront"/>
                  <w14:lightRig w14:rig="threePt" w14:dir="t">
                    <w14:rot w14:lat="0" w14:lon="0" w14:rev="0"/>
                  </w14:lightRig>
                </w14:scene3d>
              </w:rPr>
              <w:t>6.1.9.</w:t>
            </w:r>
            <w:r>
              <w:rPr>
                <w:rFonts w:asciiTheme="minorHAnsi" w:hAnsiTheme="minorHAnsi"/>
                <w:noProof/>
                <w:color w:val="auto"/>
                <w:lang w:eastAsia="sl-SI"/>
              </w:rPr>
              <w:tab/>
            </w:r>
            <w:r w:rsidRPr="00530130">
              <w:rPr>
                <w:rStyle w:val="Hiperpovezava"/>
                <w:noProof/>
              </w:rPr>
              <w:t>Ključna sporočila sektorja kmetijstvo</w:t>
            </w:r>
            <w:r>
              <w:rPr>
                <w:noProof/>
                <w:webHidden/>
              </w:rPr>
              <w:tab/>
            </w:r>
            <w:r>
              <w:rPr>
                <w:noProof/>
                <w:webHidden/>
              </w:rPr>
              <w:fldChar w:fldCharType="begin"/>
            </w:r>
            <w:r>
              <w:rPr>
                <w:noProof/>
                <w:webHidden/>
              </w:rPr>
              <w:instrText xml:space="preserve"> PAGEREF _Toc97026755 \h </w:instrText>
            </w:r>
            <w:r>
              <w:rPr>
                <w:noProof/>
                <w:webHidden/>
              </w:rPr>
            </w:r>
            <w:r>
              <w:rPr>
                <w:noProof/>
                <w:webHidden/>
              </w:rPr>
              <w:fldChar w:fldCharType="separate"/>
            </w:r>
            <w:r>
              <w:rPr>
                <w:noProof/>
                <w:webHidden/>
              </w:rPr>
              <w:t>102</w:t>
            </w:r>
            <w:r>
              <w:rPr>
                <w:noProof/>
                <w:webHidden/>
              </w:rPr>
              <w:fldChar w:fldCharType="end"/>
            </w:r>
          </w:hyperlink>
        </w:p>
        <w:p w14:paraId="366A4B1C" w14:textId="32BEEBF2" w:rsidR="007A0276" w:rsidRDefault="007A0276">
          <w:pPr>
            <w:pStyle w:val="Kazalovsebine3"/>
            <w:tabs>
              <w:tab w:val="left" w:pos="1540"/>
              <w:tab w:val="right" w:leader="dot" w:pos="9628"/>
            </w:tabs>
            <w:rPr>
              <w:rFonts w:asciiTheme="minorHAnsi" w:hAnsiTheme="minorHAnsi"/>
              <w:noProof/>
              <w:color w:val="auto"/>
              <w:lang w:eastAsia="sl-SI"/>
            </w:rPr>
          </w:pPr>
          <w:hyperlink w:anchor="_Toc97026756" w:history="1">
            <w:r w:rsidRPr="00530130">
              <w:rPr>
                <w:rStyle w:val="Hiperpovezava"/>
                <w:noProof/>
                <w14:scene3d>
                  <w14:camera w14:prst="orthographicFront"/>
                  <w14:lightRig w14:rig="threePt" w14:dir="t">
                    <w14:rot w14:lat="0" w14:lon="0" w14:rev="0"/>
                  </w14:lightRig>
                </w14:scene3d>
              </w:rPr>
              <w:t>6.1.10.</w:t>
            </w:r>
            <w:r>
              <w:rPr>
                <w:rFonts w:asciiTheme="minorHAnsi" w:hAnsiTheme="minorHAnsi"/>
                <w:noProof/>
                <w:color w:val="auto"/>
                <w:lang w:eastAsia="sl-SI"/>
              </w:rPr>
              <w:tab/>
            </w:r>
            <w:r w:rsidRPr="00530130">
              <w:rPr>
                <w:rStyle w:val="Hiperpovezava"/>
                <w:noProof/>
              </w:rPr>
              <w:t>Viri</w:t>
            </w:r>
            <w:r>
              <w:rPr>
                <w:noProof/>
                <w:webHidden/>
              </w:rPr>
              <w:tab/>
            </w:r>
            <w:r>
              <w:rPr>
                <w:noProof/>
                <w:webHidden/>
              </w:rPr>
              <w:fldChar w:fldCharType="begin"/>
            </w:r>
            <w:r>
              <w:rPr>
                <w:noProof/>
                <w:webHidden/>
              </w:rPr>
              <w:instrText xml:space="preserve"> PAGEREF _Toc97026756 \h </w:instrText>
            </w:r>
            <w:r>
              <w:rPr>
                <w:noProof/>
                <w:webHidden/>
              </w:rPr>
            </w:r>
            <w:r>
              <w:rPr>
                <w:noProof/>
                <w:webHidden/>
              </w:rPr>
              <w:fldChar w:fldCharType="separate"/>
            </w:r>
            <w:r>
              <w:rPr>
                <w:noProof/>
                <w:webHidden/>
              </w:rPr>
              <w:t>103</w:t>
            </w:r>
            <w:r>
              <w:rPr>
                <w:noProof/>
                <w:webHidden/>
              </w:rPr>
              <w:fldChar w:fldCharType="end"/>
            </w:r>
          </w:hyperlink>
        </w:p>
        <w:p w14:paraId="26D0531B" w14:textId="618D58B1" w:rsidR="007A0276" w:rsidRDefault="007A0276">
          <w:pPr>
            <w:pStyle w:val="Kazalovsebine2"/>
            <w:rPr>
              <w:rFonts w:asciiTheme="minorHAnsi" w:hAnsiTheme="minorHAnsi"/>
              <w:noProof/>
              <w:color w:val="auto"/>
              <w:lang w:eastAsia="sl-SI"/>
            </w:rPr>
          </w:pPr>
          <w:hyperlink w:anchor="_Toc97026757" w:history="1">
            <w:r w:rsidRPr="00530130">
              <w:rPr>
                <w:rStyle w:val="Hiperpovezava"/>
                <w:rFonts w:eastAsia="Calibri"/>
                <w:noProof/>
                <w:lang w:eastAsia="sl-SI"/>
                <w14:scene3d>
                  <w14:camera w14:prst="orthographicFront"/>
                  <w14:lightRig w14:rig="threePt" w14:dir="t">
                    <w14:rot w14:lat="0" w14:lon="0" w14:rev="0"/>
                  </w14:lightRig>
                </w14:scene3d>
              </w:rPr>
              <w:t>6.2.</w:t>
            </w:r>
            <w:r>
              <w:rPr>
                <w:rFonts w:asciiTheme="minorHAnsi" w:hAnsiTheme="minorHAnsi"/>
                <w:noProof/>
                <w:color w:val="auto"/>
                <w:lang w:eastAsia="sl-SI"/>
              </w:rPr>
              <w:tab/>
            </w:r>
            <w:r w:rsidRPr="00530130">
              <w:rPr>
                <w:rStyle w:val="Hiperpovezava"/>
                <w:rFonts w:eastAsia="Calibri"/>
                <w:noProof/>
                <w:lang w:eastAsia="sl-SI"/>
              </w:rPr>
              <w:t>Sektor gozdarstvo</w:t>
            </w:r>
            <w:r>
              <w:rPr>
                <w:noProof/>
                <w:webHidden/>
              </w:rPr>
              <w:tab/>
            </w:r>
            <w:r>
              <w:rPr>
                <w:noProof/>
                <w:webHidden/>
              </w:rPr>
              <w:fldChar w:fldCharType="begin"/>
            </w:r>
            <w:r>
              <w:rPr>
                <w:noProof/>
                <w:webHidden/>
              </w:rPr>
              <w:instrText xml:space="preserve"> PAGEREF _Toc97026757 \h </w:instrText>
            </w:r>
            <w:r>
              <w:rPr>
                <w:noProof/>
                <w:webHidden/>
              </w:rPr>
            </w:r>
            <w:r>
              <w:rPr>
                <w:noProof/>
                <w:webHidden/>
              </w:rPr>
              <w:fldChar w:fldCharType="separate"/>
            </w:r>
            <w:r>
              <w:rPr>
                <w:noProof/>
                <w:webHidden/>
              </w:rPr>
              <w:t>104</w:t>
            </w:r>
            <w:r>
              <w:rPr>
                <w:noProof/>
                <w:webHidden/>
              </w:rPr>
              <w:fldChar w:fldCharType="end"/>
            </w:r>
          </w:hyperlink>
        </w:p>
        <w:p w14:paraId="2110F5CC" w14:textId="52925C5C"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58" w:history="1">
            <w:r w:rsidRPr="00530130">
              <w:rPr>
                <w:rStyle w:val="Hiperpovezava"/>
                <w:rFonts w:eastAsia="Calibri"/>
                <w:noProof/>
                <w:lang w:eastAsia="sl-SI"/>
                <w14:scene3d>
                  <w14:camera w14:prst="orthographicFront"/>
                  <w14:lightRig w14:rig="threePt" w14:dir="t">
                    <w14:rot w14:lat="0" w14:lon="0" w14:rev="0"/>
                  </w14:lightRig>
                </w14:scene3d>
              </w:rPr>
              <w:t>6.2.1.</w:t>
            </w:r>
            <w:r>
              <w:rPr>
                <w:rFonts w:asciiTheme="minorHAnsi" w:hAnsiTheme="minorHAnsi"/>
                <w:noProof/>
                <w:color w:val="auto"/>
                <w:lang w:eastAsia="sl-SI"/>
              </w:rPr>
              <w:tab/>
            </w:r>
            <w:r w:rsidRPr="00530130">
              <w:rPr>
                <w:rStyle w:val="Hiperpovezava"/>
                <w:noProof/>
              </w:rPr>
              <w:t>Metodologija</w:t>
            </w:r>
            <w:r w:rsidRPr="00530130">
              <w:rPr>
                <w:rStyle w:val="Hiperpovezava"/>
                <w:rFonts w:eastAsia="Calibri"/>
                <w:noProof/>
                <w:lang w:eastAsia="sl-SI"/>
              </w:rPr>
              <w:t xml:space="preserve"> sektorja gozdarstvo</w:t>
            </w:r>
            <w:r>
              <w:rPr>
                <w:noProof/>
                <w:webHidden/>
              </w:rPr>
              <w:tab/>
            </w:r>
            <w:r>
              <w:rPr>
                <w:noProof/>
                <w:webHidden/>
              </w:rPr>
              <w:fldChar w:fldCharType="begin"/>
            </w:r>
            <w:r>
              <w:rPr>
                <w:noProof/>
                <w:webHidden/>
              </w:rPr>
              <w:instrText xml:space="preserve"> PAGEREF _Toc97026758 \h </w:instrText>
            </w:r>
            <w:r>
              <w:rPr>
                <w:noProof/>
                <w:webHidden/>
              </w:rPr>
            </w:r>
            <w:r>
              <w:rPr>
                <w:noProof/>
                <w:webHidden/>
              </w:rPr>
              <w:fldChar w:fldCharType="separate"/>
            </w:r>
            <w:r>
              <w:rPr>
                <w:noProof/>
                <w:webHidden/>
              </w:rPr>
              <w:t>104</w:t>
            </w:r>
            <w:r>
              <w:rPr>
                <w:noProof/>
                <w:webHidden/>
              </w:rPr>
              <w:fldChar w:fldCharType="end"/>
            </w:r>
          </w:hyperlink>
        </w:p>
        <w:p w14:paraId="22B2556C" w14:textId="085203F3"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59" w:history="1">
            <w:r w:rsidRPr="00530130">
              <w:rPr>
                <w:rStyle w:val="Hiperpovezava"/>
                <w:rFonts w:eastAsia="Calibri"/>
                <w:noProof/>
                <w:lang w:eastAsia="sl-SI"/>
                <w14:scene3d>
                  <w14:camera w14:prst="orthographicFront"/>
                  <w14:lightRig w14:rig="threePt" w14:dir="t">
                    <w14:rot w14:lat="0" w14:lon="0" w14:rev="0"/>
                  </w14:lightRig>
                </w14:scene3d>
              </w:rPr>
              <w:t>6.2.2.</w:t>
            </w:r>
            <w:r>
              <w:rPr>
                <w:rFonts w:asciiTheme="minorHAnsi" w:hAnsiTheme="minorHAnsi"/>
                <w:noProof/>
                <w:color w:val="auto"/>
                <w:lang w:eastAsia="sl-SI"/>
              </w:rPr>
              <w:tab/>
            </w:r>
            <w:r w:rsidRPr="00530130">
              <w:rPr>
                <w:rStyle w:val="Hiperpovezava"/>
                <w:rFonts w:eastAsia="Calibri"/>
                <w:noProof/>
                <w:lang w:eastAsia="sl-SI"/>
              </w:rPr>
              <w:t>Zakonodajni okvir, okoljski cilji, merila in metoda ugotavljanja in vrednotenja vplivov načrta na sektor gozdarstvo</w:t>
            </w:r>
            <w:r>
              <w:rPr>
                <w:noProof/>
                <w:webHidden/>
              </w:rPr>
              <w:tab/>
            </w:r>
            <w:r>
              <w:rPr>
                <w:noProof/>
                <w:webHidden/>
              </w:rPr>
              <w:fldChar w:fldCharType="begin"/>
            </w:r>
            <w:r>
              <w:rPr>
                <w:noProof/>
                <w:webHidden/>
              </w:rPr>
              <w:instrText xml:space="preserve"> PAGEREF _Toc97026759 \h </w:instrText>
            </w:r>
            <w:r>
              <w:rPr>
                <w:noProof/>
                <w:webHidden/>
              </w:rPr>
            </w:r>
            <w:r>
              <w:rPr>
                <w:noProof/>
                <w:webHidden/>
              </w:rPr>
              <w:fldChar w:fldCharType="separate"/>
            </w:r>
            <w:r>
              <w:rPr>
                <w:noProof/>
                <w:webHidden/>
              </w:rPr>
              <w:t>104</w:t>
            </w:r>
            <w:r>
              <w:rPr>
                <w:noProof/>
                <w:webHidden/>
              </w:rPr>
              <w:fldChar w:fldCharType="end"/>
            </w:r>
          </w:hyperlink>
        </w:p>
        <w:p w14:paraId="2E83E08F" w14:textId="3594951B"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60" w:history="1">
            <w:r w:rsidRPr="00530130">
              <w:rPr>
                <w:rStyle w:val="Hiperpovezava"/>
                <w:rFonts w:eastAsia="Calibri"/>
                <w:noProof/>
                <w:lang w:eastAsia="sl-SI"/>
                <w14:scene3d>
                  <w14:camera w14:prst="orthographicFront"/>
                  <w14:lightRig w14:rig="threePt" w14:dir="t">
                    <w14:rot w14:lat="0" w14:lon="0" w14:rev="0"/>
                  </w14:lightRig>
                </w14:scene3d>
              </w:rPr>
              <w:t>6.2.3.</w:t>
            </w:r>
            <w:r>
              <w:rPr>
                <w:rFonts w:asciiTheme="minorHAnsi" w:hAnsiTheme="minorHAnsi"/>
                <w:noProof/>
                <w:color w:val="auto"/>
                <w:lang w:eastAsia="sl-SI"/>
              </w:rPr>
              <w:tab/>
            </w:r>
            <w:r w:rsidRPr="00530130">
              <w:rPr>
                <w:rStyle w:val="Hiperpovezava"/>
                <w:rFonts w:eastAsia="Calibri"/>
                <w:noProof/>
                <w:lang w:eastAsia="sl-SI"/>
              </w:rPr>
              <w:t>Obstoječe stanje sektorja gozdarstvo</w:t>
            </w:r>
            <w:r>
              <w:rPr>
                <w:noProof/>
                <w:webHidden/>
              </w:rPr>
              <w:tab/>
            </w:r>
            <w:r>
              <w:rPr>
                <w:noProof/>
                <w:webHidden/>
              </w:rPr>
              <w:fldChar w:fldCharType="begin"/>
            </w:r>
            <w:r>
              <w:rPr>
                <w:noProof/>
                <w:webHidden/>
              </w:rPr>
              <w:instrText xml:space="preserve"> PAGEREF _Toc97026760 \h </w:instrText>
            </w:r>
            <w:r>
              <w:rPr>
                <w:noProof/>
                <w:webHidden/>
              </w:rPr>
            </w:r>
            <w:r>
              <w:rPr>
                <w:noProof/>
                <w:webHidden/>
              </w:rPr>
              <w:fldChar w:fldCharType="separate"/>
            </w:r>
            <w:r>
              <w:rPr>
                <w:noProof/>
                <w:webHidden/>
              </w:rPr>
              <w:t>105</w:t>
            </w:r>
            <w:r>
              <w:rPr>
                <w:noProof/>
                <w:webHidden/>
              </w:rPr>
              <w:fldChar w:fldCharType="end"/>
            </w:r>
          </w:hyperlink>
        </w:p>
        <w:p w14:paraId="144A9D00" w14:textId="00276854"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61" w:history="1">
            <w:r w:rsidRPr="00530130">
              <w:rPr>
                <w:rStyle w:val="Hiperpovezava"/>
                <w:rFonts w:eastAsia="Calibri"/>
                <w:noProof/>
                <w:lang w:eastAsia="sl-SI"/>
                <w14:scene3d>
                  <w14:camera w14:prst="orthographicFront"/>
                  <w14:lightRig w14:rig="threePt" w14:dir="t">
                    <w14:rot w14:lat="0" w14:lon="0" w14:rev="0"/>
                  </w14:lightRig>
                </w14:scene3d>
              </w:rPr>
              <w:t>6.2.4.</w:t>
            </w:r>
            <w:r>
              <w:rPr>
                <w:rFonts w:asciiTheme="minorHAnsi" w:hAnsiTheme="minorHAnsi"/>
                <w:noProof/>
                <w:color w:val="auto"/>
                <w:lang w:eastAsia="sl-SI"/>
              </w:rPr>
              <w:tab/>
            </w:r>
            <w:r w:rsidRPr="00530130">
              <w:rPr>
                <w:rStyle w:val="Hiperpovezava"/>
                <w:rFonts w:eastAsia="Calibri"/>
                <w:noProof/>
                <w:lang w:eastAsia="sl-SI"/>
              </w:rPr>
              <w:t>Ocena potencialnih vplivov podnebnih sprememb na sektor gozdarstvo po kazalnikih</w:t>
            </w:r>
            <w:r>
              <w:rPr>
                <w:noProof/>
                <w:webHidden/>
              </w:rPr>
              <w:tab/>
            </w:r>
            <w:r>
              <w:rPr>
                <w:noProof/>
                <w:webHidden/>
              </w:rPr>
              <w:fldChar w:fldCharType="begin"/>
            </w:r>
            <w:r>
              <w:rPr>
                <w:noProof/>
                <w:webHidden/>
              </w:rPr>
              <w:instrText xml:space="preserve"> PAGEREF _Toc97026761 \h </w:instrText>
            </w:r>
            <w:r>
              <w:rPr>
                <w:noProof/>
                <w:webHidden/>
              </w:rPr>
            </w:r>
            <w:r>
              <w:rPr>
                <w:noProof/>
                <w:webHidden/>
              </w:rPr>
              <w:fldChar w:fldCharType="separate"/>
            </w:r>
            <w:r>
              <w:rPr>
                <w:noProof/>
                <w:webHidden/>
              </w:rPr>
              <w:t>112</w:t>
            </w:r>
            <w:r>
              <w:rPr>
                <w:noProof/>
                <w:webHidden/>
              </w:rPr>
              <w:fldChar w:fldCharType="end"/>
            </w:r>
          </w:hyperlink>
        </w:p>
        <w:p w14:paraId="0D75D4AE" w14:textId="25C650C7"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62" w:history="1">
            <w:r w:rsidRPr="00530130">
              <w:rPr>
                <w:rStyle w:val="Hiperpovezava"/>
                <w:rFonts w:eastAsia="Calibri"/>
                <w:noProof/>
                <w:lang w:eastAsia="sl-SI"/>
                <w14:scene3d>
                  <w14:camera w14:prst="orthographicFront"/>
                  <w14:lightRig w14:rig="threePt" w14:dir="t">
                    <w14:rot w14:lat="0" w14:lon="0" w14:rev="0"/>
                  </w14:lightRig>
                </w14:scene3d>
              </w:rPr>
              <w:t>6.2.5.</w:t>
            </w:r>
            <w:r>
              <w:rPr>
                <w:rFonts w:asciiTheme="minorHAnsi" w:hAnsiTheme="minorHAnsi"/>
                <w:noProof/>
                <w:color w:val="auto"/>
                <w:lang w:eastAsia="sl-SI"/>
              </w:rPr>
              <w:tab/>
            </w:r>
            <w:r w:rsidRPr="00530130">
              <w:rPr>
                <w:rStyle w:val="Hiperpovezava"/>
                <w:rFonts w:eastAsia="Calibri"/>
                <w:noProof/>
                <w:lang w:eastAsia="sl-SI"/>
              </w:rPr>
              <w:t>Ocena sposobnosti prilagajanja sektorja gozdarstvo</w:t>
            </w:r>
            <w:r>
              <w:rPr>
                <w:noProof/>
                <w:webHidden/>
              </w:rPr>
              <w:tab/>
            </w:r>
            <w:r>
              <w:rPr>
                <w:noProof/>
                <w:webHidden/>
              </w:rPr>
              <w:fldChar w:fldCharType="begin"/>
            </w:r>
            <w:r>
              <w:rPr>
                <w:noProof/>
                <w:webHidden/>
              </w:rPr>
              <w:instrText xml:space="preserve"> PAGEREF _Toc97026762 \h </w:instrText>
            </w:r>
            <w:r>
              <w:rPr>
                <w:noProof/>
                <w:webHidden/>
              </w:rPr>
            </w:r>
            <w:r>
              <w:rPr>
                <w:noProof/>
                <w:webHidden/>
              </w:rPr>
              <w:fldChar w:fldCharType="separate"/>
            </w:r>
            <w:r>
              <w:rPr>
                <w:noProof/>
                <w:webHidden/>
              </w:rPr>
              <w:t>124</w:t>
            </w:r>
            <w:r>
              <w:rPr>
                <w:noProof/>
                <w:webHidden/>
              </w:rPr>
              <w:fldChar w:fldCharType="end"/>
            </w:r>
          </w:hyperlink>
        </w:p>
        <w:p w14:paraId="7C6CDC37" w14:textId="0A2859A7"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63" w:history="1">
            <w:r w:rsidRPr="00530130">
              <w:rPr>
                <w:rStyle w:val="Hiperpovezava"/>
                <w:rFonts w:eastAsia="Calibri"/>
                <w:noProof/>
                <w:lang w:eastAsia="sl-SI"/>
                <w14:scene3d>
                  <w14:camera w14:prst="orthographicFront"/>
                  <w14:lightRig w14:rig="threePt" w14:dir="t">
                    <w14:rot w14:lat="0" w14:lon="0" w14:rev="0"/>
                  </w14:lightRig>
                </w14:scene3d>
              </w:rPr>
              <w:t>6.2.6.</w:t>
            </w:r>
            <w:r>
              <w:rPr>
                <w:rFonts w:asciiTheme="minorHAnsi" w:hAnsiTheme="minorHAnsi"/>
                <w:noProof/>
                <w:color w:val="auto"/>
                <w:lang w:eastAsia="sl-SI"/>
              </w:rPr>
              <w:tab/>
            </w:r>
            <w:r w:rsidRPr="00530130">
              <w:rPr>
                <w:rStyle w:val="Hiperpovezava"/>
                <w:rFonts w:eastAsia="Calibri"/>
                <w:noProof/>
                <w:lang w:eastAsia="sl-SI"/>
              </w:rPr>
              <w:t>Ocena ranljivosti sektorja gozdarstvo</w:t>
            </w:r>
            <w:r>
              <w:rPr>
                <w:noProof/>
                <w:webHidden/>
              </w:rPr>
              <w:tab/>
            </w:r>
            <w:r>
              <w:rPr>
                <w:noProof/>
                <w:webHidden/>
              </w:rPr>
              <w:fldChar w:fldCharType="begin"/>
            </w:r>
            <w:r>
              <w:rPr>
                <w:noProof/>
                <w:webHidden/>
              </w:rPr>
              <w:instrText xml:space="preserve"> PAGEREF _Toc97026763 \h </w:instrText>
            </w:r>
            <w:r>
              <w:rPr>
                <w:noProof/>
                <w:webHidden/>
              </w:rPr>
            </w:r>
            <w:r>
              <w:rPr>
                <w:noProof/>
                <w:webHidden/>
              </w:rPr>
              <w:fldChar w:fldCharType="separate"/>
            </w:r>
            <w:r>
              <w:rPr>
                <w:noProof/>
                <w:webHidden/>
              </w:rPr>
              <w:t>126</w:t>
            </w:r>
            <w:r>
              <w:rPr>
                <w:noProof/>
                <w:webHidden/>
              </w:rPr>
              <w:fldChar w:fldCharType="end"/>
            </w:r>
          </w:hyperlink>
        </w:p>
        <w:p w14:paraId="77493558" w14:textId="7950D7B1"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64" w:history="1">
            <w:r w:rsidRPr="00530130">
              <w:rPr>
                <w:rStyle w:val="Hiperpovezava"/>
                <w:noProof/>
                <w14:scene3d>
                  <w14:camera w14:prst="orthographicFront"/>
                  <w14:lightRig w14:rig="threePt" w14:dir="t">
                    <w14:rot w14:lat="0" w14:lon="0" w14:rev="0"/>
                  </w14:lightRig>
                </w14:scene3d>
              </w:rPr>
              <w:t>6.2.7.</w:t>
            </w:r>
            <w:r>
              <w:rPr>
                <w:rFonts w:asciiTheme="minorHAnsi" w:hAnsiTheme="minorHAnsi"/>
                <w:noProof/>
                <w:color w:val="auto"/>
                <w:lang w:eastAsia="sl-SI"/>
              </w:rPr>
              <w:tab/>
            </w:r>
            <w:r w:rsidRPr="00530130">
              <w:rPr>
                <w:rStyle w:val="Hiperpovezava"/>
                <w:noProof/>
              </w:rPr>
              <w:t>Ocena tveganja sektorja gozdarstvo</w:t>
            </w:r>
            <w:r>
              <w:rPr>
                <w:noProof/>
                <w:webHidden/>
              </w:rPr>
              <w:tab/>
            </w:r>
            <w:r>
              <w:rPr>
                <w:noProof/>
                <w:webHidden/>
              </w:rPr>
              <w:fldChar w:fldCharType="begin"/>
            </w:r>
            <w:r>
              <w:rPr>
                <w:noProof/>
                <w:webHidden/>
              </w:rPr>
              <w:instrText xml:space="preserve"> PAGEREF _Toc97026764 \h </w:instrText>
            </w:r>
            <w:r>
              <w:rPr>
                <w:noProof/>
                <w:webHidden/>
              </w:rPr>
            </w:r>
            <w:r>
              <w:rPr>
                <w:noProof/>
                <w:webHidden/>
              </w:rPr>
              <w:fldChar w:fldCharType="separate"/>
            </w:r>
            <w:r>
              <w:rPr>
                <w:noProof/>
                <w:webHidden/>
              </w:rPr>
              <w:t>130</w:t>
            </w:r>
            <w:r>
              <w:rPr>
                <w:noProof/>
                <w:webHidden/>
              </w:rPr>
              <w:fldChar w:fldCharType="end"/>
            </w:r>
          </w:hyperlink>
        </w:p>
        <w:p w14:paraId="4E906B7A" w14:textId="6C15F686"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65" w:history="1">
            <w:r w:rsidRPr="00530130">
              <w:rPr>
                <w:rStyle w:val="Hiperpovezava"/>
                <w:noProof/>
                <w14:scene3d>
                  <w14:camera w14:prst="orthographicFront"/>
                  <w14:lightRig w14:rig="threePt" w14:dir="t">
                    <w14:rot w14:lat="0" w14:lon="0" w14:rev="0"/>
                  </w14:lightRig>
                </w14:scene3d>
              </w:rPr>
              <w:t>6.2.8.</w:t>
            </w:r>
            <w:r>
              <w:rPr>
                <w:rFonts w:asciiTheme="minorHAnsi" w:hAnsiTheme="minorHAnsi"/>
                <w:noProof/>
                <w:color w:val="auto"/>
                <w:lang w:eastAsia="sl-SI"/>
              </w:rPr>
              <w:tab/>
            </w:r>
            <w:r w:rsidRPr="00530130">
              <w:rPr>
                <w:rStyle w:val="Hiperpovezava"/>
                <w:noProof/>
              </w:rPr>
              <w:t>Ključna sporočila sektorja gozdarstvo</w:t>
            </w:r>
            <w:r>
              <w:rPr>
                <w:noProof/>
                <w:webHidden/>
              </w:rPr>
              <w:tab/>
            </w:r>
            <w:r>
              <w:rPr>
                <w:noProof/>
                <w:webHidden/>
              </w:rPr>
              <w:fldChar w:fldCharType="begin"/>
            </w:r>
            <w:r>
              <w:rPr>
                <w:noProof/>
                <w:webHidden/>
              </w:rPr>
              <w:instrText xml:space="preserve"> PAGEREF _Toc97026765 \h </w:instrText>
            </w:r>
            <w:r>
              <w:rPr>
                <w:noProof/>
                <w:webHidden/>
              </w:rPr>
            </w:r>
            <w:r>
              <w:rPr>
                <w:noProof/>
                <w:webHidden/>
              </w:rPr>
              <w:fldChar w:fldCharType="separate"/>
            </w:r>
            <w:r>
              <w:rPr>
                <w:noProof/>
                <w:webHidden/>
              </w:rPr>
              <w:t>136</w:t>
            </w:r>
            <w:r>
              <w:rPr>
                <w:noProof/>
                <w:webHidden/>
              </w:rPr>
              <w:fldChar w:fldCharType="end"/>
            </w:r>
          </w:hyperlink>
        </w:p>
        <w:p w14:paraId="15780090" w14:textId="24E301FD"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66" w:history="1">
            <w:r w:rsidRPr="00530130">
              <w:rPr>
                <w:rStyle w:val="Hiperpovezava"/>
                <w:rFonts w:eastAsia="Calibri"/>
                <w:noProof/>
                <w:lang w:eastAsia="sl-SI"/>
                <w14:scene3d>
                  <w14:camera w14:prst="orthographicFront"/>
                  <w14:lightRig w14:rig="threePt" w14:dir="t">
                    <w14:rot w14:lat="0" w14:lon="0" w14:rev="0"/>
                  </w14:lightRig>
                </w14:scene3d>
              </w:rPr>
              <w:t>6.2.9.</w:t>
            </w:r>
            <w:r>
              <w:rPr>
                <w:rFonts w:asciiTheme="minorHAnsi" w:hAnsiTheme="minorHAnsi"/>
                <w:noProof/>
                <w:color w:val="auto"/>
                <w:lang w:eastAsia="sl-SI"/>
              </w:rPr>
              <w:tab/>
            </w:r>
            <w:r w:rsidRPr="00530130">
              <w:rPr>
                <w:rStyle w:val="Hiperpovezava"/>
                <w:rFonts w:eastAsia="Calibri"/>
                <w:noProof/>
                <w:lang w:eastAsia="sl-SI"/>
              </w:rPr>
              <w:t>Viri</w:t>
            </w:r>
            <w:r>
              <w:rPr>
                <w:noProof/>
                <w:webHidden/>
              </w:rPr>
              <w:tab/>
            </w:r>
            <w:r>
              <w:rPr>
                <w:noProof/>
                <w:webHidden/>
              </w:rPr>
              <w:fldChar w:fldCharType="begin"/>
            </w:r>
            <w:r>
              <w:rPr>
                <w:noProof/>
                <w:webHidden/>
              </w:rPr>
              <w:instrText xml:space="preserve"> PAGEREF _Toc97026766 \h </w:instrText>
            </w:r>
            <w:r>
              <w:rPr>
                <w:noProof/>
                <w:webHidden/>
              </w:rPr>
            </w:r>
            <w:r>
              <w:rPr>
                <w:noProof/>
                <w:webHidden/>
              </w:rPr>
              <w:fldChar w:fldCharType="separate"/>
            </w:r>
            <w:r>
              <w:rPr>
                <w:noProof/>
                <w:webHidden/>
              </w:rPr>
              <w:t>137</w:t>
            </w:r>
            <w:r>
              <w:rPr>
                <w:noProof/>
                <w:webHidden/>
              </w:rPr>
              <w:fldChar w:fldCharType="end"/>
            </w:r>
          </w:hyperlink>
        </w:p>
        <w:p w14:paraId="37BA549A" w14:textId="2F1939C4" w:rsidR="007A0276" w:rsidRDefault="007A0276">
          <w:pPr>
            <w:pStyle w:val="Kazalovsebine2"/>
            <w:rPr>
              <w:rFonts w:asciiTheme="minorHAnsi" w:hAnsiTheme="minorHAnsi"/>
              <w:noProof/>
              <w:color w:val="auto"/>
              <w:lang w:eastAsia="sl-SI"/>
            </w:rPr>
          </w:pPr>
          <w:hyperlink w:anchor="_Toc97026767" w:history="1">
            <w:r w:rsidRPr="00530130">
              <w:rPr>
                <w:rStyle w:val="Hiperpovezava"/>
                <w:rFonts w:eastAsia="Calibri"/>
                <w:noProof/>
                <w:lang w:eastAsia="sl-SI"/>
                <w14:scene3d>
                  <w14:camera w14:prst="orthographicFront"/>
                  <w14:lightRig w14:rig="threePt" w14:dir="t">
                    <w14:rot w14:lat="0" w14:lon="0" w14:rev="0"/>
                  </w14:lightRig>
                </w14:scene3d>
              </w:rPr>
              <w:t>6.3.</w:t>
            </w:r>
            <w:r>
              <w:rPr>
                <w:rFonts w:asciiTheme="minorHAnsi" w:hAnsiTheme="minorHAnsi"/>
                <w:noProof/>
                <w:color w:val="auto"/>
                <w:lang w:eastAsia="sl-SI"/>
              </w:rPr>
              <w:tab/>
            </w:r>
            <w:r w:rsidRPr="00530130">
              <w:rPr>
                <w:rStyle w:val="Hiperpovezava"/>
                <w:rFonts w:eastAsia="Calibri"/>
                <w:noProof/>
                <w:lang w:eastAsia="sl-SI"/>
              </w:rPr>
              <w:t>Sektor zdravstvo</w:t>
            </w:r>
            <w:r>
              <w:rPr>
                <w:noProof/>
                <w:webHidden/>
              </w:rPr>
              <w:tab/>
            </w:r>
            <w:r>
              <w:rPr>
                <w:noProof/>
                <w:webHidden/>
              </w:rPr>
              <w:fldChar w:fldCharType="begin"/>
            </w:r>
            <w:r>
              <w:rPr>
                <w:noProof/>
                <w:webHidden/>
              </w:rPr>
              <w:instrText xml:space="preserve"> PAGEREF _Toc97026767 \h </w:instrText>
            </w:r>
            <w:r>
              <w:rPr>
                <w:noProof/>
                <w:webHidden/>
              </w:rPr>
            </w:r>
            <w:r>
              <w:rPr>
                <w:noProof/>
                <w:webHidden/>
              </w:rPr>
              <w:fldChar w:fldCharType="separate"/>
            </w:r>
            <w:r>
              <w:rPr>
                <w:noProof/>
                <w:webHidden/>
              </w:rPr>
              <w:t>141</w:t>
            </w:r>
            <w:r>
              <w:rPr>
                <w:noProof/>
                <w:webHidden/>
              </w:rPr>
              <w:fldChar w:fldCharType="end"/>
            </w:r>
          </w:hyperlink>
        </w:p>
        <w:p w14:paraId="024C6BF2" w14:textId="260DC90E"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68" w:history="1">
            <w:r w:rsidRPr="00530130">
              <w:rPr>
                <w:rStyle w:val="Hiperpovezava"/>
                <w:rFonts w:eastAsia="Calibri"/>
                <w:noProof/>
                <w:lang w:eastAsia="sl-SI"/>
                <w14:scene3d>
                  <w14:camera w14:prst="orthographicFront"/>
                  <w14:lightRig w14:rig="threePt" w14:dir="t">
                    <w14:rot w14:lat="0" w14:lon="0" w14:rev="0"/>
                  </w14:lightRig>
                </w14:scene3d>
              </w:rPr>
              <w:t>6.3.1.</w:t>
            </w:r>
            <w:r>
              <w:rPr>
                <w:rFonts w:asciiTheme="minorHAnsi" w:hAnsiTheme="minorHAnsi"/>
                <w:noProof/>
                <w:color w:val="auto"/>
                <w:lang w:eastAsia="sl-SI"/>
              </w:rPr>
              <w:tab/>
            </w:r>
            <w:r w:rsidRPr="00530130">
              <w:rPr>
                <w:rStyle w:val="Hiperpovezava"/>
                <w:rFonts w:eastAsia="Calibri"/>
                <w:noProof/>
                <w:lang w:eastAsia="sl-SI"/>
              </w:rPr>
              <w:t xml:space="preserve">Metodologija </w:t>
            </w:r>
            <w:r w:rsidRPr="00530130">
              <w:rPr>
                <w:rStyle w:val="Hiperpovezava"/>
                <w:noProof/>
              </w:rPr>
              <w:t>sektorja</w:t>
            </w:r>
            <w:r w:rsidRPr="00530130">
              <w:rPr>
                <w:rStyle w:val="Hiperpovezava"/>
                <w:rFonts w:eastAsia="Calibri"/>
                <w:noProof/>
                <w:lang w:eastAsia="sl-SI"/>
              </w:rPr>
              <w:t xml:space="preserve"> zdravstvo</w:t>
            </w:r>
            <w:r>
              <w:rPr>
                <w:noProof/>
                <w:webHidden/>
              </w:rPr>
              <w:tab/>
            </w:r>
            <w:r>
              <w:rPr>
                <w:noProof/>
                <w:webHidden/>
              </w:rPr>
              <w:fldChar w:fldCharType="begin"/>
            </w:r>
            <w:r>
              <w:rPr>
                <w:noProof/>
                <w:webHidden/>
              </w:rPr>
              <w:instrText xml:space="preserve"> PAGEREF _Toc97026768 \h </w:instrText>
            </w:r>
            <w:r>
              <w:rPr>
                <w:noProof/>
                <w:webHidden/>
              </w:rPr>
            </w:r>
            <w:r>
              <w:rPr>
                <w:noProof/>
                <w:webHidden/>
              </w:rPr>
              <w:fldChar w:fldCharType="separate"/>
            </w:r>
            <w:r>
              <w:rPr>
                <w:noProof/>
                <w:webHidden/>
              </w:rPr>
              <w:t>141</w:t>
            </w:r>
            <w:r>
              <w:rPr>
                <w:noProof/>
                <w:webHidden/>
              </w:rPr>
              <w:fldChar w:fldCharType="end"/>
            </w:r>
          </w:hyperlink>
        </w:p>
        <w:p w14:paraId="48D5C7C7" w14:textId="1AC2A2BD"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69" w:history="1">
            <w:r w:rsidRPr="00530130">
              <w:rPr>
                <w:rStyle w:val="Hiperpovezava"/>
                <w:rFonts w:eastAsia="Calibri"/>
                <w:noProof/>
                <w:lang w:eastAsia="sl-SI"/>
                <w14:scene3d>
                  <w14:camera w14:prst="orthographicFront"/>
                  <w14:lightRig w14:rig="threePt" w14:dir="t">
                    <w14:rot w14:lat="0" w14:lon="0" w14:rev="0"/>
                  </w14:lightRig>
                </w14:scene3d>
              </w:rPr>
              <w:t>6.3.2.</w:t>
            </w:r>
            <w:r>
              <w:rPr>
                <w:rFonts w:asciiTheme="minorHAnsi" w:hAnsiTheme="minorHAnsi"/>
                <w:noProof/>
                <w:color w:val="auto"/>
                <w:lang w:eastAsia="sl-SI"/>
              </w:rPr>
              <w:tab/>
            </w:r>
            <w:r w:rsidRPr="00530130">
              <w:rPr>
                <w:rStyle w:val="Hiperpovezava"/>
                <w:rFonts w:eastAsia="Calibri"/>
                <w:noProof/>
                <w:lang w:eastAsia="sl-SI"/>
              </w:rPr>
              <w:t>Zakonodajni okvir za sektor zdravstvo</w:t>
            </w:r>
            <w:r>
              <w:rPr>
                <w:noProof/>
                <w:webHidden/>
              </w:rPr>
              <w:tab/>
            </w:r>
            <w:r>
              <w:rPr>
                <w:noProof/>
                <w:webHidden/>
              </w:rPr>
              <w:fldChar w:fldCharType="begin"/>
            </w:r>
            <w:r>
              <w:rPr>
                <w:noProof/>
                <w:webHidden/>
              </w:rPr>
              <w:instrText xml:space="preserve"> PAGEREF _Toc97026769 \h </w:instrText>
            </w:r>
            <w:r>
              <w:rPr>
                <w:noProof/>
                <w:webHidden/>
              </w:rPr>
            </w:r>
            <w:r>
              <w:rPr>
                <w:noProof/>
                <w:webHidden/>
              </w:rPr>
              <w:fldChar w:fldCharType="separate"/>
            </w:r>
            <w:r>
              <w:rPr>
                <w:noProof/>
                <w:webHidden/>
              </w:rPr>
              <w:t>141</w:t>
            </w:r>
            <w:r>
              <w:rPr>
                <w:noProof/>
                <w:webHidden/>
              </w:rPr>
              <w:fldChar w:fldCharType="end"/>
            </w:r>
          </w:hyperlink>
        </w:p>
        <w:p w14:paraId="4C5E0538" w14:textId="43826C3D"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70" w:history="1">
            <w:r w:rsidRPr="00530130">
              <w:rPr>
                <w:rStyle w:val="Hiperpovezava"/>
                <w:rFonts w:eastAsia="Calibri"/>
                <w:noProof/>
                <w:lang w:eastAsia="sl-SI"/>
                <w14:scene3d>
                  <w14:camera w14:prst="orthographicFront"/>
                  <w14:lightRig w14:rig="threePt" w14:dir="t">
                    <w14:rot w14:lat="0" w14:lon="0" w14:rev="0"/>
                  </w14:lightRig>
                </w14:scene3d>
              </w:rPr>
              <w:t>6.3.3.</w:t>
            </w:r>
            <w:r>
              <w:rPr>
                <w:rFonts w:asciiTheme="minorHAnsi" w:hAnsiTheme="minorHAnsi"/>
                <w:noProof/>
                <w:color w:val="auto"/>
                <w:lang w:eastAsia="sl-SI"/>
              </w:rPr>
              <w:tab/>
            </w:r>
            <w:r w:rsidRPr="00530130">
              <w:rPr>
                <w:rStyle w:val="Hiperpovezava"/>
                <w:noProof/>
              </w:rPr>
              <w:t>Obstoječe</w:t>
            </w:r>
            <w:r w:rsidRPr="00530130">
              <w:rPr>
                <w:rStyle w:val="Hiperpovezava"/>
                <w:rFonts w:eastAsia="Calibri"/>
                <w:noProof/>
                <w:lang w:eastAsia="sl-SI"/>
              </w:rPr>
              <w:t xml:space="preserve"> stanje sektorja zdravstvo</w:t>
            </w:r>
            <w:r>
              <w:rPr>
                <w:noProof/>
                <w:webHidden/>
              </w:rPr>
              <w:tab/>
            </w:r>
            <w:r>
              <w:rPr>
                <w:noProof/>
                <w:webHidden/>
              </w:rPr>
              <w:fldChar w:fldCharType="begin"/>
            </w:r>
            <w:r>
              <w:rPr>
                <w:noProof/>
                <w:webHidden/>
              </w:rPr>
              <w:instrText xml:space="preserve"> PAGEREF _Toc97026770 \h </w:instrText>
            </w:r>
            <w:r>
              <w:rPr>
                <w:noProof/>
                <w:webHidden/>
              </w:rPr>
            </w:r>
            <w:r>
              <w:rPr>
                <w:noProof/>
                <w:webHidden/>
              </w:rPr>
              <w:fldChar w:fldCharType="separate"/>
            </w:r>
            <w:r>
              <w:rPr>
                <w:noProof/>
                <w:webHidden/>
              </w:rPr>
              <w:t>143</w:t>
            </w:r>
            <w:r>
              <w:rPr>
                <w:noProof/>
                <w:webHidden/>
              </w:rPr>
              <w:fldChar w:fldCharType="end"/>
            </w:r>
          </w:hyperlink>
        </w:p>
        <w:p w14:paraId="4DFB23B6" w14:textId="633606AA"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71" w:history="1">
            <w:r w:rsidRPr="00530130">
              <w:rPr>
                <w:rStyle w:val="Hiperpovezava"/>
                <w:rFonts w:eastAsia="Calibri"/>
                <w:noProof/>
                <w:lang w:eastAsia="sl-SI"/>
                <w14:scene3d>
                  <w14:camera w14:prst="orthographicFront"/>
                  <w14:lightRig w14:rig="threePt" w14:dir="t">
                    <w14:rot w14:lat="0" w14:lon="0" w14:rev="0"/>
                  </w14:lightRig>
                </w14:scene3d>
              </w:rPr>
              <w:t>6.3.4.</w:t>
            </w:r>
            <w:r>
              <w:rPr>
                <w:rFonts w:asciiTheme="minorHAnsi" w:hAnsiTheme="minorHAnsi"/>
                <w:noProof/>
                <w:color w:val="auto"/>
                <w:lang w:eastAsia="sl-SI"/>
              </w:rPr>
              <w:tab/>
            </w:r>
            <w:r w:rsidRPr="00530130">
              <w:rPr>
                <w:rStyle w:val="Hiperpovezava"/>
                <w:rFonts w:eastAsia="Calibri"/>
                <w:noProof/>
                <w:lang w:eastAsia="sl-SI"/>
              </w:rPr>
              <w:t>Ocena potencialnih vplivov podnebnih sprememb na sektor zdravstvo po kazalnikih</w:t>
            </w:r>
            <w:r>
              <w:rPr>
                <w:noProof/>
                <w:webHidden/>
              </w:rPr>
              <w:tab/>
            </w:r>
            <w:r>
              <w:rPr>
                <w:noProof/>
                <w:webHidden/>
              </w:rPr>
              <w:fldChar w:fldCharType="begin"/>
            </w:r>
            <w:r>
              <w:rPr>
                <w:noProof/>
                <w:webHidden/>
              </w:rPr>
              <w:instrText xml:space="preserve"> PAGEREF _Toc97026771 \h </w:instrText>
            </w:r>
            <w:r>
              <w:rPr>
                <w:noProof/>
                <w:webHidden/>
              </w:rPr>
            </w:r>
            <w:r>
              <w:rPr>
                <w:noProof/>
                <w:webHidden/>
              </w:rPr>
              <w:fldChar w:fldCharType="separate"/>
            </w:r>
            <w:r>
              <w:rPr>
                <w:noProof/>
                <w:webHidden/>
              </w:rPr>
              <w:t>149</w:t>
            </w:r>
            <w:r>
              <w:rPr>
                <w:noProof/>
                <w:webHidden/>
              </w:rPr>
              <w:fldChar w:fldCharType="end"/>
            </w:r>
          </w:hyperlink>
        </w:p>
        <w:p w14:paraId="3695EC50" w14:textId="33513C39"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72" w:history="1">
            <w:r w:rsidRPr="00530130">
              <w:rPr>
                <w:rStyle w:val="Hiperpovezava"/>
                <w:rFonts w:eastAsia="Calibri"/>
                <w:noProof/>
                <w:lang w:eastAsia="sl-SI"/>
                <w14:scene3d>
                  <w14:camera w14:prst="orthographicFront"/>
                  <w14:lightRig w14:rig="threePt" w14:dir="t">
                    <w14:rot w14:lat="0" w14:lon="0" w14:rev="0"/>
                  </w14:lightRig>
                </w14:scene3d>
              </w:rPr>
              <w:t>6.3.5.</w:t>
            </w:r>
            <w:r>
              <w:rPr>
                <w:rFonts w:asciiTheme="minorHAnsi" w:hAnsiTheme="minorHAnsi"/>
                <w:noProof/>
                <w:color w:val="auto"/>
                <w:lang w:eastAsia="sl-SI"/>
              </w:rPr>
              <w:tab/>
            </w:r>
            <w:r w:rsidRPr="00530130">
              <w:rPr>
                <w:rStyle w:val="Hiperpovezava"/>
                <w:rFonts w:eastAsia="Calibri"/>
                <w:noProof/>
                <w:lang w:eastAsia="sl-SI"/>
              </w:rPr>
              <w:t>Ocena sposobnosti prilagajanja sektorja zdravstvo</w:t>
            </w:r>
            <w:r>
              <w:rPr>
                <w:noProof/>
                <w:webHidden/>
              </w:rPr>
              <w:tab/>
            </w:r>
            <w:r>
              <w:rPr>
                <w:noProof/>
                <w:webHidden/>
              </w:rPr>
              <w:fldChar w:fldCharType="begin"/>
            </w:r>
            <w:r>
              <w:rPr>
                <w:noProof/>
                <w:webHidden/>
              </w:rPr>
              <w:instrText xml:space="preserve"> PAGEREF _Toc97026772 \h </w:instrText>
            </w:r>
            <w:r>
              <w:rPr>
                <w:noProof/>
                <w:webHidden/>
              </w:rPr>
            </w:r>
            <w:r>
              <w:rPr>
                <w:noProof/>
                <w:webHidden/>
              </w:rPr>
              <w:fldChar w:fldCharType="separate"/>
            </w:r>
            <w:r>
              <w:rPr>
                <w:noProof/>
                <w:webHidden/>
              </w:rPr>
              <w:t>154</w:t>
            </w:r>
            <w:r>
              <w:rPr>
                <w:noProof/>
                <w:webHidden/>
              </w:rPr>
              <w:fldChar w:fldCharType="end"/>
            </w:r>
          </w:hyperlink>
        </w:p>
        <w:p w14:paraId="309781D2" w14:textId="74D706EF"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73" w:history="1">
            <w:r w:rsidRPr="00530130">
              <w:rPr>
                <w:rStyle w:val="Hiperpovezava"/>
                <w:rFonts w:eastAsia="Calibri"/>
                <w:noProof/>
                <w:lang w:eastAsia="sl-SI"/>
                <w14:scene3d>
                  <w14:camera w14:prst="orthographicFront"/>
                  <w14:lightRig w14:rig="threePt" w14:dir="t">
                    <w14:rot w14:lat="0" w14:lon="0" w14:rev="0"/>
                  </w14:lightRig>
                </w14:scene3d>
              </w:rPr>
              <w:t>6.3.6.</w:t>
            </w:r>
            <w:r>
              <w:rPr>
                <w:rFonts w:asciiTheme="minorHAnsi" w:hAnsiTheme="minorHAnsi"/>
                <w:noProof/>
                <w:color w:val="auto"/>
                <w:lang w:eastAsia="sl-SI"/>
              </w:rPr>
              <w:tab/>
            </w:r>
            <w:r w:rsidRPr="00530130">
              <w:rPr>
                <w:rStyle w:val="Hiperpovezava"/>
                <w:rFonts w:eastAsia="Calibri"/>
                <w:noProof/>
                <w:lang w:eastAsia="sl-SI"/>
              </w:rPr>
              <w:t>Ocena ranljivosti sektorja zdravstvo</w:t>
            </w:r>
            <w:r>
              <w:rPr>
                <w:noProof/>
                <w:webHidden/>
              </w:rPr>
              <w:tab/>
            </w:r>
            <w:r>
              <w:rPr>
                <w:noProof/>
                <w:webHidden/>
              </w:rPr>
              <w:fldChar w:fldCharType="begin"/>
            </w:r>
            <w:r>
              <w:rPr>
                <w:noProof/>
                <w:webHidden/>
              </w:rPr>
              <w:instrText xml:space="preserve"> PAGEREF _Toc97026773 \h </w:instrText>
            </w:r>
            <w:r>
              <w:rPr>
                <w:noProof/>
                <w:webHidden/>
              </w:rPr>
            </w:r>
            <w:r>
              <w:rPr>
                <w:noProof/>
                <w:webHidden/>
              </w:rPr>
              <w:fldChar w:fldCharType="separate"/>
            </w:r>
            <w:r>
              <w:rPr>
                <w:noProof/>
                <w:webHidden/>
              </w:rPr>
              <w:t>154</w:t>
            </w:r>
            <w:r>
              <w:rPr>
                <w:noProof/>
                <w:webHidden/>
              </w:rPr>
              <w:fldChar w:fldCharType="end"/>
            </w:r>
          </w:hyperlink>
        </w:p>
        <w:p w14:paraId="3F5C1714" w14:textId="42A17C6F"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74" w:history="1">
            <w:r w:rsidRPr="00530130">
              <w:rPr>
                <w:rStyle w:val="Hiperpovezava"/>
                <w:rFonts w:eastAsia="Calibri"/>
                <w:noProof/>
                <w:lang w:eastAsia="sl-SI"/>
                <w14:scene3d>
                  <w14:camera w14:prst="orthographicFront"/>
                  <w14:lightRig w14:rig="threePt" w14:dir="t">
                    <w14:rot w14:lat="0" w14:lon="0" w14:rev="0"/>
                  </w14:lightRig>
                </w14:scene3d>
              </w:rPr>
              <w:t>6.3.7.</w:t>
            </w:r>
            <w:r>
              <w:rPr>
                <w:rFonts w:asciiTheme="minorHAnsi" w:hAnsiTheme="minorHAnsi"/>
                <w:noProof/>
                <w:color w:val="auto"/>
                <w:lang w:eastAsia="sl-SI"/>
              </w:rPr>
              <w:tab/>
            </w:r>
            <w:r w:rsidRPr="00530130">
              <w:rPr>
                <w:rStyle w:val="Hiperpovezava"/>
                <w:rFonts w:eastAsia="Calibri"/>
                <w:noProof/>
                <w:lang w:eastAsia="sl-SI"/>
              </w:rPr>
              <w:t>Ocena tveganja za sektor zdravstvo</w:t>
            </w:r>
            <w:r>
              <w:rPr>
                <w:noProof/>
                <w:webHidden/>
              </w:rPr>
              <w:tab/>
            </w:r>
            <w:r>
              <w:rPr>
                <w:noProof/>
                <w:webHidden/>
              </w:rPr>
              <w:fldChar w:fldCharType="begin"/>
            </w:r>
            <w:r>
              <w:rPr>
                <w:noProof/>
                <w:webHidden/>
              </w:rPr>
              <w:instrText xml:space="preserve"> PAGEREF _Toc97026774 \h </w:instrText>
            </w:r>
            <w:r>
              <w:rPr>
                <w:noProof/>
                <w:webHidden/>
              </w:rPr>
            </w:r>
            <w:r>
              <w:rPr>
                <w:noProof/>
                <w:webHidden/>
              </w:rPr>
              <w:fldChar w:fldCharType="separate"/>
            </w:r>
            <w:r>
              <w:rPr>
                <w:noProof/>
                <w:webHidden/>
              </w:rPr>
              <w:t>157</w:t>
            </w:r>
            <w:r>
              <w:rPr>
                <w:noProof/>
                <w:webHidden/>
              </w:rPr>
              <w:fldChar w:fldCharType="end"/>
            </w:r>
          </w:hyperlink>
        </w:p>
        <w:p w14:paraId="4AEE202C" w14:textId="4B4AB77D"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75" w:history="1">
            <w:r w:rsidRPr="00530130">
              <w:rPr>
                <w:rStyle w:val="Hiperpovezava"/>
                <w:rFonts w:eastAsia="Calibri"/>
                <w:noProof/>
                <w:lang w:eastAsia="sl-SI"/>
                <w14:scene3d>
                  <w14:camera w14:prst="orthographicFront"/>
                  <w14:lightRig w14:rig="threePt" w14:dir="t">
                    <w14:rot w14:lat="0" w14:lon="0" w14:rev="0"/>
                  </w14:lightRig>
                </w14:scene3d>
              </w:rPr>
              <w:t>6.3.8.</w:t>
            </w:r>
            <w:r>
              <w:rPr>
                <w:rFonts w:asciiTheme="minorHAnsi" w:hAnsiTheme="minorHAnsi"/>
                <w:noProof/>
                <w:color w:val="auto"/>
                <w:lang w:eastAsia="sl-SI"/>
              </w:rPr>
              <w:tab/>
            </w:r>
            <w:r w:rsidRPr="00530130">
              <w:rPr>
                <w:rStyle w:val="Hiperpovezava"/>
                <w:rFonts w:eastAsia="Calibri"/>
                <w:noProof/>
                <w:lang w:eastAsia="sl-SI"/>
              </w:rPr>
              <w:t>Ključna sporočila sektorja zdravstvo</w:t>
            </w:r>
            <w:r>
              <w:rPr>
                <w:noProof/>
                <w:webHidden/>
              </w:rPr>
              <w:tab/>
            </w:r>
            <w:r>
              <w:rPr>
                <w:noProof/>
                <w:webHidden/>
              </w:rPr>
              <w:fldChar w:fldCharType="begin"/>
            </w:r>
            <w:r>
              <w:rPr>
                <w:noProof/>
                <w:webHidden/>
              </w:rPr>
              <w:instrText xml:space="preserve"> PAGEREF _Toc97026775 \h </w:instrText>
            </w:r>
            <w:r>
              <w:rPr>
                <w:noProof/>
                <w:webHidden/>
              </w:rPr>
            </w:r>
            <w:r>
              <w:rPr>
                <w:noProof/>
                <w:webHidden/>
              </w:rPr>
              <w:fldChar w:fldCharType="separate"/>
            </w:r>
            <w:r>
              <w:rPr>
                <w:noProof/>
                <w:webHidden/>
              </w:rPr>
              <w:t>159</w:t>
            </w:r>
            <w:r>
              <w:rPr>
                <w:noProof/>
                <w:webHidden/>
              </w:rPr>
              <w:fldChar w:fldCharType="end"/>
            </w:r>
          </w:hyperlink>
        </w:p>
        <w:p w14:paraId="2C5523E2" w14:textId="65DFB82F"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76" w:history="1">
            <w:r w:rsidRPr="00530130">
              <w:rPr>
                <w:rStyle w:val="Hiperpovezava"/>
                <w:rFonts w:eastAsia="Calibri"/>
                <w:noProof/>
                <w:lang w:eastAsia="sl-SI"/>
                <w14:scene3d>
                  <w14:camera w14:prst="orthographicFront"/>
                  <w14:lightRig w14:rig="threePt" w14:dir="t">
                    <w14:rot w14:lat="0" w14:lon="0" w14:rev="0"/>
                  </w14:lightRig>
                </w14:scene3d>
              </w:rPr>
              <w:t>6.3.9.</w:t>
            </w:r>
            <w:r>
              <w:rPr>
                <w:rFonts w:asciiTheme="minorHAnsi" w:hAnsiTheme="minorHAnsi"/>
                <w:noProof/>
                <w:color w:val="auto"/>
                <w:lang w:eastAsia="sl-SI"/>
              </w:rPr>
              <w:tab/>
            </w:r>
            <w:r w:rsidRPr="00530130">
              <w:rPr>
                <w:rStyle w:val="Hiperpovezava"/>
                <w:rFonts w:eastAsia="Calibri"/>
                <w:noProof/>
                <w:lang w:eastAsia="sl-SI"/>
              </w:rPr>
              <w:t>Viri</w:t>
            </w:r>
            <w:r>
              <w:rPr>
                <w:noProof/>
                <w:webHidden/>
              </w:rPr>
              <w:tab/>
            </w:r>
            <w:r>
              <w:rPr>
                <w:noProof/>
                <w:webHidden/>
              </w:rPr>
              <w:fldChar w:fldCharType="begin"/>
            </w:r>
            <w:r>
              <w:rPr>
                <w:noProof/>
                <w:webHidden/>
              </w:rPr>
              <w:instrText xml:space="preserve"> PAGEREF _Toc97026776 \h </w:instrText>
            </w:r>
            <w:r>
              <w:rPr>
                <w:noProof/>
                <w:webHidden/>
              </w:rPr>
            </w:r>
            <w:r>
              <w:rPr>
                <w:noProof/>
                <w:webHidden/>
              </w:rPr>
              <w:fldChar w:fldCharType="separate"/>
            </w:r>
            <w:r>
              <w:rPr>
                <w:noProof/>
                <w:webHidden/>
              </w:rPr>
              <w:t>160</w:t>
            </w:r>
            <w:r>
              <w:rPr>
                <w:noProof/>
                <w:webHidden/>
              </w:rPr>
              <w:fldChar w:fldCharType="end"/>
            </w:r>
          </w:hyperlink>
        </w:p>
        <w:p w14:paraId="594E5E28" w14:textId="29A473A8" w:rsidR="007A0276" w:rsidRDefault="007A0276">
          <w:pPr>
            <w:pStyle w:val="Kazalovsebine2"/>
            <w:rPr>
              <w:rFonts w:asciiTheme="minorHAnsi" w:hAnsiTheme="minorHAnsi"/>
              <w:noProof/>
              <w:color w:val="auto"/>
              <w:lang w:eastAsia="sl-SI"/>
            </w:rPr>
          </w:pPr>
          <w:hyperlink w:anchor="_Toc97026777" w:history="1">
            <w:r w:rsidRPr="00530130">
              <w:rPr>
                <w:rStyle w:val="Hiperpovezava"/>
                <w:rFonts w:eastAsia="Calibri"/>
                <w:noProof/>
                <w:lang w:eastAsia="sl-SI"/>
                <w14:scene3d>
                  <w14:camera w14:prst="orthographicFront"/>
                  <w14:lightRig w14:rig="threePt" w14:dir="t">
                    <w14:rot w14:lat="0" w14:lon="0" w14:rev="0"/>
                  </w14:lightRig>
                </w14:scene3d>
              </w:rPr>
              <w:t>6.4.</w:t>
            </w:r>
            <w:r>
              <w:rPr>
                <w:rFonts w:asciiTheme="minorHAnsi" w:hAnsiTheme="minorHAnsi"/>
                <w:noProof/>
                <w:color w:val="auto"/>
                <w:lang w:eastAsia="sl-SI"/>
              </w:rPr>
              <w:tab/>
            </w:r>
            <w:r w:rsidRPr="00530130">
              <w:rPr>
                <w:rStyle w:val="Hiperpovezava"/>
                <w:rFonts w:eastAsia="Calibri"/>
                <w:noProof/>
                <w:lang w:eastAsia="sl-SI"/>
              </w:rPr>
              <w:t>Sektor turizem</w:t>
            </w:r>
            <w:r>
              <w:rPr>
                <w:noProof/>
                <w:webHidden/>
              </w:rPr>
              <w:tab/>
            </w:r>
            <w:r>
              <w:rPr>
                <w:noProof/>
                <w:webHidden/>
              </w:rPr>
              <w:fldChar w:fldCharType="begin"/>
            </w:r>
            <w:r>
              <w:rPr>
                <w:noProof/>
                <w:webHidden/>
              </w:rPr>
              <w:instrText xml:space="preserve"> PAGEREF _Toc97026777 \h </w:instrText>
            </w:r>
            <w:r>
              <w:rPr>
                <w:noProof/>
                <w:webHidden/>
              </w:rPr>
            </w:r>
            <w:r>
              <w:rPr>
                <w:noProof/>
                <w:webHidden/>
              </w:rPr>
              <w:fldChar w:fldCharType="separate"/>
            </w:r>
            <w:r>
              <w:rPr>
                <w:noProof/>
                <w:webHidden/>
              </w:rPr>
              <w:t>163</w:t>
            </w:r>
            <w:r>
              <w:rPr>
                <w:noProof/>
                <w:webHidden/>
              </w:rPr>
              <w:fldChar w:fldCharType="end"/>
            </w:r>
          </w:hyperlink>
        </w:p>
        <w:p w14:paraId="2E7F0231" w14:textId="5353DFFA"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78" w:history="1">
            <w:r w:rsidRPr="00530130">
              <w:rPr>
                <w:rStyle w:val="Hiperpovezava"/>
                <w:rFonts w:eastAsia="Calibri"/>
                <w:noProof/>
                <w:lang w:eastAsia="sl-SI"/>
                <w14:scene3d>
                  <w14:camera w14:prst="orthographicFront"/>
                  <w14:lightRig w14:rig="threePt" w14:dir="t">
                    <w14:rot w14:lat="0" w14:lon="0" w14:rev="0"/>
                  </w14:lightRig>
                </w14:scene3d>
              </w:rPr>
              <w:t>6.4.1.</w:t>
            </w:r>
            <w:r>
              <w:rPr>
                <w:rFonts w:asciiTheme="minorHAnsi" w:hAnsiTheme="minorHAnsi"/>
                <w:noProof/>
                <w:color w:val="auto"/>
                <w:lang w:eastAsia="sl-SI"/>
              </w:rPr>
              <w:tab/>
            </w:r>
            <w:r w:rsidRPr="00530130">
              <w:rPr>
                <w:rStyle w:val="Hiperpovezava"/>
                <w:rFonts w:eastAsia="Calibri"/>
                <w:noProof/>
                <w:lang w:eastAsia="sl-SI"/>
              </w:rPr>
              <w:t>Metodologija sektorja turizem</w:t>
            </w:r>
            <w:r>
              <w:rPr>
                <w:noProof/>
                <w:webHidden/>
              </w:rPr>
              <w:tab/>
            </w:r>
            <w:r>
              <w:rPr>
                <w:noProof/>
                <w:webHidden/>
              </w:rPr>
              <w:fldChar w:fldCharType="begin"/>
            </w:r>
            <w:r>
              <w:rPr>
                <w:noProof/>
                <w:webHidden/>
              </w:rPr>
              <w:instrText xml:space="preserve"> PAGEREF _Toc97026778 \h </w:instrText>
            </w:r>
            <w:r>
              <w:rPr>
                <w:noProof/>
                <w:webHidden/>
              </w:rPr>
            </w:r>
            <w:r>
              <w:rPr>
                <w:noProof/>
                <w:webHidden/>
              </w:rPr>
              <w:fldChar w:fldCharType="separate"/>
            </w:r>
            <w:r>
              <w:rPr>
                <w:noProof/>
                <w:webHidden/>
              </w:rPr>
              <w:t>163</w:t>
            </w:r>
            <w:r>
              <w:rPr>
                <w:noProof/>
                <w:webHidden/>
              </w:rPr>
              <w:fldChar w:fldCharType="end"/>
            </w:r>
          </w:hyperlink>
        </w:p>
        <w:p w14:paraId="5983ED96" w14:textId="789FBF10"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79" w:history="1">
            <w:r w:rsidRPr="00530130">
              <w:rPr>
                <w:rStyle w:val="Hiperpovezava"/>
                <w:rFonts w:eastAsia="Calibri"/>
                <w:noProof/>
                <w:lang w:eastAsia="sl-SI"/>
                <w14:scene3d>
                  <w14:camera w14:prst="orthographicFront"/>
                  <w14:lightRig w14:rig="threePt" w14:dir="t">
                    <w14:rot w14:lat="0" w14:lon="0" w14:rev="0"/>
                  </w14:lightRig>
                </w14:scene3d>
              </w:rPr>
              <w:t>6.4.2.</w:t>
            </w:r>
            <w:r>
              <w:rPr>
                <w:rFonts w:asciiTheme="minorHAnsi" w:hAnsiTheme="minorHAnsi"/>
                <w:noProof/>
                <w:color w:val="auto"/>
                <w:lang w:eastAsia="sl-SI"/>
              </w:rPr>
              <w:tab/>
            </w:r>
            <w:r w:rsidRPr="00530130">
              <w:rPr>
                <w:rStyle w:val="Hiperpovezava"/>
                <w:rFonts w:eastAsia="Calibri"/>
                <w:noProof/>
                <w:lang w:eastAsia="sl-SI"/>
              </w:rPr>
              <w:t>Zakonodajni okvir za sektor turizem</w:t>
            </w:r>
            <w:r>
              <w:rPr>
                <w:noProof/>
                <w:webHidden/>
              </w:rPr>
              <w:tab/>
            </w:r>
            <w:r>
              <w:rPr>
                <w:noProof/>
                <w:webHidden/>
              </w:rPr>
              <w:fldChar w:fldCharType="begin"/>
            </w:r>
            <w:r>
              <w:rPr>
                <w:noProof/>
                <w:webHidden/>
              </w:rPr>
              <w:instrText xml:space="preserve"> PAGEREF _Toc97026779 \h </w:instrText>
            </w:r>
            <w:r>
              <w:rPr>
                <w:noProof/>
                <w:webHidden/>
              </w:rPr>
            </w:r>
            <w:r>
              <w:rPr>
                <w:noProof/>
                <w:webHidden/>
              </w:rPr>
              <w:fldChar w:fldCharType="separate"/>
            </w:r>
            <w:r>
              <w:rPr>
                <w:noProof/>
                <w:webHidden/>
              </w:rPr>
              <w:t>165</w:t>
            </w:r>
            <w:r>
              <w:rPr>
                <w:noProof/>
                <w:webHidden/>
              </w:rPr>
              <w:fldChar w:fldCharType="end"/>
            </w:r>
          </w:hyperlink>
        </w:p>
        <w:p w14:paraId="353E80E3" w14:textId="5453E502"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80" w:history="1">
            <w:r w:rsidRPr="00530130">
              <w:rPr>
                <w:rStyle w:val="Hiperpovezava"/>
                <w:rFonts w:eastAsia="Calibri"/>
                <w:noProof/>
                <w:lang w:eastAsia="sl-SI"/>
                <w14:scene3d>
                  <w14:camera w14:prst="orthographicFront"/>
                  <w14:lightRig w14:rig="threePt" w14:dir="t">
                    <w14:rot w14:lat="0" w14:lon="0" w14:rev="0"/>
                  </w14:lightRig>
                </w14:scene3d>
              </w:rPr>
              <w:t>6.4.3.</w:t>
            </w:r>
            <w:r>
              <w:rPr>
                <w:rFonts w:asciiTheme="minorHAnsi" w:hAnsiTheme="minorHAnsi"/>
                <w:noProof/>
                <w:color w:val="auto"/>
                <w:lang w:eastAsia="sl-SI"/>
              </w:rPr>
              <w:tab/>
            </w:r>
            <w:r w:rsidRPr="00530130">
              <w:rPr>
                <w:rStyle w:val="Hiperpovezava"/>
                <w:rFonts w:eastAsia="Calibri"/>
                <w:noProof/>
                <w:lang w:eastAsia="sl-SI"/>
              </w:rPr>
              <w:t>Obstoječe stanje sektorja turizem</w:t>
            </w:r>
            <w:r>
              <w:rPr>
                <w:noProof/>
                <w:webHidden/>
              </w:rPr>
              <w:tab/>
            </w:r>
            <w:r>
              <w:rPr>
                <w:noProof/>
                <w:webHidden/>
              </w:rPr>
              <w:fldChar w:fldCharType="begin"/>
            </w:r>
            <w:r>
              <w:rPr>
                <w:noProof/>
                <w:webHidden/>
              </w:rPr>
              <w:instrText xml:space="preserve"> PAGEREF _Toc97026780 \h </w:instrText>
            </w:r>
            <w:r>
              <w:rPr>
                <w:noProof/>
                <w:webHidden/>
              </w:rPr>
            </w:r>
            <w:r>
              <w:rPr>
                <w:noProof/>
                <w:webHidden/>
              </w:rPr>
              <w:fldChar w:fldCharType="separate"/>
            </w:r>
            <w:r>
              <w:rPr>
                <w:noProof/>
                <w:webHidden/>
              </w:rPr>
              <w:t>166</w:t>
            </w:r>
            <w:r>
              <w:rPr>
                <w:noProof/>
                <w:webHidden/>
              </w:rPr>
              <w:fldChar w:fldCharType="end"/>
            </w:r>
          </w:hyperlink>
        </w:p>
        <w:p w14:paraId="39E365CC" w14:textId="2DEF98A3"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81" w:history="1">
            <w:r w:rsidRPr="00530130">
              <w:rPr>
                <w:rStyle w:val="Hiperpovezava"/>
                <w:noProof/>
                <w14:scene3d>
                  <w14:camera w14:prst="orthographicFront"/>
                  <w14:lightRig w14:rig="threePt" w14:dir="t">
                    <w14:rot w14:lat="0" w14:lon="0" w14:rev="0"/>
                  </w14:lightRig>
                </w14:scene3d>
              </w:rPr>
              <w:t>6.4.4.</w:t>
            </w:r>
            <w:r>
              <w:rPr>
                <w:rFonts w:asciiTheme="minorHAnsi" w:hAnsiTheme="minorHAnsi"/>
                <w:noProof/>
                <w:color w:val="auto"/>
                <w:lang w:eastAsia="sl-SI"/>
              </w:rPr>
              <w:tab/>
            </w:r>
            <w:r w:rsidRPr="00530130">
              <w:rPr>
                <w:rStyle w:val="Hiperpovezava"/>
                <w:rFonts w:eastAsia="Calibri"/>
                <w:noProof/>
                <w:lang w:eastAsia="sl-SI"/>
              </w:rPr>
              <w:t>Ocena potencialnih vplivov podnebnih sprememb po kazalnikih za sektor turizem</w:t>
            </w:r>
            <w:r>
              <w:rPr>
                <w:noProof/>
                <w:webHidden/>
              </w:rPr>
              <w:tab/>
            </w:r>
            <w:r>
              <w:rPr>
                <w:noProof/>
                <w:webHidden/>
              </w:rPr>
              <w:fldChar w:fldCharType="begin"/>
            </w:r>
            <w:r>
              <w:rPr>
                <w:noProof/>
                <w:webHidden/>
              </w:rPr>
              <w:instrText xml:space="preserve"> PAGEREF _Toc97026781 \h </w:instrText>
            </w:r>
            <w:r>
              <w:rPr>
                <w:noProof/>
                <w:webHidden/>
              </w:rPr>
            </w:r>
            <w:r>
              <w:rPr>
                <w:noProof/>
                <w:webHidden/>
              </w:rPr>
              <w:fldChar w:fldCharType="separate"/>
            </w:r>
            <w:r>
              <w:rPr>
                <w:noProof/>
                <w:webHidden/>
              </w:rPr>
              <w:t>169</w:t>
            </w:r>
            <w:r>
              <w:rPr>
                <w:noProof/>
                <w:webHidden/>
              </w:rPr>
              <w:fldChar w:fldCharType="end"/>
            </w:r>
          </w:hyperlink>
        </w:p>
        <w:p w14:paraId="63C51B13" w14:textId="698DD7FE"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82" w:history="1">
            <w:r w:rsidRPr="00530130">
              <w:rPr>
                <w:rStyle w:val="Hiperpovezava"/>
                <w:rFonts w:eastAsia="Calibri"/>
                <w:noProof/>
                <w:lang w:eastAsia="sl-SI"/>
                <w14:scene3d>
                  <w14:camera w14:prst="orthographicFront"/>
                  <w14:lightRig w14:rig="threePt" w14:dir="t">
                    <w14:rot w14:lat="0" w14:lon="0" w14:rev="0"/>
                  </w14:lightRig>
                </w14:scene3d>
              </w:rPr>
              <w:t>6.4.5.</w:t>
            </w:r>
            <w:r>
              <w:rPr>
                <w:rFonts w:asciiTheme="minorHAnsi" w:hAnsiTheme="minorHAnsi"/>
                <w:noProof/>
                <w:color w:val="auto"/>
                <w:lang w:eastAsia="sl-SI"/>
              </w:rPr>
              <w:tab/>
            </w:r>
            <w:r w:rsidRPr="00530130">
              <w:rPr>
                <w:rStyle w:val="Hiperpovezava"/>
                <w:rFonts w:eastAsia="Calibri"/>
                <w:noProof/>
                <w:lang w:eastAsia="sl-SI"/>
              </w:rPr>
              <w:t xml:space="preserve">Ocena sposobnosti </w:t>
            </w:r>
            <w:r w:rsidRPr="00530130">
              <w:rPr>
                <w:rStyle w:val="Hiperpovezava"/>
                <w:noProof/>
              </w:rPr>
              <w:t>prilagajanja</w:t>
            </w:r>
            <w:r w:rsidRPr="00530130">
              <w:rPr>
                <w:rStyle w:val="Hiperpovezava"/>
                <w:rFonts w:eastAsia="Calibri"/>
                <w:noProof/>
                <w:lang w:eastAsia="sl-SI"/>
              </w:rPr>
              <w:t xml:space="preserve"> sektorja turizem</w:t>
            </w:r>
            <w:r>
              <w:rPr>
                <w:noProof/>
                <w:webHidden/>
              </w:rPr>
              <w:tab/>
            </w:r>
            <w:r>
              <w:rPr>
                <w:noProof/>
                <w:webHidden/>
              </w:rPr>
              <w:fldChar w:fldCharType="begin"/>
            </w:r>
            <w:r>
              <w:rPr>
                <w:noProof/>
                <w:webHidden/>
              </w:rPr>
              <w:instrText xml:space="preserve"> PAGEREF _Toc97026782 \h </w:instrText>
            </w:r>
            <w:r>
              <w:rPr>
                <w:noProof/>
                <w:webHidden/>
              </w:rPr>
            </w:r>
            <w:r>
              <w:rPr>
                <w:noProof/>
                <w:webHidden/>
              </w:rPr>
              <w:fldChar w:fldCharType="separate"/>
            </w:r>
            <w:r>
              <w:rPr>
                <w:noProof/>
                <w:webHidden/>
              </w:rPr>
              <w:t>179</w:t>
            </w:r>
            <w:r>
              <w:rPr>
                <w:noProof/>
                <w:webHidden/>
              </w:rPr>
              <w:fldChar w:fldCharType="end"/>
            </w:r>
          </w:hyperlink>
        </w:p>
        <w:p w14:paraId="1BAC8B2F" w14:textId="13CE4312"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83" w:history="1">
            <w:r w:rsidRPr="00530130">
              <w:rPr>
                <w:rStyle w:val="Hiperpovezava"/>
                <w:rFonts w:eastAsia="Calibri"/>
                <w:noProof/>
                <w:lang w:eastAsia="sl-SI"/>
                <w14:scene3d>
                  <w14:camera w14:prst="orthographicFront"/>
                  <w14:lightRig w14:rig="threePt" w14:dir="t">
                    <w14:rot w14:lat="0" w14:lon="0" w14:rev="0"/>
                  </w14:lightRig>
                </w14:scene3d>
              </w:rPr>
              <w:t>6.4.6.</w:t>
            </w:r>
            <w:r>
              <w:rPr>
                <w:rFonts w:asciiTheme="minorHAnsi" w:hAnsiTheme="minorHAnsi"/>
                <w:noProof/>
                <w:color w:val="auto"/>
                <w:lang w:eastAsia="sl-SI"/>
              </w:rPr>
              <w:tab/>
            </w:r>
            <w:r w:rsidRPr="00530130">
              <w:rPr>
                <w:rStyle w:val="Hiperpovezava"/>
                <w:rFonts w:eastAsia="Calibri"/>
                <w:noProof/>
                <w:lang w:eastAsia="sl-SI"/>
              </w:rPr>
              <w:t>Ocena ranljivosti sektorja turizem</w:t>
            </w:r>
            <w:r>
              <w:rPr>
                <w:noProof/>
                <w:webHidden/>
              </w:rPr>
              <w:tab/>
            </w:r>
            <w:r>
              <w:rPr>
                <w:noProof/>
                <w:webHidden/>
              </w:rPr>
              <w:fldChar w:fldCharType="begin"/>
            </w:r>
            <w:r>
              <w:rPr>
                <w:noProof/>
                <w:webHidden/>
              </w:rPr>
              <w:instrText xml:space="preserve"> PAGEREF _Toc97026783 \h </w:instrText>
            </w:r>
            <w:r>
              <w:rPr>
                <w:noProof/>
                <w:webHidden/>
              </w:rPr>
            </w:r>
            <w:r>
              <w:rPr>
                <w:noProof/>
                <w:webHidden/>
              </w:rPr>
              <w:fldChar w:fldCharType="separate"/>
            </w:r>
            <w:r>
              <w:rPr>
                <w:noProof/>
                <w:webHidden/>
              </w:rPr>
              <w:t>181</w:t>
            </w:r>
            <w:r>
              <w:rPr>
                <w:noProof/>
                <w:webHidden/>
              </w:rPr>
              <w:fldChar w:fldCharType="end"/>
            </w:r>
          </w:hyperlink>
        </w:p>
        <w:p w14:paraId="45645766" w14:textId="57380209"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84" w:history="1">
            <w:r w:rsidRPr="00530130">
              <w:rPr>
                <w:rStyle w:val="Hiperpovezava"/>
                <w:rFonts w:eastAsia="Calibri"/>
                <w:noProof/>
                <w:lang w:eastAsia="sl-SI"/>
                <w14:scene3d>
                  <w14:camera w14:prst="orthographicFront"/>
                  <w14:lightRig w14:rig="threePt" w14:dir="t">
                    <w14:rot w14:lat="0" w14:lon="0" w14:rev="0"/>
                  </w14:lightRig>
                </w14:scene3d>
              </w:rPr>
              <w:t>6.4.7.</w:t>
            </w:r>
            <w:r>
              <w:rPr>
                <w:rFonts w:asciiTheme="minorHAnsi" w:hAnsiTheme="minorHAnsi"/>
                <w:noProof/>
                <w:color w:val="auto"/>
                <w:lang w:eastAsia="sl-SI"/>
              </w:rPr>
              <w:tab/>
            </w:r>
            <w:r w:rsidRPr="00530130">
              <w:rPr>
                <w:rStyle w:val="Hiperpovezava"/>
                <w:rFonts w:eastAsia="Calibri"/>
                <w:noProof/>
                <w:lang w:eastAsia="sl-SI"/>
              </w:rPr>
              <w:t>Ocena tveganja za sektor turizem</w:t>
            </w:r>
            <w:r>
              <w:rPr>
                <w:noProof/>
                <w:webHidden/>
              </w:rPr>
              <w:tab/>
            </w:r>
            <w:r>
              <w:rPr>
                <w:noProof/>
                <w:webHidden/>
              </w:rPr>
              <w:fldChar w:fldCharType="begin"/>
            </w:r>
            <w:r>
              <w:rPr>
                <w:noProof/>
                <w:webHidden/>
              </w:rPr>
              <w:instrText xml:space="preserve"> PAGEREF _Toc97026784 \h </w:instrText>
            </w:r>
            <w:r>
              <w:rPr>
                <w:noProof/>
                <w:webHidden/>
              </w:rPr>
            </w:r>
            <w:r>
              <w:rPr>
                <w:noProof/>
                <w:webHidden/>
              </w:rPr>
              <w:fldChar w:fldCharType="separate"/>
            </w:r>
            <w:r>
              <w:rPr>
                <w:noProof/>
                <w:webHidden/>
              </w:rPr>
              <w:t>186</w:t>
            </w:r>
            <w:r>
              <w:rPr>
                <w:noProof/>
                <w:webHidden/>
              </w:rPr>
              <w:fldChar w:fldCharType="end"/>
            </w:r>
          </w:hyperlink>
        </w:p>
        <w:p w14:paraId="3579CF47" w14:textId="22FEC218"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85" w:history="1">
            <w:r w:rsidRPr="00530130">
              <w:rPr>
                <w:rStyle w:val="Hiperpovezava"/>
                <w:rFonts w:eastAsia="Calibri"/>
                <w:noProof/>
                <w:lang w:eastAsia="sl-SI"/>
                <w14:scene3d>
                  <w14:camera w14:prst="orthographicFront"/>
                  <w14:lightRig w14:rig="threePt" w14:dir="t">
                    <w14:rot w14:lat="0" w14:lon="0" w14:rev="0"/>
                  </w14:lightRig>
                </w14:scene3d>
              </w:rPr>
              <w:t>6.4.8.</w:t>
            </w:r>
            <w:r>
              <w:rPr>
                <w:rFonts w:asciiTheme="minorHAnsi" w:hAnsiTheme="minorHAnsi"/>
                <w:noProof/>
                <w:color w:val="auto"/>
                <w:lang w:eastAsia="sl-SI"/>
              </w:rPr>
              <w:tab/>
            </w:r>
            <w:r w:rsidRPr="00530130">
              <w:rPr>
                <w:rStyle w:val="Hiperpovezava"/>
                <w:rFonts w:eastAsia="Calibri"/>
                <w:noProof/>
                <w:lang w:eastAsia="sl-SI"/>
              </w:rPr>
              <w:t>Ukrepi za prilagajanje podnebnim spremembam za sektor turizem</w:t>
            </w:r>
            <w:r>
              <w:rPr>
                <w:noProof/>
                <w:webHidden/>
              </w:rPr>
              <w:tab/>
            </w:r>
            <w:r>
              <w:rPr>
                <w:noProof/>
                <w:webHidden/>
              </w:rPr>
              <w:fldChar w:fldCharType="begin"/>
            </w:r>
            <w:r>
              <w:rPr>
                <w:noProof/>
                <w:webHidden/>
              </w:rPr>
              <w:instrText xml:space="preserve"> PAGEREF _Toc97026785 \h </w:instrText>
            </w:r>
            <w:r>
              <w:rPr>
                <w:noProof/>
                <w:webHidden/>
              </w:rPr>
            </w:r>
            <w:r>
              <w:rPr>
                <w:noProof/>
                <w:webHidden/>
              </w:rPr>
              <w:fldChar w:fldCharType="separate"/>
            </w:r>
            <w:r>
              <w:rPr>
                <w:noProof/>
                <w:webHidden/>
              </w:rPr>
              <w:t>189</w:t>
            </w:r>
            <w:r>
              <w:rPr>
                <w:noProof/>
                <w:webHidden/>
              </w:rPr>
              <w:fldChar w:fldCharType="end"/>
            </w:r>
          </w:hyperlink>
        </w:p>
        <w:p w14:paraId="1D11ADDD" w14:textId="45072B51"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86" w:history="1">
            <w:r w:rsidRPr="00530130">
              <w:rPr>
                <w:rStyle w:val="Hiperpovezava"/>
                <w:rFonts w:eastAsia="Calibri"/>
                <w:noProof/>
                <w:lang w:eastAsia="sl-SI"/>
                <w14:scene3d>
                  <w14:camera w14:prst="orthographicFront"/>
                  <w14:lightRig w14:rig="threePt" w14:dir="t">
                    <w14:rot w14:lat="0" w14:lon="0" w14:rev="0"/>
                  </w14:lightRig>
                </w14:scene3d>
              </w:rPr>
              <w:t>6.4.9.</w:t>
            </w:r>
            <w:r>
              <w:rPr>
                <w:rFonts w:asciiTheme="minorHAnsi" w:hAnsiTheme="minorHAnsi"/>
                <w:noProof/>
                <w:color w:val="auto"/>
                <w:lang w:eastAsia="sl-SI"/>
              </w:rPr>
              <w:tab/>
            </w:r>
            <w:r w:rsidRPr="00530130">
              <w:rPr>
                <w:rStyle w:val="Hiperpovezava"/>
                <w:rFonts w:eastAsia="Calibri"/>
                <w:noProof/>
                <w:lang w:eastAsia="sl-SI"/>
              </w:rPr>
              <w:t>Ključna sporočila sektorja turizem</w:t>
            </w:r>
            <w:r>
              <w:rPr>
                <w:noProof/>
                <w:webHidden/>
              </w:rPr>
              <w:tab/>
            </w:r>
            <w:r>
              <w:rPr>
                <w:noProof/>
                <w:webHidden/>
              </w:rPr>
              <w:fldChar w:fldCharType="begin"/>
            </w:r>
            <w:r>
              <w:rPr>
                <w:noProof/>
                <w:webHidden/>
              </w:rPr>
              <w:instrText xml:space="preserve"> PAGEREF _Toc97026786 \h </w:instrText>
            </w:r>
            <w:r>
              <w:rPr>
                <w:noProof/>
                <w:webHidden/>
              </w:rPr>
            </w:r>
            <w:r>
              <w:rPr>
                <w:noProof/>
                <w:webHidden/>
              </w:rPr>
              <w:fldChar w:fldCharType="separate"/>
            </w:r>
            <w:r>
              <w:rPr>
                <w:noProof/>
                <w:webHidden/>
              </w:rPr>
              <w:t>190</w:t>
            </w:r>
            <w:r>
              <w:rPr>
                <w:noProof/>
                <w:webHidden/>
              </w:rPr>
              <w:fldChar w:fldCharType="end"/>
            </w:r>
          </w:hyperlink>
        </w:p>
        <w:p w14:paraId="4A47AD4F" w14:textId="4EC42D45" w:rsidR="007A0276" w:rsidRDefault="007A0276">
          <w:pPr>
            <w:pStyle w:val="Kazalovsebine3"/>
            <w:tabs>
              <w:tab w:val="left" w:pos="1540"/>
              <w:tab w:val="right" w:leader="dot" w:pos="9628"/>
            </w:tabs>
            <w:rPr>
              <w:rFonts w:asciiTheme="minorHAnsi" w:hAnsiTheme="minorHAnsi"/>
              <w:noProof/>
              <w:color w:val="auto"/>
              <w:lang w:eastAsia="sl-SI"/>
            </w:rPr>
          </w:pPr>
          <w:hyperlink w:anchor="_Toc97026787" w:history="1">
            <w:r w:rsidRPr="00530130">
              <w:rPr>
                <w:rStyle w:val="Hiperpovezava"/>
                <w:rFonts w:eastAsia="Calibri"/>
                <w:noProof/>
                <w:lang w:eastAsia="sl-SI"/>
                <w14:scene3d>
                  <w14:camera w14:prst="orthographicFront"/>
                  <w14:lightRig w14:rig="threePt" w14:dir="t">
                    <w14:rot w14:lat="0" w14:lon="0" w14:rev="0"/>
                  </w14:lightRig>
                </w14:scene3d>
              </w:rPr>
              <w:t>6.4.10.</w:t>
            </w:r>
            <w:r>
              <w:rPr>
                <w:rFonts w:asciiTheme="minorHAnsi" w:hAnsiTheme="minorHAnsi"/>
                <w:noProof/>
                <w:color w:val="auto"/>
                <w:lang w:eastAsia="sl-SI"/>
              </w:rPr>
              <w:tab/>
            </w:r>
            <w:r w:rsidRPr="00530130">
              <w:rPr>
                <w:rStyle w:val="Hiperpovezava"/>
                <w:rFonts w:eastAsia="Calibri"/>
                <w:noProof/>
                <w:lang w:eastAsia="sl-SI"/>
              </w:rPr>
              <w:t>Viri</w:t>
            </w:r>
            <w:r>
              <w:rPr>
                <w:noProof/>
                <w:webHidden/>
              </w:rPr>
              <w:tab/>
            </w:r>
            <w:r>
              <w:rPr>
                <w:noProof/>
                <w:webHidden/>
              </w:rPr>
              <w:fldChar w:fldCharType="begin"/>
            </w:r>
            <w:r>
              <w:rPr>
                <w:noProof/>
                <w:webHidden/>
              </w:rPr>
              <w:instrText xml:space="preserve"> PAGEREF _Toc97026787 \h </w:instrText>
            </w:r>
            <w:r>
              <w:rPr>
                <w:noProof/>
                <w:webHidden/>
              </w:rPr>
            </w:r>
            <w:r>
              <w:rPr>
                <w:noProof/>
                <w:webHidden/>
              </w:rPr>
              <w:fldChar w:fldCharType="separate"/>
            </w:r>
            <w:r>
              <w:rPr>
                <w:noProof/>
                <w:webHidden/>
              </w:rPr>
              <w:t>191</w:t>
            </w:r>
            <w:r>
              <w:rPr>
                <w:noProof/>
                <w:webHidden/>
              </w:rPr>
              <w:fldChar w:fldCharType="end"/>
            </w:r>
          </w:hyperlink>
        </w:p>
        <w:p w14:paraId="3AD0881E" w14:textId="37436E35" w:rsidR="007A0276" w:rsidRDefault="007A0276">
          <w:pPr>
            <w:pStyle w:val="Kazalovsebine2"/>
            <w:rPr>
              <w:rFonts w:asciiTheme="minorHAnsi" w:hAnsiTheme="minorHAnsi"/>
              <w:noProof/>
              <w:color w:val="auto"/>
              <w:lang w:eastAsia="sl-SI"/>
            </w:rPr>
          </w:pPr>
          <w:hyperlink w:anchor="_Toc97026788" w:history="1">
            <w:r w:rsidRPr="00530130">
              <w:rPr>
                <w:rStyle w:val="Hiperpovezava"/>
                <w:rFonts w:eastAsia="Calibri"/>
                <w:noProof/>
                <w:lang w:eastAsia="sl-SI"/>
                <w14:scene3d>
                  <w14:camera w14:prst="orthographicFront"/>
                  <w14:lightRig w14:rig="threePt" w14:dir="t">
                    <w14:rot w14:lat="0" w14:lon="0" w14:rev="0"/>
                  </w14:lightRig>
                </w14:scene3d>
              </w:rPr>
              <w:t>6.5.</w:t>
            </w:r>
            <w:r>
              <w:rPr>
                <w:rFonts w:asciiTheme="minorHAnsi" w:hAnsiTheme="minorHAnsi"/>
                <w:noProof/>
                <w:color w:val="auto"/>
                <w:lang w:eastAsia="sl-SI"/>
              </w:rPr>
              <w:tab/>
            </w:r>
            <w:r w:rsidRPr="00530130">
              <w:rPr>
                <w:rStyle w:val="Hiperpovezava"/>
                <w:rFonts w:eastAsia="Calibri"/>
                <w:noProof/>
                <w:lang w:eastAsia="sl-SI"/>
              </w:rPr>
              <w:t>Sektor vodni viri</w:t>
            </w:r>
            <w:r>
              <w:rPr>
                <w:noProof/>
                <w:webHidden/>
              </w:rPr>
              <w:tab/>
            </w:r>
            <w:r>
              <w:rPr>
                <w:noProof/>
                <w:webHidden/>
              </w:rPr>
              <w:fldChar w:fldCharType="begin"/>
            </w:r>
            <w:r>
              <w:rPr>
                <w:noProof/>
                <w:webHidden/>
              </w:rPr>
              <w:instrText xml:space="preserve"> PAGEREF _Toc97026788 \h </w:instrText>
            </w:r>
            <w:r>
              <w:rPr>
                <w:noProof/>
                <w:webHidden/>
              </w:rPr>
            </w:r>
            <w:r>
              <w:rPr>
                <w:noProof/>
                <w:webHidden/>
              </w:rPr>
              <w:fldChar w:fldCharType="separate"/>
            </w:r>
            <w:r>
              <w:rPr>
                <w:noProof/>
                <w:webHidden/>
              </w:rPr>
              <w:t>193</w:t>
            </w:r>
            <w:r>
              <w:rPr>
                <w:noProof/>
                <w:webHidden/>
              </w:rPr>
              <w:fldChar w:fldCharType="end"/>
            </w:r>
          </w:hyperlink>
        </w:p>
        <w:p w14:paraId="6D02A742" w14:textId="0A52E852"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89" w:history="1">
            <w:r w:rsidRPr="00530130">
              <w:rPr>
                <w:rStyle w:val="Hiperpovezava"/>
                <w:noProof/>
                <w14:scene3d>
                  <w14:camera w14:prst="orthographicFront"/>
                  <w14:lightRig w14:rig="threePt" w14:dir="t">
                    <w14:rot w14:lat="0" w14:lon="0" w14:rev="0"/>
                  </w14:lightRig>
                </w14:scene3d>
              </w:rPr>
              <w:t>6.5.1.</w:t>
            </w:r>
            <w:r>
              <w:rPr>
                <w:rFonts w:asciiTheme="minorHAnsi" w:hAnsiTheme="minorHAnsi"/>
                <w:noProof/>
                <w:color w:val="auto"/>
                <w:lang w:eastAsia="sl-SI"/>
              </w:rPr>
              <w:tab/>
            </w:r>
            <w:r w:rsidRPr="00530130">
              <w:rPr>
                <w:rStyle w:val="Hiperpovezava"/>
                <w:noProof/>
              </w:rPr>
              <w:t>Metodologija sektorja vodni viri</w:t>
            </w:r>
            <w:r>
              <w:rPr>
                <w:noProof/>
                <w:webHidden/>
              </w:rPr>
              <w:tab/>
            </w:r>
            <w:r>
              <w:rPr>
                <w:noProof/>
                <w:webHidden/>
              </w:rPr>
              <w:fldChar w:fldCharType="begin"/>
            </w:r>
            <w:r>
              <w:rPr>
                <w:noProof/>
                <w:webHidden/>
              </w:rPr>
              <w:instrText xml:space="preserve"> PAGEREF _Toc97026789 \h </w:instrText>
            </w:r>
            <w:r>
              <w:rPr>
                <w:noProof/>
                <w:webHidden/>
              </w:rPr>
            </w:r>
            <w:r>
              <w:rPr>
                <w:noProof/>
                <w:webHidden/>
              </w:rPr>
              <w:fldChar w:fldCharType="separate"/>
            </w:r>
            <w:r>
              <w:rPr>
                <w:noProof/>
                <w:webHidden/>
              </w:rPr>
              <w:t>193</w:t>
            </w:r>
            <w:r>
              <w:rPr>
                <w:noProof/>
                <w:webHidden/>
              </w:rPr>
              <w:fldChar w:fldCharType="end"/>
            </w:r>
          </w:hyperlink>
        </w:p>
        <w:p w14:paraId="19D7904E" w14:textId="2E771F87"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90" w:history="1">
            <w:r w:rsidRPr="00530130">
              <w:rPr>
                <w:rStyle w:val="Hiperpovezava"/>
                <w:noProof/>
                <w14:scene3d>
                  <w14:camera w14:prst="orthographicFront"/>
                  <w14:lightRig w14:rig="threePt" w14:dir="t">
                    <w14:rot w14:lat="0" w14:lon="0" w14:rev="0"/>
                  </w14:lightRig>
                </w14:scene3d>
              </w:rPr>
              <w:t>6.5.2.</w:t>
            </w:r>
            <w:r>
              <w:rPr>
                <w:rFonts w:asciiTheme="minorHAnsi" w:hAnsiTheme="minorHAnsi"/>
                <w:noProof/>
                <w:color w:val="auto"/>
                <w:lang w:eastAsia="sl-SI"/>
              </w:rPr>
              <w:tab/>
            </w:r>
            <w:r w:rsidRPr="00530130">
              <w:rPr>
                <w:rStyle w:val="Hiperpovezava"/>
                <w:noProof/>
              </w:rPr>
              <w:t>Zakonodajni okvir, okoljski cilji, merila in metoda ugotavljanja in vrednotenja vplivov plana sektorja vodni viri</w:t>
            </w:r>
            <w:r>
              <w:rPr>
                <w:noProof/>
                <w:webHidden/>
              </w:rPr>
              <w:tab/>
            </w:r>
            <w:r>
              <w:rPr>
                <w:noProof/>
                <w:webHidden/>
              </w:rPr>
              <w:fldChar w:fldCharType="begin"/>
            </w:r>
            <w:r>
              <w:rPr>
                <w:noProof/>
                <w:webHidden/>
              </w:rPr>
              <w:instrText xml:space="preserve"> PAGEREF _Toc97026790 \h </w:instrText>
            </w:r>
            <w:r>
              <w:rPr>
                <w:noProof/>
                <w:webHidden/>
              </w:rPr>
            </w:r>
            <w:r>
              <w:rPr>
                <w:noProof/>
                <w:webHidden/>
              </w:rPr>
              <w:fldChar w:fldCharType="separate"/>
            </w:r>
            <w:r>
              <w:rPr>
                <w:noProof/>
                <w:webHidden/>
              </w:rPr>
              <w:t>196</w:t>
            </w:r>
            <w:r>
              <w:rPr>
                <w:noProof/>
                <w:webHidden/>
              </w:rPr>
              <w:fldChar w:fldCharType="end"/>
            </w:r>
          </w:hyperlink>
        </w:p>
        <w:p w14:paraId="7DC7C797" w14:textId="31D2C6E6"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91" w:history="1">
            <w:r w:rsidRPr="00530130">
              <w:rPr>
                <w:rStyle w:val="Hiperpovezava"/>
                <w:noProof/>
                <w14:scene3d>
                  <w14:camera w14:prst="orthographicFront"/>
                  <w14:lightRig w14:rig="threePt" w14:dir="t">
                    <w14:rot w14:lat="0" w14:lon="0" w14:rev="0"/>
                  </w14:lightRig>
                </w14:scene3d>
              </w:rPr>
              <w:t>6.5.3.</w:t>
            </w:r>
            <w:r>
              <w:rPr>
                <w:rFonts w:asciiTheme="minorHAnsi" w:hAnsiTheme="minorHAnsi"/>
                <w:noProof/>
                <w:color w:val="auto"/>
                <w:lang w:eastAsia="sl-SI"/>
              </w:rPr>
              <w:tab/>
            </w:r>
            <w:r w:rsidRPr="00530130">
              <w:rPr>
                <w:rStyle w:val="Hiperpovezava"/>
                <w:noProof/>
              </w:rPr>
              <w:t>Obstoječe stanje sektorja vodni viri</w:t>
            </w:r>
            <w:r>
              <w:rPr>
                <w:noProof/>
                <w:webHidden/>
              </w:rPr>
              <w:tab/>
            </w:r>
            <w:r>
              <w:rPr>
                <w:noProof/>
                <w:webHidden/>
              </w:rPr>
              <w:fldChar w:fldCharType="begin"/>
            </w:r>
            <w:r>
              <w:rPr>
                <w:noProof/>
                <w:webHidden/>
              </w:rPr>
              <w:instrText xml:space="preserve"> PAGEREF _Toc97026791 \h </w:instrText>
            </w:r>
            <w:r>
              <w:rPr>
                <w:noProof/>
                <w:webHidden/>
              </w:rPr>
            </w:r>
            <w:r>
              <w:rPr>
                <w:noProof/>
                <w:webHidden/>
              </w:rPr>
              <w:fldChar w:fldCharType="separate"/>
            </w:r>
            <w:r>
              <w:rPr>
                <w:noProof/>
                <w:webHidden/>
              </w:rPr>
              <w:t>197</w:t>
            </w:r>
            <w:r>
              <w:rPr>
                <w:noProof/>
                <w:webHidden/>
              </w:rPr>
              <w:fldChar w:fldCharType="end"/>
            </w:r>
          </w:hyperlink>
        </w:p>
        <w:p w14:paraId="7440E217" w14:textId="02EB2953"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92" w:history="1">
            <w:r w:rsidRPr="00530130">
              <w:rPr>
                <w:rStyle w:val="Hiperpovezava"/>
                <w:noProof/>
                <w14:scene3d>
                  <w14:camera w14:prst="orthographicFront"/>
                  <w14:lightRig w14:rig="threePt" w14:dir="t">
                    <w14:rot w14:lat="0" w14:lon="0" w14:rev="0"/>
                  </w14:lightRig>
                </w14:scene3d>
              </w:rPr>
              <w:t>6.5.4.</w:t>
            </w:r>
            <w:r>
              <w:rPr>
                <w:rFonts w:asciiTheme="minorHAnsi" w:hAnsiTheme="minorHAnsi"/>
                <w:noProof/>
                <w:color w:val="auto"/>
                <w:lang w:eastAsia="sl-SI"/>
              </w:rPr>
              <w:tab/>
            </w:r>
            <w:r w:rsidRPr="00530130">
              <w:rPr>
                <w:rStyle w:val="Hiperpovezava"/>
                <w:noProof/>
              </w:rPr>
              <w:t>Ocena potencialnih vplivov podnebnih sprememb na sektor vodni viri po kazalnikih</w:t>
            </w:r>
            <w:r>
              <w:rPr>
                <w:noProof/>
                <w:webHidden/>
              </w:rPr>
              <w:tab/>
            </w:r>
            <w:r>
              <w:rPr>
                <w:noProof/>
                <w:webHidden/>
              </w:rPr>
              <w:fldChar w:fldCharType="begin"/>
            </w:r>
            <w:r>
              <w:rPr>
                <w:noProof/>
                <w:webHidden/>
              </w:rPr>
              <w:instrText xml:space="preserve"> PAGEREF _Toc97026792 \h </w:instrText>
            </w:r>
            <w:r>
              <w:rPr>
                <w:noProof/>
                <w:webHidden/>
              </w:rPr>
            </w:r>
            <w:r>
              <w:rPr>
                <w:noProof/>
                <w:webHidden/>
              </w:rPr>
              <w:fldChar w:fldCharType="separate"/>
            </w:r>
            <w:r>
              <w:rPr>
                <w:noProof/>
                <w:webHidden/>
              </w:rPr>
              <w:t>219</w:t>
            </w:r>
            <w:r>
              <w:rPr>
                <w:noProof/>
                <w:webHidden/>
              </w:rPr>
              <w:fldChar w:fldCharType="end"/>
            </w:r>
          </w:hyperlink>
        </w:p>
        <w:p w14:paraId="782E7E78" w14:textId="64240051"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93" w:history="1">
            <w:r w:rsidRPr="00530130">
              <w:rPr>
                <w:rStyle w:val="Hiperpovezava"/>
                <w:noProof/>
                <w14:scene3d>
                  <w14:camera w14:prst="orthographicFront"/>
                  <w14:lightRig w14:rig="threePt" w14:dir="t">
                    <w14:rot w14:lat="0" w14:lon="0" w14:rev="0"/>
                  </w14:lightRig>
                </w14:scene3d>
              </w:rPr>
              <w:t>6.5.5.</w:t>
            </w:r>
            <w:r>
              <w:rPr>
                <w:rFonts w:asciiTheme="minorHAnsi" w:hAnsiTheme="minorHAnsi"/>
                <w:noProof/>
                <w:color w:val="auto"/>
                <w:lang w:eastAsia="sl-SI"/>
              </w:rPr>
              <w:tab/>
            </w:r>
            <w:r w:rsidRPr="00530130">
              <w:rPr>
                <w:rStyle w:val="Hiperpovezava"/>
                <w:noProof/>
              </w:rPr>
              <w:t>Ocena sposobnosti prilagajanja sektorja vodni viri</w:t>
            </w:r>
            <w:r>
              <w:rPr>
                <w:noProof/>
                <w:webHidden/>
              </w:rPr>
              <w:tab/>
            </w:r>
            <w:r>
              <w:rPr>
                <w:noProof/>
                <w:webHidden/>
              </w:rPr>
              <w:fldChar w:fldCharType="begin"/>
            </w:r>
            <w:r>
              <w:rPr>
                <w:noProof/>
                <w:webHidden/>
              </w:rPr>
              <w:instrText xml:space="preserve"> PAGEREF _Toc97026793 \h </w:instrText>
            </w:r>
            <w:r>
              <w:rPr>
                <w:noProof/>
                <w:webHidden/>
              </w:rPr>
            </w:r>
            <w:r>
              <w:rPr>
                <w:noProof/>
                <w:webHidden/>
              </w:rPr>
              <w:fldChar w:fldCharType="separate"/>
            </w:r>
            <w:r>
              <w:rPr>
                <w:noProof/>
                <w:webHidden/>
              </w:rPr>
              <w:t>226</w:t>
            </w:r>
            <w:r>
              <w:rPr>
                <w:noProof/>
                <w:webHidden/>
              </w:rPr>
              <w:fldChar w:fldCharType="end"/>
            </w:r>
          </w:hyperlink>
        </w:p>
        <w:p w14:paraId="2AB6B403" w14:textId="75D45817"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94" w:history="1">
            <w:r w:rsidRPr="00530130">
              <w:rPr>
                <w:rStyle w:val="Hiperpovezava"/>
                <w:noProof/>
                <w14:scene3d>
                  <w14:camera w14:prst="orthographicFront"/>
                  <w14:lightRig w14:rig="threePt" w14:dir="t">
                    <w14:rot w14:lat="0" w14:lon="0" w14:rev="0"/>
                  </w14:lightRig>
                </w14:scene3d>
              </w:rPr>
              <w:t>6.5.6.</w:t>
            </w:r>
            <w:r>
              <w:rPr>
                <w:rFonts w:asciiTheme="minorHAnsi" w:hAnsiTheme="minorHAnsi"/>
                <w:noProof/>
                <w:color w:val="auto"/>
                <w:lang w:eastAsia="sl-SI"/>
              </w:rPr>
              <w:tab/>
            </w:r>
            <w:r w:rsidRPr="00530130">
              <w:rPr>
                <w:rStyle w:val="Hiperpovezava"/>
                <w:noProof/>
              </w:rPr>
              <w:t>Ocena ranljivosti sektorja vodni viri</w:t>
            </w:r>
            <w:r>
              <w:rPr>
                <w:noProof/>
                <w:webHidden/>
              </w:rPr>
              <w:tab/>
            </w:r>
            <w:r>
              <w:rPr>
                <w:noProof/>
                <w:webHidden/>
              </w:rPr>
              <w:fldChar w:fldCharType="begin"/>
            </w:r>
            <w:r>
              <w:rPr>
                <w:noProof/>
                <w:webHidden/>
              </w:rPr>
              <w:instrText xml:space="preserve"> PAGEREF _Toc97026794 \h </w:instrText>
            </w:r>
            <w:r>
              <w:rPr>
                <w:noProof/>
                <w:webHidden/>
              </w:rPr>
            </w:r>
            <w:r>
              <w:rPr>
                <w:noProof/>
                <w:webHidden/>
              </w:rPr>
              <w:fldChar w:fldCharType="separate"/>
            </w:r>
            <w:r>
              <w:rPr>
                <w:noProof/>
                <w:webHidden/>
              </w:rPr>
              <w:t>228</w:t>
            </w:r>
            <w:r>
              <w:rPr>
                <w:noProof/>
                <w:webHidden/>
              </w:rPr>
              <w:fldChar w:fldCharType="end"/>
            </w:r>
          </w:hyperlink>
        </w:p>
        <w:p w14:paraId="3E2498A7" w14:textId="29233773"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95" w:history="1">
            <w:r w:rsidRPr="00530130">
              <w:rPr>
                <w:rStyle w:val="Hiperpovezava"/>
                <w:noProof/>
                <w14:scene3d>
                  <w14:camera w14:prst="orthographicFront"/>
                  <w14:lightRig w14:rig="threePt" w14:dir="t">
                    <w14:rot w14:lat="0" w14:lon="0" w14:rev="0"/>
                  </w14:lightRig>
                </w14:scene3d>
              </w:rPr>
              <w:t>6.5.7.</w:t>
            </w:r>
            <w:r>
              <w:rPr>
                <w:rFonts w:asciiTheme="minorHAnsi" w:hAnsiTheme="minorHAnsi"/>
                <w:noProof/>
                <w:color w:val="auto"/>
                <w:lang w:eastAsia="sl-SI"/>
              </w:rPr>
              <w:tab/>
            </w:r>
            <w:r w:rsidRPr="00530130">
              <w:rPr>
                <w:rStyle w:val="Hiperpovezava"/>
                <w:noProof/>
              </w:rPr>
              <w:t>Ocena tveganja vodni viri</w:t>
            </w:r>
            <w:r>
              <w:rPr>
                <w:noProof/>
                <w:webHidden/>
              </w:rPr>
              <w:tab/>
            </w:r>
            <w:r>
              <w:rPr>
                <w:noProof/>
                <w:webHidden/>
              </w:rPr>
              <w:fldChar w:fldCharType="begin"/>
            </w:r>
            <w:r>
              <w:rPr>
                <w:noProof/>
                <w:webHidden/>
              </w:rPr>
              <w:instrText xml:space="preserve"> PAGEREF _Toc97026795 \h </w:instrText>
            </w:r>
            <w:r>
              <w:rPr>
                <w:noProof/>
                <w:webHidden/>
              </w:rPr>
            </w:r>
            <w:r>
              <w:rPr>
                <w:noProof/>
                <w:webHidden/>
              </w:rPr>
              <w:fldChar w:fldCharType="separate"/>
            </w:r>
            <w:r>
              <w:rPr>
                <w:noProof/>
                <w:webHidden/>
              </w:rPr>
              <w:t>228</w:t>
            </w:r>
            <w:r>
              <w:rPr>
                <w:noProof/>
                <w:webHidden/>
              </w:rPr>
              <w:fldChar w:fldCharType="end"/>
            </w:r>
          </w:hyperlink>
        </w:p>
        <w:p w14:paraId="1D011609" w14:textId="1062276C"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96" w:history="1">
            <w:r w:rsidRPr="00530130">
              <w:rPr>
                <w:rStyle w:val="Hiperpovezava"/>
                <w:noProof/>
                <w14:scene3d>
                  <w14:camera w14:prst="orthographicFront"/>
                  <w14:lightRig w14:rig="threePt" w14:dir="t">
                    <w14:rot w14:lat="0" w14:lon="0" w14:rev="0"/>
                  </w14:lightRig>
                </w14:scene3d>
              </w:rPr>
              <w:t>6.5.8.</w:t>
            </w:r>
            <w:r>
              <w:rPr>
                <w:rFonts w:asciiTheme="minorHAnsi" w:hAnsiTheme="minorHAnsi"/>
                <w:noProof/>
                <w:color w:val="auto"/>
                <w:lang w:eastAsia="sl-SI"/>
              </w:rPr>
              <w:tab/>
            </w:r>
            <w:r w:rsidRPr="00530130">
              <w:rPr>
                <w:rStyle w:val="Hiperpovezava"/>
                <w:noProof/>
              </w:rPr>
              <w:t>Ukrepi za prilagajanje vodnih virov na podnebne spremembe</w:t>
            </w:r>
            <w:r>
              <w:rPr>
                <w:noProof/>
                <w:webHidden/>
              </w:rPr>
              <w:tab/>
            </w:r>
            <w:r>
              <w:rPr>
                <w:noProof/>
                <w:webHidden/>
              </w:rPr>
              <w:fldChar w:fldCharType="begin"/>
            </w:r>
            <w:r>
              <w:rPr>
                <w:noProof/>
                <w:webHidden/>
              </w:rPr>
              <w:instrText xml:space="preserve"> PAGEREF _Toc97026796 \h </w:instrText>
            </w:r>
            <w:r>
              <w:rPr>
                <w:noProof/>
                <w:webHidden/>
              </w:rPr>
            </w:r>
            <w:r>
              <w:rPr>
                <w:noProof/>
                <w:webHidden/>
              </w:rPr>
              <w:fldChar w:fldCharType="separate"/>
            </w:r>
            <w:r>
              <w:rPr>
                <w:noProof/>
                <w:webHidden/>
              </w:rPr>
              <w:t>230</w:t>
            </w:r>
            <w:r>
              <w:rPr>
                <w:noProof/>
                <w:webHidden/>
              </w:rPr>
              <w:fldChar w:fldCharType="end"/>
            </w:r>
          </w:hyperlink>
        </w:p>
        <w:p w14:paraId="4DB7292A" w14:textId="2CD36728" w:rsidR="007A0276" w:rsidRDefault="007A0276">
          <w:pPr>
            <w:pStyle w:val="Kazalovsebine3"/>
            <w:tabs>
              <w:tab w:val="left" w:pos="1320"/>
              <w:tab w:val="right" w:leader="dot" w:pos="9628"/>
            </w:tabs>
            <w:rPr>
              <w:rFonts w:asciiTheme="minorHAnsi" w:hAnsiTheme="minorHAnsi"/>
              <w:noProof/>
              <w:color w:val="auto"/>
              <w:lang w:eastAsia="sl-SI"/>
            </w:rPr>
          </w:pPr>
          <w:hyperlink w:anchor="_Toc97026797" w:history="1">
            <w:r w:rsidRPr="00530130">
              <w:rPr>
                <w:rStyle w:val="Hiperpovezava"/>
                <w:noProof/>
                <w14:scene3d>
                  <w14:camera w14:prst="orthographicFront"/>
                  <w14:lightRig w14:rig="threePt" w14:dir="t">
                    <w14:rot w14:lat="0" w14:lon="0" w14:rev="0"/>
                  </w14:lightRig>
                </w14:scene3d>
              </w:rPr>
              <w:t>6.5.9.</w:t>
            </w:r>
            <w:r>
              <w:rPr>
                <w:rFonts w:asciiTheme="minorHAnsi" w:hAnsiTheme="minorHAnsi"/>
                <w:noProof/>
                <w:color w:val="auto"/>
                <w:lang w:eastAsia="sl-SI"/>
              </w:rPr>
              <w:tab/>
            </w:r>
            <w:r w:rsidRPr="00530130">
              <w:rPr>
                <w:rStyle w:val="Hiperpovezava"/>
                <w:noProof/>
              </w:rPr>
              <w:t>Ključna sporočila sektorja vodni viri</w:t>
            </w:r>
            <w:r>
              <w:rPr>
                <w:noProof/>
                <w:webHidden/>
              </w:rPr>
              <w:tab/>
            </w:r>
            <w:r>
              <w:rPr>
                <w:noProof/>
                <w:webHidden/>
              </w:rPr>
              <w:fldChar w:fldCharType="begin"/>
            </w:r>
            <w:r>
              <w:rPr>
                <w:noProof/>
                <w:webHidden/>
              </w:rPr>
              <w:instrText xml:space="preserve"> PAGEREF _Toc97026797 \h </w:instrText>
            </w:r>
            <w:r>
              <w:rPr>
                <w:noProof/>
                <w:webHidden/>
              </w:rPr>
            </w:r>
            <w:r>
              <w:rPr>
                <w:noProof/>
                <w:webHidden/>
              </w:rPr>
              <w:fldChar w:fldCharType="separate"/>
            </w:r>
            <w:r>
              <w:rPr>
                <w:noProof/>
                <w:webHidden/>
              </w:rPr>
              <w:t>231</w:t>
            </w:r>
            <w:r>
              <w:rPr>
                <w:noProof/>
                <w:webHidden/>
              </w:rPr>
              <w:fldChar w:fldCharType="end"/>
            </w:r>
          </w:hyperlink>
        </w:p>
        <w:p w14:paraId="06B31E8E" w14:textId="0BD8E53E" w:rsidR="007A0276" w:rsidRDefault="007A0276">
          <w:pPr>
            <w:pStyle w:val="Kazalovsebine3"/>
            <w:tabs>
              <w:tab w:val="left" w:pos="1540"/>
              <w:tab w:val="right" w:leader="dot" w:pos="9628"/>
            </w:tabs>
            <w:rPr>
              <w:rFonts w:asciiTheme="minorHAnsi" w:hAnsiTheme="minorHAnsi"/>
              <w:noProof/>
              <w:color w:val="auto"/>
              <w:lang w:eastAsia="sl-SI"/>
            </w:rPr>
          </w:pPr>
          <w:hyperlink w:anchor="_Toc97026798" w:history="1">
            <w:r w:rsidRPr="00530130">
              <w:rPr>
                <w:rStyle w:val="Hiperpovezava"/>
                <w:noProof/>
                <w14:scene3d>
                  <w14:camera w14:prst="orthographicFront"/>
                  <w14:lightRig w14:rig="threePt" w14:dir="t">
                    <w14:rot w14:lat="0" w14:lon="0" w14:rev="0"/>
                  </w14:lightRig>
                </w14:scene3d>
              </w:rPr>
              <w:t>6.5.10.</w:t>
            </w:r>
            <w:r>
              <w:rPr>
                <w:rFonts w:asciiTheme="minorHAnsi" w:hAnsiTheme="minorHAnsi"/>
                <w:noProof/>
                <w:color w:val="auto"/>
                <w:lang w:eastAsia="sl-SI"/>
              </w:rPr>
              <w:tab/>
            </w:r>
            <w:r w:rsidRPr="00530130">
              <w:rPr>
                <w:rStyle w:val="Hiperpovezava"/>
                <w:noProof/>
              </w:rPr>
              <w:t>Viri</w:t>
            </w:r>
            <w:r>
              <w:rPr>
                <w:noProof/>
                <w:webHidden/>
              </w:rPr>
              <w:tab/>
            </w:r>
            <w:r>
              <w:rPr>
                <w:noProof/>
                <w:webHidden/>
              </w:rPr>
              <w:fldChar w:fldCharType="begin"/>
            </w:r>
            <w:r>
              <w:rPr>
                <w:noProof/>
                <w:webHidden/>
              </w:rPr>
              <w:instrText xml:space="preserve"> PAGEREF _Toc97026798 \h </w:instrText>
            </w:r>
            <w:r>
              <w:rPr>
                <w:noProof/>
                <w:webHidden/>
              </w:rPr>
            </w:r>
            <w:r>
              <w:rPr>
                <w:noProof/>
                <w:webHidden/>
              </w:rPr>
              <w:fldChar w:fldCharType="separate"/>
            </w:r>
            <w:r>
              <w:rPr>
                <w:noProof/>
                <w:webHidden/>
              </w:rPr>
              <w:t>232</w:t>
            </w:r>
            <w:r>
              <w:rPr>
                <w:noProof/>
                <w:webHidden/>
              </w:rPr>
              <w:fldChar w:fldCharType="end"/>
            </w:r>
          </w:hyperlink>
        </w:p>
        <w:p w14:paraId="20A7EF73" w14:textId="6FDA3DB2" w:rsidR="007A0276" w:rsidRDefault="007A0276">
          <w:pPr>
            <w:pStyle w:val="Kazalovsebine2"/>
            <w:rPr>
              <w:rFonts w:asciiTheme="minorHAnsi" w:hAnsiTheme="minorHAnsi"/>
              <w:noProof/>
              <w:color w:val="auto"/>
              <w:lang w:eastAsia="sl-SI"/>
            </w:rPr>
          </w:pPr>
          <w:hyperlink w:anchor="_Toc97026799" w:history="1">
            <w:r w:rsidRPr="00530130">
              <w:rPr>
                <w:rStyle w:val="Hiperpovezava"/>
                <w:noProof/>
                <w:lang w:eastAsia="sl-SI"/>
                <w14:scene3d>
                  <w14:camera w14:prst="orthographicFront"/>
                  <w14:lightRig w14:rig="threePt" w14:dir="t">
                    <w14:rot w14:lat="0" w14:lon="0" w14:rev="0"/>
                  </w14:lightRig>
                </w14:scene3d>
              </w:rPr>
              <w:t>6.6.</w:t>
            </w:r>
            <w:r>
              <w:rPr>
                <w:rFonts w:asciiTheme="minorHAnsi" w:hAnsiTheme="minorHAnsi"/>
                <w:noProof/>
                <w:color w:val="auto"/>
                <w:lang w:eastAsia="sl-SI"/>
              </w:rPr>
              <w:tab/>
            </w:r>
            <w:r w:rsidRPr="00530130">
              <w:rPr>
                <w:rStyle w:val="Hiperpovezava"/>
                <w:noProof/>
                <w:lang w:eastAsia="sl-SI"/>
              </w:rPr>
              <w:t>Sektor vodovodni sistemi</w:t>
            </w:r>
            <w:r>
              <w:rPr>
                <w:noProof/>
                <w:webHidden/>
              </w:rPr>
              <w:tab/>
            </w:r>
            <w:r>
              <w:rPr>
                <w:noProof/>
                <w:webHidden/>
              </w:rPr>
              <w:fldChar w:fldCharType="begin"/>
            </w:r>
            <w:r>
              <w:rPr>
                <w:noProof/>
                <w:webHidden/>
              </w:rPr>
              <w:instrText xml:space="preserve"> PAGEREF _Toc97026799 \h </w:instrText>
            </w:r>
            <w:r>
              <w:rPr>
                <w:noProof/>
                <w:webHidden/>
              </w:rPr>
            </w:r>
            <w:r>
              <w:rPr>
                <w:noProof/>
                <w:webHidden/>
              </w:rPr>
              <w:fldChar w:fldCharType="separate"/>
            </w:r>
            <w:r>
              <w:rPr>
                <w:noProof/>
                <w:webHidden/>
              </w:rPr>
              <w:t>235</w:t>
            </w:r>
            <w:r>
              <w:rPr>
                <w:noProof/>
                <w:webHidden/>
              </w:rPr>
              <w:fldChar w:fldCharType="end"/>
            </w:r>
          </w:hyperlink>
        </w:p>
        <w:p w14:paraId="6599DBA7" w14:textId="79FB0D42"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00" w:history="1">
            <w:r w:rsidRPr="00530130">
              <w:rPr>
                <w:rStyle w:val="Hiperpovezava"/>
                <w:noProof/>
                <w14:scene3d>
                  <w14:camera w14:prst="orthographicFront"/>
                  <w14:lightRig w14:rig="threePt" w14:dir="t">
                    <w14:rot w14:lat="0" w14:lon="0" w14:rev="0"/>
                  </w14:lightRig>
                </w14:scene3d>
              </w:rPr>
              <w:t>6.6.1.</w:t>
            </w:r>
            <w:r>
              <w:rPr>
                <w:rFonts w:asciiTheme="minorHAnsi" w:hAnsiTheme="minorHAnsi"/>
                <w:noProof/>
                <w:color w:val="auto"/>
                <w:lang w:eastAsia="sl-SI"/>
              </w:rPr>
              <w:tab/>
            </w:r>
            <w:r w:rsidRPr="00530130">
              <w:rPr>
                <w:rStyle w:val="Hiperpovezava"/>
                <w:noProof/>
              </w:rPr>
              <w:t>Metodologija sektorja vodovodni sistemi</w:t>
            </w:r>
            <w:r>
              <w:rPr>
                <w:noProof/>
                <w:webHidden/>
              </w:rPr>
              <w:tab/>
            </w:r>
            <w:r>
              <w:rPr>
                <w:noProof/>
                <w:webHidden/>
              </w:rPr>
              <w:fldChar w:fldCharType="begin"/>
            </w:r>
            <w:r>
              <w:rPr>
                <w:noProof/>
                <w:webHidden/>
              </w:rPr>
              <w:instrText xml:space="preserve"> PAGEREF _Toc97026800 \h </w:instrText>
            </w:r>
            <w:r>
              <w:rPr>
                <w:noProof/>
                <w:webHidden/>
              </w:rPr>
            </w:r>
            <w:r>
              <w:rPr>
                <w:noProof/>
                <w:webHidden/>
              </w:rPr>
              <w:fldChar w:fldCharType="separate"/>
            </w:r>
            <w:r>
              <w:rPr>
                <w:noProof/>
                <w:webHidden/>
              </w:rPr>
              <w:t>235</w:t>
            </w:r>
            <w:r>
              <w:rPr>
                <w:noProof/>
                <w:webHidden/>
              </w:rPr>
              <w:fldChar w:fldCharType="end"/>
            </w:r>
          </w:hyperlink>
        </w:p>
        <w:p w14:paraId="5A8C7D71" w14:textId="72225A9B"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01" w:history="1">
            <w:r w:rsidRPr="00530130">
              <w:rPr>
                <w:rStyle w:val="Hiperpovezava"/>
                <w:noProof/>
                <w14:scene3d>
                  <w14:camera w14:prst="orthographicFront"/>
                  <w14:lightRig w14:rig="threePt" w14:dir="t">
                    <w14:rot w14:lat="0" w14:lon="0" w14:rev="0"/>
                  </w14:lightRig>
                </w14:scene3d>
              </w:rPr>
              <w:t>6.6.2.</w:t>
            </w:r>
            <w:r>
              <w:rPr>
                <w:rFonts w:asciiTheme="minorHAnsi" w:hAnsiTheme="minorHAnsi"/>
                <w:noProof/>
                <w:color w:val="auto"/>
                <w:lang w:eastAsia="sl-SI"/>
              </w:rPr>
              <w:tab/>
            </w:r>
            <w:r w:rsidRPr="00530130">
              <w:rPr>
                <w:rStyle w:val="Hiperpovezava"/>
                <w:noProof/>
              </w:rPr>
              <w:t>Zakonodajni okvir za sektor vodovodni sistemi</w:t>
            </w:r>
            <w:r>
              <w:rPr>
                <w:noProof/>
                <w:webHidden/>
              </w:rPr>
              <w:tab/>
            </w:r>
            <w:r>
              <w:rPr>
                <w:noProof/>
                <w:webHidden/>
              </w:rPr>
              <w:fldChar w:fldCharType="begin"/>
            </w:r>
            <w:r>
              <w:rPr>
                <w:noProof/>
                <w:webHidden/>
              </w:rPr>
              <w:instrText xml:space="preserve"> PAGEREF _Toc97026801 \h </w:instrText>
            </w:r>
            <w:r>
              <w:rPr>
                <w:noProof/>
                <w:webHidden/>
              </w:rPr>
            </w:r>
            <w:r>
              <w:rPr>
                <w:noProof/>
                <w:webHidden/>
              </w:rPr>
              <w:fldChar w:fldCharType="separate"/>
            </w:r>
            <w:r>
              <w:rPr>
                <w:noProof/>
                <w:webHidden/>
              </w:rPr>
              <w:t>237</w:t>
            </w:r>
            <w:r>
              <w:rPr>
                <w:noProof/>
                <w:webHidden/>
              </w:rPr>
              <w:fldChar w:fldCharType="end"/>
            </w:r>
          </w:hyperlink>
        </w:p>
        <w:p w14:paraId="5AB547D8" w14:textId="4E75B361"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02" w:history="1">
            <w:r w:rsidRPr="00530130">
              <w:rPr>
                <w:rStyle w:val="Hiperpovezava"/>
                <w:noProof/>
                <w14:scene3d>
                  <w14:camera w14:prst="orthographicFront"/>
                  <w14:lightRig w14:rig="threePt" w14:dir="t">
                    <w14:rot w14:lat="0" w14:lon="0" w14:rev="0"/>
                  </w14:lightRig>
                </w14:scene3d>
              </w:rPr>
              <w:t>6.6.3.</w:t>
            </w:r>
            <w:r>
              <w:rPr>
                <w:rFonts w:asciiTheme="minorHAnsi" w:hAnsiTheme="minorHAnsi"/>
                <w:noProof/>
                <w:color w:val="auto"/>
                <w:lang w:eastAsia="sl-SI"/>
              </w:rPr>
              <w:tab/>
            </w:r>
            <w:r w:rsidRPr="00530130">
              <w:rPr>
                <w:rStyle w:val="Hiperpovezava"/>
                <w:noProof/>
              </w:rPr>
              <w:t>Obstoječe stanje sektorja vodovodnega sistema</w:t>
            </w:r>
            <w:r>
              <w:rPr>
                <w:noProof/>
                <w:webHidden/>
              </w:rPr>
              <w:tab/>
            </w:r>
            <w:r>
              <w:rPr>
                <w:noProof/>
                <w:webHidden/>
              </w:rPr>
              <w:fldChar w:fldCharType="begin"/>
            </w:r>
            <w:r>
              <w:rPr>
                <w:noProof/>
                <w:webHidden/>
              </w:rPr>
              <w:instrText xml:space="preserve"> PAGEREF _Toc97026802 \h </w:instrText>
            </w:r>
            <w:r>
              <w:rPr>
                <w:noProof/>
                <w:webHidden/>
              </w:rPr>
            </w:r>
            <w:r>
              <w:rPr>
                <w:noProof/>
                <w:webHidden/>
              </w:rPr>
              <w:fldChar w:fldCharType="separate"/>
            </w:r>
            <w:r>
              <w:rPr>
                <w:noProof/>
                <w:webHidden/>
              </w:rPr>
              <w:t>242</w:t>
            </w:r>
            <w:r>
              <w:rPr>
                <w:noProof/>
                <w:webHidden/>
              </w:rPr>
              <w:fldChar w:fldCharType="end"/>
            </w:r>
          </w:hyperlink>
        </w:p>
        <w:p w14:paraId="7792039B" w14:textId="3BB96417"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03" w:history="1">
            <w:r w:rsidRPr="00530130">
              <w:rPr>
                <w:rStyle w:val="Hiperpovezava"/>
                <w:noProof/>
                <w14:scene3d>
                  <w14:camera w14:prst="orthographicFront"/>
                  <w14:lightRig w14:rig="threePt" w14:dir="t">
                    <w14:rot w14:lat="0" w14:lon="0" w14:rev="0"/>
                  </w14:lightRig>
                </w14:scene3d>
              </w:rPr>
              <w:t>6.6.4.</w:t>
            </w:r>
            <w:r>
              <w:rPr>
                <w:rFonts w:asciiTheme="minorHAnsi" w:hAnsiTheme="minorHAnsi"/>
                <w:noProof/>
                <w:color w:val="auto"/>
                <w:lang w:eastAsia="sl-SI"/>
              </w:rPr>
              <w:tab/>
            </w:r>
            <w:r w:rsidRPr="00530130">
              <w:rPr>
                <w:rStyle w:val="Hiperpovezava"/>
                <w:noProof/>
              </w:rPr>
              <w:t>Ocena potencialnih vplivov podnebnih sprememb na sektor po kazalnikih za sektor vodovodni sistemi</w:t>
            </w:r>
            <w:r>
              <w:rPr>
                <w:noProof/>
                <w:webHidden/>
              </w:rPr>
              <w:tab/>
            </w:r>
            <w:r>
              <w:rPr>
                <w:noProof/>
                <w:webHidden/>
              </w:rPr>
              <w:fldChar w:fldCharType="begin"/>
            </w:r>
            <w:r>
              <w:rPr>
                <w:noProof/>
                <w:webHidden/>
              </w:rPr>
              <w:instrText xml:space="preserve"> PAGEREF _Toc97026803 \h </w:instrText>
            </w:r>
            <w:r>
              <w:rPr>
                <w:noProof/>
                <w:webHidden/>
              </w:rPr>
            </w:r>
            <w:r>
              <w:rPr>
                <w:noProof/>
                <w:webHidden/>
              </w:rPr>
              <w:fldChar w:fldCharType="separate"/>
            </w:r>
            <w:r>
              <w:rPr>
                <w:noProof/>
                <w:webHidden/>
              </w:rPr>
              <w:t>249</w:t>
            </w:r>
            <w:r>
              <w:rPr>
                <w:noProof/>
                <w:webHidden/>
              </w:rPr>
              <w:fldChar w:fldCharType="end"/>
            </w:r>
          </w:hyperlink>
        </w:p>
        <w:p w14:paraId="37A13EDB" w14:textId="4EE3EFBB"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04" w:history="1">
            <w:r w:rsidRPr="00530130">
              <w:rPr>
                <w:rStyle w:val="Hiperpovezava"/>
                <w:noProof/>
                <w14:scene3d>
                  <w14:camera w14:prst="orthographicFront"/>
                  <w14:lightRig w14:rig="threePt" w14:dir="t">
                    <w14:rot w14:lat="0" w14:lon="0" w14:rev="0"/>
                  </w14:lightRig>
                </w14:scene3d>
              </w:rPr>
              <w:t>6.6.5.</w:t>
            </w:r>
            <w:r>
              <w:rPr>
                <w:rFonts w:asciiTheme="minorHAnsi" w:hAnsiTheme="minorHAnsi"/>
                <w:noProof/>
                <w:color w:val="auto"/>
                <w:lang w:eastAsia="sl-SI"/>
              </w:rPr>
              <w:tab/>
            </w:r>
            <w:r w:rsidRPr="00530130">
              <w:rPr>
                <w:rStyle w:val="Hiperpovezava"/>
                <w:noProof/>
              </w:rPr>
              <w:t>Ocena sposobnosti prilagajanja sektorja vodovodni sistemi</w:t>
            </w:r>
            <w:r>
              <w:rPr>
                <w:noProof/>
                <w:webHidden/>
              </w:rPr>
              <w:tab/>
            </w:r>
            <w:r>
              <w:rPr>
                <w:noProof/>
                <w:webHidden/>
              </w:rPr>
              <w:fldChar w:fldCharType="begin"/>
            </w:r>
            <w:r>
              <w:rPr>
                <w:noProof/>
                <w:webHidden/>
              </w:rPr>
              <w:instrText xml:space="preserve"> PAGEREF _Toc97026804 \h </w:instrText>
            </w:r>
            <w:r>
              <w:rPr>
                <w:noProof/>
                <w:webHidden/>
              </w:rPr>
            </w:r>
            <w:r>
              <w:rPr>
                <w:noProof/>
                <w:webHidden/>
              </w:rPr>
              <w:fldChar w:fldCharType="separate"/>
            </w:r>
            <w:r>
              <w:rPr>
                <w:noProof/>
                <w:webHidden/>
              </w:rPr>
              <w:t>254</w:t>
            </w:r>
            <w:r>
              <w:rPr>
                <w:noProof/>
                <w:webHidden/>
              </w:rPr>
              <w:fldChar w:fldCharType="end"/>
            </w:r>
          </w:hyperlink>
        </w:p>
        <w:p w14:paraId="3FF5209D" w14:textId="1E85AB0B"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05" w:history="1">
            <w:r w:rsidRPr="00530130">
              <w:rPr>
                <w:rStyle w:val="Hiperpovezava"/>
                <w:noProof/>
                <w14:scene3d>
                  <w14:camera w14:prst="orthographicFront"/>
                  <w14:lightRig w14:rig="threePt" w14:dir="t">
                    <w14:rot w14:lat="0" w14:lon="0" w14:rev="0"/>
                  </w14:lightRig>
                </w14:scene3d>
              </w:rPr>
              <w:t>6.6.6.</w:t>
            </w:r>
            <w:r>
              <w:rPr>
                <w:rFonts w:asciiTheme="minorHAnsi" w:hAnsiTheme="minorHAnsi"/>
                <w:noProof/>
                <w:color w:val="auto"/>
                <w:lang w:eastAsia="sl-SI"/>
              </w:rPr>
              <w:tab/>
            </w:r>
            <w:r w:rsidRPr="00530130">
              <w:rPr>
                <w:rStyle w:val="Hiperpovezava"/>
                <w:noProof/>
              </w:rPr>
              <w:t>Ocena ranljivosti sektorja vodovodni sistemi</w:t>
            </w:r>
            <w:r>
              <w:rPr>
                <w:noProof/>
                <w:webHidden/>
              </w:rPr>
              <w:tab/>
            </w:r>
            <w:r>
              <w:rPr>
                <w:noProof/>
                <w:webHidden/>
              </w:rPr>
              <w:fldChar w:fldCharType="begin"/>
            </w:r>
            <w:r>
              <w:rPr>
                <w:noProof/>
                <w:webHidden/>
              </w:rPr>
              <w:instrText xml:space="preserve"> PAGEREF _Toc97026805 \h </w:instrText>
            </w:r>
            <w:r>
              <w:rPr>
                <w:noProof/>
                <w:webHidden/>
              </w:rPr>
            </w:r>
            <w:r>
              <w:rPr>
                <w:noProof/>
                <w:webHidden/>
              </w:rPr>
              <w:fldChar w:fldCharType="separate"/>
            </w:r>
            <w:r>
              <w:rPr>
                <w:noProof/>
                <w:webHidden/>
              </w:rPr>
              <w:t>258</w:t>
            </w:r>
            <w:r>
              <w:rPr>
                <w:noProof/>
                <w:webHidden/>
              </w:rPr>
              <w:fldChar w:fldCharType="end"/>
            </w:r>
          </w:hyperlink>
        </w:p>
        <w:p w14:paraId="39F104B2" w14:textId="7FC4142C"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06" w:history="1">
            <w:r w:rsidRPr="00530130">
              <w:rPr>
                <w:rStyle w:val="Hiperpovezava"/>
                <w:noProof/>
                <w14:scene3d>
                  <w14:camera w14:prst="orthographicFront"/>
                  <w14:lightRig w14:rig="threePt" w14:dir="t">
                    <w14:rot w14:lat="0" w14:lon="0" w14:rev="0"/>
                  </w14:lightRig>
                </w14:scene3d>
              </w:rPr>
              <w:t>6.6.7.</w:t>
            </w:r>
            <w:r>
              <w:rPr>
                <w:rFonts w:asciiTheme="minorHAnsi" w:hAnsiTheme="minorHAnsi"/>
                <w:noProof/>
                <w:color w:val="auto"/>
                <w:lang w:eastAsia="sl-SI"/>
              </w:rPr>
              <w:tab/>
            </w:r>
            <w:r w:rsidRPr="00530130">
              <w:rPr>
                <w:rStyle w:val="Hiperpovezava"/>
                <w:noProof/>
              </w:rPr>
              <w:t>Ocena tveganja sektorja vodovodni sistemi</w:t>
            </w:r>
            <w:r>
              <w:rPr>
                <w:noProof/>
                <w:webHidden/>
              </w:rPr>
              <w:tab/>
            </w:r>
            <w:r>
              <w:rPr>
                <w:noProof/>
                <w:webHidden/>
              </w:rPr>
              <w:fldChar w:fldCharType="begin"/>
            </w:r>
            <w:r>
              <w:rPr>
                <w:noProof/>
                <w:webHidden/>
              </w:rPr>
              <w:instrText xml:space="preserve"> PAGEREF _Toc97026806 \h </w:instrText>
            </w:r>
            <w:r>
              <w:rPr>
                <w:noProof/>
                <w:webHidden/>
              </w:rPr>
            </w:r>
            <w:r>
              <w:rPr>
                <w:noProof/>
                <w:webHidden/>
              </w:rPr>
              <w:fldChar w:fldCharType="separate"/>
            </w:r>
            <w:r>
              <w:rPr>
                <w:noProof/>
                <w:webHidden/>
              </w:rPr>
              <w:t>258</w:t>
            </w:r>
            <w:r>
              <w:rPr>
                <w:noProof/>
                <w:webHidden/>
              </w:rPr>
              <w:fldChar w:fldCharType="end"/>
            </w:r>
          </w:hyperlink>
        </w:p>
        <w:p w14:paraId="6E4DFC73" w14:textId="56C7A99E"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07" w:history="1">
            <w:r w:rsidRPr="00530130">
              <w:rPr>
                <w:rStyle w:val="Hiperpovezava"/>
                <w:noProof/>
                <w14:scene3d>
                  <w14:camera w14:prst="orthographicFront"/>
                  <w14:lightRig w14:rig="threePt" w14:dir="t">
                    <w14:rot w14:lat="0" w14:lon="0" w14:rev="0"/>
                  </w14:lightRig>
                </w14:scene3d>
              </w:rPr>
              <w:t>6.6.8.</w:t>
            </w:r>
            <w:r>
              <w:rPr>
                <w:rFonts w:asciiTheme="minorHAnsi" w:hAnsiTheme="minorHAnsi"/>
                <w:noProof/>
                <w:color w:val="auto"/>
                <w:lang w:eastAsia="sl-SI"/>
              </w:rPr>
              <w:tab/>
            </w:r>
            <w:r w:rsidRPr="00530130">
              <w:rPr>
                <w:rStyle w:val="Hiperpovezava"/>
                <w:noProof/>
              </w:rPr>
              <w:t>Ključna sporočila sektorja vodovodni sistemi</w:t>
            </w:r>
            <w:r>
              <w:rPr>
                <w:noProof/>
                <w:webHidden/>
              </w:rPr>
              <w:tab/>
            </w:r>
            <w:r>
              <w:rPr>
                <w:noProof/>
                <w:webHidden/>
              </w:rPr>
              <w:fldChar w:fldCharType="begin"/>
            </w:r>
            <w:r>
              <w:rPr>
                <w:noProof/>
                <w:webHidden/>
              </w:rPr>
              <w:instrText xml:space="preserve"> PAGEREF _Toc97026807 \h </w:instrText>
            </w:r>
            <w:r>
              <w:rPr>
                <w:noProof/>
                <w:webHidden/>
              </w:rPr>
            </w:r>
            <w:r>
              <w:rPr>
                <w:noProof/>
                <w:webHidden/>
              </w:rPr>
              <w:fldChar w:fldCharType="separate"/>
            </w:r>
            <w:r>
              <w:rPr>
                <w:noProof/>
                <w:webHidden/>
              </w:rPr>
              <w:t>260</w:t>
            </w:r>
            <w:r>
              <w:rPr>
                <w:noProof/>
                <w:webHidden/>
              </w:rPr>
              <w:fldChar w:fldCharType="end"/>
            </w:r>
          </w:hyperlink>
        </w:p>
        <w:p w14:paraId="40DAB52C" w14:textId="1252F414"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08" w:history="1">
            <w:r w:rsidRPr="00530130">
              <w:rPr>
                <w:rStyle w:val="Hiperpovezava"/>
                <w:noProof/>
                <w14:scene3d>
                  <w14:camera w14:prst="orthographicFront"/>
                  <w14:lightRig w14:rig="threePt" w14:dir="t">
                    <w14:rot w14:lat="0" w14:lon="0" w14:rev="0"/>
                  </w14:lightRig>
                </w14:scene3d>
              </w:rPr>
              <w:t>6.6.9.</w:t>
            </w:r>
            <w:r>
              <w:rPr>
                <w:rFonts w:asciiTheme="minorHAnsi" w:hAnsiTheme="minorHAnsi"/>
                <w:noProof/>
                <w:color w:val="auto"/>
                <w:lang w:eastAsia="sl-SI"/>
              </w:rPr>
              <w:tab/>
            </w:r>
            <w:r w:rsidRPr="00530130">
              <w:rPr>
                <w:rStyle w:val="Hiperpovezava"/>
                <w:noProof/>
              </w:rPr>
              <w:t>Viri</w:t>
            </w:r>
            <w:r>
              <w:rPr>
                <w:noProof/>
                <w:webHidden/>
              </w:rPr>
              <w:tab/>
            </w:r>
            <w:r>
              <w:rPr>
                <w:noProof/>
                <w:webHidden/>
              </w:rPr>
              <w:fldChar w:fldCharType="begin"/>
            </w:r>
            <w:r>
              <w:rPr>
                <w:noProof/>
                <w:webHidden/>
              </w:rPr>
              <w:instrText xml:space="preserve"> PAGEREF _Toc97026808 \h </w:instrText>
            </w:r>
            <w:r>
              <w:rPr>
                <w:noProof/>
                <w:webHidden/>
              </w:rPr>
            </w:r>
            <w:r>
              <w:rPr>
                <w:noProof/>
                <w:webHidden/>
              </w:rPr>
              <w:fldChar w:fldCharType="separate"/>
            </w:r>
            <w:r>
              <w:rPr>
                <w:noProof/>
                <w:webHidden/>
              </w:rPr>
              <w:t>261</w:t>
            </w:r>
            <w:r>
              <w:rPr>
                <w:noProof/>
                <w:webHidden/>
              </w:rPr>
              <w:fldChar w:fldCharType="end"/>
            </w:r>
          </w:hyperlink>
        </w:p>
        <w:p w14:paraId="21653A52" w14:textId="748238D2" w:rsidR="007A0276" w:rsidRDefault="007A0276">
          <w:pPr>
            <w:pStyle w:val="Kazalovsebine2"/>
            <w:rPr>
              <w:rFonts w:asciiTheme="minorHAnsi" w:hAnsiTheme="minorHAnsi"/>
              <w:noProof/>
              <w:color w:val="auto"/>
              <w:lang w:eastAsia="sl-SI"/>
            </w:rPr>
          </w:pPr>
          <w:hyperlink w:anchor="_Toc97026809" w:history="1">
            <w:r w:rsidRPr="00530130">
              <w:rPr>
                <w:rStyle w:val="Hiperpovezava"/>
                <w:noProof/>
                <w:lang w:eastAsia="sl-SI"/>
                <w14:scene3d>
                  <w14:camera w14:prst="orthographicFront"/>
                  <w14:lightRig w14:rig="threePt" w14:dir="t">
                    <w14:rot w14:lat="0" w14:lon="0" w14:rev="0"/>
                  </w14:lightRig>
                </w14:scene3d>
              </w:rPr>
              <w:t>6.7.</w:t>
            </w:r>
            <w:r>
              <w:rPr>
                <w:rFonts w:asciiTheme="minorHAnsi" w:hAnsiTheme="minorHAnsi"/>
                <w:noProof/>
                <w:color w:val="auto"/>
                <w:lang w:eastAsia="sl-SI"/>
              </w:rPr>
              <w:tab/>
            </w:r>
            <w:r w:rsidRPr="00530130">
              <w:rPr>
                <w:rStyle w:val="Hiperpovezava"/>
                <w:noProof/>
                <w:lang w:eastAsia="sl-SI"/>
              </w:rPr>
              <w:t>Sektor poplavne ogroženosti</w:t>
            </w:r>
            <w:r>
              <w:rPr>
                <w:noProof/>
                <w:webHidden/>
              </w:rPr>
              <w:tab/>
            </w:r>
            <w:r>
              <w:rPr>
                <w:noProof/>
                <w:webHidden/>
              </w:rPr>
              <w:fldChar w:fldCharType="begin"/>
            </w:r>
            <w:r>
              <w:rPr>
                <w:noProof/>
                <w:webHidden/>
              </w:rPr>
              <w:instrText xml:space="preserve"> PAGEREF _Toc97026809 \h </w:instrText>
            </w:r>
            <w:r>
              <w:rPr>
                <w:noProof/>
                <w:webHidden/>
              </w:rPr>
            </w:r>
            <w:r>
              <w:rPr>
                <w:noProof/>
                <w:webHidden/>
              </w:rPr>
              <w:fldChar w:fldCharType="separate"/>
            </w:r>
            <w:r>
              <w:rPr>
                <w:noProof/>
                <w:webHidden/>
              </w:rPr>
              <w:t>262</w:t>
            </w:r>
            <w:r>
              <w:rPr>
                <w:noProof/>
                <w:webHidden/>
              </w:rPr>
              <w:fldChar w:fldCharType="end"/>
            </w:r>
          </w:hyperlink>
        </w:p>
        <w:p w14:paraId="437B0D64" w14:textId="53F1149E"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10" w:history="1">
            <w:r w:rsidRPr="00530130">
              <w:rPr>
                <w:rStyle w:val="Hiperpovezava"/>
                <w:noProof/>
                <w14:scene3d>
                  <w14:camera w14:prst="orthographicFront"/>
                  <w14:lightRig w14:rig="threePt" w14:dir="t">
                    <w14:rot w14:lat="0" w14:lon="0" w14:rev="0"/>
                  </w14:lightRig>
                </w14:scene3d>
              </w:rPr>
              <w:t>6.7.1.</w:t>
            </w:r>
            <w:r>
              <w:rPr>
                <w:rFonts w:asciiTheme="minorHAnsi" w:hAnsiTheme="minorHAnsi"/>
                <w:noProof/>
                <w:color w:val="auto"/>
                <w:lang w:eastAsia="sl-SI"/>
              </w:rPr>
              <w:tab/>
            </w:r>
            <w:r w:rsidRPr="00530130">
              <w:rPr>
                <w:rStyle w:val="Hiperpovezava"/>
                <w:noProof/>
              </w:rPr>
              <w:t>Metodologija sektorja poplavne ogroženosti</w:t>
            </w:r>
            <w:r>
              <w:rPr>
                <w:noProof/>
                <w:webHidden/>
              </w:rPr>
              <w:tab/>
            </w:r>
            <w:r>
              <w:rPr>
                <w:noProof/>
                <w:webHidden/>
              </w:rPr>
              <w:fldChar w:fldCharType="begin"/>
            </w:r>
            <w:r>
              <w:rPr>
                <w:noProof/>
                <w:webHidden/>
              </w:rPr>
              <w:instrText xml:space="preserve"> PAGEREF _Toc97026810 \h </w:instrText>
            </w:r>
            <w:r>
              <w:rPr>
                <w:noProof/>
                <w:webHidden/>
              </w:rPr>
            </w:r>
            <w:r>
              <w:rPr>
                <w:noProof/>
                <w:webHidden/>
              </w:rPr>
              <w:fldChar w:fldCharType="separate"/>
            </w:r>
            <w:r>
              <w:rPr>
                <w:noProof/>
                <w:webHidden/>
              </w:rPr>
              <w:t>262</w:t>
            </w:r>
            <w:r>
              <w:rPr>
                <w:noProof/>
                <w:webHidden/>
              </w:rPr>
              <w:fldChar w:fldCharType="end"/>
            </w:r>
          </w:hyperlink>
        </w:p>
        <w:p w14:paraId="62BD989B" w14:textId="2AB6499B"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11" w:history="1">
            <w:r w:rsidRPr="00530130">
              <w:rPr>
                <w:rStyle w:val="Hiperpovezava"/>
                <w:noProof/>
                <w14:scene3d>
                  <w14:camera w14:prst="orthographicFront"/>
                  <w14:lightRig w14:rig="threePt" w14:dir="t">
                    <w14:rot w14:lat="0" w14:lon="0" w14:rev="0"/>
                  </w14:lightRig>
                </w14:scene3d>
              </w:rPr>
              <w:t>6.7.2.</w:t>
            </w:r>
            <w:r>
              <w:rPr>
                <w:rFonts w:asciiTheme="minorHAnsi" w:hAnsiTheme="minorHAnsi"/>
                <w:noProof/>
                <w:color w:val="auto"/>
                <w:lang w:eastAsia="sl-SI"/>
              </w:rPr>
              <w:tab/>
            </w:r>
            <w:r w:rsidRPr="00530130">
              <w:rPr>
                <w:rStyle w:val="Hiperpovezava"/>
                <w:noProof/>
              </w:rPr>
              <w:t>Zakonodajni okvir za sektor poplavna ogroženost</w:t>
            </w:r>
            <w:r>
              <w:rPr>
                <w:noProof/>
                <w:webHidden/>
              </w:rPr>
              <w:tab/>
            </w:r>
            <w:r>
              <w:rPr>
                <w:noProof/>
                <w:webHidden/>
              </w:rPr>
              <w:fldChar w:fldCharType="begin"/>
            </w:r>
            <w:r>
              <w:rPr>
                <w:noProof/>
                <w:webHidden/>
              </w:rPr>
              <w:instrText xml:space="preserve"> PAGEREF _Toc97026811 \h </w:instrText>
            </w:r>
            <w:r>
              <w:rPr>
                <w:noProof/>
                <w:webHidden/>
              </w:rPr>
            </w:r>
            <w:r>
              <w:rPr>
                <w:noProof/>
                <w:webHidden/>
              </w:rPr>
              <w:fldChar w:fldCharType="separate"/>
            </w:r>
            <w:r>
              <w:rPr>
                <w:noProof/>
                <w:webHidden/>
              </w:rPr>
              <w:t>276</w:t>
            </w:r>
            <w:r>
              <w:rPr>
                <w:noProof/>
                <w:webHidden/>
              </w:rPr>
              <w:fldChar w:fldCharType="end"/>
            </w:r>
          </w:hyperlink>
        </w:p>
        <w:p w14:paraId="1E946600" w14:textId="76BDA3B8"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12" w:history="1">
            <w:r w:rsidRPr="00530130">
              <w:rPr>
                <w:rStyle w:val="Hiperpovezava"/>
                <w:noProof/>
                <w14:scene3d>
                  <w14:camera w14:prst="orthographicFront"/>
                  <w14:lightRig w14:rig="threePt" w14:dir="t">
                    <w14:rot w14:lat="0" w14:lon="0" w14:rev="0"/>
                  </w14:lightRig>
                </w14:scene3d>
              </w:rPr>
              <w:t>6.7.3.</w:t>
            </w:r>
            <w:r>
              <w:rPr>
                <w:rFonts w:asciiTheme="minorHAnsi" w:hAnsiTheme="minorHAnsi"/>
                <w:noProof/>
                <w:color w:val="auto"/>
                <w:lang w:eastAsia="sl-SI"/>
              </w:rPr>
              <w:tab/>
            </w:r>
            <w:r w:rsidRPr="00530130">
              <w:rPr>
                <w:rStyle w:val="Hiperpovezava"/>
                <w:noProof/>
              </w:rPr>
              <w:t>Obstoječe stanje sektorja poplavna ogroženost</w:t>
            </w:r>
            <w:r>
              <w:rPr>
                <w:noProof/>
                <w:webHidden/>
              </w:rPr>
              <w:tab/>
            </w:r>
            <w:r>
              <w:rPr>
                <w:noProof/>
                <w:webHidden/>
              </w:rPr>
              <w:fldChar w:fldCharType="begin"/>
            </w:r>
            <w:r>
              <w:rPr>
                <w:noProof/>
                <w:webHidden/>
              </w:rPr>
              <w:instrText xml:space="preserve"> PAGEREF _Toc97026812 \h </w:instrText>
            </w:r>
            <w:r>
              <w:rPr>
                <w:noProof/>
                <w:webHidden/>
              </w:rPr>
            </w:r>
            <w:r>
              <w:rPr>
                <w:noProof/>
                <w:webHidden/>
              </w:rPr>
              <w:fldChar w:fldCharType="separate"/>
            </w:r>
            <w:r>
              <w:rPr>
                <w:noProof/>
                <w:webHidden/>
              </w:rPr>
              <w:t>280</w:t>
            </w:r>
            <w:r>
              <w:rPr>
                <w:noProof/>
                <w:webHidden/>
              </w:rPr>
              <w:fldChar w:fldCharType="end"/>
            </w:r>
          </w:hyperlink>
        </w:p>
        <w:p w14:paraId="3E19D2DC" w14:textId="3C8287AC"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13" w:history="1">
            <w:r w:rsidRPr="00530130">
              <w:rPr>
                <w:rStyle w:val="Hiperpovezava"/>
                <w:noProof/>
                <w14:scene3d>
                  <w14:camera w14:prst="orthographicFront"/>
                  <w14:lightRig w14:rig="threePt" w14:dir="t">
                    <w14:rot w14:lat="0" w14:lon="0" w14:rev="0"/>
                  </w14:lightRig>
                </w14:scene3d>
              </w:rPr>
              <w:t>6.7.4.</w:t>
            </w:r>
            <w:r>
              <w:rPr>
                <w:rFonts w:asciiTheme="minorHAnsi" w:hAnsiTheme="minorHAnsi"/>
                <w:noProof/>
                <w:color w:val="auto"/>
                <w:lang w:eastAsia="sl-SI"/>
              </w:rPr>
              <w:tab/>
            </w:r>
            <w:r w:rsidRPr="00530130">
              <w:rPr>
                <w:rStyle w:val="Hiperpovezava"/>
                <w:noProof/>
              </w:rPr>
              <w:t>Ocena potencialnih vplivov podnebnih sprememb na sektor po kazalnikih za sektor poplavna ogroženost</w:t>
            </w:r>
            <w:r>
              <w:rPr>
                <w:noProof/>
                <w:webHidden/>
              </w:rPr>
              <w:tab/>
            </w:r>
            <w:r>
              <w:rPr>
                <w:noProof/>
                <w:webHidden/>
              </w:rPr>
              <w:fldChar w:fldCharType="begin"/>
            </w:r>
            <w:r>
              <w:rPr>
                <w:noProof/>
                <w:webHidden/>
              </w:rPr>
              <w:instrText xml:space="preserve"> PAGEREF _Toc97026813 \h </w:instrText>
            </w:r>
            <w:r>
              <w:rPr>
                <w:noProof/>
                <w:webHidden/>
              </w:rPr>
            </w:r>
            <w:r>
              <w:rPr>
                <w:noProof/>
                <w:webHidden/>
              </w:rPr>
              <w:fldChar w:fldCharType="separate"/>
            </w:r>
            <w:r>
              <w:rPr>
                <w:noProof/>
                <w:webHidden/>
              </w:rPr>
              <w:t>293</w:t>
            </w:r>
            <w:r>
              <w:rPr>
                <w:noProof/>
                <w:webHidden/>
              </w:rPr>
              <w:fldChar w:fldCharType="end"/>
            </w:r>
          </w:hyperlink>
        </w:p>
        <w:p w14:paraId="7FBB18FC" w14:textId="1D278EAC"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14" w:history="1">
            <w:r w:rsidRPr="00530130">
              <w:rPr>
                <w:rStyle w:val="Hiperpovezava"/>
                <w:noProof/>
                <w14:scene3d>
                  <w14:camera w14:prst="orthographicFront"/>
                  <w14:lightRig w14:rig="threePt" w14:dir="t">
                    <w14:rot w14:lat="0" w14:lon="0" w14:rev="0"/>
                  </w14:lightRig>
                </w14:scene3d>
              </w:rPr>
              <w:t>6.7.5.</w:t>
            </w:r>
            <w:r>
              <w:rPr>
                <w:rFonts w:asciiTheme="minorHAnsi" w:hAnsiTheme="minorHAnsi"/>
                <w:noProof/>
                <w:color w:val="auto"/>
                <w:lang w:eastAsia="sl-SI"/>
              </w:rPr>
              <w:tab/>
            </w:r>
            <w:r w:rsidRPr="00530130">
              <w:rPr>
                <w:rStyle w:val="Hiperpovezava"/>
                <w:noProof/>
              </w:rPr>
              <w:t>Ocena sposobnosti prilagajanja sektorja poplavna ogroženost</w:t>
            </w:r>
            <w:r>
              <w:rPr>
                <w:noProof/>
                <w:webHidden/>
              </w:rPr>
              <w:tab/>
            </w:r>
            <w:r>
              <w:rPr>
                <w:noProof/>
                <w:webHidden/>
              </w:rPr>
              <w:fldChar w:fldCharType="begin"/>
            </w:r>
            <w:r>
              <w:rPr>
                <w:noProof/>
                <w:webHidden/>
              </w:rPr>
              <w:instrText xml:space="preserve"> PAGEREF _Toc97026814 \h </w:instrText>
            </w:r>
            <w:r>
              <w:rPr>
                <w:noProof/>
                <w:webHidden/>
              </w:rPr>
            </w:r>
            <w:r>
              <w:rPr>
                <w:noProof/>
                <w:webHidden/>
              </w:rPr>
              <w:fldChar w:fldCharType="separate"/>
            </w:r>
            <w:r>
              <w:rPr>
                <w:noProof/>
                <w:webHidden/>
              </w:rPr>
              <w:t>294</w:t>
            </w:r>
            <w:r>
              <w:rPr>
                <w:noProof/>
                <w:webHidden/>
              </w:rPr>
              <w:fldChar w:fldCharType="end"/>
            </w:r>
          </w:hyperlink>
        </w:p>
        <w:p w14:paraId="47BA7E4C" w14:textId="7015F8EC"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15" w:history="1">
            <w:r w:rsidRPr="00530130">
              <w:rPr>
                <w:rStyle w:val="Hiperpovezava"/>
                <w:noProof/>
                <w14:scene3d>
                  <w14:camera w14:prst="orthographicFront"/>
                  <w14:lightRig w14:rig="threePt" w14:dir="t">
                    <w14:rot w14:lat="0" w14:lon="0" w14:rev="0"/>
                  </w14:lightRig>
                </w14:scene3d>
              </w:rPr>
              <w:t>6.7.6.</w:t>
            </w:r>
            <w:r>
              <w:rPr>
                <w:rFonts w:asciiTheme="minorHAnsi" w:hAnsiTheme="minorHAnsi"/>
                <w:noProof/>
                <w:color w:val="auto"/>
                <w:lang w:eastAsia="sl-SI"/>
              </w:rPr>
              <w:tab/>
            </w:r>
            <w:r w:rsidRPr="00530130">
              <w:rPr>
                <w:rStyle w:val="Hiperpovezava"/>
                <w:noProof/>
              </w:rPr>
              <w:t>Analiza ranljivosti sektorja poplavna ogroženost</w:t>
            </w:r>
            <w:r>
              <w:rPr>
                <w:noProof/>
                <w:webHidden/>
              </w:rPr>
              <w:tab/>
            </w:r>
            <w:r>
              <w:rPr>
                <w:noProof/>
                <w:webHidden/>
              </w:rPr>
              <w:fldChar w:fldCharType="begin"/>
            </w:r>
            <w:r>
              <w:rPr>
                <w:noProof/>
                <w:webHidden/>
              </w:rPr>
              <w:instrText xml:space="preserve"> PAGEREF _Toc97026815 \h </w:instrText>
            </w:r>
            <w:r>
              <w:rPr>
                <w:noProof/>
                <w:webHidden/>
              </w:rPr>
            </w:r>
            <w:r>
              <w:rPr>
                <w:noProof/>
                <w:webHidden/>
              </w:rPr>
              <w:fldChar w:fldCharType="separate"/>
            </w:r>
            <w:r>
              <w:rPr>
                <w:noProof/>
                <w:webHidden/>
              </w:rPr>
              <w:t>297</w:t>
            </w:r>
            <w:r>
              <w:rPr>
                <w:noProof/>
                <w:webHidden/>
              </w:rPr>
              <w:fldChar w:fldCharType="end"/>
            </w:r>
          </w:hyperlink>
        </w:p>
        <w:p w14:paraId="588C0219" w14:textId="39B034CF"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16" w:history="1">
            <w:r w:rsidRPr="00530130">
              <w:rPr>
                <w:rStyle w:val="Hiperpovezava"/>
                <w:noProof/>
                <w14:scene3d>
                  <w14:camera w14:prst="orthographicFront"/>
                  <w14:lightRig w14:rig="threePt" w14:dir="t">
                    <w14:rot w14:lat="0" w14:lon="0" w14:rev="0"/>
                  </w14:lightRig>
                </w14:scene3d>
              </w:rPr>
              <w:t>6.7.7.</w:t>
            </w:r>
            <w:r>
              <w:rPr>
                <w:rFonts w:asciiTheme="minorHAnsi" w:hAnsiTheme="minorHAnsi"/>
                <w:noProof/>
                <w:color w:val="auto"/>
                <w:lang w:eastAsia="sl-SI"/>
              </w:rPr>
              <w:tab/>
            </w:r>
            <w:r w:rsidRPr="00530130">
              <w:rPr>
                <w:rStyle w:val="Hiperpovezava"/>
                <w:noProof/>
              </w:rPr>
              <w:t>Ocena tveganja sektorja poplavna ogroženost</w:t>
            </w:r>
            <w:r>
              <w:rPr>
                <w:noProof/>
                <w:webHidden/>
              </w:rPr>
              <w:tab/>
            </w:r>
            <w:r>
              <w:rPr>
                <w:noProof/>
                <w:webHidden/>
              </w:rPr>
              <w:fldChar w:fldCharType="begin"/>
            </w:r>
            <w:r>
              <w:rPr>
                <w:noProof/>
                <w:webHidden/>
              </w:rPr>
              <w:instrText xml:space="preserve"> PAGEREF _Toc97026816 \h </w:instrText>
            </w:r>
            <w:r>
              <w:rPr>
                <w:noProof/>
                <w:webHidden/>
              </w:rPr>
            </w:r>
            <w:r>
              <w:rPr>
                <w:noProof/>
                <w:webHidden/>
              </w:rPr>
              <w:fldChar w:fldCharType="separate"/>
            </w:r>
            <w:r>
              <w:rPr>
                <w:noProof/>
                <w:webHidden/>
              </w:rPr>
              <w:t>299</w:t>
            </w:r>
            <w:r>
              <w:rPr>
                <w:noProof/>
                <w:webHidden/>
              </w:rPr>
              <w:fldChar w:fldCharType="end"/>
            </w:r>
          </w:hyperlink>
        </w:p>
        <w:p w14:paraId="0E3966C8" w14:textId="17460149"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17" w:history="1">
            <w:r w:rsidRPr="00530130">
              <w:rPr>
                <w:rStyle w:val="Hiperpovezava"/>
                <w:noProof/>
                <w14:scene3d>
                  <w14:camera w14:prst="orthographicFront"/>
                  <w14:lightRig w14:rig="threePt" w14:dir="t">
                    <w14:rot w14:lat="0" w14:lon="0" w14:rev="0"/>
                  </w14:lightRig>
                </w14:scene3d>
              </w:rPr>
              <w:t>6.7.8.</w:t>
            </w:r>
            <w:r>
              <w:rPr>
                <w:rFonts w:asciiTheme="minorHAnsi" w:hAnsiTheme="minorHAnsi"/>
                <w:noProof/>
                <w:color w:val="auto"/>
                <w:lang w:eastAsia="sl-SI"/>
              </w:rPr>
              <w:tab/>
            </w:r>
            <w:r w:rsidRPr="00530130">
              <w:rPr>
                <w:rStyle w:val="Hiperpovezava"/>
                <w:noProof/>
              </w:rPr>
              <w:t>Ključna sporočila sektorja poplavna ogroženost</w:t>
            </w:r>
            <w:r>
              <w:rPr>
                <w:noProof/>
                <w:webHidden/>
              </w:rPr>
              <w:tab/>
            </w:r>
            <w:r>
              <w:rPr>
                <w:noProof/>
                <w:webHidden/>
              </w:rPr>
              <w:fldChar w:fldCharType="begin"/>
            </w:r>
            <w:r>
              <w:rPr>
                <w:noProof/>
                <w:webHidden/>
              </w:rPr>
              <w:instrText xml:space="preserve"> PAGEREF _Toc97026817 \h </w:instrText>
            </w:r>
            <w:r>
              <w:rPr>
                <w:noProof/>
                <w:webHidden/>
              </w:rPr>
            </w:r>
            <w:r>
              <w:rPr>
                <w:noProof/>
                <w:webHidden/>
              </w:rPr>
              <w:fldChar w:fldCharType="separate"/>
            </w:r>
            <w:r>
              <w:rPr>
                <w:noProof/>
                <w:webHidden/>
              </w:rPr>
              <w:t>301</w:t>
            </w:r>
            <w:r>
              <w:rPr>
                <w:noProof/>
                <w:webHidden/>
              </w:rPr>
              <w:fldChar w:fldCharType="end"/>
            </w:r>
          </w:hyperlink>
        </w:p>
        <w:p w14:paraId="4B28B722" w14:textId="7DF2A513"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18" w:history="1">
            <w:r w:rsidRPr="00530130">
              <w:rPr>
                <w:rStyle w:val="Hiperpovezava"/>
                <w:noProof/>
                <w14:scene3d>
                  <w14:camera w14:prst="orthographicFront"/>
                  <w14:lightRig w14:rig="threePt" w14:dir="t">
                    <w14:rot w14:lat="0" w14:lon="0" w14:rev="0"/>
                  </w14:lightRig>
                </w14:scene3d>
              </w:rPr>
              <w:t>6.7.9.</w:t>
            </w:r>
            <w:r>
              <w:rPr>
                <w:rFonts w:asciiTheme="minorHAnsi" w:hAnsiTheme="minorHAnsi"/>
                <w:noProof/>
                <w:color w:val="auto"/>
                <w:lang w:eastAsia="sl-SI"/>
              </w:rPr>
              <w:tab/>
            </w:r>
            <w:r w:rsidRPr="00530130">
              <w:rPr>
                <w:rStyle w:val="Hiperpovezava"/>
                <w:noProof/>
              </w:rPr>
              <w:t>Viri</w:t>
            </w:r>
            <w:r>
              <w:rPr>
                <w:noProof/>
                <w:webHidden/>
              </w:rPr>
              <w:tab/>
            </w:r>
            <w:r>
              <w:rPr>
                <w:noProof/>
                <w:webHidden/>
              </w:rPr>
              <w:fldChar w:fldCharType="begin"/>
            </w:r>
            <w:r>
              <w:rPr>
                <w:noProof/>
                <w:webHidden/>
              </w:rPr>
              <w:instrText xml:space="preserve"> PAGEREF _Toc97026818 \h </w:instrText>
            </w:r>
            <w:r>
              <w:rPr>
                <w:noProof/>
                <w:webHidden/>
              </w:rPr>
            </w:r>
            <w:r>
              <w:rPr>
                <w:noProof/>
                <w:webHidden/>
              </w:rPr>
              <w:fldChar w:fldCharType="separate"/>
            </w:r>
            <w:r>
              <w:rPr>
                <w:noProof/>
                <w:webHidden/>
              </w:rPr>
              <w:t>301</w:t>
            </w:r>
            <w:r>
              <w:rPr>
                <w:noProof/>
                <w:webHidden/>
              </w:rPr>
              <w:fldChar w:fldCharType="end"/>
            </w:r>
          </w:hyperlink>
        </w:p>
        <w:p w14:paraId="74068132" w14:textId="6BB73048" w:rsidR="007A0276" w:rsidRDefault="007A0276">
          <w:pPr>
            <w:pStyle w:val="Kazalovsebine1"/>
            <w:tabs>
              <w:tab w:val="left" w:pos="440"/>
              <w:tab w:val="right" w:leader="dot" w:pos="9628"/>
            </w:tabs>
            <w:rPr>
              <w:rFonts w:asciiTheme="minorHAnsi" w:hAnsiTheme="minorHAnsi"/>
              <w:noProof/>
              <w:color w:val="auto"/>
              <w:lang w:eastAsia="sl-SI"/>
            </w:rPr>
          </w:pPr>
          <w:hyperlink w:anchor="_Toc97026819" w:history="1">
            <w:r w:rsidRPr="00530130">
              <w:rPr>
                <w:rStyle w:val="Hiperpovezava"/>
                <w:noProof/>
              </w:rPr>
              <w:t>7.</w:t>
            </w:r>
            <w:r>
              <w:rPr>
                <w:rFonts w:asciiTheme="minorHAnsi" w:hAnsiTheme="minorHAnsi"/>
                <w:noProof/>
                <w:color w:val="auto"/>
                <w:lang w:eastAsia="sl-SI"/>
              </w:rPr>
              <w:tab/>
            </w:r>
            <w:r w:rsidRPr="00530130">
              <w:rPr>
                <w:rStyle w:val="Hiperpovezava"/>
                <w:noProof/>
                <w:lang w:eastAsia="sl-SI"/>
              </w:rPr>
              <w:t>Priloge</w:t>
            </w:r>
            <w:r>
              <w:rPr>
                <w:noProof/>
                <w:webHidden/>
              </w:rPr>
              <w:tab/>
            </w:r>
            <w:r>
              <w:rPr>
                <w:noProof/>
                <w:webHidden/>
              </w:rPr>
              <w:fldChar w:fldCharType="begin"/>
            </w:r>
            <w:r>
              <w:rPr>
                <w:noProof/>
                <w:webHidden/>
              </w:rPr>
              <w:instrText xml:space="preserve"> PAGEREF _Toc97026819 \h </w:instrText>
            </w:r>
            <w:r>
              <w:rPr>
                <w:noProof/>
                <w:webHidden/>
              </w:rPr>
            </w:r>
            <w:r>
              <w:rPr>
                <w:noProof/>
                <w:webHidden/>
              </w:rPr>
              <w:fldChar w:fldCharType="separate"/>
            </w:r>
            <w:r>
              <w:rPr>
                <w:noProof/>
                <w:webHidden/>
              </w:rPr>
              <w:t>304</w:t>
            </w:r>
            <w:r>
              <w:rPr>
                <w:noProof/>
                <w:webHidden/>
              </w:rPr>
              <w:fldChar w:fldCharType="end"/>
            </w:r>
          </w:hyperlink>
        </w:p>
        <w:p w14:paraId="38973FF2" w14:textId="62179081" w:rsidR="007A0276" w:rsidRDefault="007A0276">
          <w:pPr>
            <w:pStyle w:val="Kazalovsebine2"/>
            <w:rPr>
              <w:rFonts w:asciiTheme="minorHAnsi" w:hAnsiTheme="minorHAnsi"/>
              <w:noProof/>
              <w:color w:val="auto"/>
              <w:lang w:eastAsia="sl-SI"/>
            </w:rPr>
          </w:pPr>
          <w:hyperlink w:anchor="_Toc97026820" w:history="1">
            <w:r w:rsidRPr="00530130">
              <w:rPr>
                <w:rStyle w:val="Hiperpovezava"/>
                <w:noProof/>
                <w14:scene3d>
                  <w14:camera w14:prst="orthographicFront"/>
                  <w14:lightRig w14:rig="threePt" w14:dir="t">
                    <w14:rot w14:lat="0" w14:lon="0" w14:rev="0"/>
                  </w14:lightRig>
                </w14:scene3d>
              </w:rPr>
              <w:t>7.1.</w:t>
            </w:r>
            <w:r>
              <w:rPr>
                <w:rFonts w:asciiTheme="minorHAnsi" w:hAnsiTheme="minorHAnsi"/>
                <w:noProof/>
                <w:color w:val="auto"/>
                <w:lang w:eastAsia="sl-SI"/>
              </w:rPr>
              <w:tab/>
            </w:r>
            <w:r w:rsidRPr="00530130">
              <w:rPr>
                <w:rStyle w:val="Hiperpovezava"/>
                <w:noProof/>
              </w:rPr>
              <w:t>Priloga 1: Kmetijstvo</w:t>
            </w:r>
            <w:r>
              <w:rPr>
                <w:noProof/>
                <w:webHidden/>
              </w:rPr>
              <w:tab/>
            </w:r>
            <w:r>
              <w:rPr>
                <w:noProof/>
                <w:webHidden/>
              </w:rPr>
              <w:fldChar w:fldCharType="begin"/>
            </w:r>
            <w:r>
              <w:rPr>
                <w:noProof/>
                <w:webHidden/>
              </w:rPr>
              <w:instrText xml:space="preserve"> PAGEREF _Toc97026820 \h </w:instrText>
            </w:r>
            <w:r>
              <w:rPr>
                <w:noProof/>
                <w:webHidden/>
              </w:rPr>
            </w:r>
            <w:r>
              <w:rPr>
                <w:noProof/>
                <w:webHidden/>
              </w:rPr>
              <w:fldChar w:fldCharType="separate"/>
            </w:r>
            <w:r>
              <w:rPr>
                <w:noProof/>
                <w:webHidden/>
              </w:rPr>
              <w:t>304</w:t>
            </w:r>
            <w:r>
              <w:rPr>
                <w:noProof/>
                <w:webHidden/>
              </w:rPr>
              <w:fldChar w:fldCharType="end"/>
            </w:r>
          </w:hyperlink>
        </w:p>
        <w:p w14:paraId="1D7CE63B" w14:textId="47EB82E0"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21" w:history="1">
            <w:r w:rsidRPr="00530130">
              <w:rPr>
                <w:rStyle w:val="Hiperpovezava"/>
                <w:noProof/>
                <w14:scene3d>
                  <w14:camera w14:prst="orthographicFront"/>
                  <w14:lightRig w14:rig="threePt" w14:dir="t">
                    <w14:rot w14:lat="0" w14:lon="0" w14:rev="0"/>
                  </w14:lightRig>
                </w14:scene3d>
              </w:rPr>
              <w:t>7.1.1.</w:t>
            </w:r>
            <w:r>
              <w:rPr>
                <w:rFonts w:asciiTheme="minorHAnsi" w:hAnsiTheme="minorHAnsi"/>
                <w:noProof/>
                <w:color w:val="auto"/>
                <w:lang w:eastAsia="sl-SI"/>
              </w:rPr>
              <w:tab/>
            </w:r>
            <w:r w:rsidRPr="00530130">
              <w:rPr>
                <w:rStyle w:val="Hiperpovezava"/>
                <w:noProof/>
              </w:rPr>
              <w:t>Priloga: občutljivost, indeksi</w:t>
            </w:r>
            <w:r>
              <w:rPr>
                <w:noProof/>
                <w:webHidden/>
              </w:rPr>
              <w:tab/>
            </w:r>
            <w:r>
              <w:rPr>
                <w:noProof/>
                <w:webHidden/>
              </w:rPr>
              <w:fldChar w:fldCharType="begin"/>
            </w:r>
            <w:r>
              <w:rPr>
                <w:noProof/>
                <w:webHidden/>
              </w:rPr>
              <w:instrText xml:space="preserve"> PAGEREF _Toc97026821 \h </w:instrText>
            </w:r>
            <w:r>
              <w:rPr>
                <w:noProof/>
                <w:webHidden/>
              </w:rPr>
            </w:r>
            <w:r>
              <w:rPr>
                <w:noProof/>
                <w:webHidden/>
              </w:rPr>
              <w:fldChar w:fldCharType="separate"/>
            </w:r>
            <w:r>
              <w:rPr>
                <w:noProof/>
                <w:webHidden/>
              </w:rPr>
              <w:t>304</w:t>
            </w:r>
            <w:r>
              <w:rPr>
                <w:noProof/>
                <w:webHidden/>
              </w:rPr>
              <w:fldChar w:fldCharType="end"/>
            </w:r>
          </w:hyperlink>
        </w:p>
        <w:p w14:paraId="5B992B91" w14:textId="6658DC56"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22" w:history="1">
            <w:r w:rsidRPr="00530130">
              <w:rPr>
                <w:rStyle w:val="Hiperpovezava"/>
                <w:noProof/>
                <w14:scene3d>
                  <w14:camera w14:prst="orthographicFront"/>
                  <w14:lightRig w14:rig="threePt" w14:dir="t">
                    <w14:rot w14:lat="0" w14:lon="0" w14:rev="0"/>
                  </w14:lightRig>
                </w14:scene3d>
              </w:rPr>
              <w:t>7.1.2.</w:t>
            </w:r>
            <w:r>
              <w:rPr>
                <w:rFonts w:asciiTheme="minorHAnsi" w:hAnsiTheme="minorHAnsi"/>
                <w:noProof/>
                <w:color w:val="auto"/>
                <w:lang w:eastAsia="sl-SI"/>
              </w:rPr>
              <w:tab/>
            </w:r>
            <w:r w:rsidRPr="00530130">
              <w:rPr>
                <w:rStyle w:val="Hiperpovezava"/>
                <w:noProof/>
              </w:rPr>
              <w:t>Priloga: sposobnost prilagajanja, indeksi</w:t>
            </w:r>
            <w:r>
              <w:rPr>
                <w:noProof/>
                <w:webHidden/>
              </w:rPr>
              <w:tab/>
            </w:r>
            <w:r>
              <w:rPr>
                <w:noProof/>
                <w:webHidden/>
              </w:rPr>
              <w:fldChar w:fldCharType="begin"/>
            </w:r>
            <w:r>
              <w:rPr>
                <w:noProof/>
                <w:webHidden/>
              </w:rPr>
              <w:instrText xml:space="preserve"> PAGEREF _Toc97026822 \h </w:instrText>
            </w:r>
            <w:r>
              <w:rPr>
                <w:noProof/>
                <w:webHidden/>
              </w:rPr>
            </w:r>
            <w:r>
              <w:rPr>
                <w:noProof/>
                <w:webHidden/>
              </w:rPr>
              <w:fldChar w:fldCharType="separate"/>
            </w:r>
            <w:r>
              <w:rPr>
                <w:noProof/>
                <w:webHidden/>
              </w:rPr>
              <w:t>307</w:t>
            </w:r>
            <w:r>
              <w:rPr>
                <w:noProof/>
                <w:webHidden/>
              </w:rPr>
              <w:fldChar w:fldCharType="end"/>
            </w:r>
          </w:hyperlink>
        </w:p>
        <w:p w14:paraId="1E29341E" w14:textId="6A917487" w:rsidR="007A0276" w:rsidRDefault="007A0276">
          <w:pPr>
            <w:pStyle w:val="Kazalovsebine2"/>
            <w:rPr>
              <w:rFonts w:asciiTheme="minorHAnsi" w:hAnsiTheme="minorHAnsi"/>
              <w:noProof/>
              <w:color w:val="auto"/>
              <w:lang w:eastAsia="sl-SI"/>
            </w:rPr>
          </w:pPr>
          <w:hyperlink w:anchor="_Toc97026823" w:history="1">
            <w:r w:rsidRPr="00530130">
              <w:rPr>
                <w:rStyle w:val="Hiperpovezava"/>
                <w:noProof/>
                <w14:scene3d>
                  <w14:camera w14:prst="orthographicFront"/>
                  <w14:lightRig w14:rig="threePt" w14:dir="t">
                    <w14:rot w14:lat="0" w14:lon="0" w14:rev="0"/>
                  </w14:lightRig>
                </w14:scene3d>
              </w:rPr>
              <w:t>7.2.</w:t>
            </w:r>
            <w:r>
              <w:rPr>
                <w:rFonts w:asciiTheme="minorHAnsi" w:hAnsiTheme="minorHAnsi"/>
                <w:noProof/>
                <w:color w:val="auto"/>
                <w:lang w:eastAsia="sl-SI"/>
              </w:rPr>
              <w:tab/>
            </w:r>
            <w:r w:rsidRPr="00530130">
              <w:rPr>
                <w:rStyle w:val="Hiperpovezava"/>
                <w:noProof/>
              </w:rPr>
              <w:t>Priloga 2: Gozdarstvo</w:t>
            </w:r>
            <w:r>
              <w:rPr>
                <w:noProof/>
                <w:webHidden/>
              </w:rPr>
              <w:tab/>
            </w:r>
            <w:r>
              <w:rPr>
                <w:noProof/>
                <w:webHidden/>
              </w:rPr>
              <w:fldChar w:fldCharType="begin"/>
            </w:r>
            <w:r>
              <w:rPr>
                <w:noProof/>
                <w:webHidden/>
              </w:rPr>
              <w:instrText xml:space="preserve"> PAGEREF _Toc97026823 \h </w:instrText>
            </w:r>
            <w:r>
              <w:rPr>
                <w:noProof/>
                <w:webHidden/>
              </w:rPr>
            </w:r>
            <w:r>
              <w:rPr>
                <w:noProof/>
                <w:webHidden/>
              </w:rPr>
              <w:fldChar w:fldCharType="separate"/>
            </w:r>
            <w:r>
              <w:rPr>
                <w:noProof/>
                <w:webHidden/>
              </w:rPr>
              <w:t>309</w:t>
            </w:r>
            <w:r>
              <w:rPr>
                <w:noProof/>
                <w:webHidden/>
              </w:rPr>
              <w:fldChar w:fldCharType="end"/>
            </w:r>
          </w:hyperlink>
        </w:p>
        <w:p w14:paraId="2DC11F97" w14:textId="06563CC6"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24" w:history="1">
            <w:r w:rsidRPr="00530130">
              <w:rPr>
                <w:rStyle w:val="Hiperpovezava"/>
                <w:noProof/>
                <w14:scene3d>
                  <w14:camera w14:prst="orthographicFront"/>
                  <w14:lightRig w14:rig="threePt" w14:dir="t">
                    <w14:rot w14:lat="0" w14:lon="0" w14:rev="0"/>
                  </w14:lightRig>
                </w14:scene3d>
              </w:rPr>
              <w:t>7.2.1.</w:t>
            </w:r>
            <w:r>
              <w:rPr>
                <w:rFonts w:asciiTheme="minorHAnsi" w:hAnsiTheme="minorHAnsi"/>
                <w:noProof/>
                <w:color w:val="auto"/>
                <w:lang w:eastAsia="sl-SI"/>
              </w:rPr>
              <w:tab/>
            </w:r>
            <w:r w:rsidRPr="00530130">
              <w:rPr>
                <w:rStyle w:val="Hiperpovezava"/>
                <w:noProof/>
              </w:rPr>
              <w:t>Priloga: Zakonodajni okvir izvajanja del v gozdovih</w:t>
            </w:r>
            <w:r>
              <w:rPr>
                <w:noProof/>
                <w:webHidden/>
              </w:rPr>
              <w:tab/>
            </w:r>
            <w:r>
              <w:rPr>
                <w:noProof/>
                <w:webHidden/>
              </w:rPr>
              <w:fldChar w:fldCharType="begin"/>
            </w:r>
            <w:r>
              <w:rPr>
                <w:noProof/>
                <w:webHidden/>
              </w:rPr>
              <w:instrText xml:space="preserve"> PAGEREF _Toc97026824 \h </w:instrText>
            </w:r>
            <w:r>
              <w:rPr>
                <w:noProof/>
                <w:webHidden/>
              </w:rPr>
            </w:r>
            <w:r>
              <w:rPr>
                <w:noProof/>
                <w:webHidden/>
              </w:rPr>
              <w:fldChar w:fldCharType="separate"/>
            </w:r>
            <w:r>
              <w:rPr>
                <w:noProof/>
                <w:webHidden/>
              </w:rPr>
              <w:t>309</w:t>
            </w:r>
            <w:r>
              <w:rPr>
                <w:noProof/>
                <w:webHidden/>
              </w:rPr>
              <w:fldChar w:fldCharType="end"/>
            </w:r>
          </w:hyperlink>
        </w:p>
        <w:p w14:paraId="64E5C2A3" w14:textId="3266F0D5"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25" w:history="1">
            <w:r w:rsidRPr="00530130">
              <w:rPr>
                <w:rStyle w:val="Hiperpovezava"/>
                <w:noProof/>
                <w14:scene3d>
                  <w14:camera w14:prst="orthographicFront"/>
                  <w14:lightRig w14:rig="threePt" w14:dir="t">
                    <w14:rot w14:lat="0" w14:lon="0" w14:rev="0"/>
                  </w14:lightRig>
                </w14:scene3d>
              </w:rPr>
              <w:t>7.2.2.</w:t>
            </w:r>
            <w:r>
              <w:rPr>
                <w:rFonts w:asciiTheme="minorHAnsi" w:hAnsiTheme="minorHAnsi"/>
                <w:noProof/>
                <w:color w:val="auto"/>
                <w:lang w:eastAsia="sl-SI"/>
              </w:rPr>
              <w:tab/>
            </w:r>
            <w:r w:rsidRPr="00530130">
              <w:rPr>
                <w:rStyle w:val="Hiperpovezava"/>
                <w:noProof/>
              </w:rPr>
              <w:t>Priloga: Napoved sanitarne sečnje v gozdovih, prizadetih zaradi žleda v obdobju 2031–2040 za Mestno občino Nova Gorica</w:t>
            </w:r>
            <w:r>
              <w:rPr>
                <w:noProof/>
                <w:webHidden/>
              </w:rPr>
              <w:tab/>
            </w:r>
            <w:r>
              <w:rPr>
                <w:noProof/>
                <w:webHidden/>
              </w:rPr>
              <w:fldChar w:fldCharType="begin"/>
            </w:r>
            <w:r>
              <w:rPr>
                <w:noProof/>
                <w:webHidden/>
              </w:rPr>
              <w:instrText xml:space="preserve"> PAGEREF _Toc97026825 \h </w:instrText>
            </w:r>
            <w:r>
              <w:rPr>
                <w:noProof/>
                <w:webHidden/>
              </w:rPr>
            </w:r>
            <w:r>
              <w:rPr>
                <w:noProof/>
                <w:webHidden/>
              </w:rPr>
              <w:fldChar w:fldCharType="separate"/>
            </w:r>
            <w:r>
              <w:rPr>
                <w:noProof/>
                <w:webHidden/>
              </w:rPr>
              <w:t>311</w:t>
            </w:r>
            <w:r>
              <w:rPr>
                <w:noProof/>
                <w:webHidden/>
              </w:rPr>
              <w:fldChar w:fldCharType="end"/>
            </w:r>
          </w:hyperlink>
        </w:p>
        <w:p w14:paraId="5D68DECD" w14:textId="30449B3F"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26" w:history="1">
            <w:r w:rsidRPr="00530130">
              <w:rPr>
                <w:rStyle w:val="Hiperpovezava"/>
                <w:noProof/>
                <w14:scene3d>
                  <w14:camera w14:prst="orthographicFront"/>
                  <w14:lightRig w14:rig="threePt" w14:dir="t">
                    <w14:rot w14:lat="0" w14:lon="0" w14:rev="0"/>
                  </w14:lightRig>
                </w14:scene3d>
              </w:rPr>
              <w:t>7.2.3.</w:t>
            </w:r>
            <w:r>
              <w:rPr>
                <w:rFonts w:asciiTheme="minorHAnsi" w:hAnsiTheme="minorHAnsi"/>
                <w:noProof/>
                <w:color w:val="auto"/>
                <w:lang w:eastAsia="sl-SI"/>
              </w:rPr>
              <w:tab/>
            </w:r>
            <w:r w:rsidRPr="00530130">
              <w:rPr>
                <w:rStyle w:val="Hiperpovezava"/>
                <w:noProof/>
              </w:rPr>
              <w:t>Priloga: Napoved sanitarne sečnje zaradi podlubnikov v obdobju 2091–2100 za Mestno občino Nova Gorica</w:t>
            </w:r>
            <w:r>
              <w:rPr>
                <w:noProof/>
                <w:webHidden/>
              </w:rPr>
              <w:tab/>
            </w:r>
            <w:r>
              <w:rPr>
                <w:noProof/>
                <w:webHidden/>
              </w:rPr>
              <w:fldChar w:fldCharType="begin"/>
            </w:r>
            <w:r>
              <w:rPr>
                <w:noProof/>
                <w:webHidden/>
              </w:rPr>
              <w:instrText xml:space="preserve"> PAGEREF _Toc97026826 \h </w:instrText>
            </w:r>
            <w:r>
              <w:rPr>
                <w:noProof/>
                <w:webHidden/>
              </w:rPr>
            </w:r>
            <w:r>
              <w:rPr>
                <w:noProof/>
                <w:webHidden/>
              </w:rPr>
              <w:fldChar w:fldCharType="separate"/>
            </w:r>
            <w:r>
              <w:rPr>
                <w:noProof/>
                <w:webHidden/>
              </w:rPr>
              <w:t>314</w:t>
            </w:r>
            <w:r>
              <w:rPr>
                <w:noProof/>
                <w:webHidden/>
              </w:rPr>
              <w:fldChar w:fldCharType="end"/>
            </w:r>
          </w:hyperlink>
        </w:p>
        <w:p w14:paraId="1B38346B" w14:textId="6212BD44" w:rsidR="007A0276" w:rsidRDefault="007A0276">
          <w:pPr>
            <w:pStyle w:val="Kazalovsebine2"/>
            <w:rPr>
              <w:rFonts w:asciiTheme="minorHAnsi" w:hAnsiTheme="minorHAnsi"/>
              <w:noProof/>
              <w:color w:val="auto"/>
              <w:lang w:eastAsia="sl-SI"/>
            </w:rPr>
          </w:pPr>
          <w:hyperlink w:anchor="_Toc97026827" w:history="1">
            <w:r w:rsidRPr="00530130">
              <w:rPr>
                <w:rStyle w:val="Hiperpovezava"/>
                <w:noProof/>
                <w14:scene3d>
                  <w14:camera w14:prst="orthographicFront"/>
                  <w14:lightRig w14:rig="threePt" w14:dir="t">
                    <w14:rot w14:lat="0" w14:lon="0" w14:rev="0"/>
                  </w14:lightRig>
                </w14:scene3d>
              </w:rPr>
              <w:t>7.3.</w:t>
            </w:r>
            <w:r>
              <w:rPr>
                <w:rFonts w:asciiTheme="minorHAnsi" w:hAnsiTheme="minorHAnsi"/>
                <w:noProof/>
                <w:color w:val="auto"/>
                <w:lang w:eastAsia="sl-SI"/>
              </w:rPr>
              <w:tab/>
            </w:r>
            <w:r w:rsidRPr="00530130">
              <w:rPr>
                <w:rStyle w:val="Hiperpovezava"/>
                <w:noProof/>
              </w:rPr>
              <w:t>Priloga 3: Zdravstvo</w:t>
            </w:r>
            <w:r>
              <w:rPr>
                <w:noProof/>
                <w:webHidden/>
              </w:rPr>
              <w:tab/>
            </w:r>
            <w:r>
              <w:rPr>
                <w:noProof/>
                <w:webHidden/>
              </w:rPr>
              <w:fldChar w:fldCharType="begin"/>
            </w:r>
            <w:r>
              <w:rPr>
                <w:noProof/>
                <w:webHidden/>
              </w:rPr>
              <w:instrText xml:space="preserve"> PAGEREF _Toc97026827 \h </w:instrText>
            </w:r>
            <w:r>
              <w:rPr>
                <w:noProof/>
                <w:webHidden/>
              </w:rPr>
            </w:r>
            <w:r>
              <w:rPr>
                <w:noProof/>
                <w:webHidden/>
              </w:rPr>
              <w:fldChar w:fldCharType="separate"/>
            </w:r>
            <w:r>
              <w:rPr>
                <w:noProof/>
                <w:webHidden/>
              </w:rPr>
              <w:t>317</w:t>
            </w:r>
            <w:r>
              <w:rPr>
                <w:noProof/>
                <w:webHidden/>
              </w:rPr>
              <w:fldChar w:fldCharType="end"/>
            </w:r>
          </w:hyperlink>
        </w:p>
        <w:p w14:paraId="563FAD75" w14:textId="7BD41E30"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28" w:history="1">
            <w:r w:rsidRPr="00530130">
              <w:rPr>
                <w:rStyle w:val="Hiperpovezava"/>
                <w:noProof/>
                <w14:scene3d>
                  <w14:camera w14:prst="orthographicFront"/>
                  <w14:lightRig w14:rig="threePt" w14:dir="t">
                    <w14:rot w14:lat="0" w14:lon="0" w14:rev="0"/>
                  </w14:lightRig>
                </w14:scene3d>
              </w:rPr>
              <w:t>7.3.1.</w:t>
            </w:r>
            <w:r>
              <w:rPr>
                <w:rFonts w:asciiTheme="minorHAnsi" w:hAnsiTheme="minorHAnsi"/>
                <w:noProof/>
                <w:color w:val="auto"/>
                <w:lang w:eastAsia="sl-SI"/>
              </w:rPr>
              <w:tab/>
            </w:r>
            <w:r w:rsidRPr="00530130">
              <w:rPr>
                <w:rStyle w:val="Hiperpovezava"/>
                <w:noProof/>
              </w:rPr>
              <w:t>Nekateri vir podatkov</w:t>
            </w:r>
            <w:r>
              <w:rPr>
                <w:noProof/>
                <w:webHidden/>
              </w:rPr>
              <w:tab/>
            </w:r>
            <w:r>
              <w:rPr>
                <w:noProof/>
                <w:webHidden/>
              </w:rPr>
              <w:fldChar w:fldCharType="begin"/>
            </w:r>
            <w:r>
              <w:rPr>
                <w:noProof/>
                <w:webHidden/>
              </w:rPr>
              <w:instrText xml:space="preserve"> PAGEREF _Toc97026828 \h </w:instrText>
            </w:r>
            <w:r>
              <w:rPr>
                <w:noProof/>
                <w:webHidden/>
              </w:rPr>
            </w:r>
            <w:r>
              <w:rPr>
                <w:noProof/>
                <w:webHidden/>
              </w:rPr>
              <w:fldChar w:fldCharType="separate"/>
            </w:r>
            <w:r>
              <w:rPr>
                <w:noProof/>
                <w:webHidden/>
              </w:rPr>
              <w:t>317</w:t>
            </w:r>
            <w:r>
              <w:rPr>
                <w:noProof/>
                <w:webHidden/>
              </w:rPr>
              <w:fldChar w:fldCharType="end"/>
            </w:r>
          </w:hyperlink>
        </w:p>
        <w:p w14:paraId="63EE515F" w14:textId="05BC390F" w:rsidR="007A0276" w:rsidRDefault="007A0276">
          <w:pPr>
            <w:pStyle w:val="Kazalovsebine3"/>
            <w:tabs>
              <w:tab w:val="left" w:pos="1320"/>
              <w:tab w:val="right" w:leader="dot" w:pos="9628"/>
            </w:tabs>
            <w:rPr>
              <w:rFonts w:asciiTheme="minorHAnsi" w:hAnsiTheme="minorHAnsi"/>
              <w:noProof/>
              <w:color w:val="auto"/>
              <w:lang w:eastAsia="sl-SI"/>
            </w:rPr>
          </w:pPr>
          <w:hyperlink w:anchor="_Toc97026829" w:history="1">
            <w:r w:rsidRPr="00530130">
              <w:rPr>
                <w:rStyle w:val="Hiperpovezava"/>
                <w:noProof/>
                <w14:scene3d>
                  <w14:camera w14:prst="orthographicFront"/>
                  <w14:lightRig w14:rig="threePt" w14:dir="t">
                    <w14:rot w14:lat="0" w14:lon="0" w14:rev="0"/>
                  </w14:lightRig>
                </w14:scene3d>
              </w:rPr>
              <w:t>7.3.2.</w:t>
            </w:r>
            <w:r>
              <w:rPr>
                <w:rFonts w:asciiTheme="minorHAnsi" w:hAnsiTheme="minorHAnsi"/>
                <w:noProof/>
                <w:color w:val="auto"/>
                <w:lang w:eastAsia="sl-SI"/>
              </w:rPr>
              <w:tab/>
            </w:r>
            <w:r w:rsidRPr="00530130">
              <w:rPr>
                <w:rStyle w:val="Hiperpovezava"/>
                <w:noProof/>
              </w:rPr>
              <w:t>Pomembni javni objekti v MONG, ki so energetsko sanirani in/ali klimatizirani</w:t>
            </w:r>
            <w:r>
              <w:rPr>
                <w:noProof/>
                <w:webHidden/>
              </w:rPr>
              <w:tab/>
            </w:r>
            <w:r>
              <w:rPr>
                <w:noProof/>
                <w:webHidden/>
              </w:rPr>
              <w:fldChar w:fldCharType="begin"/>
            </w:r>
            <w:r>
              <w:rPr>
                <w:noProof/>
                <w:webHidden/>
              </w:rPr>
              <w:instrText xml:space="preserve"> PAGEREF _Toc97026829 \h </w:instrText>
            </w:r>
            <w:r>
              <w:rPr>
                <w:noProof/>
                <w:webHidden/>
              </w:rPr>
            </w:r>
            <w:r>
              <w:rPr>
                <w:noProof/>
                <w:webHidden/>
              </w:rPr>
              <w:fldChar w:fldCharType="separate"/>
            </w:r>
            <w:r>
              <w:rPr>
                <w:noProof/>
                <w:webHidden/>
              </w:rPr>
              <w:t>320</w:t>
            </w:r>
            <w:r>
              <w:rPr>
                <w:noProof/>
                <w:webHidden/>
              </w:rPr>
              <w:fldChar w:fldCharType="end"/>
            </w:r>
          </w:hyperlink>
        </w:p>
        <w:p w14:paraId="631D5B37" w14:textId="48B48A9E" w:rsidR="00D435CE" w:rsidRPr="00B14994" w:rsidRDefault="00D435CE" w:rsidP="006B7E34">
          <w:r w:rsidRPr="00B14994">
            <w:rPr>
              <w:rFonts w:ascii="Calibri" w:hAnsi="Calibri"/>
              <w:b/>
              <w:bCs/>
            </w:rPr>
            <w:fldChar w:fldCharType="end"/>
          </w:r>
        </w:p>
      </w:sdtContent>
    </w:sdt>
    <w:p w14:paraId="1155B045" w14:textId="1F57F9A5" w:rsidR="003A7819" w:rsidRDefault="003A7819">
      <w:pPr>
        <w:jc w:val="left"/>
      </w:pPr>
      <w:r>
        <w:br w:type="page"/>
      </w:r>
    </w:p>
    <w:p w14:paraId="13D2E0AD" w14:textId="7CB2C212" w:rsidR="003A7819" w:rsidRPr="00B14994" w:rsidRDefault="003A7819" w:rsidP="003A7819">
      <w:pPr>
        <w:pStyle w:val="Brezrazmikov"/>
        <w:spacing w:after="120" w:line="259" w:lineRule="auto"/>
        <w:jc w:val="both"/>
        <w:rPr>
          <w:rFonts w:ascii="Trebuchet MS" w:hAnsi="Trebuchet MS" w:cstheme="minorBidi"/>
          <w:b/>
          <w:color w:val="203B88"/>
          <w:sz w:val="32"/>
          <w:szCs w:val="32"/>
          <w:lang w:val="sl-SI"/>
        </w:rPr>
      </w:pPr>
      <w:r>
        <w:rPr>
          <w:rFonts w:ascii="Trebuchet MS" w:hAnsi="Trebuchet MS" w:cstheme="minorBidi"/>
          <w:b/>
          <w:color w:val="203B88"/>
          <w:sz w:val="32"/>
          <w:szCs w:val="32"/>
          <w:lang w:val="sl-SI"/>
        </w:rPr>
        <w:lastRenderedPageBreak/>
        <w:t>Kazalo slik</w:t>
      </w:r>
    </w:p>
    <w:p w14:paraId="3A565364" w14:textId="77777777" w:rsidR="003A7819" w:rsidRDefault="003A7819">
      <w:pPr>
        <w:pStyle w:val="Kazaloslik"/>
        <w:tabs>
          <w:tab w:val="right" w:leader="dot" w:pos="9628"/>
        </w:tabs>
      </w:pPr>
    </w:p>
    <w:p w14:paraId="2715CF3B" w14:textId="5124339F" w:rsidR="007A0276" w:rsidRDefault="003A7819">
      <w:pPr>
        <w:pStyle w:val="Kazaloslik"/>
        <w:tabs>
          <w:tab w:val="right" w:leader="dot" w:pos="9628"/>
        </w:tabs>
        <w:rPr>
          <w:rFonts w:asciiTheme="minorHAnsi" w:eastAsiaTheme="minorEastAsia" w:hAnsiTheme="minorHAnsi"/>
          <w:noProof/>
          <w:lang w:eastAsia="sl-SI"/>
        </w:rPr>
      </w:pPr>
      <w:r w:rsidRPr="004D3D6F">
        <w:fldChar w:fldCharType="begin"/>
      </w:r>
      <w:r w:rsidRPr="004D3D6F">
        <w:instrText xml:space="preserve"> TOC \h \z \c "Slika" </w:instrText>
      </w:r>
      <w:r w:rsidRPr="004D3D6F">
        <w:fldChar w:fldCharType="separate"/>
      </w:r>
      <w:hyperlink w:anchor="_Toc97026830" w:history="1">
        <w:r w:rsidR="007A0276" w:rsidRPr="004070C7">
          <w:rPr>
            <w:rStyle w:val="Hiperpovezava"/>
            <w:i/>
            <w:iCs/>
            <w:noProof/>
          </w:rPr>
          <w:t>Slika 1.1: Prikaz ocen potencialnih vplivov za pet kazalnikov ranljivosti v kmetijstvu v referenčnem obdobju ter za obe obdobji po scenarijih RCP4.5 in RCP8.5 (levo) ter kazalnikov ranljivosti kmetijstva na podnebje (desno)(*le ocena ranljivosti za kazalnik 'toplotna obremenitev in vročinski stres' je v referenčnem obdobju 3 in v prvem obdobju po obeh scenarijih 4 – glej Preglednica 6.11).</w:t>
        </w:r>
        <w:r w:rsidR="007A0276">
          <w:rPr>
            <w:noProof/>
            <w:webHidden/>
          </w:rPr>
          <w:tab/>
        </w:r>
        <w:r w:rsidR="007A0276">
          <w:rPr>
            <w:noProof/>
            <w:webHidden/>
          </w:rPr>
          <w:fldChar w:fldCharType="begin"/>
        </w:r>
        <w:r w:rsidR="007A0276">
          <w:rPr>
            <w:noProof/>
            <w:webHidden/>
          </w:rPr>
          <w:instrText xml:space="preserve"> PAGEREF _Toc97026830 \h </w:instrText>
        </w:r>
        <w:r w:rsidR="007A0276">
          <w:rPr>
            <w:noProof/>
            <w:webHidden/>
          </w:rPr>
        </w:r>
        <w:r w:rsidR="007A0276">
          <w:rPr>
            <w:noProof/>
            <w:webHidden/>
          </w:rPr>
          <w:fldChar w:fldCharType="separate"/>
        </w:r>
        <w:r w:rsidR="007A0276">
          <w:rPr>
            <w:noProof/>
            <w:webHidden/>
          </w:rPr>
          <w:t>20</w:t>
        </w:r>
        <w:r w:rsidR="007A0276">
          <w:rPr>
            <w:noProof/>
            <w:webHidden/>
          </w:rPr>
          <w:fldChar w:fldCharType="end"/>
        </w:r>
      </w:hyperlink>
    </w:p>
    <w:p w14:paraId="0ABBC781" w14:textId="6E9901BB" w:rsidR="007A0276" w:rsidRDefault="007A0276">
      <w:pPr>
        <w:pStyle w:val="Kazaloslik"/>
        <w:tabs>
          <w:tab w:val="right" w:leader="dot" w:pos="9628"/>
        </w:tabs>
        <w:rPr>
          <w:rFonts w:asciiTheme="minorHAnsi" w:eastAsiaTheme="minorEastAsia" w:hAnsiTheme="minorHAnsi"/>
          <w:noProof/>
          <w:lang w:eastAsia="sl-SI"/>
        </w:rPr>
      </w:pPr>
      <w:hyperlink w:anchor="_Toc97026831" w:history="1">
        <w:r w:rsidRPr="004070C7">
          <w:rPr>
            <w:rStyle w:val="Hiperpovezava"/>
            <w:noProof/>
          </w:rPr>
          <w:t>Slika 1.2: Prikaz ocen potencialnih vplivov podnebnih sprememb za devet kazalnikov s pripadajočimi potencialnimi vplivi in sposobnostjo prilagajanja sektorja gozdarstvo v Mestni občini Nova Gorica po scenarijih RCP4.5 in RCP8.5 v drugem obdobju (2041–2070)</w:t>
        </w:r>
        <w:r>
          <w:rPr>
            <w:noProof/>
            <w:webHidden/>
          </w:rPr>
          <w:tab/>
        </w:r>
        <w:r>
          <w:rPr>
            <w:noProof/>
            <w:webHidden/>
          </w:rPr>
          <w:fldChar w:fldCharType="begin"/>
        </w:r>
        <w:r>
          <w:rPr>
            <w:noProof/>
            <w:webHidden/>
          </w:rPr>
          <w:instrText xml:space="preserve"> PAGEREF _Toc97026831 \h </w:instrText>
        </w:r>
        <w:r>
          <w:rPr>
            <w:noProof/>
            <w:webHidden/>
          </w:rPr>
        </w:r>
        <w:r>
          <w:rPr>
            <w:noProof/>
            <w:webHidden/>
          </w:rPr>
          <w:fldChar w:fldCharType="separate"/>
        </w:r>
        <w:r>
          <w:rPr>
            <w:noProof/>
            <w:webHidden/>
          </w:rPr>
          <w:t>23</w:t>
        </w:r>
        <w:r>
          <w:rPr>
            <w:noProof/>
            <w:webHidden/>
          </w:rPr>
          <w:fldChar w:fldCharType="end"/>
        </w:r>
      </w:hyperlink>
    </w:p>
    <w:p w14:paraId="60E154C3" w14:textId="4651EDEC" w:rsidR="007A0276" w:rsidRDefault="007A0276">
      <w:pPr>
        <w:pStyle w:val="Kazaloslik"/>
        <w:tabs>
          <w:tab w:val="right" w:leader="dot" w:pos="9628"/>
        </w:tabs>
        <w:rPr>
          <w:rFonts w:asciiTheme="minorHAnsi" w:eastAsiaTheme="minorEastAsia" w:hAnsiTheme="minorHAnsi"/>
          <w:noProof/>
          <w:lang w:eastAsia="sl-SI"/>
        </w:rPr>
      </w:pPr>
      <w:hyperlink w:anchor="_Toc97026832" w:history="1">
        <w:r w:rsidRPr="004070C7">
          <w:rPr>
            <w:rStyle w:val="Hiperpovezava"/>
            <w:noProof/>
          </w:rPr>
          <w:t>Slika 1.3: Prikaz ocene ranljivosti zdravstva v Mestni občini Nova Gorica na podnebne spremembe v referenčnem obdobju in prihodnosti</w:t>
        </w:r>
        <w:r>
          <w:rPr>
            <w:noProof/>
            <w:webHidden/>
          </w:rPr>
          <w:tab/>
        </w:r>
        <w:r>
          <w:rPr>
            <w:noProof/>
            <w:webHidden/>
          </w:rPr>
          <w:fldChar w:fldCharType="begin"/>
        </w:r>
        <w:r>
          <w:rPr>
            <w:noProof/>
            <w:webHidden/>
          </w:rPr>
          <w:instrText xml:space="preserve"> PAGEREF _Toc97026832 \h </w:instrText>
        </w:r>
        <w:r>
          <w:rPr>
            <w:noProof/>
            <w:webHidden/>
          </w:rPr>
        </w:r>
        <w:r>
          <w:rPr>
            <w:noProof/>
            <w:webHidden/>
          </w:rPr>
          <w:fldChar w:fldCharType="separate"/>
        </w:r>
        <w:r>
          <w:rPr>
            <w:noProof/>
            <w:webHidden/>
          </w:rPr>
          <w:t>26</w:t>
        </w:r>
        <w:r>
          <w:rPr>
            <w:noProof/>
            <w:webHidden/>
          </w:rPr>
          <w:fldChar w:fldCharType="end"/>
        </w:r>
      </w:hyperlink>
    </w:p>
    <w:p w14:paraId="3F7D9FD2" w14:textId="0BA090F7" w:rsidR="007A0276" w:rsidRDefault="007A0276">
      <w:pPr>
        <w:pStyle w:val="Kazaloslik"/>
        <w:tabs>
          <w:tab w:val="right" w:leader="dot" w:pos="9628"/>
        </w:tabs>
        <w:rPr>
          <w:rFonts w:asciiTheme="minorHAnsi" w:eastAsiaTheme="minorEastAsia" w:hAnsiTheme="minorHAnsi"/>
          <w:noProof/>
          <w:lang w:eastAsia="sl-SI"/>
        </w:rPr>
      </w:pPr>
      <w:hyperlink w:anchor="_Toc97026833" w:history="1">
        <w:r w:rsidRPr="004070C7">
          <w:rPr>
            <w:rStyle w:val="Hiperpovezava"/>
            <w:noProof/>
          </w:rPr>
          <w:t>Slika 1.4: Ocena ranljivosti turizma v občini Nova Gorica v referenčnem obdobju 1981–2010 ter v obdobjih 2011–2040 in 2041–2070 po obeh scenarijih izpustov toplogrednih plinov</w:t>
        </w:r>
        <w:r>
          <w:rPr>
            <w:noProof/>
            <w:webHidden/>
          </w:rPr>
          <w:tab/>
        </w:r>
        <w:r>
          <w:rPr>
            <w:noProof/>
            <w:webHidden/>
          </w:rPr>
          <w:fldChar w:fldCharType="begin"/>
        </w:r>
        <w:r>
          <w:rPr>
            <w:noProof/>
            <w:webHidden/>
          </w:rPr>
          <w:instrText xml:space="preserve"> PAGEREF _Toc97026833 \h </w:instrText>
        </w:r>
        <w:r>
          <w:rPr>
            <w:noProof/>
            <w:webHidden/>
          </w:rPr>
        </w:r>
        <w:r>
          <w:rPr>
            <w:noProof/>
            <w:webHidden/>
          </w:rPr>
          <w:fldChar w:fldCharType="separate"/>
        </w:r>
        <w:r>
          <w:rPr>
            <w:noProof/>
            <w:webHidden/>
          </w:rPr>
          <w:t>30</w:t>
        </w:r>
        <w:r>
          <w:rPr>
            <w:noProof/>
            <w:webHidden/>
          </w:rPr>
          <w:fldChar w:fldCharType="end"/>
        </w:r>
      </w:hyperlink>
    </w:p>
    <w:p w14:paraId="5169131B" w14:textId="5207BD14" w:rsidR="007A0276" w:rsidRDefault="007A0276">
      <w:pPr>
        <w:pStyle w:val="Kazaloslik"/>
        <w:tabs>
          <w:tab w:val="right" w:leader="dot" w:pos="9628"/>
        </w:tabs>
        <w:rPr>
          <w:rFonts w:asciiTheme="minorHAnsi" w:eastAsiaTheme="minorEastAsia" w:hAnsiTheme="minorHAnsi"/>
          <w:noProof/>
          <w:lang w:eastAsia="sl-SI"/>
        </w:rPr>
      </w:pPr>
      <w:hyperlink w:anchor="_Toc97026834" w:history="1">
        <w:r w:rsidRPr="004070C7">
          <w:rPr>
            <w:rStyle w:val="Hiperpovezava"/>
            <w:noProof/>
          </w:rPr>
          <w:t>Slika 1.5: Shematski prikaz ocene ranljivosti posameznih segmentov sektorja vodnih virov v referenčnem obdobju (rumena) in v prihodnosti (črtkasta rdeča).</w:t>
        </w:r>
        <w:r>
          <w:rPr>
            <w:noProof/>
            <w:webHidden/>
          </w:rPr>
          <w:tab/>
        </w:r>
        <w:r>
          <w:rPr>
            <w:noProof/>
            <w:webHidden/>
          </w:rPr>
          <w:fldChar w:fldCharType="begin"/>
        </w:r>
        <w:r>
          <w:rPr>
            <w:noProof/>
            <w:webHidden/>
          </w:rPr>
          <w:instrText xml:space="preserve"> PAGEREF _Toc97026834 \h </w:instrText>
        </w:r>
        <w:r>
          <w:rPr>
            <w:noProof/>
            <w:webHidden/>
          </w:rPr>
        </w:r>
        <w:r>
          <w:rPr>
            <w:noProof/>
            <w:webHidden/>
          </w:rPr>
          <w:fldChar w:fldCharType="separate"/>
        </w:r>
        <w:r>
          <w:rPr>
            <w:noProof/>
            <w:webHidden/>
          </w:rPr>
          <w:t>35</w:t>
        </w:r>
        <w:r>
          <w:rPr>
            <w:noProof/>
            <w:webHidden/>
          </w:rPr>
          <w:fldChar w:fldCharType="end"/>
        </w:r>
      </w:hyperlink>
    </w:p>
    <w:p w14:paraId="470EC827" w14:textId="1C7DFE91" w:rsidR="007A0276" w:rsidRDefault="007A0276">
      <w:pPr>
        <w:pStyle w:val="Kazaloslik"/>
        <w:tabs>
          <w:tab w:val="right" w:leader="dot" w:pos="9628"/>
        </w:tabs>
        <w:rPr>
          <w:rFonts w:asciiTheme="minorHAnsi" w:eastAsiaTheme="minorEastAsia" w:hAnsiTheme="minorHAnsi"/>
          <w:noProof/>
          <w:lang w:eastAsia="sl-SI"/>
        </w:rPr>
      </w:pPr>
      <w:hyperlink w:anchor="_Toc97026835" w:history="1">
        <w:r w:rsidRPr="004070C7">
          <w:rPr>
            <w:rStyle w:val="Hiperpovezava"/>
            <w:noProof/>
          </w:rPr>
          <w:t>Slika 1.6: Shematski prikaz ocene ranljivosti posameznih segmentov sektorja vodnih virov v referenčnem obdobju (zelena) in v prihodnosti (rumena).</w:t>
        </w:r>
        <w:r>
          <w:rPr>
            <w:noProof/>
            <w:webHidden/>
          </w:rPr>
          <w:tab/>
        </w:r>
        <w:r>
          <w:rPr>
            <w:noProof/>
            <w:webHidden/>
          </w:rPr>
          <w:fldChar w:fldCharType="begin"/>
        </w:r>
        <w:r>
          <w:rPr>
            <w:noProof/>
            <w:webHidden/>
          </w:rPr>
          <w:instrText xml:space="preserve"> PAGEREF _Toc97026835 \h </w:instrText>
        </w:r>
        <w:r>
          <w:rPr>
            <w:noProof/>
            <w:webHidden/>
          </w:rPr>
        </w:r>
        <w:r>
          <w:rPr>
            <w:noProof/>
            <w:webHidden/>
          </w:rPr>
          <w:fldChar w:fldCharType="separate"/>
        </w:r>
        <w:r>
          <w:rPr>
            <w:noProof/>
            <w:webHidden/>
          </w:rPr>
          <w:t>36</w:t>
        </w:r>
        <w:r>
          <w:rPr>
            <w:noProof/>
            <w:webHidden/>
          </w:rPr>
          <w:fldChar w:fldCharType="end"/>
        </w:r>
      </w:hyperlink>
    </w:p>
    <w:p w14:paraId="1D2155BD" w14:textId="48B5E7B0" w:rsidR="007A0276" w:rsidRDefault="007A0276">
      <w:pPr>
        <w:pStyle w:val="Kazaloslik"/>
        <w:tabs>
          <w:tab w:val="right" w:leader="dot" w:pos="9628"/>
        </w:tabs>
        <w:rPr>
          <w:rFonts w:asciiTheme="minorHAnsi" w:eastAsiaTheme="minorEastAsia" w:hAnsiTheme="minorHAnsi"/>
          <w:noProof/>
          <w:lang w:eastAsia="sl-SI"/>
        </w:rPr>
      </w:pPr>
      <w:hyperlink w:anchor="_Toc97026836" w:history="1">
        <w:r w:rsidRPr="004070C7">
          <w:rPr>
            <w:rStyle w:val="Hiperpovezava"/>
            <w:noProof/>
          </w:rPr>
          <w:t>Slika 1.7: Mehanizem nastanka fluvialnih poplav</w:t>
        </w:r>
        <w:r>
          <w:rPr>
            <w:noProof/>
            <w:webHidden/>
          </w:rPr>
          <w:tab/>
        </w:r>
        <w:r>
          <w:rPr>
            <w:noProof/>
            <w:webHidden/>
          </w:rPr>
          <w:fldChar w:fldCharType="begin"/>
        </w:r>
        <w:r>
          <w:rPr>
            <w:noProof/>
            <w:webHidden/>
          </w:rPr>
          <w:instrText xml:space="preserve"> PAGEREF _Toc97026836 \h </w:instrText>
        </w:r>
        <w:r>
          <w:rPr>
            <w:noProof/>
            <w:webHidden/>
          </w:rPr>
        </w:r>
        <w:r>
          <w:rPr>
            <w:noProof/>
            <w:webHidden/>
          </w:rPr>
          <w:fldChar w:fldCharType="separate"/>
        </w:r>
        <w:r>
          <w:rPr>
            <w:noProof/>
            <w:webHidden/>
          </w:rPr>
          <w:t>38</w:t>
        </w:r>
        <w:r>
          <w:rPr>
            <w:noProof/>
            <w:webHidden/>
          </w:rPr>
          <w:fldChar w:fldCharType="end"/>
        </w:r>
      </w:hyperlink>
    </w:p>
    <w:p w14:paraId="22E2F7C6" w14:textId="49260CEC" w:rsidR="007A0276" w:rsidRDefault="007A0276">
      <w:pPr>
        <w:pStyle w:val="Kazaloslik"/>
        <w:tabs>
          <w:tab w:val="right" w:leader="dot" w:pos="9628"/>
        </w:tabs>
        <w:rPr>
          <w:rFonts w:asciiTheme="minorHAnsi" w:eastAsiaTheme="minorEastAsia" w:hAnsiTheme="minorHAnsi"/>
          <w:noProof/>
          <w:lang w:eastAsia="sl-SI"/>
        </w:rPr>
      </w:pPr>
      <w:hyperlink w:anchor="_Toc97026837" w:history="1">
        <w:r w:rsidRPr="004070C7">
          <w:rPr>
            <w:rStyle w:val="Hiperpovezava"/>
            <w:noProof/>
          </w:rPr>
          <w:t>Slika 1.8: Mehanizem nastanka pluvialnih poplav</w:t>
        </w:r>
        <w:r>
          <w:rPr>
            <w:noProof/>
            <w:webHidden/>
          </w:rPr>
          <w:tab/>
        </w:r>
        <w:r>
          <w:rPr>
            <w:noProof/>
            <w:webHidden/>
          </w:rPr>
          <w:fldChar w:fldCharType="begin"/>
        </w:r>
        <w:r>
          <w:rPr>
            <w:noProof/>
            <w:webHidden/>
          </w:rPr>
          <w:instrText xml:space="preserve"> PAGEREF _Toc97026837 \h </w:instrText>
        </w:r>
        <w:r>
          <w:rPr>
            <w:noProof/>
            <w:webHidden/>
          </w:rPr>
        </w:r>
        <w:r>
          <w:rPr>
            <w:noProof/>
            <w:webHidden/>
          </w:rPr>
          <w:fldChar w:fldCharType="separate"/>
        </w:r>
        <w:r>
          <w:rPr>
            <w:noProof/>
            <w:webHidden/>
          </w:rPr>
          <w:t>39</w:t>
        </w:r>
        <w:r>
          <w:rPr>
            <w:noProof/>
            <w:webHidden/>
          </w:rPr>
          <w:fldChar w:fldCharType="end"/>
        </w:r>
      </w:hyperlink>
    </w:p>
    <w:p w14:paraId="78481EAC" w14:textId="199964DD" w:rsidR="007A0276" w:rsidRDefault="007A0276">
      <w:pPr>
        <w:pStyle w:val="Kazaloslik"/>
        <w:tabs>
          <w:tab w:val="right" w:leader="dot" w:pos="9628"/>
        </w:tabs>
        <w:rPr>
          <w:rFonts w:asciiTheme="minorHAnsi" w:eastAsiaTheme="minorEastAsia" w:hAnsiTheme="minorHAnsi"/>
          <w:noProof/>
          <w:lang w:eastAsia="sl-SI"/>
        </w:rPr>
      </w:pPr>
      <w:hyperlink w:anchor="_Toc97026838" w:history="1">
        <w:r w:rsidRPr="004070C7">
          <w:rPr>
            <w:rStyle w:val="Hiperpovezava"/>
            <w:noProof/>
          </w:rPr>
          <w:t>Slika 1.9: Shematski prikaz ocene ranljivosti posameznih segmentov sektorja vodnih virov v referenčnem obdobju (rumena) in v prihodnosti (črtkasta rdeča).</w:t>
        </w:r>
        <w:r>
          <w:rPr>
            <w:noProof/>
            <w:webHidden/>
          </w:rPr>
          <w:tab/>
        </w:r>
        <w:r>
          <w:rPr>
            <w:noProof/>
            <w:webHidden/>
          </w:rPr>
          <w:fldChar w:fldCharType="begin"/>
        </w:r>
        <w:r>
          <w:rPr>
            <w:noProof/>
            <w:webHidden/>
          </w:rPr>
          <w:instrText xml:space="preserve"> PAGEREF _Toc97026838 \h </w:instrText>
        </w:r>
        <w:r>
          <w:rPr>
            <w:noProof/>
            <w:webHidden/>
          </w:rPr>
        </w:r>
        <w:r>
          <w:rPr>
            <w:noProof/>
            <w:webHidden/>
          </w:rPr>
          <w:fldChar w:fldCharType="separate"/>
        </w:r>
        <w:r>
          <w:rPr>
            <w:noProof/>
            <w:webHidden/>
          </w:rPr>
          <w:t>39</w:t>
        </w:r>
        <w:r>
          <w:rPr>
            <w:noProof/>
            <w:webHidden/>
          </w:rPr>
          <w:fldChar w:fldCharType="end"/>
        </w:r>
      </w:hyperlink>
    </w:p>
    <w:p w14:paraId="01CDB216" w14:textId="310CC503" w:rsidR="007A0276" w:rsidRDefault="007A0276">
      <w:pPr>
        <w:pStyle w:val="Kazaloslik"/>
        <w:tabs>
          <w:tab w:val="right" w:leader="dot" w:pos="9628"/>
        </w:tabs>
        <w:rPr>
          <w:rFonts w:asciiTheme="minorHAnsi" w:eastAsiaTheme="minorEastAsia" w:hAnsiTheme="minorHAnsi"/>
          <w:noProof/>
          <w:lang w:eastAsia="sl-SI"/>
        </w:rPr>
      </w:pPr>
      <w:hyperlink w:anchor="_Toc97026839" w:history="1">
        <w:r w:rsidRPr="004070C7">
          <w:rPr>
            <w:rStyle w:val="Hiperpovezava"/>
            <w:noProof/>
          </w:rPr>
          <w:t>Slika 4.1: Časovni potek vsebnosti toplogrednih plinov v ozračju za štiri scenarije izpustov RCP (Van Vuu¬ren in sod., 2011).</w:t>
        </w:r>
        <w:r>
          <w:rPr>
            <w:noProof/>
            <w:webHidden/>
          </w:rPr>
          <w:tab/>
        </w:r>
        <w:r>
          <w:rPr>
            <w:noProof/>
            <w:webHidden/>
          </w:rPr>
          <w:fldChar w:fldCharType="begin"/>
        </w:r>
        <w:r>
          <w:rPr>
            <w:noProof/>
            <w:webHidden/>
          </w:rPr>
          <w:instrText xml:space="preserve"> PAGEREF _Toc97026839 \h </w:instrText>
        </w:r>
        <w:r>
          <w:rPr>
            <w:noProof/>
            <w:webHidden/>
          </w:rPr>
        </w:r>
        <w:r>
          <w:rPr>
            <w:noProof/>
            <w:webHidden/>
          </w:rPr>
          <w:fldChar w:fldCharType="separate"/>
        </w:r>
        <w:r>
          <w:rPr>
            <w:noProof/>
            <w:webHidden/>
          </w:rPr>
          <w:t>46</w:t>
        </w:r>
        <w:r>
          <w:rPr>
            <w:noProof/>
            <w:webHidden/>
          </w:rPr>
          <w:fldChar w:fldCharType="end"/>
        </w:r>
      </w:hyperlink>
    </w:p>
    <w:p w14:paraId="4B35A45F" w14:textId="3B833749" w:rsidR="007A0276" w:rsidRDefault="007A0276">
      <w:pPr>
        <w:pStyle w:val="Kazaloslik"/>
        <w:tabs>
          <w:tab w:val="right" w:leader="dot" w:pos="9628"/>
        </w:tabs>
        <w:rPr>
          <w:rFonts w:asciiTheme="minorHAnsi" w:eastAsiaTheme="minorEastAsia" w:hAnsiTheme="minorHAnsi"/>
          <w:noProof/>
          <w:lang w:eastAsia="sl-SI"/>
        </w:rPr>
      </w:pPr>
      <w:hyperlink w:anchor="_Toc97026840" w:history="1">
        <w:r w:rsidRPr="004070C7">
          <w:rPr>
            <w:rStyle w:val="Hiperpovezava"/>
            <w:noProof/>
          </w:rPr>
          <w:t>Slika 4.2: Ocenjene spremembe povprečne dnevne temperature na območju Mestne občine Nova Gorica, za scenarija RCP4.5 in RCP8.5, v obdobjih 2011—2040 ter 2041—2070, v primerjavi z obdobjem 1981—2010, po sezonah in letno, z najnižjo, srednjo in najvišjo vrednostjo modelskih ocen (vir: ARS0)</w:t>
        </w:r>
        <w:r>
          <w:rPr>
            <w:noProof/>
            <w:webHidden/>
          </w:rPr>
          <w:tab/>
        </w:r>
        <w:r>
          <w:rPr>
            <w:noProof/>
            <w:webHidden/>
          </w:rPr>
          <w:fldChar w:fldCharType="begin"/>
        </w:r>
        <w:r>
          <w:rPr>
            <w:noProof/>
            <w:webHidden/>
          </w:rPr>
          <w:instrText xml:space="preserve"> PAGEREF _Toc97026840 \h </w:instrText>
        </w:r>
        <w:r>
          <w:rPr>
            <w:noProof/>
            <w:webHidden/>
          </w:rPr>
        </w:r>
        <w:r>
          <w:rPr>
            <w:noProof/>
            <w:webHidden/>
          </w:rPr>
          <w:fldChar w:fldCharType="separate"/>
        </w:r>
        <w:r>
          <w:rPr>
            <w:noProof/>
            <w:webHidden/>
          </w:rPr>
          <w:t>49</w:t>
        </w:r>
        <w:r>
          <w:rPr>
            <w:noProof/>
            <w:webHidden/>
          </w:rPr>
          <w:fldChar w:fldCharType="end"/>
        </w:r>
      </w:hyperlink>
    </w:p>
    <w:p w14:paraId="63EFBB0F" w14:textId="569A6619" w:rsidR="007A0276" w:rsidRDefault="007A0276">
      <w:pPr>
        <w:pStyle w:val="Kazaloslik"/>
        <w:tabs>
          <w:tab w:val="right" w:leader="dot" w:pos="9628"/>
        </w:tabs>
        <w:rPr>
          <w:rFonts w:asciiTheme="minorHAnsi" w:eastAsiaTheme="minorEastAsia" w:hAnsiTheme="minorHAnsi"/>
          <w:noProof/>
          <w:lang w:eastAsia="sl-SI"/>
        </w:rPr>
      </w:pPr>
      <w:hyperlink w:anchor="_Toc97026841" w:history="1">
        <w:r w:rsidRPr="004070C7">
          <w:rPr>
            <w:rStyle w:val="Hiperpovezava"/>
            <w:noProof/>
          </w:rPr>
          <w:t>Slika 4.3: Odklon števila dni s toplotnimi obremenitvami, ko je kazalnik vročine pozitiven na območju Mestne občine Nova Gorica za scenarijih RCP4.5 in RCP8.5 (vir: ARSO).</w:t>
        </w:r>
        <w:r>
          <w:rPr>
            <w:noProof/>
            <w:webHidden/>
          </w:rPr>
          <w:tab/>
        </w:r>
        <w:r>
          <w:rPr>
            <w:noProof/>
            <w:webHidden/>
          </w:rPr>
          <w:fldChar w:fldCharType="begin"/>
        </w:r>
        <w:r>
          <w:rPr>
            <w:noProof/>
            <w:webHidden/>
          </w:rPr>
          <w:instrText xml:space="preserve"> PAGEREF _Toc97026841 \h </w:instrText>
        </w:r>
        <w:r>
          <w:rPr>
            <w:noProof/>
            <w:webHidden/>
          </w:rPr>
        </w:r>
        <w:r>
          <w:rPr>
            <w:noProof/>
            <w:webHidden/>
          </w:rPr>
          <w:fldChar w:fldCharType="separate"/>
        </w:r>
        <w:r>
          <w:rPr>
            <w:noProof/>
            <w:webHidden/>
          </w:rPr>
          <w:t>51</w:t>
        </w:r>
        <w:r>
          <w:rPr>
            <w:noProof/>
            <w:webHidden/>
          </w:rPr>
          <w:fldChar w:fldCharType="end"/>
        </w:r>
      </w:hyperlink>
    </w:p>
    <w:p w14:paraId="7EE82A87" w14:textId="0ACE5C20" w:rsidR="007A0276" w:rsidRDefault="007A0276">
      <w:pPr>
        <w:pStyle w:val="Kazaloslik"/>
        <w:tabs>
          <w:tab w:val="right" w:leader="dot" w:pos="9628"/>
        </w:tabs>
        <w:rPr>
          <w:rFonts w:asciiTheme="minorHAnsi" w:eastAsiaTheme="minorEastAsia" w:hAnsiTheme="minorHAnsi"/>
          <w:noProof/>
          <w:lang w:eastAsia="sl-SI"/>
        </w:rPr>
      </w:pPr>
      <w:hyperlink w:anchor="_Toc97026842" w:history="1">
        <w:r w:rsidRPr="004070C7">
          <w:rPr>
            <w:rStyle w:val="Hiperpovezava"/>
            <w:noProof/>
          </w:rPr>
          <w:t>Slika 4.4: Odklon jakosti oz. magnitude vročinskega vala po definiciji HWMId na območju Mestne občine Nova Gorica za scenarijih RCP4.5 in RCP8.5 (vir: ARSO).</w:t>
        </w:r>
        <w:r>
          <w:rPr>
            <w:noProof/>
            <w:webHidden/>
          </w:rPr>
          <w:tab/>
        </w:r>
        <w:r>
          <w:rPr>
            <w:noProof/>
            <w:webHidden/>
          </w:rPr>
          <w:fldChar w:fldCharType="begin"/>
        </w:r>
        <w:r>
          <w:rPr>
            <w:noProof/>
            <w:webHidden/>
          </w:rPr>
          <w:instrText xml:space="preserve"> PAGEREF _Toc97026842 \h </w:instrText>
        </w:r>
        <w:r>
          <w:rPr>
            <w:noProof/>
            <w:webHidden/>
          </w:rPr>
        </w:r>
        <w:r>
          <w:rPr>
            <w:noProof/>
            <w:webHidden/>
          </w:rPr>
          <w:fldChar w:fldCharType="separate"/>
        </w:r>
        <w:r>
          <w:rPr>
            <w:noProof/>
            <w:webHidden/>
          </w:rPr>
          <w:t>52</w:t>
        </w:r>
        <w:r>
          <w:rPr>
            <w:noProof/>
            <w:webHidden/>
          </w:rPr>
          <w:fldChar w:fldCharType="end"/>
        </w:r>
      </w:hyperlink>
    </w:p>
    <w:p w14:paraId="2BB47574" w14:textId="502D8E9A" w:rsidR="007A0276" w:rsidRDefault="007A0276">
      <w:pPr>
        <w:pStyle w:val="Kazaloslik"/>
        <w:tabs>
          <w:tab w:val="right" w:leader="dot" w:pos="9628"/>
        </w:tabs>
        <w:rPr>
          <w:rFonts w:asciiTheme="minorHAnsi" w:eastAsiaTheme="minorEastAsia" w:hAnsiTheme="minorHAnsi"/>
          <w:noProof/>
          <w:lang w:eastAsia="sl-SI"/>
        </w:rPr>
      </w:pPr>
      <w:hyperlink w:anchor="_Toc97026843" w:history="1">
        <w:r w:rsidRPr="004070C7">
          <w:rPr>
            <w:rStyle w:val="Hiperpovezava"/>
            <w:noProof/>
          </w:rPr>
          <w:t>Slika 4.5: Ocenjene spremembe vsote padavin (v %) v obdobjih 2011—2040 ter 2041—2070 v primerjavi z obdobjem 1981—2010, za scenarija RCP4.5 in RCP8.5, po sezonah in letno, z najnižjo, srednjo in najvišjo vrednostjo modelskih ocen (vir: ARSO)</w:t>
        </w:r>
        <w:r>
          <w:rPr>
            <w:noProof/>
            <w:webHidden/>
          </w:rPr>
          <w:tab/>
        </w:r>
        <w:r>
          <w:rPr>
            <w:noProof/>
            <w:webHidden/>
          </w:rPr>
          <w:fldChar w:fldCharType="begin"/>
        </w:r>
        <w:r>
          <w:rPr>
            <w:noProof/>
            <w:webHidden/>
          </w:rPr>
          <w:instrText xml:space="preserve"> PAGEREF _Toc97026843 \h </w:instrText>
        </w:r>
        <w:r>
          <w:rPr>
            <w:noProof/>
            <w:webHidden/>
          </w:rPr>
        </w:r>
        <w:r>
          <w:rPr>
            <w:noProof/>
            <w:webHidden/>
          </w:rPr>
          <w:fldChar w:fldCharType="separate"/>
        </w:r>
        <w:r>
          <w:rPr>
            <w:noProof/>
            <w:webHidden/>
          </w:rPr>
          <w:t>54</w:t>
        </w:r>
        <w:r>
          <w:rPr>
            <w:noProof/>
            <w:webHidden/>
          </w:rPr>
          <w:fldChar w:fldCharType="end"/>
        </w:r>
      </w:hyperlink>
    </w:p>
    <w:p w14:paraId="450AB915" w14:textId="6E79D2E0" w:rsidR="007A0276" w:rsidRDefault="007A0276">
      <w:pPr>
        <w:pStyle w:val="Kazaloslik"/>
        <w:tabs>
          <w:tab w:val="right" w:leader="dot" w:pos="9628"/>
        </w:tabs>
        <w:rPr>
          <w:rFonts w:asciiTheme="minorHAnsi" w:eastAsiaTheme="minorEastAsia" w:hAnsiTheme="minorHAnsi"/>
          <w:noProof/>
          <w:lang w:eastAsia="sl-SI"/>
        </w:rPr>
      </w:pPr>
      <w:hyperlink w:anchor="_Toc97026844" w:history="1">
        <w:r w:rsidRPr="004070C7">
          <w:rPr>
            <w:rStyle w:val="Hiperpovezava"/>
            <w:noProof/>
          </w:rPr>
          <w:t>Slika 4.6: Odklon števila dni s snežno odejo na območju Mestne občine Nova Gorica za scenarija RCP4.5 in RCP8.5 v primerjavi z obdobjem 1981—2010 (vir: ARSO)</w:t>
        </w:r>
        <w:r>
          <w:rPr>
            <w:noProof/>
            <w:webHidden/>
          </w:rPr>
          <w:tab/>
        </w:r>
        <w:r>
          <w:rPr>
            <w:noProof/>
            <w:webHidden/>
          </w:rPr>
          <w:fldChar w:fldCharType="begin"/>
        </w:r>
        <w:r>
          <w:rPr>
            <w:noProof/>
            <w:webHidden/>
          </w:rPr>
          <w:instrText xml:space="preserve"> PAGEREF _Toc97026844 \h </w:instrText>
        </w:r>
        <w:r>
          <w:rPr>
            <w:noProof/>
            <w:webHidden/>
          </w:rPr>
        </w:r>
        <w:r>
          <w:rPr>
            <w:noProof/>
            <w:webHidden/>
          </w:rPr>
          <w:fldChar w:fldCharType="separate"/>
        </w:r>
        <w:r>
          <w:rPr>
            <w:noProof/>
            <w:webHidden/>
          </w:rPr>
          <w:t>56</w:t>
        </w:r>
        <w:r>
          <w:rPr>
            <w:noProof/>
            <w:webHidden/>
          </w:rPr>
          <w:fldChar w:fldCharType="end"/>
        </w:r>
      </w:hyperlink>
    </w:p>
    <w:p w14:paraId="476B4195" w14:textId="355FF05B" w:rsidR="007A0276" w:rsidRDefault="007A0276">
      <w:pPr>
        <w:pStyle w:val="Kazaloslik"/>
        <w:tabs>
          <w:tab w:val="right" w:leader="dot" w:pos="9628"/>
        </w:tabs>
        <w:rPr>
          <w:rFonts w:asciiTheme="minorHAnsi" w:eastAsiaTheme="minorEastAsia" w:hAnsiTheme="minorHAnsi"/>
          <w:noProof/>
          <w:lang w:eastAsia="sl-SI"/>
        </w:rPr>
      </w:pPr>
      <w:hyperlink w:anchor="_Toc97026845" w:history="1">
        <w:r w:rsidRPr="004070C7">
          <w:rPr>
            <w:rStyle w:val="Hiperpovezava"/>
            <w:noProof/>
          </w:rPr>
          <w:t>Slika 4.7: Ocenjene spremembe referenčne evapotranspiracije (v %) v obdobjih 2011—2040 ter 2041—2070 v primerjavi z obdobjem 1981—2010, za scenarija RCP 4.5 in RCP8.5, po sezonah in letno, z najnižjo, srednjo in najvišjo vrednostjo modelskih ocen (vir: ARSO)</w:t>
        </w:r>
        <w:r>
          <w:rPr>
            <w:noProof/>
            <w:webHidden/>
          </w:rPr>
          <w:tab/>
        </w:r>
        <w:r>
          <w:rPr>
            <w:noProof/>
            <w:webHidden/>
          </w:rPr>
          <w:fldChar w:fldCharType="begin"/>
        </w:r>
        <w:r>
          <w:rPr>
            <w:noProof/>
            <w:webHidden/>
          </w:rPr>
          <w:instrText xml:space="preserve"> PAGEREF _Toc97026845 \h </w:instrText>
        </w:r>
        <w:r>
          <w:rPr>
            <w:noProof/>
            <w:webHidden/>
          </w:rPr>
        </w:r>
        <w:r>
          <w:rPr>
            <w:noProof/>
            <w:webHidden/>
          </w:rPr>
          <w:fldChar w:fldCharType="separate"/>
        </w:r>
        <w:r>
          <w:rPr>
            <w:noProof/>
            <w:webHidden/>
          </w:rPr>
          <w:t>58</w:t>
        </w:r>
        <w:r>
          <w:rPr>
            <w:noProof/>
            <w:webHidden/>
          </w:rPr>
          <w:fldChar w:fldCharType="end"/>
        </w:r>
      </w:hyperlink>
    </w:p>
    <w:p w14:paraId="78BFBAA1" w14:textId="2806404C" w:rsidR="007A0276" w:rsidRDefault="007A0276">
      <w:pPr>
        <w:pStyle w:val="Kazaloslik"/>
        <w:tabs>
          <w:tab w:val="right" w:leader="dot" w:pos="9628"/>
        </w:tabs>
        <w:rPr>
          <w:rFonts w:asciiTheme="minorHAnsi" w:eastAsiaTheme="minorEastAsia" w:hAnsiTheme="minorHAnsi"/>
          <w:noProof/>
          <w:lang w:eastAsia="sl-SI"/>
        </w:rPr>
      </w:pPr>
      <w:hyperlink w:anchor="_Toc97026846" w:history="1">
        <w:r w:rsidRPr="004070C7">
          <w:rPr>
            <w:rStyle w:val="Hiperpovezava"/>
            <w:noProof/>
          </w:rPr>
          <w:t>Slika 4.8: Ocenjen odklon števila dni vodnega primanjkljaja v obdobjih 2011—2040 ter 2041—2070 v primerjavi z obdobjem 1981¬—2010, za scenarij RCP 4.5, po sezonah in letno, z najnižjo, srednjo in najvišjo vrednostjo modelskih ocen (vir: ARSO)</w:t>
        </w:r>
        <w:r>
          <w:rPr>
            <w:noProof/>
            <w:webHidden/>
          </w:rPr>
          <w:tab/>
        </w:r>
        <w:r>
          <w:rPr>
            <w:noProof/>
            <w:webHidden/>
          </w:rPr>
          <w:fldChar w:fldCharType="begin"/>
        </w:r>
        <w:r>
          <w:rPr>
            <w:noProof/>
            <w:webHidden/>
          </w:rPr>
          <w:instrText xml:space="preserve"> PAGEREF _Toc97026846 \h </w:instrText>
        </w:r>
        <w:r>
          <w:rPr>
            <w:noProof/>
            <w:webHidden/>
          </w:rPr>
        </w:r>
        <w:r>
          <w:rPr>
            <w:noProof/>
            <w:webHidden/>
          </w:rPr>
          <w:fldChar w:fldCharType="separate"/>
        </w:r>
        <w:r>
          <w:rPr>
            <w:noProof/>
            <w:webHidden/>
          </w:rPr>
          <w:t>59</w:t>
        </w:r>
        <w:r>
          <w:rPr>
            <w:noProof/>
            <w:webHidden/>
          </w:rPr>
          <w:fldChar w:fldCharType="end"/>
        </w:r>
      </w:hyperlink>
    </w:p>
    <w:p w14:paraId="6E67B9F5" w14:textId="44BE8075" w:rsidR="007A0276" w:rsidRDefault="007A0276">
      <w:pPr>
        <w:pStyle w:val="Kazaloslik"/>
        <w:tabs>
          <w:tab w:val="right" w:leader="dot" w:pos="9628"/>
        </w:tabs>
        <w:rPr>
          <w:rFonts w:asciiTheme="minorHAnsi" w:eastAsiaTheme="minorEastAsia" w:hAnsiTheme="minorHAnsi"/>
          <w:noProof/>
          <w:lang w:eastAsia="sl-SI"/>
        </w:rPr>
      </w:pPr>
      <w:hyperlink w:anchor="_Toc97026847" w:history="1">
        <w:r w:rsidRPr="004070C7">
          <w:rPr>
            <w:rStyle w:val="Hiperpovezava"/>
            <w:noProof/>
          </w:rPr>
          <w:t>Slika 4.9: Prostorska porazdelitev povprečnega trajanja sončnega obsevanja julija (desno) in januarja (levo) v obdobju 1981—2010.</w:t>
        </w:r>
        <w:r>
          <w:rPr>
            <w:noProof/>
            <w:webHidden/>
          </w:rPr>
          <w:tab/>
        </w:r>
        <w:r>
          <w:rPr>
            <w:noProof/>
            <w:webHidden/>
          </w:rPr>
          <w:fldChar w:fldCharType="begin"/>
        </w:r>
        <w:r>
          <w:rPr>
            <w:noProof/>
            <w:webHidden/>
          </w:rPr>
          <w:instrText xml:space="preserve"> PAGEREF _Toc97026847 \h </w:instrText>
        </w:r>
        <w:r>
          <w:rPr>
            <w:noProof/>
            <w:webHidden/>
          </w:rPr>
        </w:r>
        <w:r>
          <w:rPr>
            <w:noProof/>
            <w:webHidden/>
          </w:rPr>
          <w:fldChar w:fldCharType="separate"/>
        </w:r>
        <w:r>
          <w:rPr>
            <w:noProof/>
            <w:webHidden/>
          </w:rPr>
          <w:t>60</w:t>
        </w:r>
        <w:r>
          <w:rPr>
            <w:noProof/>
            <w:webHidden/>
          </w:rPr>
          <w:fldChar w:fldCharType="end"/>
        </w:r>
      </w:hyperlink>
    </w:p>
    <w:p w14:paraId="1C55D56E" w14:textId="365A0D5C" w:rsidR="007A0276" w:rsidRDefault="007A0276">
      <w:pPr>
        <w:pStyle w:val="Kazaloslik"/>
        <w:tabs>
          <w:tab w:val="right" w:leader="dot" w:pos="9628"/>
        </w:tabs>
        <w:rPr>
          <w:rFonts w:asciiTheme="minorHAnsi" w:eastAsiaTheme="minorEastAsia" w:hAnsiTheme="minorHAnsi"/>
          <w:noProof/>
          <w:lang w:eastAsia="sl-SI"/>
        </w:rPr>
      </w:pPr>
      <w:hyperlink r:id="rId17" w:anchor="_Toc97026848" w:history="1">
        <w:r w:rsidRPr="004070C7">
          <w:rPr>
            <w:rStyle w:val="Hiperpovezava"/>
            <w:noProof/>
          </w:rPr>
          <w:t>Slika 4.10: Ocenjene spremembe trajanja sončnega obsevanja (v %) v obdobjih 2011—2040 ter 2041—2070 v primerjavi z obdobjem 1981—2010, za scenarij RCP 4.5 in RCP 8.5, po sezonah in letno, z najnižjo, srednjo in najvišjo vrednostjo modelskih ocen (vir: ARSO)</w:t>
        </w:r>
        <w:r>
          <w:rPr>
            <w:noProof/>
            <w:webHidden/>
          </w:rPr>
          <w:tab/>
        </w:r>
        <w:r>
          <w:rPr>
            <w:noProof/>
            <w:webHidden/>
          </w:rPr>
          <w:fldChar w:fldCharType="begin"/>
        </w:r>
        <w:r>
          <w:rPr>
            <w:noProof/>
            <w:webHidden/>
          </w:rPr>
          <w:instrText xml:space="preserve"> PAGEREF _Toc97026848 \h </w:instrText>
        </w:r>
        <w:r>
          <w:rPr>
            <w:noProof/>
            <w:webHidden/>
          </w:rPr>
        </w:r>
        <w:r>
          <w:rPr>
            <w:noProof/>
            <w:webHidden/>
          </w:rPr>
          <w:fldChar w:fldCharType="separate"/>
        </w:r>
        <w:r>
          <w:rPr>
            <w:noProof/>
            <w:webHidden/>
          </w:rPr>
          <w:t>61</w:t>
        </w:r>
        <w:r>
          <w:rPr>
            <w:noProof/>
            <w:webHidden/>
          </w:rPr>
          <w:fldChar w:fldCharType="end"/>
        </w:r>
      </w:hyperlink>
    </w:p>
    <w:p w14:paraId="23E9A651" w14:textId="3FE375FE" w:rsidR="007A0276" w:rsidRDefault="007A0276">
      <w:pPr>
        <w:pStyle w:val="Kazaloslik"/>
        <w:tabs>
          <w:tab w:val="right" w:leader="dot" w:pos="9628"/>
        </w:tabs>
        <w:rPr>
          <w:rFonts w:asciiTheme="minorHAnsi" w:eastAsiaTheme="minorEastAsia" w:hAnsiTheme="minorHAnsi"/>
          <w:noProof/>
          <w:lang w:eastAsia="sl-SI"/>
        </w:rPr>
      </w:pPr>
      <w:hyperlink w:anchor="_Toc97026849" w:history="1">
        <w:r w:rsidRPr="004070C7">
          <w:rPr>
            <w:rStyle w:val="Hiperpovezava"/>
            <w:noProof/>
          </w:rPr>
          <w:t>Slika 5.1: Shematični prikaz ocene priprave ocene ranljivosti.</w:t>
        </w:r>
        <w:r>
          <w:rPr>
            <w:noProof/>
            <w:webHidden/>
          </w:rPr>
          <w:tab/>
        </w:r>
        <w:r>
          <w:rPr>
            <w:noProof/>
            <w:webHidden/>
          </w:rPr>
          <w:fldChar w:fldCharType="begin"/>
        </w:r>
        <w:r>
          <w:rPr>
            <w:noProof/>
            <w:webHidden/>
          </w:rPr>
          <w:instrText xml:space="preserve"> PAGEREF _Toc97026849 \h </w:instrText>
        </w:r>
        <w:r>
          <w:rPr>
            <w:noProof/>
            <w:webHidden/>
          </w:rPr>
        </w:r>
        <w:r>
          <w:rPr>
            <w:noProof/>
            <w:webHidden/>
          </w:rPr>
          <w:fldChar w:fldCharType="separate"/>
        </w:r>
        <w:r>
          <w:rPr>
            <w:noProof/>
            <w:webHidden/>
          </w:rPr>
          <w:t>64</w:t>
        </w:r>
        <w:r>
          <w:rPr>
            <w:noProof/>
            <w:webHidden/>
          </w:rPr>
          <w:fldChar w:fldCharType="end"/>
        </w:r>
      </w:hyperlink>
    </w:p>
    <w:p w14:paraId="559E4498" w14:textId="446DA4FE" w:rsidR="007A0276" w:rsidRDefault="007A0276">
      <w:pPr>
        <w:pStyle w:val="Kazaloslik"/>
        <w:tabs>
          <w:tab w:val="right" w:leader="dot" w:pos="9628"/>
        </w:tabs>
        <w:rPr>
          <w:rFonts w:asciiTheme="minorHAnsi" w:eastAsiaTheme="minorEastAsia" w:hAnsiTheme="minorHAnsi"/>
          <w:noProof/>
          <w:lang w:eastAsia="sl-SI"/>
        </w:rPr>
      </w:pPr>
      <w:hyperlink w:anchor="_Toc97026850" w:history="1">
        <w:r w:rsidRPr="004070C7">
          <w:rPr>
            <w:rStyle w:val="Hiperpovezava"/>
            <w:noProof/>
          </w:rPr>
          <w:t>Slika 5.2: Shematski prikaz določanja ranljivosti po metodi z utežmi.</w:t>
        </w:r>
        <w:r>
          <w:rPr>
            <w:noProof/>
            <w:webHidden/>
          </w:rPr>
          <w:tab/>
        </w:r>
        <w:r>
          <w:rPr>
            <w:noProof/>
            <w:webHidden/>
          </w:rPr>
          <w:fldChar w:fldCharType="begin"/>
        </w:r>
        <w:r>
          <w:rPr>
            <w:noProof/>
            <w:webHidden/>
          </w:rPr>
          <w:instrText xml:space="preserve"> PAGEREF _Toc97026850 \h </w:instrText>
        </w:r>
        <w:r>
          <w:rPr>
            <w:noProof/>
            <w:webHidden/>
          </w:rPr>
        </w:r>
        <w:r>
          <w:rPr>
            <w:noProof/>
            <w:webHidden/>
          </w:rPr>
          <w:fldChar w:fldCharType="separate"/>
        </w:r>
        <w:r>
          <w:rPr>
            <w:noProof/>
            <w:webHidden/>
          </w:rPr>
          <w:t>67</w:t>
        </w:r>
        <w:r>
          <w:rPr>
            <w:noProof/>
            <w:webHidden/>
          </w:rPr>
          <w:fldChar w:fldCharType="end"/>
        </w:r>
      </w:hyperlink>
    </w:p>
    <w:p w14:paraId="33BA6CE3" w14:textId="19E30313" w:rsidR="007A0276" w:rsidRDefault="007A0276">
      <w:pPr>
        <w:pStyle w:val="Kazaloslik"/>
        <w:tabs>
          <w:tab w:val="right" w:leader="dot" w:pos="9628"/>
        </w:tabs>
        <w:rPr>
          <w:rFonts w:asciiTheme="minorHAnsi" w:eastAsiaTheme="minorEastAsia" w:hAnsiTheme="minorHAnsi"/>
          <w:noProof/>
          <w:lang w:eastAsia="sl-SI"/>
        </w:rPr>
      </w:pPr>
      <w:hyperlink w:anchor="_Toc97026851" w:history="1">
        <w:r w:rsidRPr="004070C7">
          <w:rPr>
            <w:rStyle w:val="Hiperpovezava"/>
            <w:noProof/>
          </w:rPr>
          <w:t>Slika 5.3: Shematski prikaz ocene tveganja.</w:t>
        </w:r>
        <w:r>
          <w:rPr>
            <w:noProof/>
            <w:webHidden/>
          </w:rPr>
          <w:tab/>
        </w:r>
        <w:r>
          <w:rPr>
            <w:noProof/>
            <w:webHidden/>
          </w:rPr>
          <w:fldChar w:fldCharType="begin"/>
        </w:r>
        <w:r>
          <w:rPr>
            <w:noProof/>
            <w:webHidden/>
          </w:rPr>
          <w:instrText xml:space="preserve"> PAGEREF _Toc97026851 \h </w:instrText>
        </w:r>
        <w:r>
          <w:rPr>
            <w:noProof/>
            <w:webHidden/>
          </w:rPr>
        </w:r>
        <w:r>
          <w:rPr>
            <w:noProof/>
            <w:webHidden/>
          </w:rPr>
          <w:fldChar w:fldCharType="separate"/>
        </w:r>
        <w:r>
          <w:rPr>
            <w:noProof/>
            <w:webHidden/>
          </w:rPr>
          <w:t>68</w:t>
        </w:r>
        <w:r>
          <w:rPr>
            <w:noProof/>
            <w:webHidden/>
          </w:rPr>
          <w:fldChar w:fldCharType="end"/>
        </w:r>
      </w:hyperlink>
    </w:p>
    <w:p w14:paraId="11F00900" w14:textId="2CFCAD77" w:rsidR="007A0276" w:rsidRDefault="007A0276">
      <w:pPr>
        <w:pStyle w:val="Kazaloslik"/>
        <w:tabs>
          <w:tab w:val="right" w:leader="dot" w:pos="9628"/>
        </w:tabs>
        <w:rPr>
          <w:rFonts w:asciiTheme="minorHAnsi" w:eastAsiaTheme="minorEastAsia" w:hAnsiTheme="minorHAnsi"/>
          <w:noProof/>
          <w:lang w:eastAsia="sl-SI"/>
        </w:rPr>
      </w:pPr>
      <w:hyperlink w:anchor="_Toc97026852" w:history="1">
        <w:r w:rsidRPr="004070C7">
          <w:rPr>
            <w:rStyle w:val="Hiperpovezava"/>
            <w:i/>
            <w:iCs/>
            <w:noProof/>
          </w:rPr>
          <w:t>Slika 6.1: Merila in metoda ugotavljanja in vrednotenja vplivov plana na kmetijstvo.</w:t>
        </w:r>
        <w:r>
          <w:rPr>
            <w:noProof/>
            <w:webHidden/>
          </w:rPr>
          <w:tab/>
        </w:r>
        <w:r>
          <w:rPr>
            <w:noProof/>
            <w:webHidden/>
          </w:rPr>
          <w:fldChar w:fldCharType="begin"/>
        </w:r>
        <w:r>
          <w:rPr>
            <w:noProof/>
            <w:webHidden/>
          </w:rPr>
          <w:instrText xml:space="preserve"> PAGEREF _Toc97026852 \h </w:instrText>
        </w:r>
        <w:r>
          <w:rPr>
            <w:noProof/>
            <w:webHidden/>
          </w:rPr>
        </w:r>
        <w:r>
          <w:rPr>
            <w:noProof/>
            <w:webHidden/>
          </w:rPr>
          <w:fldChar w:fldCharType="separate"/>
        </w:r>
        <w:r>
          <w:rPr>
            <w:noProof/>
            <w:webHidden/>
          </w:rPr>
          <w:t>83</w:t>
        </w:r>
        <w:r>
          <w:rPr>
            <w:noProof/>
            <w:webHidden/>
          </w:rPr>
          <w:fldChar w:fldCharType="end"/>
        </w:r>
      </w:hyperlink>
    </w:p>
    <w:p w14:paraId="4095F1E2" w14:textId="4B92DBEB" w:rsidR="007A0276" w:rsidRDefault="007A0276">
      <w:pPr>
        <w:pStyle w:val="Kazaloslik"/>
        <w:tabs>
          <w:tab w:val="right" w:leader="dot" w:pos="9628"/>
        </w:tabs>
        <w:rPr>
          <w:rFonts w:asciiTheme="minorHAnsi" w:eastAsiaTheme="minorEastAsia" w:hAnsiTheme="minorHAnsi"/>
          <w:noProof/>
          <w:lang w:eastAsia="sl-SI"/>
        </w:rPr>
      </w:pPr>
      <w:hyperlink w:anchor="_Toc97026853" w:history="1">
        <w:r w:rsidRPr="004070C7">
          <w:rPr>
            <w:rStyle w:val="Hiperpovezava"/>
            <w:rFonts w:eastAsia="Trebuchet MS" w:cs="Trebuchet MS"/>
            <w:i/>
            <w:iCs/>
            <w:noProof/>
            <w:lang w:eastAsia="sl-SI"/>
          </w:rPr>
          <w:t>Slika 6.2: Odklon dolžine rastne dobe (število dni) po scenarijih RCP4.5 (LEVO) in RCP8.5 (DESNO) v obdobjih 2011</w:t>
        </w:r>
        <w:r w:rsidRPr="004070C7">
          <w:rPr>
            <w:rStyle w:val="Hiperpovezava"/>
            <w:noProof/>
          </w:rPr>
          <w:t>–</w:t>
        </w:r>
        <w:r w:rsidRPr="004070C7">
          <w:rPr>
            <w:rStyle w:val="Hiperpovezava"/>
            <w:rFonts w:eastAsia="Trebuchet MS" w:cs="Trebuchet MS"/>
            <w:i/>
            <w:iCs/>
            <w:noProof/>
            <w:lang w:eastAsia="sl-SI"/>
          </w:rPr>
          <w:t>2040 in 2041</w:t>
        </w:r>
        <w:r w:rsidRPr="004070C7">
          <w:rPr>
            <w:rStyle w:val="Hiperpovezava"/>
            <w:noProof/>
          </w:rPr>
          <w:t>–</w:t>
        </w:r>
        <w:r w:rsidRPr="004070C7">
          <w:rPr>
            <w:rStyle w:val="Hiperpovezava"/>
            <w:rFonts w:eastAsia="Trebuchet MS" w:cs="Trebuchet MS"/>
            <w:i/>
            <w:iCs/>
            <w:noProof/>
            <w:lang w:eastAsia="sl-SI"/>
          </w:rPr>
          <w:t>2070 glede na referenčno obdobje 1981</w:t>
        </w:r>
        <w:r w:rsidRPr="004070C7">
          <w:rPr>
            <w:rStyle w:val="Hiperpovezava"/>
            <w:noProof/>
          </w:rPr>
          <w:t>–</w:t>
        </w:r>
        <w:r w:rsidRPr="004070C7">
          <w:rPr>
            <w:rStyle w:val="Hiperpovezava"/>
            <w:rFonts w:eastAsia="Trebuchet MS" w:cs="Trebuchet MS"/>
            <w:i/>
            <w:iCs/>
            <w:noProof/>
            <w:lang w:eastAsia="sl-SI"/>
          </w:rPr>
          <w:t>2010 (Vir: ARSO, 2020).</w:t>
        </w:r>
        <w:r>
          <w:rPr>
            <w:noProof/>
            <w:webHidden/>
          </w:rPr>
          <w:tab/>
        </w:r>
        <w:r>
          <w:rPr>
            <w:noProof/>
            <w:webHidden/>
          </w:rPr>
          <w:fldChar w:fldCharType="begin"/>
        </w:r>
        <w:r>
          <w:rPr>
            <w:noProof/>
            <w:webHidden/>
          </w:rPr>
          <w:instrText xml:space="preserve"> PAGEREF _Toc97026853 \h </w:instrText>
        </w:r>
        <w:r>
          <w:rPr>
            <w:noProof/>
            <w:webHidden/>
          </w:rPr>
        </w:r>
        <w:r>
          <w:rPr>
            <w:noProof/>
            <w:webHidden/>
          </w:rPr>
          <w:fldChar w:fldCharType="separate"/>
        </w:r>
        <w:r>
          <w:rPr>
            <w:noProof/>
            <w:webHidden/>
          </w:rPr>
          <w:t>89</w:t>
        </w:r>
        <w:r>
          <w:rPr>
            <w:noProof/>
            <w:webHidden/>
          </w:rPr>
          <w:fldChar w:fldCharType="end"/>
        </w:r>
      </w:hyperlink>
    </w:p>
    <w:p w14:paraId="536D3D5F" w14:textId="67C109E0" w:rsidR="007A0276" w:rsidRDefault="007A0276">
      <w:pPr>
        <w:pStyle w:val="Kazaloslik"/>
        <w:tabs>
          <w:tab w:val="right" w:leader="dot" w:pos="9628"/>
        </w:tabs>
        <w:rPr>
          <w:rFonts w:asciiTheme="minorHAnsi" w:eastAsiaTheme="minorEastAsia" w:hAnsiTheme="minorHAnsi"/>
          <w:noProof/>
          <w:lang w:eastAsia="sl-SI"/>
        </w:rPr>
      </w:pPr>
      <w:hyperlink w:anchor="_Toc97026854" w:history="1">
        <w:r w:rsidRPr="004070C7">
          <w:rPr>
            <w:rStyle w:val="Hiperpovezava"/>
            <w:rFonts w:eastAsia="Trebuchet MS" w:cs="Trebuchet MS"/>
            <w:i/>
            <w:iCs/>
            <w:noProof/>
            <w:lang w:eastAsia="sl-SI"/>
          </w:rPr>
          <w:t>Slika 6.3: Odklon vsote poletne referenčne evapotranspiracije po scenarijih RCP4.5 in RCP8.5 v obdobjih 2011</w:t>
        </w:r>
        <w:r w:rsidRPr="004070C7">
          <w:rPr>
            <w:rStyle w:val="Hiperpovezava"/>
            <w:noProof/>
          </w:rPr>
          <w:t>–</w:t>
        </w:r>
        <w:r w:rsidRPr="004070C7">
          <w:rPr>
            <w:rStyle w:val="Hiperpovezava"/>
            <w:rFonts w:eastAsia="Trebuchet MS" w:cs="Trebuchet MS"/>
            <w:i/>
            <w:iCs/>
            <w:noProof/>
            <w:lang w:eastAsia="sl-SI"/>
          </w:rPr>
          <w:t>2040 in 2041</w:t>
        </w:r>
        <w:r w:rsidRPr="004070C7">
          <w:rPr>
            <w:rStyle w:val="Hiperpovezava"/>
            <w:noProof/>
          </w:rPr>
          <w:t>–</w:t>
        </w:r>
        <w:r w:rsidRPr="004070C7">
          <w:rPr>
            <w:rStyle w:val="Hiperpovezava"/>
            <w:rFonts w:eastAsia="Trebuchet MS" w:cs="Trebuchet MS"/>
            <w:i/>
            <w:iCs/>
            <w:noProof/>
            <w:lang w:eastAsia="sl-SI"/>
          </w:rPr>
          <w:t>2070 glede na referenčno obdobje 1981</w:t>
        </w:r>
        <w:r w:rsidRPr="004070C7">
          <w:rPr>
            <w:rStyle w:val="Hiperpovezava"/>
            <w:noProof/>
          </w:rPr>
          <w:t>–</w:t>
        </w:r>
        <w:r w:rsidRPr="004070C7">
          <w:rPr>
            <w:rStyle w:val="Hiperpovezava"/>
            <w:rFonts w:eastAsia="Trebuchet MS" w:cs="Trebuchet MS"/>
            <w:i/>
            <w:iCs/>
            <w:noProof/>
            <w:lang w:eastAsia="sl-SI"/>
          </w:rPr>
          <w:t>2010 (Vir: ARSO, 2020).</w:t>
        </w:r>
        <w:r>
          <w:rPr>
            <w:noProof/>
            <w:webHidden/>
          </w:rPr>
          <w:tab/>
        </w:r>
        <w:r>
          <w:rPr>
            <w:noProof/>
            <w:webHidden/>
          </w:rPr>
          <w:fldChar w:fldCharType="begin"/>
        </w:r>
        <w:r>
          <w:rPr>
            <w:noProof/>
            <w:webHidden/>
          </w:rPr>
          <w:instrText xml:space="preserve"> PAGEREF _Toc97026854 \h </w:instrText>
        </w:r>
        <w:r>
          <w:rPr>
            <w:noProof/>
            <w:webHidden/>
          </w:rPr>
        </w:r>
        <w:r>
          <w:rPr>
            <w:noProof/>
            <w:webHidden/>
          </w:rPr>
          <w:fldChar w:fldCharType="separate"/>
        </w:r>
        <w:r>
          <w:rPr>
            <w:noProof/>
            <w:webHidden/>
          </w:rPr>
          <w:t>90</w:t>
        </w:r>
        <w:r>
          <w:rPr>
            <w:noProof/>
            <w:webHidden/>
          </w:rPr>
          <w:fldChar w:fldCharType="end"/>
        </w:r>
      </w:hyperlink>
    </w:p>
    <w:p w14:paraId="20D85049" w14:textId="0C665944" w:rsidR="007A0276" w:rsidRDefault="007A0276">
      <w:pPr>
        <w:pStyle w:val="Kazaloslik"/>
        <w:tabs>
          <w:tab w:val="right" w:leader="dot" w:pos="9628"/>
        </w:tabs>
        <w:rPr>
          <w:rFonts w:asciiTheme="minorHAnsi" w:eastAsiaTheme="minorEastAsia" w:hAnsiTheme="minorHAnsi"/>
          <w:noProof/>
          <w:lang w:eastAsia="sl-SI"/>
        </w:rPr>
      </w:pPr>
      <w:hyperlink w:anchor="_Toc97026855" w:history="1">
        <w:r w:rsidRPr="004070C7">
          <w:rPr>
            <w:rStyle w:val="Hiperpovezava"/>
            <w:noProof/>
          </w:rPr>
          <w:t>Slika 6.4: Prikaz ocen potencialnih vplivov za pet kazalnikov ranljivosti v kmetijstvu v referenčnem obdobju ter v prvem in drugem obdobju po scenarijih RCP4.5 in RCP8.5.</w:t>
        </w:r>
        <w:r>
          <w:rPr>
            <w:noProof/>
            <w:webHidden/>
          </w:rPr>
          <w:tab/>
        </w:r>
        <w:r>
          <w:rPr>
            <w:noProof/>
            <w:webHidden/>
          </w:rPr>
          <w:fldChar w:fldCharType="begin"/>
        </w:r>
        <w:r>
          <w:rPr>
            <w:noProof/>
            <w:webHidden/>
          </w:rPr>
          <w:instrText xml:space="preserve"> PAGEREF _Toc97026855 \h </w:instrText>
        </w:r>
        <w:r>
          <w:rPr>
            <w:noProof/>
            <w:webHidden/>
          </w:rPr>
        </w:r>
        <w:r>
          <w:rPr>
            <w:noProof/>
            <w:webHidden/>
          </w:rPr>
          <w:fldChar w:fldCharType="separate"/>
        </w:r>
        <w:r>
          <w:rPr>
            <w:noProof/>
            <w:webHidden/>
          </w:rPr>
          <w:t>100</w:t>
        </w:r>
        <w:r>
          <w:rPr>
            <w:noProof/>
            <w:webHidden/>
          </w:rPr>
          <w:fldChar w:fldCharType="end"/>
        </w:r>
      </w:hyperlink>
    </w:p>
    <w:p w14:paraId="258CD424" w14:textId="777DD480" w:rsidR="007A0276" w:rsidRDefault="007A0276">
      <w:pPr>
        <w:pStyle w:val="Kazaloslik"/>
        <w:tabs>
          <w:tab w:val="right" w:leader="dot" w:pos="9628"/>
        </w:tabs>
        <w:rPr>
          <w:rFonts w:asciiTheme="minorHAnsi" w:eastAsiaTheme="minorEastAsia" w:hAnsiTheme="minorHAnsi"/>
          <w:noProof/>
          <w:lang w:eastAsia="sl-SI"/>
        </w:rPr>
      </w:pPr>
      <w:hyperlink w:anchor="_Toc97026856" w:history="1">
        <w:r w:rsidRPr="004070C7">
          <w:rPr>
            <w:rStyle w:val="Hiperpovezava"/>
            <w:rFonts w:eastAsia="Trebuchet MS" w:cs="Trebuchet MS"/>
            <w:i/>
            <w:iCs/>
            <w:noProof/>
            <w:lang w:eastAsia="sl-SI"/>
          </w:rPr>
          <w:t>Slika 6.5: Prikaz kazalnikov ranljivosti kmetijstva na podnebne spremembe v referenčnem obdobju 1981–2010 in po obeh scenarijih v obdobju 2011–2040 (*le ocena ranljivosti za kazalnik 'toplotna obremenitev in vročinski stres' je v referenčnem obdobju 3 in v prvem obdobju po obeh scenarijih 4 – glej preglednico 6.11) ter 2041–2070.</w:t>
        </w:r>
        <w:r>
          <w:rPr>
            <w:noProof/>
            <w:webHidden/>
          </w:rPr>
          <w:tab/>
        </w:r>
        <w:r>
          <w:rPr>
            <w:noProof/>
            <w:webHidden/>
          </w:rPr>
          <w:fldChar w:fldCharType="begin"/>
        </w:r>
        <w:r>
          <w:rPr>
            <w:noProof/>
            <w:webHidden/>
          </w:rPr>
          <w:instrText xml:space="preserve"> PAGEREF _Toc97026856 \h </w:instrText>
        </w:r>
        <w:r>
          <w:rPr>
            <w:noProof/>
            <w:webHidden/>
          </w:rPr>
        </w:r>
        <w:r>
          <w:rPr>
            <w:noProof/>
            <w:webHidden/>
          </w:rPr>
          <w:fldChar w:fldCharType="separate"/>
        </w:r>
        <w:r>
          <w:rPr>
            <w:noProof/>
            <w:webHidden/>
          </w:rPr>
          <w:t>100</w:t>
        </w:r>
        <w:r>
          <w:rPr>
            <w:noProof/>
            <w:webHidden/>
          </w:rPr>
          <w:fldChar w:fldCharType="end"/>
        </w:r>
      </w:hyperlink>
    </w:p>
    <w:p w14:paraId="26B337D4" w14:textId="54FB1A5B" w:rsidR="007A0276" w:rsidRDefault="007A0276">
      <w:pPr>
        <w:pStyle w:val="Kazaloslik"/>
        <w:tabs>
          <w:tab w:val="right" w:leader="dot" w:pos="9628"/>
        </w:tabs>
        <w:rPr>
          <w:rFonts w:asciiTheme="minorHAnsi" w:eastAsiaTheme="minorEastAsia" w:hAnsiTheme="minorHAnsi"/>
          <w:noProof/>
          <w:lang w:eastAsia="sl-SI"/>
        </w:rPr>
      </w:pPr>
      <w:hyperlink w:anchor="_Toc97026857" w:history="1">
        <w:r w:rsidRPr="004070C7">
          <w:rPr>
            <w:rStyle w:val="Hiperpovezava"/>
            <w:noProof/>
          </w:rPr>
          <w:t>Slika 6.6: Gozdovi v Mestni občini Nova Gorica (ZGS, 2019)</w:t>
        </w:r>
        <w:r>
          <w:rPr>
            <w:noProof/>
            <w:webHidden/>
          </w:rPr>
          <w:tab/>
        </w:r>
        <w:r>
          <w:rPr>
            <w:noProof/>
            <w:webHidden/>
          </w:rPr>
          <w:fldChar w:fldCharType="begin"/>
        </w:r>
        <w:r>
          <w:rPr>
            <w:noProof/>
            <w:webHidden/>
          </w:rPr>
          <w:instrText xml:space="preserve"> PAGEREF _Toc97026857 \h </w:instrText>
        </w:r>
        <w:r>
          <w:rPr>
            <w:noProof/>
            <w:webHidden/>
          </w:rPr>
        </w:r>
        <w:r>
          <w:rPr>
            <w:noProof/>
            <w:webHidden/>
          </w:rPr>
          <w:fldChar w:fldCharType="separate"/>
        </w:r>
        <w:r>
          <w:rPr>
            <w:noProof/>
            <w:webHidden/>
          </w:rPr>
          <w:t>106</w:t>
        </w:r>
        <w:r>
          <w:rPr>
            <w:noProof/>
            <w:webHidden/>
          </w:rPr>
          <w:fldChar w:fldCharType="end"/>
        </w:r>
      </w:hyperlink>
    </w:p>
    <w:p w14:paraId="4471962F" w14:textId="22F57EA6" w:rsidR="007A0276" w:rsidRDefault="007A0276">
      <w:pPr>
        <w:pStyle w:val="Kazaloslik"/>
        <w:tabs>
          <w:tab w:val="right" w:leader="dot" w:pos="9628"/>
        </w:tabs>
        <w:rPr>
          <w:rFonts w:asciiTheme="minorHAnsi" w:eastAsiaTheme="minorEastAsia" w:hAnsiTheme="minorHAnsi"/>
          <w:noProof/>
          <w:lang w:eastAsia="sl-SI"/>
        </w:rPr>
      </w:pPr>
      <w:hyperlink w:anchor="_Toc97026858" w:history="1">
        <w:r w:rsidRPr="004070C7">
          <w:rPr>
            <w:rStyle w:val="Hiperpovezava"/>
            <w:noProof/>
          </w:rPr>
          <w:t>Slika 6.7: Delež sanitarnega poseka (m</w:t>
        </w:r>
        <w:r w:rsidRPr="004070C7">
          <w:rPr>
            <w:rStyle w:val="Hiperpovezava"/>
            <w:noProof/>
            <w:vertAlign w:val="superscript"/>
          </w:rPr>
          <w:t>3</w:t>
        </w:r>
        <w:r w:rsidRPr="004070C7">
          <w:rPr>
            <w:rStyle w:val="Hiperpovezava"/>
            <w:noProof/>
          </w:rPr>
          <w:t xml:space="preserve"> lesne mase) v Mestni občini Nova Gorica v letih od 2014 do 2019 (ZGS, 2014, 2015, 2016, 2017, 2018, 2019).</w:t>
        </w:r>
        <w:r>
          <w:rPr>
            <w:noProof/>
            <w:webHidden/>
          </w:rPr>
          <w:tab/>
        </w:r>
        <w:r>
          <w:rPr>
            <w:noProof/>
            <w:webHidden/>
          </w:rPr>
          <w:fldChar w:fldCharType="begin"/>
        </w:r>
        <w:r>
          <w:rPr>
            <w:noProof/>
            <w:webHidden/>
          </w:rPr>
          <w:instrText xml:space="preserve"> PAGEREF _Toc97026858 \h </w:instrText>
        </w:r>
        <w:r>
          <w:rPr>
            <w:noProof/>
            <w:webHidden/>
          </w:rPr>
        </w:r>
        <w:r>
          <w:rPr>
            <w:noProof/>
            <w:webHidden/>
          </w:rPr>
          <w:fldChar w:fldCharType="separate"/>
        </w:r>
        <w:r>
          <w:rPr>
            <w:noProof/>
            <w:webHidden/>
          </w:rPr>
          <w:t>107</w:t>
        </w:r>
        <w:r>
          <w:rPr>
            <w:noProof/>
            <w:webHidden/>
          </w:rPr>
          <w:fldChar w:fldCharType="end"/>
        </w:r>
      </w:hyperlink>
    </w:p>
    <w:p w14:paraId="549B5E91" w14:textId="51084096" w:rsidR="007A0276" w:rsidRDefault="007A0276">
      <w:pPr>
        <w:pStyle w:val="Kazaloslik"/>
        <w:tabs>
          <w:tab w:val="right" w:leader="dot" w:pos="9628"/>
        </w:tabs>
        <w:rPr>
          <w:rFonts w:asciiTheme="minorHAnsi" w:eastAsiaTheme="minorEastAsia" w:hAnsiTheme="minorHAnsi"/>
          <w:noProof/>
          <w:lang w:eastAsia="sl-SI"/>
        </w:rPr>
      </w:pPr>
      <w:hyperlink w:anchor="_Toc97026859" w:history="1">
        <w:r w:rsidRPr="004070C7">
          <w:rPr>
            <w:rStyle w:val="Hiperpovezava"/>
            <w:noProof/>
          </w:rPr>
          <w:t>Slika 6.8: Vrste sanitarnega poseka po vzrokih (m</w:t>
        </w:r>
        <w:r w:rsidRPr="004070C7">
          <w:rPr>
            <w:rStyle w:val="Hiperpovezava"/>
            <w:noProof/>
            <w:vertAlign w:val="superscript"/>
          </w:rPr>
          <w:t>3</w:t>
        </w:r>
        <w:r w:rsidRPr="004070C7">
          <w:rPr>
            <w:rStyle w:val="Hiperpovezava"/>
            <w:noProof/>
          </w:rPr>
          <w:t xml:space="preserve"> lesne mase) v Mestni občini Nova Gorica v letih od 2014 do 2019 (ZGS, 2014, 2015, 2016, 2017, 2018, 2019).</w:t>
        </w:r>
        <w:r>
          <w:rPr>
            <w:noProof/>
            <w:webHidden/>
          </w:rPr>
          <w:tab/>
        </w:r>
        <w:r>
          <w:rPr>
            <w:noProof/>
            <w:webHidden/>
          </w:rPr>
          <w:fldChar w:fldCharType="begin"/>
        </w:r>
        <w:r>
          <w:rPr>
            <w:noProof/>
            <w:webHidden/>
          </w:rPr>
          <w:instrText xml:space="preserve"> PAGEREF _Toc97026859 \h </w:instrText>
        </w:r>
        <w:r>
          <w:rPr>
            <w:noProof/>
            <w:webHidden/>
          </w:rPr>
        </w:r>
        <w:r>
          <w:rPr>
            <w:noProof/>
            <w:webHidden/>
          </w:rPr>
          <w:fldChar w:fldCharType="separate"/>
        </w:r>
        <w:r>
          <w:rPr>
            <w:noProof/>
            <w:webHidden/>
          </w:rPr>
          <w:t>107</w:t>
        </w:r>
        <w:r>
          <w:rPr>
            <w:noProof/>
            <w:webHidden/>
          </w:rPr>
          <w:fldChar w:fldCharType="end"/>
        </w:r>
      </w:hyperlink>
    </w:p>
    <w:p w14:paraId="6787C42E" w14:textId="29EB10FF" w:rsidR="007A0276" w:rsidRDefault="007A0276">
      <w:pPr>
        <w:pStyle w:val="Kazaloslik"/>
        <w:tabs>
          <w:tab w:val="right" w:leader="dot" w:pos="9628"/>
        </w:tabs>
        <w:rPr>
          <w:rFonts w:asciiTheme="minorHAnsi" w:eastAsiaTheme="minorEastAsia" w:hAnsiTheme="minorHAnsi"/>
          <w:noProof/>
          <w:lang w:eastAsia="sl-SI"/>
        </w:rPr>
      </w:pPr>
      <w:hyperlink w:anchor="_Toc97026860" w:history="1">
        <w:r w:rsidRPr="004070C7">
          <w:rPr>
            <w:rStyle w:val="Hiperpovezava"/>
            <w:noProof/>
          </w:rPr>
          <w:t>Slika 6.9: Razčlenjenost lastniške strukture gozdov v Mestni občini Nova Gorica (ZGS GGN GGE Trnovo 2013-2022, GGE Gorica 2017-2026, GGE Banjšice 2015-2024).</w:t>
        </w:r>
        <w:r>
          <w:rPr>
            <w:noProof/>
            <w:webHidden/>
          </w:rPr>
          <w:tab/>
        </w:r>
        <w:r>
          <w:rPr>
            <w:noProof/>
            <w:webHidden/>
          </w:rPr>
          <w:fldChar w:fldCharType="begin"/>
        </w:r>
        <w:r>
          <w:rPr>
            <w:noProof/>
            <w:webHidden/>
          </w:rPr>
          <w:instrText xml:space="preserve"> PAGEREF _Toc97026860 \h </w:instrText>
        </w:r>
        <w:r>
          <w:rPr>
            <w:noProof/>
            <w:webHidden/>
          </w:rPr>
        </w:r>
        <w:r>
          <w:rPr>
            <w:noProof/>
            <w:webHidden/>
          </w:rPr>
          <w:fldChar w:fldCharType="separate"/>
        </w:r>
        <w:r>
          <w:rPr>
            <w:noProof/>
            <w:webHidden/>
          </w:rPr>
          <w:t>110</w:t>
        </w:r>
        <w:r>
          <w:rPr>
            <w:noProof/>
            <w:webHidden/>
          </w:rPr>
          <w:fldChar w:fldCharType="end"/>
        </w:r>
      </w:hyperlink>
    </w:p>
    <w:p w14:paraId="5E7DFAF1" w14:textId="03B701CA" w:rsidR="007A0276" w:rsidRDefault="007A0276">
      <w:pPr>
        <w:pStyle w:val="Kazaloslik"/>
        <w:tabs>
          <w:tab w:val="right" w:leader="dot" w:pos="9628"/>
        </w:tabs>
        <w:rPr>
          <w:rFonts w:asciiTheme="minorHAnsi" w:eastAsiaTheme="minorEastAsia" w:hAnsiTheme="minorHAnsi"/>
          <w:noProof/>
          <w:lang w:eastAsia="sl-SI"/>
        </w:rPr>
      </w:pPr>
      <w:hyperlink w:anchor="_Toc97026861" w:history="1">
        <w:r w:rsidRPr="004070C7">
          <w:rPr>
            <w:rStyle w:val="Hiperpovezava"/>
            <w:noProof/>
          </w:rPr>
          <w:t>Slika 6.10: Gozdovi v Mestni občini Nova Gorica, v katerih je zaradi žleda v letu 2014 prišlo do izgube rastnega potenciala gozdov za 20 % in več (ZGS 2019).</w:t>
        </w:r>
        <w:r>
          <w:rPr>
            <w:noProof/>
            <w:webHidden/>
          </w:rPr>
          <w:tab/>
        </w:r>
        <w:r>
          <w:rPr>
            <w:noProof/>
            <w:webHidden/>
          </w:rPr>
          <w:fldChar w:fldCharType="begin"/>
        </w:r>
        <w:r>
          <w:rPr>
            <w:noProof/>
            <w:webHidden/>
          </w:rPr>
          <w:instrText xml:space="preserve"> PAGEREF _Toc97026861 \h </w:instrText>
        </w:r>
        <w:r>
          <w:rPr>
            <w:noProof/>
            <w:webHidden/>
          </w:rPr>
        </w:r>
        <w:r>
          <w:rPr>
            <w:noProof/>
            <w:webHidden/>
          </w:rPr>
          <w:fldChar w:fldCharType="separate"/>
        </w:r>
        <w:r>
          <w:rPr>
            <w:noProof/>
            <w:webHidden/>
          </w:rPr>
          <w:t>113</w:t>
        </w:r>
        <w:r>
          <w:rPr>
            <w:noProof/>
            <w:webHidden/>
          </w:rPr>
          <w:fldChar w:fldCharType="end"/>
        </w:r>
      </w:hyperlink>
    </w:p>
    <w:p w14:paraId="2210CE6A" w14:textId="0CECBF2F" w:rsidR="007A0276" w:rsidRDefault="007A0276">
      <w:pPr>
        <w:pStyle w:val="Kazaloslik"/>
        <w:tabs>
          <w:tab w:val="right" w:leader="dot" w:pos="9628"/>
        </w:tabs>
        <w:rPr>
          <w:rFonts w:asciiTheme="minorHAnsi" w:eastAsiaTheme="minorEastAsia" w:hAnsiTheme="minorHAnsi"/>
          <w:noProof/>
          <w:lang w:eastAsia="sl-SI"/>
        </w:rPr>
      </w:pPr>
      <w:hyperlink w:anchor="_Toc97026862" w:history="1">
        <w:r w:rsidRPr="004070C7">
          <w:rPr>
            <w:rStyle w:val="Hiperpovezava"/>
            <w:noProof/>
          </w:rPr>
          <w:t>Slika 6.11: Karta območij v Mestni občini Nova Gorica glede na ogroženost zaradi žleda v obdobju 1961–2014 (ARSO, 2015). (legenda: Območje 1: Območje, kjer se žled ne pojavlja, ali se pojavlja zelo redko in v tanjših plasteh, tako da ne povzroča škode; Območje 2: Območje, kjer se žled sicer pojavlja, vendar zelo redko povzroči manjšo škodo (enkrat na 10 let); Območje 3: Območje, kjer se žled pojavlja pogosto in v povprečju na 3 leta povzroči tudi škodo; Območje 4: Območje, kjer se žled, ki povzroča škodo, v povprečju pojavlja na 1-2 leti, razmeroma pogosto pa povzroči tudi večjo škodo.)</w:t>
        </w:r>
        <w:r>
          <w:rPr>
            <w:noProof/>
            <w:webHidden/>
          </w:rPr>
          <w:tab/>
        </w:r>
        <w:r>
          <w:rPr>
            <w:noProof/>
            <w:webHidden/>
          </w:rPr>
          <w:fldChar w:fldCharType="begin"/>
        </w:r>
        <w:r>
          <w:rPr>
            <w:noProof/>
            <w:webHidden/>
          </w:rPr>
          <w:instrText xml:space="preserve"> PAGEREF _Toc97026862 \h </w:instrText>
        </w:r>
        <w:r>
          <w:rPr>
            <w:noProof/>
            <w:webHidden/>
          </w:rPr>
        </w:r>
        <w:r>
          <w:rPr>
            <w:noProof/>
            <w:webHidden/>
          </w:rPr>
          <w:fldChar w:fldCharType="separate"/>
        </w:r>
        <w:r>
          <w:rPr>
            <w:noProof/>
            <w:webHidden/>
          </w:rPr>
          <w:t>114</w:t>
        </w:r>
        <w:r>
          <w:rPr>
            <w:noProof/>
            <w:webHidden/>
          </w:rPr>
          <w:fldChar w:fldCharType="end"/>
        </w:r>
      </w:hyperlink>
    </w:p>
    <w:p w14:paraId="79CB6A55" w14:textId="7DF3E865" w:rsidR="007A0276" w:rsidRDefault="007A0276">
      <w:pPr>
        <w:pStyle w:val="Kazaloslik"/>
        <w:tabs>
          <w:tab w:val="right" w:leader="dot" w:pos="9628"/>
        </w:tabs>
        <w:rPr>
          <w:rFonts w:asciiTheme="minorHAnsi" w:eastAsiaTheme="minorEastAsia" w:hAnsiTheme="minorHAnsi"/>
          <w:noProof/>
          <w:lang w:eastAsia="sl-SI"/>
        </w:rPr>
      </w:pPr>
      <w:hyperlink w:anchor="_Toc97026863" w:history="1">
        <w:r w:rsidRPr="004070C7">
          <w:rPr>
            <w:rStyle w:val="Hiperpovezava"/>
            <w:noProof/>
          </w:rPr>
          <w:t>Slika 6.12:  Sanitarni posek (m</w:t>
        </w:r>
        <w:r w:rsidRPr="004070C7">
          <w:rPr>
            <w:rStyle w:val="Hiperpovezava"/>
            <w:noProof/>
            <w:vertAlign w:val="superscript"/>
          </w:rPr>
          <w:t>3</w:t>
        </w:r>
        <w:r w:rsidRPr="004070C7">
          <w:rPr>
            <w:rStyle w:val="Hiperpovezava"/>
            <w:noProof/>
          </w:rPr>
          <w:t>) zaradi vetroloma v Mestni občini Nova Gorica v letih od 2014 do 2019 (ZGS, 2014, 2015, 2016, 2017, 2018, 2019).</w:t>
        </w:r>
        <w:r>
          <w:rPr>
            <w:noProof/>
            <w:webHidden/>
          </w:rPr>
          <w:tab/>
        </w:r>
        <w:r>
          <w:rPr>
            <w:noProof/>
            <w:webHidden/>
          </w:rPr>
          <w:fldChar w:fldCharType="begin"/>
        </w:r>
        <w:r>
          <w:rPr>
            <w:noProof/>
            <w:webHidden/>
          </w:rPr>
          <w:instrText xml:space="preserve"> PAGEREF _Toc97026863 \h </w:instrText>
        </w:r>
        <w:r>
          <w:rPr>
            <w:noProof/>
            <w:webHidden/>
          </w:rPr>
        </w:r>
        <w:r>
          <w:rPr>
            <w:noProof/>
            <w:webHidden/>
          </w:rPr>
          <w:fldChar w:fldCharType="separate"/>
        </w:r>
        <w:r>
          <w:rPr>
            <w:noProof/>
            <w:webHidden/>
          </w:rPr>
          <w:t>115</w:t>
        </w:r>
        <w:r>
          <w:rPr>
            <w:noProof/>
            <w:webHidden/>
          </w:rPr>
          <w:fldChar w:fldCharType="end"/>
        </w:r>
      </w:hyperlink>
    </w:p>
    <w:p w14:paraId="0BBB3711" w14:textId="2C315D2B" w:rsidR="007A0276" w:rsidRDefault="007A0276">
      <w:pPr>
        <w:pStyle w:val="Kazaloslik"/>
        <w:tabs>
          <w:tab w:val="right" w:leader="dot" w:pos="9628"/>
        </w:tabs>
        <w:rPr>
          <w:rFonts w:asciiTheme="minorHAnsi" w:eastAsiaTheme="minorEastAsia" w:hAnsiTheme="minorHAnsi"/>
          <w:noProof/>
          <w:lang w:eastAsia="sl-SI"/>
        </w:rPr>
      </w:pPr>
      <w:hyperlink w:anchor="_Toc97026864" w:history="1">
        <w:r w:rsidRPr="004070C7">
          <w:rPr>
            <w:rStyle w:val="Hiperpovezava"/>
            <w:noProof/>
          </w:rPr>
          <w:t>Slika 6.13: Karta zemeljskih plazov in pogojev gradnje v Mestni občini Nova Gorica (Geoinženiring, 2010).</w:t>
        </w:r>
        <w:r>
          <w:rPr>
            <w:noProof/>
            <w:webHidden/>
          </w:rPr>
          <w:tab/>
        </w:r>
        <w:r>
          <w:rPr>
            <w:noProof/>
            <w:webHidden/>
          </w:rPr>
          <w:fldChar w:fldCharType="begin"/>
        </w:r>
        <w:r>
          <w:rPr>
            <w:noProof/>
            <w:webHidden/>
          </w:rPr>
          <w:instrText xml:space="preserve"> PAGEREF _Toc97026864 \h </w:instrText>
        </w:r>
        <w:r>
          <w:rPr>
            <w:noProof/>
            <w:webHidden/>
          </w:rPr>
        </w:r>
        <w:r>
          <w:rPr>
            <w:noProof/>
            <w:webHidden/>
          </w:rPr>
          <w:fldChar w:fldCharType="separate"/>
        </w:r>
        <w:r>
          <w:rPr>
            <w:noProof/>
            <w:webHidden/>
          </w:rPr>
          <w:t>116</w:t>
        </w:r>
        <w:r>
          <w:rPr>
            <w:noProof/>
            <w:webHidden/>
          </w:rPr>
          <w:fldChar w:fldCharType="end"/>
        </w:r>
      </w:hyperlink>
    </w:p>
    <w:p w14:paraId="283C4824" w14:textId="6077B7B2" w:rsidR="007A0276" w:rsidRDefault="007A0276">
      <w:pPr>
        <w:pStyle w:val="Kazaloslik"/>
        <w:tabs>
          <w:tab w:val="right" w:leader="dot" w:pos="9628"/>
        </w:tabs>
        <w:rPr>
          <w:rFonts w:asciiTheme="minorHAnsi" w:eastAsiaTheme="minorEastAsia" w:hAnsiTheme="minorHAnsi"/>
          <w:noProof/>
          <w:lang w:eastAsia="sl-SI"/>
        </w:rPr>
      </w:pPr>
      <w:hyperlink w:anchor="_Toc97026865" w:history="1">
        <w:r w:rsidRPr="004070C7">
          <w:rPr>
            <w:rStyle w:val="Hiperpovezava"/>
            <w:noProof/>
          </w:rPr>
          <w:t>Slika 6.14: Požarna ogroženost gozdov v Mestni občini Nova Gorica (ZGS, 2019).</w:t>
        </w:r>
        <w:r>
          <w:rPr>
            <w:noProof/>
            <w:webHidden/>
          </w:rPr>
          <w:tab/>
        </w:r>
        <w:r>
          <w:rPr>
            <w:noProof/>
            <w:webHidden/>
          </w:rPr>
          <w:fldChar w:fldCharType="begin"/>
        </w:r>
        <w:r>
          <w:rPr>
            <w:noProof/>
            <w:webHidden/>
          </w:rPr>
          <w:instrText xml:space="preserve"> PAGEREF _Toc97026865 \h </w:instrText>
        </w:r>
        <w:r>
          <w:rPr>
            <w:noProof/>
            <w:webHidden/>
          </w:rPr>
        </w:r>
        <w:r>
          <w:rPr>
            <w:noProof/>
            <w:webHidden/>
          </w:rPr>
          <w:fldChar w:fldCharType="separate"/>
        </w:r>
        <w:r>
          <w:rPr>
            <w:noProof/>
            <w:webHidden/>
          </w:rPr>
          <w:t>117</w:t>
        </w:r>
        <w:r>
          <w:rPr>
            <w:noProof/>
            <w:webHidden/>
          </w:rPr>
          <w:fldChar w:fldCharType="end"/>
        </w:r>
      </w:hyperlink>
    </w:p>
    <w:p w14:paraId="2BA85310" w14:textId="01A63368" w:rsidR="007A0276" w:rsidRDefault="007A0276">
      <w:pPr>
        <w:pStyle w:val="Kazaloslik"/>
        <w:tabs>
          <w:tab w:val="right" w:leader="dot" w:pos="9628"/>
        </w:tabs>
        <w:rPr>
          <w:rFonts w:asciiTheme="minorHAnsi" w:eastAsiaTheme="minorEastAsia" w:hAnsiTheme="minorHAnsi"/>
          <w:noProof/>
          <w:lang w:eastAsia="sl-SI"/>
        </w:rPr>
      </w:pPr>
      <w:hyperlink w:anchor="_Toc97026866" w:history="1">
        <w:r w:rsidRPr="004070C7">
          <w:rPr>
            <w:rStyle w:val="Hiperpovezava"/>
            <w:noProof/>
          </w:rPr>
          <w:t>Slika 6.15: Pojav invazivnih tujerodnih vrst v Mestni občini Nova Gorica (sistem Invazivke: www.invazivke.si, 5. 5. 2021).</w:t>
        </w:r>
        <w:r>
          <w:rPr>
            <w:noProof/>
            <w:webHidden/>
          </w:rPr>
          <w:tab/>
        </w:r>
        <w:r>
          <w:rPr>
            <w:noProof/>
            <w:webHidden/>
          </w:rPr>
          <w:fldChar w:fldCharType="begin"/>
        </w:r>
        <w:r>
          <w:rPr>
            <w:noProof/>
            <w:webHidden/>
          </w:rPr>
          <w:instrText xml:space="preserve"> PAGEREF _Toc97026866 \h </w:instrText>
        </w:r>
        <w:r>
          <w:rPr>
            <w:noProof/>
            <w:webHidden/>
          </w:rPr>
        </w:r>
        <w:r>
          <w:rPr>
            <w:noProof/>
            <w:webHidden/>
          </w:rPr>
          <w:fldChar w:fldCharType="separate"/>
        </w:r>
        <w:r>
          <w:rPr>
            <w:noProof/>
            <w:webHidden/>
          </w:rPr>
          <w:t>120</w:t>
        </w:r>
        <w:r>
          <w:rPr>
            <w:noProof/>
            <w:webHidden/>
          </w:rPr>
          <w:fldChar w:fldCharType="end"/>
        </w:r>
      </w:hyperlink>
    </w:p>
    <w:p w14:paraId="73875950" w14:textId="3988EE4A" w:rsidR="007A0276" w:rsidRDefault="007A0276">
      <w:pPr>
        <w:pStyle w:val="Kazaloslik"/>
        <w:tabs>
          <w:tab w:val="right" w:leader="dot" w:pos="9628"/>
        </w:tabs>
        <w:rPr>
          <w:rFonts w:asciiTheme="minorHAnsi" w:eastAsiaTheme="minorEastAsia" w:hAnsiTheme="minorHAnsi"/>
          <w:noProof/>
          <w:lang w:eastAsia="sl-SI"/>
        </w:rPr>
      </w:pPr>
      <w:hyperlink w:anchor="_Toc97026867" w:history="1">
        <w:r w:rsidRPr="004070C7">
          <w:rPr>
            <w:rStyle w:val="Hiperpovezava"/>
            <w:noProof/>
          </w:rPr>
          <w:t>Slika 6.16: Izvajalci gozdnih del v a) Mestni občini Nova Gorica in b) Sloveniji po vrsti organizacije (Vir: spletni informacijski sistem MojGozdar, https://www.mojgozdar.si/, dostop 24. marec 2020).</w:t>
        </w:r>
        <w:r>
          <w:rPr>
            <w:noProof/>
            <w:webHidden/>
          </w:rPr>
          <w:tab/>
        </w:r>
        <w:r>
          <w:rPr>
            <w:noProof/>
            <w:webHidden/>
          </w:rPr>
          <w:fldChar w:fldCharType="begin"/>
        </w:r>
        <w:r>
          <w:rPr>
            <w:noProof/>
            <w:webHidden/>
          </w:rPr>
          <w:instrText xml:space="preserve"> PAGEREF _Toc97026867 \h </w:instrText>
        </w:r>
        <w:r>
          <w:rPr>
            <w:noProof/>
            <w:webHidden/>
          </w:rPr>
        </w:r>
        <w:r>
          <w:rPr>
            <w:noProof/>
            <w:webHidden/>
          </w:rPr>
          <w:fldChar w:fldCharType="separate"/>
        </w:r>
        <w:r>
          <w:rPr>
            <w:noProof/>
            <w:webHidden/>
          </w:rPr>
          <w:t>122</w:t>
        </w:r>
        <w:r>
          <w:rPr>
            <w:noProof/>
            <w:webHidden/>
          </w:rPr>
          <w:fldChar w:fldCharType="end"/>
        </w:r>
      </w:hyperlink>
    </w:p>
    <w:p w14:paraId="2A7A3D5D" w14:textId="39C4F3F9" w:rsidR="007A0276" w:rsidRDefault="007A0276">
      <w:pPr>
        <w:pStyle w:val="Kazaloslik"/>
        <w:tabs>
          <w:tab w:val="right" w:leader="dot" w:pos="9628"/>
        </w:tabs>
        <w:rPr>
          <w:rFonts w:asciiTheme="minorHAnsi" w:eastAsiaTheme="minorEastAsia" w:hAnsiTheme="minorHAnsi"/>
          <w:noProof/>
          <w:lang w:eastAsia="sl-SI"/>
        </w:rPr>
      </w:pPr>
      <w:hyperlink w:anchor="_Toc97026868" w:history="1">
        <w:r w:rsidRPr="004070C7">
          <w:rPr>
            <w:rStyle w:val="Hiperpovezava"/>
            <w:noProof/>
          </w:rPr>
          <w:t>Slika 6.17: Izvajalci gozdnih del v a) Mestni občini Nova Gorica in b) Sloveniji po vrsti storitev (Vir: spletni informacijski sistem MojGozdar, https://www.mojgozdar.si/, dostop 24. marec 2020).</w:t>
        </w:r>
        <w:r>
          <w:rPr>
            <w:noProof/>
            <w:webHidden/>
          </w:rPr>
          <w:tab/>
        </w:r>
        <w:r>
          <w:rPr>
            <w:noProof/>
            <w:webHidden/>
          </w:rPr>
          <w:fldChar w:fldCharType="begin"/>
        </w:r>
        <w:r>
          <w:rPr>
            <w:noProof/>
            <w:webHidden/>
          </w:rPr>
          <w:instrText xml:space="preserve"> PAGEREF _Toc97026868 \h </w:instrText>
        </w:r>
        <w:r>
          <w:rPr>
            <w:noProof/>
            <w:webHidden/>
          </w:rPr>
        </w:r>
        <w:r>
          <w:rPr>
            <w:noProof/>
            <w:webHidden/>
          </w:rPr>
          <w:fldChar w:fldCharType="separate"/>
        </w:r>
        <w:r>
          <w:rPr>
            <w:noProof/>
            <w:webHidden/>
          </w:rPr>
          <w:t>122</w:t>
        </w:r>
        <w:r>
          <w:rPr>
            <w:noProof/>
            <w:webHidden/>
          </w:rPr>
          <w:fldChar w:fldCharType="end"/>
        </w:r>
      </w:hyperlink>
    </w:p>
    <w:p w14:paraId="2E90D075" w14:textId="02CF193C" w:rsidR="007A0276" w:rsidRDefault="007A0276">
      <w:pPr>
        <w:pStyle w:val="Kazaloslik"/>
        <w:tabs>
          <w:tab w:val="right" w:leader="dot" w:pos="9628"/>
        </w:tabs>
        <w:rPr>
          <w:rFonts w:asciiTheme="minorHAnsi" w:eastAsiaTheme="minorEastAsia" w:hAnsiTheme="minorHAnsi"/>
          <w:noProof/>
          <w:lang w:eastAsia="sl-SI"/>
        </w:rPr>
      </w:pPr>
      <w:hyperlink w:anchor="_Toc97026869" w:history="1">
        <w:r w:rsidRPr="004070C7">
          <w:rPr>
            <w:rStyle w:val="Hiperpovezava"/>
            <w:noProof/>
          </w:rPr>
          <w:t>Slika 6.18: Zaposlenost v gozdarstvu v letih od 1995 do 2018 v Sloveniji, merjena v polnovrednih delovnih močeh [tisoč PDM] (Vir: Gale 2011; SURS 2020).</w:t>
        </w:r>
        <w:r>
          <w:rPr>
            <w:noProof/>
            <w:webHidden/>
          </w:rPr>
          <w:tab/>
        </w:r>
        <w:r>
          <w:rPr>
            <w:noProof/>
            <w:webHidden/>
          </w:rPr>
          <w:fldChar w:fldCharType="begin"/>
        </w:r>
        <w:r>
          <w:rPr>
            <w:noProof/>
            <w:webHidden/>
          </w:rPr>
          <w:instrText xml:space="preserve"> PAGEREF _Toc97026869 \h </w:instrText>
        </w:r>
        <w:r>
          <w:rPr>
            <w:noProof/>
            <w:webHidden/>
          </w:rPr>
        </w:r>
        <w:r>
          <w:rPr>
            <w:noProof/>
            <w:webHidden/>
          </w:rPr>
          <w:fldChar w:fldCharType="separate"/>
        </w:r>
        <w:r>
          <w:rPr>
            <w:noProof/>
            <w:webHidden/>
          </w:rPr>
          <w:t>123</w:t>
        </w:r>
        <w:r>
          <w:rPr>
            <w:noProof/>
            <w:webHidden/>
          </w:rPr>
          <w:fldChar w:fldCharType="end"/>
        </w:r>
      </w:hyperlink>
    </w:p>
    <w:p w14:paraId="0499F0C6" w14:textId="51E7A1CC" w:rsidR="007A0276" w:rsidRDefault="007A0276">
      <w:pPr>
        <w:pStyle w:val="Kazaloslik"/>
        <w:tabs>
          <w:tab w:val="right" w:leader="dot" w:pos="9628"/>
        </w:tabs>
        <w:rPr>
          <w:rFonts w:asciiTheme="minorHAnsi" w:eastAsiaTheme="minorEastAsia" w:hAnsiTheme="minorHAnsi"/>
          <w:noProof/>
          <w:lang w:eastAsia="sl-SI"/>
        </w:rPr>
      </w:pPr>
      <w:hyperlink w:anchor="_Toc97026870" w:history="1">
        <w:r w:rsidRPr="004070C7">
          <w:rPr>
            <w:rStyle w:val="Hiperpovezava"/>
            <w:noProof/>
          </w:rPr>
          <w:t>Slika 6.19: Ocena ranljivosti sektorja gozdarstvo v Mestni občini Nova Gorica v referenčnem obdobju 1981 – 2010 ter obdobjih 2011 – 2040 in 2041 – 2070.</w:t>
        </w:r>
        <w:r>
          <w:rPr>
            <w:noProof/>
            <w:webHidden/>
          </w:rPr>
          <w:tab/>
        </w:r>
        <w:r>
          <w:rPr>
            <w:noProof/>
            <w:webHidden/>
          </w:rPr>
          <w:fldChar w:fldCharType="begin"/>
        </w:r>
        <w:r>
          <w:rPr>
            <w:noProof/>
            <w:webHidden/>
          </w:rPr>
          <w:instrText xml:space="preserve"> PAGEREF _Toc97026870 \h </w:instrText>
        </w:r>
        <w:r>
          <w:rPr>
            <w:noProof/>
            <w:webHidden/>
          </w:rPr>
        </w:r>
        <w:r>
          <w:rPr>
            <w:noProof/>
            <w:webHidden/>
          </w:rPr>
          <w:fldChar w:fldCharType="separate"/>
        </w:r>
        <w:r>
          <w:rPr>
            <w:noProof/>
            <w:webHidden/>
          </w:rPr>
          <w:t>130</w:t>
        </w:r>
        <w:r>
          <w:rPr>
            <w:noProof/>
            <w:webHidden/>
          </w:rPr>
          <w:fldChar w:fldCharType="end"/>
        </w:r>
      </w:hyperlink>
    </w:p>
    <w:p w14:paraId="20B68E5C" w14:textId="4AE3A905" w:rsidR="007A0276" w:rsidRDefault="007A0276">
      <w:pPr>
        <w:pStyle w:val="Kazaloslik"/>
        <w:tabs>
          <w:tab w:val="right" w:leader="dot" w:pos="9628"/>
        </w:tabs>
        <w:rPr>
          <w:rFonts w:asciiTheme="minorHAnsi" w:eastAsiaTheme="minorEastAsia" w:hAnsiTheme="minorHAnsi"/>
          <w:noProof/>
          <w:lang w:eastAsia="sl-SI"/>
        </w:rPr>
      </w:pPr>
      <w:hyperlink w:anchor="_Toc97026871" w:history="1">
        <w:r w:rsidRPr="004070C7">
          <w:rPr>
            <w:rStyle w:val="Hiperpovezava"/>
            <w:noProof/>
          </w:rPr>
          <w:t>Slika 6.20: Potencialna razširjenost pooglenitve bukve (Biscogniauxia nummularia) v Sloveniji po pesimističnem scenariju podnebnih sprememb v obdobju 2071–2100 ob predpostavki, da se razširjenost navadne bukve ne bo spremenila (Ogris in sod. 2008).</w:t>
        </w:r>
        <w:r>
          <w:rPr>
            <w:noProof/>
            <w:webHidden/>
          </w:rPr>
          <w:tab/>
        </w:r>
        <w:r>
          <w:rPr>
            <w:noProof/>
            <w:webHidden/>
          </w:rPr>
          <w:fldChar w:fldCharType="begin"/>
        </w:r>
        <w:r>
          <w:rPr>
            <w:noProof/>
            <w:webHidden/>
          </w:rPr>
          <w:instrText xml:space="preserve"> PAGEREF _Toc97026871 \h </w:instrText>
        </w:r>
        <w:r>
          <w:rPr>
            <w:noProof/>
            <w:webHidden/>
          </w:rPr>
        </w:r>
        <w:r>
          <w:rPr>
            <w:noProof/>
            <w:webHidden/>
          </w:rPr>
          <w:fldChar w:fldCharType="separate"/>
        </w:r>
        <w:r>
          <w:rPr>
            <w:noProof/>
            <w:webHidden/>
          </w:rPr>
          <w:t>132</w:t>
        </w:r>
        <w:r>
          <w:rPr>
            <w:noProof/>
            <w:webHidden/>
          </w:rPr>
          <w:fldChar w:fldCharType="end"/>
        </w:r>
      </w:hyperlink>
    </w:p>
    <w:p w14:paraId="16801C44" w14:textId="2C4A1EDF" w:rsidR="007A0276" w:rsidRDefault="007A0276">
      <w:pPr>
        <w:pStyle w:val="Kazaloslik"/>
        <w:tabs>
          <w:tab w:val="right" w:leader="dot" w:pos="9628"/>
        </w:tabs>
        <w:rPr>
          <w:rFonts w:asciiTheme="minorHAnsi" w:eastAsiaTheme="minorEastAsia" w:hAnsiTheme="minorHAnsi"/>
          <w:noProof/>
          <w:lang w:eastAsia="sl-SI"/>
        </w:rPr>
      </w:pPr>
      <w:hyperlink w:anchor="_Toc97026872" w:history="1">
        <w:r w:rsidRPr="004070C7">
          <w:rPr>
            <w:rStyle w:val="Hiperpovezava"/>
            <w:noProof/>
          </w:rPr>
          <w:t>Slika 6.21: Prikaz razmerij vrednosti kazalnikov – Mestna občina Nova Gorica : Slovenija (vir: NIJZ1, SURS 1)</w:t>
        </w:r>
        <w:r>
          <w:rPr>
            <w:noProof/>
            <w:webHidden/>
          </w:rPr>
          <w:tab/>
        </w:r>
        <w:r>
          <w:rPr>
            <w:noProof/>
            <w:webHidden/>
          </w:rPr>
          <w:fldChar w:fldCharType="begin"/>
        </w:r>
        <w:r>
          <w:rPr>
            <w:noProof/>
            <w:webHidden/>
          </w:rPr>
          <w:instrText xml:space="preserve"> PAGEREF _Toc97026872 \h </w:instrText>
        </w:r>
        <w:r>
          <w:rPr>
            <w:noProof/>
            <w:webHidden/>
          </w:rPr>
        </w:r>
        <w:r>
          <w:rPr>
            <w:noProof/>
            <w:webHidden/>
          </w:rPr>
          <w:fldChar w:fldCharType="separate"/>
        </w:r>
        <w:r>
          <w:rPr>
            <w:noProof/>
            <w:webHidden/>
          </w:rPr>
          <w:t>144</w:t>
        </w:r>
        <w:r>
          <w:rPr>
            <w:noProof/>
            <w:webHidden/>
          </w:rPr>
          <w:fldChar w:fldCharType="end"/>
        </w:r>
      </w:hyperlink>
    </w:p>
    <w:p w14:paraId="4BC9230F" w14:textId="453281CE" w:rsidR="007A0276" w:rsidRDefault="007A0276">
      <w:pPr>
        <w:pStyle w:val="Kazaloslik"/>
        <w:tabs>
          <w:tab w:val="right" w:leader="dot" w:pos="9628"/>
        </w:tabs>
        <w:rPr>
          <w:rFonts w:asciiTheme="minorHAnsi" w:eastAsiaTheme="minorEastAsia" w:hAnsiTheme="minorHAnsi"/>
          <w:noProof/>
          <w:lang w:eastAsia="sl-SI"/>
        </w:rPr>
      </w:pPr>
      <w:hyperlink w:anchor="_Toc97026873" w:history="1">
        <w:r w:rsidRPr="004070C7">
          <w:rPr>
            <w:rStyle w:val="Hiperpovezava"/>
            <w:noProof/>
          </w:rPr>
          <w:t>Slika 6.22: Prikaz ocene ranljivosti zdravstva v Mestni občini Nova Gorica na podnebne spremembe v referenčnem obdobju in prihodnosti</w:t>
        </w:r>
        <w:r>
          <w:rPr>
            <w:noProof/>
            <w:webHidden/>
          </w:rPr>
          <w:tab/>
        </w:r>
        <w:r>
          <w:rPr>
            <w:noProof/>
            <w:webHidden/>
          </w:rPr>
          <w:fldChar w:fldCharType="begin"/>
        </w:r>
        <w:r>
          <w:rPr>
            <w:noProof/>
            <w:webHidden/>
          </w:rPr>
          <w:instrText xml:space="preserve"> PAGEREF _Toc97026873 \h </w:instrText>
        </w:r>
        <w:r>
          <w:rPr>
            <w:noProof/>
            <w:webHidden/>
          </w:rPr>
        </w:r>
        <w:r>
          <w:rPr>
            <w:noProof/>
            <w:webHidden/>
          </w:rPr>
          <w:fldChar w:fldCharType="separate"/>
        </w:r>
        <w:r>
          <w:rPr>
            <w:noProof/>
            <w:webHidden/>
          </w:rPr>
          <w:t>157</w:t>
        </w:r>
        <w:r>
          <w:rPr>
            <w:noProof/>
            <w:webHidden/>
          </w:rPr>
          <w:fldChar w:fldCharType="end"/>
        </w:r>
      </w:hyperlink>
    </w:p>
    <w:p w14:paraId="7E52E5CA" w14:textId="2CDBFBC7" w:rsidR="007A0276" w:rsidRDefault="007A0276">
      <w:pPr>
        <w:pStyle w:val="Kazaloslik"/>
        <w:tabs>
          <w:tab w:val="right" w:leader="dot" w:pos="9628"/>
        </w:tabs>
        <w:rPr>
          <w:rFonts w:asciiTheme="minorHAnsi" w:eastAsiaTheme="minorEastAsia" w:hAnsiTheme="minorHAnsi"/>
          <w:noProof/>
          <w:lang w:eastAsia="sl-SI"/>
        </w:rPr>
      </w:pPr>
      <w:hyperlink w:anchor="_Toc97026874" w:history="1">
        <w:r w:rsidRPr="004070C7">
          <w:rPr>
            <w:rStyle w:val="Hiperpovezava"/>
            <w:noProof/>
          </w:rPr>
          <w:t>Slika 6.23: Območja Natura 2000 v Mestni občini Nova Gorica (vir slike: Okoljsko poročilo…, 2010)</w:t>
        </w:r>
        <w:r>
          <w:rPr>
            <w:noProof/>
            <w:webHidden/>
          </w:rPr>
          <w:tab/>
        </w:r>
        <w:r>
          <w:rPr>
            <w:noProof/>
            <w:webHidden/>
          </w:rPr>
          <w:fldChar w:fldCharType="begin"/>
        </w:r>
        <w:r>
          <w:rPr>
            <w:noProof/>
            <w:webHidden/>
          </w:rPr>
          <w:instrText xml:space="preserve"> PAGEREF _Toc97026874 \h </w:instrText>
        </w:r>
        <w:r>
          <w:rPr>
            <w:noProof/>
            <w:webHidden/>
          </w:rPr>
        </w:r>
        <w:r>
          <w:rPr>
            <w:noProof/>
            <w:webHidden/>
          </w:rPr>
          <w:fldChar w:fldCharType="separate"/>
        </w:r>
        <w:r>
          <w:rPr>
            <w:noProof/>
            <w:webHidden/>
          </w:rPr>
          <w:t>166</w:t>
        </w:r>
        <w:r>
          <w:rPr>
            <w:noProof/>
            <w:webHidden/>
          </w:rPr>
          <w:fldChar w:fldCharType="end"/>
        </w:r>
      </w:hyperlink>
    </w:p>
    <w:p w14:paraId="4D467370" w14:textId="3FE13876" w:rsidR="007A0276" w:rsidRDefault="007A0276">
      <w:pPr>
        <w:pStyle w:val="Kazaloslik"/>
        <w:tabs>
          <w:tab w:val="right" w:leader="dot" w:pos="9628"/>
        </w:tabs>
        <w:rPr>
          <w:rFonts w:asciiTheme="minorHAnsi" w:eastAsiaTheme="minorEastAsia" w:hAnsiTheme="minorHAnsi"/>
          <w:noProof/>
          <w:lang w:eastAsia="sl-SI"/>
        </w:rPr>
      </w:pPr>
      <w:hyperlink w:anchor="_Toc97026875" w:history="1">
        <w:r w:rsidRPr="004070C7">
          <w:rPr>
            <w:rStyle w:val="Hiperpovezava"/>
            <w:noProof/>
          </w:rPr>
          <w:t>Slika 6.24: Število prihodov turistov (levo) in prenočitve turistov (desno) v destinaciji Nova Gorica v obdobju 2015 - 2019 (vir podatkov: SURS)</w:t>
        </w:r>
        <w:r>
          <w:rPr>
            <w:noProof/>
            <w:webHidden/>
          </w:rPr>
          <w:tab/>
        </w:r>
        <w:r>
          <w:rPr>
            <w:noProof/>
            <w:webHidden/>
          </w:rPr>
          <w:fldChar w:fldCharType="begin"/>
        </w:r>
        <w:r>
          <w:rPr>
            <w:noProof/>
            <w:webHidden/>
          </w:rPr>
          <w:instrText xml:space="preserve"> PAGEREF _Toc97026875 \h </w:instrText>
        </w:r>
        <w:r>
          <w:rPr>
            <w:noProof/>
            <w:webHidden/>
          </w:rPr>
        </w:r>
        <w:r>
          <w:rPr>
            <w:noProof/>
            <w:webHidden/>
          </w:rPr>
          <w:fldChar w:fldCharType="separate"/>
        </w:r>
        <w:r>
          <w:rPr>
            <w:noProof/>
            <w:webHidden/>
          </w:rPr>
          <w:t>167</w:t>
        </w:r>
        <w:r>
          <w:rPr>
            <w:noProof/>
            <w:webHidden/>
          </w:rPr>
          <w:fldChar w:fldCharType="end"/>
        </w:r>
      </w:hyperlink>
    </w:p>
    <w:p w14:paraId="22C76FAC" w14:textId="527A6C58" w:rsidR="007A0276" w:rsidRDefault="007A0276">
      <w:pPr>
        <w:pStyle w:val="Kazaloslik"/>
        <w:tabs>
          <w:tab w:val="right" w:leader="dot" w:pos="9628"/>
        </w:tabs>
        <w:rPr>
          <w:rFonts w:asciiTheme="minorHAnsi" w:eastAsiaTheme="minorEastAsia" w:hAnsiTheme="minorHAnsi"/>
          <w:noProof/>
          <w:lang w:eastAsia="sl-SI"/>
        </w:rPr>
      </w:pPr>
      <w:hyperlink w:anchor="_Toc97026876" w:history="1">
        <w:r w:rsidRPr="004070C7">
          <w:rPr>
            <w:rStyle w:val="Hiperpovezava"/>
            <w:noProof/>
          </w:rPr>
          <w:t>Slika 6.25: Ranljivost turizma v občini Nova Gorica v referenčnem obdobju 1981 – 2010 ter obdobjih 2011 – 2040 in 2041 – 2070</w:t>
        </w:r>
        <w:r>
          <w:rPr>
            <w:noProof/>
            <w:webHidden/>
          </w:rPr>
          <w:tab/>
        </w:r>
        <w:r>
          <w:rPr>
            <w:noProof/>
            <w:webHidden/>
          </w:rPr>
          <w:fldChar w:fldCharType="begin"/>
        </w:r>
        <w:r>
          <w:rPr>
            <w:noProof/>
            <w:webHidden/>
          </w:rPr>
          <w:instrText xml:space="preserve"> PAGEREF _Toc97026876 \h </w:instrText>
        </w:r>
        <w:r>
          <w:rPr>
            <w:noProof/>
            <w:webHidden/>
          </w:rPr>
        </w:r>
        <w:r>
          <w:rPr>
            <w:noProof/>
            <w:webHidden/>
          </w:rPr>
          <w:fldChar w:fldCharType="separate"/>
        </w:r>
        <w:r>
          <w:rPr>
            <w:noProof/>
            <w:webHidden/>
          </w:rPr>
          <w:t>189</w:t>
        </w:r>
        <w:r>
          <w:rPr>
            <w:noProof/>
            <w:webHidden/>
          </w:rPr>
          <w:fldChar w:fldCharType="end"/>
        </w:r>
      </w:hyperlink>
    </w:p>
    <w:p w14:paraId="5813E71C" w14:textId="7AEEADA0" w:rsidR="007A0276" w:rsidRDefault="007A0276">
      <w:pPr>
        <w:pStyle w:val="Kazaloslik"/>
        <w:tabs>
          <w:tab w:val="right" w:leader="dot" w:pos="9628"/>
        </w:tabs>
        <w:rPr>
          <w:rFonts w:asciiTheme="minorHAnsi" w:eastAsiaTheme="minorEastAsia" w:hAnsiTheme="minorHAnsi"/>
          <w:noProof/>
          <w:lang w:eastAsia="sl-SI"/>
        </w:rPr>
      </w:pPr>
      <w:hyperlink w:anchor="_Toc97026877" w:history="1">
        <w:r w:rsidRPr="004070C7">
          <w:rPr>
            <w:rStyle w:val="Hiperpovezava"/>
            <w:noProof/>
          </w:rPr>
          <w:t>Slika 6.26: Povprečni minimalni, povprečni in povprečni maksimalni pretok reke Soče na hidrogeološki postaji Solkan I za obdobje 1980 </w:t>
        </w:r>
        <w:r w:rsidRPr="004070C7">
          <w:rPr>
            <w:rStyle w:val="Hiperpovezava"/>
            <w:noProof/>
          </w:rPr>
          <w:noBreakHyphen/>
          <w:t> 2019.</w:t>
        </w:r>
        <w:r>
          <w:rPr>
            <w:noProof/>
            <w:webHidden/>
          </w:rPr>
          <w:tab/>
        </w:r>
        <w:r>
          <w:rPr>
            <w:noProof/>
            <w:webHidden/>
          </w:rPr>
          <w:fldChar w:fldCharType="begin"/>
        </w:r>
        <w:r>
          <w:rPr>
            <w:noProof/>
            <w:webHidden/>
          </w:rPr>
          <w:instrText xml:space="preserve"> PAGEREF _Toc97026877 \h </w:instrText>
        </w:r>
        <w:r>
          <w:rPr>
            <w:noProof/>
            <w:webHidden/>
          </w:rPr>
        </w:r>
        <w:r>
          <w:rPr>
            <w:noProof/>
            <w:webHidden/>
          </w:rPr>
          <w:fldChar w:fldCharType="separate"/>
        </w:r>
        <w:r>
          <w:rPr>
            <w:noProof/>
            <w:webHidden/>
          </w:rPr>
          <w:t>198</w:t>
        </w:r>
        <w:r>
          <w:rPr>
            <w:noProof/>
            <w:webHidden/>
          </w:rPr>
          <w:fldChar w:fldCharType="end"/>
        </w:r>
      </w:hyperlink>
    </w:p>
    <w:p w14:paraId="0E95FDE8" w14:textId="6EA644A0" w:rsidR="007A0276" w:rsidRDefault="007A0276">
      <w:pPr>
        <w:pStyle w:val="Kazaloslik"/>
        <w:tabs>
          <w:tab w:val="right" w:leader="dot" w:pos="9628"/>
        </w:tabs>
        <w:rPr>
          <w:rFonts w:asciiTheme="minorHAnsi" w:eastAsiaTheme="minorEastAsia" w:hAnsiTheme="minorHAnsi"/>
          <w:noProof/>
          <w:lang w:eastAsia="sl-SI"/>
        </w:rPr>
      </w:pPr>
      <w:hyperlink w:anchor="_Toc97026878" w:history="1">
        <w:r w:rsidRPr="004070C7">
          <w:rPr>
            <w:rStyle w:val="Hiperpovezava"/>
            <w:noProof/>
          </w:rPr>
          <w:t>Slika 6.27: Povprečni minimalni, povprečni in povprečni maksimalni pretok reke Vipave na hidrogeološki postaji Dolenje za obdobje 1991 </w:t>
        </w:r>
        <w:r w:rsidRPr="004070C7">
          <w:rPr>
            <w:rStyle w:val="Hiperpovezava"/>
            <w:noProof/>
          </w:rPr>
          <w:noBreakHyphen/>
          <w:t> 2019.</w:t>
        </w:r>
        <w:r>
          <w:rPr>
            <w:noProof/>
            <w:webHidden/>
          </w:rPr>
          <w:tab/>
        </w:r>
        <w:r>
          <w:rPr>
            <w:noProof/>
            <w:webHidden/>
          </w:rPr>
          <w:fldChar w:fldCharType="begin"/>
        </w:r>
        <w:r>
          <w:rPr>
            <w:noProof/>
            <w:webHidden/>
          </w:rPr>
          <w:instrText xml:space="preserve"> PAGEREF _Toc97026878 \h </w:instrText>
        </w:r>
        <w:r>
          <w:rPr>
            <w:noProof/>
            <w:webHidden/>
          </w:rPr>
        </w:r>
        <w:r>
          <w:rPr>
            <w:noProof/>
            <w:webHidden/>
          </w:rPr>
          <w:fldChar w:fldCharType="separate"/>
        </w:r>
        <w:r>
          <w:rPr>
            <w:noProof/>
            <w:webHidden/>
          </w:rPr>
          <w:t>199</w:t>
        </w:r>
        <w:r>
          <w:rPr>
            <w:noProof/>
            <w:webHidden/>
          </w:rPr>
          <w:fldChar w:fldCharType="end"/>
        </w:r>
      </w:hyperlink>
    </w:p>
    <w:p w14:paraId="2B3A73DE" w14:textId="1EAC8DA3" w:rsidR="007A0276" w:rsidRDefault="007A0276">
      <w:pPr>
        <w:pStyle w:val="Kazaloslik"/>
        <w:tabs>
          <w:tab w:val="right" w:leader="dot" w:pos="9628"/>
        </w:tabs>
        <w:rPr>
          <w:rFonts w:asciiTheme="minorHAnsi" w:eastAsiaTheme="minorEastAsia" w:hAnsiTheme="minorHAnsi"/>
          <w:noProof/>
          <w:lang w:eastAsia="sl-SI"/>
        </w:rPr>
      </w:pPr>
      <w:hyperlink w:anchor="_Toc97026879" w:history="1">
        <w:r w:rsidRPr="004070C7">
          <w:rPr>
            <w:rStyle w:val="Hiperpovezava"/>
            <w:noProof/>
          </w:rPr>
          <w:t>Slika 6.28: Povprečni minimalni, povprečni in povprečni maksimalni pretok reke Vipave na hidrogeološki postaji Zalošče za obdobje 2014 </w:t>
        </w:r>
        <w:r w:rsidRPr="004070C7">
          <w:rPr>
            <w:rStyle w:val="Hiperpovezava"/>
            <w:noProof/>
          </w:rPr>
          <w:noBreakHyphen/>
          <w:t> 2019.</w:t>
        </w:r>
        <w:r>
          <w:rPr>
            <w:noProof/>
            <w:webHidden/>
          </w:rPr>
          <w:tab/>
        </w:r>
        <w:r>
          <w:rPr>
            <w:noProof/>
            <w:webHidden/>
          </w:rPr>
          <w:fldChar w:fldCharType="begin"/>
        </w:r>
        <w:r>
          <w:rPr>
            <w:noProof/>
            <w:webHidden/>
          </w:rPr>
          <w:instrText xml:space="preserve"> PAGEREF _Toc97026879 \h </w:instrText>
        </w:r>
        <w:r>
          <w:rPr>
            <w:noProof/>
            <w:webHidden/>
          </w:rPr>
        </w:r>
        <w:r>
          <w:rPr>
            <w:noProof/>
            <w:webHidden/>
          </w:rPr>
          <w:fldChar w:fldCharType="separate"/>
        </w:r>
        <w:r>
          <w:rPr>
            <w:noProof/>
            <w:webHidden/>
          </w:rPr>
          <w:t>200</w:t>
        </w:r>
        <w:r>
          <w:rPr>
            <w:noProof/>
            <w:webHidden/>
          </w:rPr>
          <w:fldChar w:fldCharType="end"/>
        </w:r>
      </w:hyperlink>
    </w:p>
    <w:p w14:paraId="7C7BC32B" w14:textId="20D8C4EC" w:rsidR="007A0276" w:rsidRDefault="007A0276">
      <w:pPr>
        <w:pStyle w:val="Kazaloslik"/>
        <w:tabs>
          <w:tab w:val="right" w:leader="dot" w:pos="9628"/>
        </w:tabs>
        <w:rPr>
          <w:rFonts w:asciiTheme="minorHAnsi" w:eastAsiaTheme="minorEastAsia" w:hAnsiTheme="minorHAnsi"/>
          <w:noProof/>
          <w:lang w:eastAsia="sl-SI"/>
        </w:rPr>
      </w:pPr>
      <w:hyperlink w:anchor="_Toc97026880" w:history="1">
        <w:r w:rsidRPr="004070C7">
          <w:rPr>
            <w:rStyle w:val="Hiperpovezava"/>
            <w:noProof/>
          </w:rPr>
          <w:t>Slika 6.29: Povprečni minimalni, povprečni in povprečni maksimalni pretok reke Vipave na hidrogeološki postaji Miren I za obdobje 2004 </w:t>
        </w:r>
        <w:r w:rsidRPr="004070C7">
          <w:rPr>
            <w:rStyle w:val="Hiperpovezava"/>
            <w:noProof/>
          </w:rPr>
          <w:noBreakHyphen/>
          <w:t> 2019.</w:t>
        </w:r>
        <w:r>
          <w:rPr>
            <w:noProof/>
            <w:webHidden/>
          </w:rPr>
          <w:tab/>
        </w:r>
        <w:r>
          <w:rPr>
            <w:noProof/>
            <w:webHidden/>
          </w:rPr>
          <w:fldChar w:fldCharType="begin"/>
        </w:r>
        <w:r>
          <w:rPr>
            <w:noProof/>
            <w:webHidden/>
          </w:rPr>
          <w:instrText xml:space="preserve"> PAGEREF _Toc97026880 \h </w:instrText>
        </w:r>
        <w:r>
          <w:rPr>
            <w:noProof/>
            <w:webHidden/>
          </w:rPr>
        </w:r>
        <w:r>
          <w:rPr>
            <w:noProof/>
            <w:webHidden/>
          </w:rPr>
          <w:fldChar w:fldCharType="separate"/>
        </w:r>
        <w:r>
          <w:rPr>
            <w:noProof/>
            <w:webHidden/>
          </w:rPr>
          <w:t>201</w:t>
        </w:r>
        <w:r>
          <w:rPr>
            <w:noProof/>
            <w:webHidden/>
          </w:rPr>
          <w:fldChar w:fldCharType="end"/>
        </w:r>
      </w:hyperlink>
    </w:p>
    <w:p w14:paraId="32FB3950" w14:textId="02F348BB" w:rsidR="007A0276" w:rsidRDefault="007A0276">
      <w:pPr>
        <w:pStyle w:val="Kazaloslik"/>
        <w:tabs>
          <w:tab w:val="right" w:leader="dot" w:pos="9628"/>
        </w:tabs>
        <w:rPr>
          <w:rFonts w:asciiTheme="minorHAnsi" w:eastAsiaTheme="minorEastAsia" w:hAnsiTheme="minorHAnsi"/>
          <w:noProof/>
          <w:lang w:eastAsia="sl-SI"/>
        </w:rPr>
      </w:pPr>
      <w:hyperlink w:anchor="_Toc97026881" w:history="1">
        <w:r w:rsidRPr="004070C7">
          <w:rPr>
            <w:rStyle w:val="Hiperpovezava"/>
            <w:noProof/>
          </w:rPr>
          <w:t>Slika 6.30: Povprečni minimalni, povprečni in povprečni maksimalni pretok potoka pod zajetjem Vogršček na hidrogeološki postaji BezovljakI za obdobje 2004 </w:t>
        </w:r>
        <w:r w:rsidRPr="004070C7">
          <w:rPr>
            <w:rStyle w:val="Hiperpovezava"/>
            <w:noProof/>
          </w:rPr>
          <w:noBreakHyphen/>
          <w:t> 2019.</w:t>
        </w:r>
        <w:r>
          <w:rPr>
            <w:noProof/>
            <w:webHidden/>
          </w:rPr>
          <w:tab/>
        </w:r>
        <w:r>
          <w:rPr>
            <w:noProof/>
            <w:webHidden/>
          </w:rPr>
          <w:fldChar w:fldCharType="begin"/>
        </w:r>
        <w:r>
          <w:rPr>
            <w:noProof/>
            <w:webHidden/>
          </w:rPr>
          <w:instrText xml:space="preserve"> PAGEREF _Toc97026881 \h </w:instrText>
        </w:r>
        <w:r>
          <w:rPr>
            <w:noProof/>
            <w:webHidden/>
          </w:rPr>
        </w:r>
        <w:r>
          <w:rPr>
            <w:noProof/>
            <w:webHidden/>
          </w:rPr>
          <w:fldChar w:fldCharType="separate"/>
        </w:r>
        <w:r>
          <w:rPr>
            <w:noProof/>
            <w:webHidden/>
          </w:rPr>
          <w:t>202</w:t>
        </w:r>
        <w:r>
          <w:rPr>
            <w:noProof/>
            <w:webHidden/>
          </w:rPr>
          <w:fldChar w:fldCharType="end"/>
        </w:r>
      </w:hyperlink>
    </w:p>
    <w:p w14:paraId="6AD29318" w14:textId="7994633E" w:rsidR="007A0276" w:rsidRDefault="007A0276">
      <w:pPr>
        <w:pStyle w:val="Kazaloslik"/>
        <w:tabs>
          <w:tab w:val="right" w:leader="dot" w:pos="9628"/>
        </w:tabs>
        <w:rPr>
          <w:rFonts w:asciiTheme="minorHAnsi" w:eastAsiaTheme="minorEastAsia" w:hAnsiTheme="minorHAnsi"/>
          <w:noProof/>
          <w:lang w:eastAsia="sl-SI"/>
        </w:rPr>
      </w:pPr>
      <w:hyperlink w:anchor="_Toc97026882" w:history="1">
        <w:r w:rsidRPr="004070C7">
          <w:rPr>
            <w:rStyle w:val="Hiperpovezava"/>
            <w:noProof/>
          </w:rPr>
          <w:t>Slika 6.31: Modelirani skupni odtok v poletni polovici leta (april - september) v referenčnem obdobju 1981 2010 za območje občine Nova Gorica in okolice po podnebnem scenariju RCP8.5.</w:t>
        </w:r>
        <w:r>
          <w:rPr>
            <w:noProof/>
            <w:webHidden/>
          </w:rPr>
          <w:tab/>
        </w:r>
        <w:r>
          <w:rPr>
            <w:noProof/>
            <w:webHidden/>
          </w:rPr>
          <w:fldChar w:fldCharType="begin"/>
        </w:r>
        <w:r>
          <w:rPr>
            <w:noProof/>
            <w:webHidden/>
          </w:rPr>
          <w:instrText xml:space="preserve"> PAGEREF _Toc97026882 \h </w:instrText>
        </w:r>
        <w:r>
          <w:rPr>
            <w:noProof/>
            <w:webHidden/>
          </w:rPr>
        </w:r>
        <w:r>
          <w:rPr>
            <w:noProof/>
            <w:webHidden/>
          </w:rPr>
          <w:fldChar w:fldCharType="separate"/>
        </w:r>
        <w:r>
          <w:rPr>
            <w:noProof/>
            <w:webHidden/>
          </w:rPr>
          <w:t>203</w:t>
        </w:r>
        <w:r>
          <w:rPr>
            <w:noProof/>
            <w:webHidden/>
          </w:rPr>
          <w:fldChar w:fldCharType="end"/>
        </w:r>
      </w:hyperlink>
    </w:p>
    <w:p w14:paraId="2B61E22D" w14:textId="71621E3E" w:rsidR="007A0276" w:rsidRDefault="007A0276">
      <w:pPr>
        <w:pStyle w:val="Kazaloslik"/>
        <w:tabs>
          <w:tab w:val="right" w:leader="dot" w:pos="9628"/>
        </w:tabs>
        <w:rPr>
          <w:rFonts w:asciiTheme="minorHAnsi" w:eastAsiaTheme="minorEastAsia" w:hAnsiTheme="minorHAnsi"/>
          <w:noProof/>
          <w:lang w:eastAsia="sl-SI"/>
        </w:rPr>
      </w:pPr>
      <w:hyperlink w:anchor="_Toc97026883" w:history="1">
        <w:r w:rsidRPr="004070C7">
          <w:rPr>
            <w:rStyle w:val="Hiperpovezava"/>
            <w:noProof/>
          </w:rPr>
          <w:t>Slika 6.32: Povprečna mesečna količina skupnega odtoka s širšega območja občine Nova Gorica v referenčnem obdobju 1981-2010</w:t>
        </w:r>
        <w:r>
          <w:rPr>
            <w:noProof/>
            <w:webHidden/>
          </w:rPr>
          <w:tab/>
        </w:r>
        <w:r>
          <w:rPr>
            <w:noProof/>
            <w:webHidden/>
          </w:rPr>
          <w:fldChar w:fldCharType="begin"/>
        </w:r>
        <w:r>
          <w:rPr>
            <w:noProof/>
            <w:webHidden/>
          </w:rPr>
          <w:instrText xml:space="preserve"> PAGEREF _Toc97026883 \h </w:instrText>
        </w:r>
        <w:r>
          <w:rPr>
            <w:noProof/>
            <w:webHidden/>
          </w:rPr>
        </w:r>
        <w:r>
          <w:rPr>
            <w:noProof/>
            <w:webHidden/>
          </w:rPr>
          <w:fldChar w:fldCharType="separate"/>
        </w:r>
        <w:r>
          <w:rPr>
            <w:noProof/>
            <w:webHidden/>
          </w:rPr>
          <w:t>203</w:t>
        </w:r>
        <w:r>
          <w:rPr>
            <w:noProof/>
            <w:webHidden/>
          </w:rPr>
          <w:fldChar w:fldCharType="end"/>
        </w:r>
      </w:hyperlink>
    </w:p>
    <w:p w14:paraId="652EA5E6" w14:textId="1ECC6537" w:rsidR="007A0276" w:rsidRDefault="007A0276">
      <w:pPr>
        <w:pStyle w:val="Kazaloslik"/>
        <w:tabs>
          <w:tab w:val="right" w:leader="dot" w:pos="9628"/>
        </w:tabs>
        <w:rPr>
          <w:rFonts w:asciiTheme="minorHAnsi" w:eastAsiaTheme="minorEastAsia" w:hAnsiTheme="minorHAnsi"/>
          <w:noProof/>
          <w:lang w:eastAsia="sl-SI"/>
        </w:rPr>
      </w:pPr>
      <w:hyperlink w:anchor="_Toc97026884" w:history="1">
        <w:r w:rsidRPr="004070C7">
          <w:rPr>
            <w:rStyle w:val="Hiperpovezava"/>
            <w:noProof/>
          </w:rPr>
          <w:t>Slika 6.33: Hidrogeološka karta širšega območja Mestne občine Nova Gorica.</w:t>
        </w:r>
        <w:r>
          <w:rPr>
            <w:noProof/>
            <w:webHidden/>
          </w:rPr>
          <w:tab/>
        </w:r>
        <w:r>
          <w:rPr>
            <w:noProof/>
            <w:webHidden/>
          </w:rPr>
          <w:fldChar w:fldCharType="begin"/>
        </w:r>
        <w:r>
          <w:rPr>
            <w:noProof/>
            <w:webHidden/>
          </w:rPr>
          <w:instrText xml:space="preserve"> PAGEREF _Toc97026884 \h </w:instrText>
        </w:r>
        <w:r>
          <w:rPr>
            <w:noProof/>
            <w:webHidden/>
          </w:rPr>
        </w:r>
        <w:r>
          <w:rPr>
            <w:noProof/>
            <w:webHidden/>
          </w:rPr>
          <w:fldChar w:fldCharType="separate"/>
        </w:r>
        <w:r>
          <w:rPr>
            <w:noProof/>
            <w:webHidden/>
          </w:rPr>
          <w:t>205</w:t>
        </w:r>
        <w:r>
          <w:rPr>
            <w:noProof/>
            <w:webHidden/>
          </w:rPr>
          <w:fldChar w:fldCharType="end"/>
        </w:r>
      </w:hyperlink>
    </w:p>
    <w:p w14:paraId="499F4252" w14:textId="34095104" w:rsidR="007A0276" w:rsidRDefault="007A0276">
      <w:pPr>
        <w:pStyle w:val="Kazaloslik"/>
        <w:tabs>
          <w:tab w:val="right" w:leader="dot" w:pos="9628"/>
        </w:tabs>
        <w:rPr>
          <w:rFonts w:asciiTheme="minorHAnsi" w:eastAsiaTheme="minorEastAsia" w:hAnsiTheme="minorHAnsi"/>
          <w:noProof/>
          <w:lang w:eastAsia="sl-SI"/>
        </w:rPr>
      </w:pPr>
      <w:hyperlink w:anchor="_Toc97026885" w:history="1">
        <w:r w:rsidRPr="004070C7">
          <w:rPr>
            <w:rStyle w:val="Hiperpovezava"/>
            <w:noProof/>
          </w:rPr>
          <w:t>Slika 6.34: Modelirano napajanje podzemne vode v poletni polovici leta v referenčnem obdobju 1981-2010 za širše območje občine Nova Gorica z okolico po podnebnem scenariju RCP8.5.</w:t>
        </w:r>
        <w:r>
          <w:rPr>
            <w:noProof/>
            <w:webHidden/>
          </w:rPr>
          <w:tab/>
        </w:r>
        <w:r>
          <w:rPr>
            <w:noProof/>
            <w:webHidden/>
          </w:rPr>
          <w:fldChar w:fldCharType="begin"/>
        </w:r>
        <w:r>
          <w:rPr>
            <w:noProof/>
            <w:webHidden/>
          </w:rPr>
          <w:instrText xml:space="preserve"> PAGEREF _Toc97026885 \h </w:instrText>
        </w:r>
        <w:r>
          <w:rPr>
            <w:noProof/>
            <w:webHidden/>
          </w:rPr>
        </w:r>
        <w:r>
          <w:rPr>
            <w:noProof/>
            <w:webHidden/>
          </w:rPr>
          <w:fldChar w:fldCharType="separate"/>
        </w:r>
        <w:r>
          <w:rPr>
            <w:noProof/>
            <w:webHidden/>
          </w:rPr>
          <w:t>207</w:t>
        </w:r>
        <w:r>
          <w:rPr>
            <w:noProof/>
            <w:webHidden/>
          </w:rPr>
          <w:fldChar w:fldCharType="end"/>
        </w:r>
      </w:hyperlink>
    </w:p>
    <w:p w14:paraId="7DC00E7D" w14:textId="11E4B05F" w:rsidR="007A0276" w:rsidRDefault="007A0276">
      <w:pPr>
        <w:pStyle w:val="Kazaloslik"/>
        <w:tabs>
          <w:tab w:val="right" w:leader="dot" w:pos="9628"/>
        </w:tabs>
        <w:rPr>
          <w:rFonts w:asciiTheme="minorHAnsi" w:eastAsiaTheme="minorEastAsia" w:hAnsiTheme="minorHAnsi"/>
          <w:noProof/>
          <w:lang w:eastAsia="sl-SI"/>
        </w:rPr>
      </w:pPr>
      <w:hyperlink w:anchor="_Toc97026886" w:history="1">
        <w:r w:rsidRPr="004070C7">
          <w:rPr>
            <w:rStyle w:val="Hiperpovezava"/>
            <w:noProof/>
          </w:rPr>
          <w:t>Slika 6.35 Povprečna mesečna vsota napajanja podzemne vode na območju občine Nova Gorica v referenčnem obdobju 1981</w:t>
        </w:r>
        <w:r w:rsidRPr="004070C7">
          <w:rPr>
            <w:rStyle w:val="Hiperpovezava"/>
            <w:noProof/>
          </w:rPr>
          <w:noBreakHyphen/>
          <w:t>2010.</w:t>
        </w:r>
        <w:r>
          <w:rPr>
            <w:noProof/>
            <w:webHidden/>
          </w:rPr>
          <w:tab/>
        </w:r>
        <w:r>
          <w:rPr>
            <w:noProof/>
            <w:webHidden/>
          </w:rPr>
          <w:fldChar w:fldCharType="begin"/>
        </w:r>
        <w:r>
          <w:rPr>
            <w:noProof/>
            <w:webHidden/>
          </w:rPr>
          <w:instrText xml:space="preserve"> PAGEREF _Toc97026886 \h </w:instrText>
        </w:r>
        <w:r>
          <w:rPr>
            <w:noProof/>
            <w:webHidden/>
          </w:rPr>
        </w:r>
        <w:r>
          <w:rPr>
            <w:noProof/>
            <w:webHidden/>
          </w:rPr>
          <w:fldChar w:fldCharType="separate"/>
        </w:r>
        <w:r>
          <w:rPr>
            <w:noProof/>
            <w:webHidden/>
          </w:rPr>
          <w:t>207</w:t>
        </w:r>
        <w:r>
          <w:rPr>
            <w:noProof/>
            <w:webHidden/>
          </w:rPr>
          <w:fldChar w:fldCharType="end"/>
        </w:r>
      </w:hyperlink>
    </w:p>
    <w:p w14:paraId="4BF8D549" w14:textId="2942AF33" w:rsidR="007A0276" w:rsidRDefault="007A0276">
      <w:pPr>
        <w:pStyle w:val="Kazaloslik"/>
        <w:tabs>
          <w:tab w:val="right" w:leader="dot" w:pos="9628"/>
        </w:tabs>
        <w:rPr>
          <w:rFonts w:asciiTheme="minorHAnsi" w:eastAsiaTheme="minorEastAsia" w:hAnsiTheme="minorHAnsi"/>
          <w:noProof/>
          <w:lang w:eastAsia="sl-SI"/>
        </w:rPr>
      </w:pPr>
      <w:hyperlink w:anchor="_Toc97026887" w:history="1">
        <w:r w:rsidRPr="004070C7">
          <w:rPr>
            <w:rStyle w:val="Hiperpovezava"/>
            <w:noProof/>
          </w:rPr>
          <w:t>Slika 6.36: Zaledja in viri podzemne vode uporabljeni v analizi. Zaledja so označena z rdečimi številkami od 0 do 3.</w:t>
        </w:r>
        <w:r>
          <w:rPr>
            <w:noProof/>
            <w:webHidden/>
          </w:rPr>
          <w:tab/>
        </w:r>
        <w:r>
          <w:rPr>
            <w:noProof/>
            <w:webHidden/>
          </w:rPr>
          <w:fldChar w:fldCharType="begin"/>
        </w:r>
        <w:r>
          <w:rPr>
            <w:noProof/>
            <w:webHidden/>
          </w:rPr>
          <w:instrText xml:space="preserve"> PAGEREF _Toc97026887 \h </w:instrText>
        </w:r>
        <w:r>
          <w:rPr>
            <w:noProof/>
            <w:webHidden/>
          </w:rPr>
        </w:r>
        <w:r>
          <w:rPr>
            <w:noProof/>
            <w:webHidden/>
          </w:rPr>
          <w:fldChar w:fldCharType="separate"/>
        </w:r>
        <w:r>
          <w:rPr>
            <w:noProof/>
            <w:webHidden/>
          </w:rPr>
          <w:t>209</w:t>
        </w:r>
        <w:r>
          <w:rPr>
            <w:noProof/>
            <w:webHidden/>
          </w:rPr>
          <w:fldChar w:fldCharType="end"/>
        </w:r>
      </w:hyperlink>
    </w:p>
    <w:p w14:paraId="241B1F5F" w14:textId="09CAC3DB" w:rsidR="007A0276" w:rsidRDefault="007A0276">
      <w:pPr>
        <w:pStyle w:val="Kazaloslik"/>
        <w:tabs>
          <w:tab w:val="right" w:leader="dot" w:pos="9628"/>
        </w:tabs>
        <w:rPr>
          <w:rFonts w:asciiTheme="minorHAnsi" w:eastAsiaTheme="minorEastAsia" w:hAnsiTheme="minorHAnsi"/>
          <w:noProof/>
          <w:lang w:eastAsia="sl-SI"/>
        </w:rPr>
      </w:pPr>
      <w:hyperlink w:anchor="_Toc97026888" w:history="1">
        <w:r w:rsidRPr="004070C7">
          <w:rPr>
            <w:rStyle w:val="Hiperpovezava"/>
            <w:noProof/>
          </w:rPr>
          <w:t>Slika 6.37: Tip vodnega vir - število podeljenih vodnih dovoljenj in koncesij glede na vse rabe vode</w:t>
        </w:r>
        <w:r>
          <w:rPr>
            <w:noProof/>
            <w:webHidden/>
          </w:rPr>
          <w:tab/>
        </w:r>
        <w:r>
          <w:rPr>
            <w:noProof/>
            <w:webHidden/>
          </w:rPr>
          <w:fldChar w:fldCharType="begin"/>
        </w:r>
        <w:r>
          <w:rPr>
            <w:noProof/>
            <w:webHidden/>
          </w:rPr>
          <w:instrText xml:space="preserve"> PAGEREF _Toc97026888 \h </w:instrText>
        </w:r>
        <w:r>
          <w:rPr>
            <w:noProof/>
            <w:webHidden/>
          </w:rPr>
        </w:r>
        <w:r>
          <w:rPr>
            <w:noProof/>
            <w:webHidden/>
          </w:rPr>
          <w:fldChar w:fldCharType="separate"/>
        </w:r>
        <w:r>
          <w:rPr>
            <w:noProof/>
            <w:webHidden/>
          </w:rPr>
          <w:t>210</w:t>
        </w:r>
        <w:r>
          <w:rPr>
            <w:noProof/>
            <w:webHidden/>
          </w:rPr>
          <w:fldChar w:fldCharType="end"/>
        </w:r>
      </w:hyperlink>
    </w:p>
    <w:p w14:paraId="3F8F4EC9" w14:textId="6CB6C35A" w:rsidR="007A0276" w:rsidRDefault="007A0276">
      <w:pPr>
        <w:pStyle w:val="Kazaloslik"/>
        <w:tabs>
          <w:tab w:val="right" w:leader="dot" w:pos="9628"/>
        </w:tabs>
        <w:rPr>
          <w:rFonts w:asciiTheme="minorHAnsi" w:eastAsiaTheme="minorEastAsia" w:hAnsiTheme="minorHAnsi"/>
          <w:noProof/>
          <w:lang w:eastAsia="sl-SI"/>
        </w:rPr>
      </w:pPr>
      <w:hyperlink w:anchor="_Toc97026889" w:history="1">
        <w:r w:rsidRPr="004070C7">
          <w:rPr>
            <w:rStyle w:val="Hiperpovezava"/>
            <w:noProof/>
          </w:rPr>
          <w:t>Slika 6.38: Shematični prikaz rabe površinske vode po vodotokih (Vipava med hidrološko postajo Dolenje in Zalošče, Vipava med hidrološko postajo Zalošče in Miren I, zajetje Vogršček, Soča in ostali manjši vodotoki) in število vodnih dovoljenj za posamezno rabo (bele številke).</w:t>
        </w:r>
        <w:r>
          <w:rPr>
            <w:noProof/>
            <w:webHidden/>
          </w:rPr>
          <w:tab/>
        </w:r>
        <w:r>
          <w:rPr>
            <w:noProof/>
            <w:webHidden/>
          </w:rPr>
          <w:fldChar w:fldCharType="begin"/>
        </w:r>
        <w:r>
          <w:rPr>
            <w:noProof/>
            <w:webHidden/>
          </w:rPr>
          <w:instrText xml:space="preserve"> PAGEREF _Toc97026889 \h </w:instrText>
        </w:r>
        <w:r>
          <w:rPr>
            <w:noProof/>
            <w:webHidden/>
          </w:rPr>
        </w:r>
        <w:r>
          <w:rPr>
            <w:noProof/>
            <w:webHidden/>
          </w:rPr>
          <w:fldChar w:fldCharType="separate"/>
        </w:r>
        <w:r>
          <w:rPr>
            <w:noProof/>
            <w:webHidden/>
          </w:rPr>
          <w:t>211</w:t>
        </w:r>
        <w:r>
          <w:rPr>
            <w:noProof/>
            <w:webHidden/>
          </w:rPr>
          <w:fldChar w:fldCharType="end"/>
        </w:r>
      </w:hyperlink>
    </w:p>
    <w:p w14:paraId="77CE5599" w14:textId="7D5AA7FD" w:rsidR="007A0276" w:rsidRDefault="007A0276">
      <w:pPr>
        <w:pStyle w:val="Kazaloslik"/>
        <w:tabs>
          <w:tab w:val="right" w:leader="dot" w:pos="9628"/>
        </w:tabs>
        <w:rPr>
          <w:rFonts w:asciiTheme="minorHAnsi" w:eastAsiaTheme="minorEastAsia" w:hAnsiTheme="minorHAnsi"/>
          <w:noProof/>
          <w:lang w:eastAsia="sl-SI"/>
        </w:rPr>
      </w:pPr>
      <w:hyperlink w:anchor="_Toc97026890" w:history="1">
        <w:r w:rsidRPr="004070C7">
          <w:rPr>
            <w:rStyle w:val="Hiperpovezava"/>
            <w:noProof/>
          </w:rPr>
          <w:t>Slika 6.39: Lokacijski prikaz hidroloških merilnih mest in rab površinske vode po vrsti rabe ter območji uporabljenh v analizi.</w:t>
        </w:r>
        <w:r>
          <w:rPr>
            <w:noProof/>
            <w:webHidden/>
          </w:rPr>
          <w:tab/>
        </w:r>
        <w:r>
          <w:rPr>
            <w:noProof/>
            <w:webHidden/>
          </w:rPr>
          <w:fldChar w:fldCharType="begin"/>
        </w:r>
        <w:r>
          <w:rPr>
            <w:noProof/>
            <w:webHidden/>
          </w:rPr>
          <w:instrText xml:space="preserve"> PAGEREF _Toc97026890 \h </w:instrText>
        </w:r>
        <w:r>
          <w:rPr>
            <w:noProof/>
            <w:webHidden/>
          </w:rPr>
        </w:r>
        <w:r>
          <w:rPr>
            <w:noProof/>
            <w:webHidden/>
          </w:rPr>
          <w:fldChar w:fldCharType="separate"/>
        </w:r>
        <w:r>
          <w:rPr>
            <w:noProof/>
            <w:webHidden/>
          </w:rPr>
          <w:t>212</w:t>
        </w:r>
        <w:r>
          <w:rPr>
            <w:noProof/>
            <w:webHidden/>
          </w:rPr>
          <w:fldChar w:fldCharType="end"/>
        </w:r>
      </w:hyperlink>
    </w:p>
    <w:p w14:paraId="41B6D3F4" w14:textId="00FB5D20" w:rsidR="007A0276" w:rsidRDefault="007A0276">
      <w:pPr>
        <w:pStyle w:val="Kazaloslik"/>
        <w:tabs>
          <w:tab w:val="right" w:leader="dot" w:pos="9628"/>
        </w:tabs>
        <w:rPr>
          <w:rFonts w:asciiTheme="minorHAnsi" w:eastAsiaTheme="minorEastAsia" w:hAnsiTheme="minorHAnsi"/>
          <w:noProof/>
          <w:lang w:eastAsia="sl-SI"/>
        </w:rPr>
      </w:pPr>
      <w:hyperlink w:anchor="_Toc97026891" w:history="1">
        <w:r w:rsidRPr="004070C7">
          <w:rPr>
            <w:rStyle w:val="Hiperpovezava"/>
            <w:noProof/>
          </w:rPr>
          <w:t>Slika 6.40: Vrsta rabe podzemne vode in predvidene poletna količina odvzete vode [m3/poletje] po zaledjih.</w:t>
        </w:r>
        <w:r>
          <w:rPr>
            <w:noProof/>
            <w:webHidden/>
          </w:rPr>
          <w:tab/>
        </w:r>
        <w:r>
          <w:rPr>
            <w:noProof/>
            <w:webHidden/>
          </w:rPr>
          <w:fldChar w:fldCharType="begin"/>
        </w:r>
        <w:r>
          <w:rPr>
            <w:noProof/>
            <w:webHidden/>
          </w:rPr>
          <w:instrText xml:space="preserve"> PAGEREF _Toc97026891 \h </w:instrText>
        </w:r>
        <w:r>
          <w:rPr>
            <w:noProof/>
            <w:webHidden/>
          </w:rPr>
        </w:r>
        <w:r>
          <w:rPr>
            <w:noProof/>
            <w:webHidden/>
          </w:rPr>
          <w:fldChar w:fldCharType="separate"/>
        </w:r>
        <w:r>
          <w:rPr>
            <w:noProof/>
            <w:webHidden/>
          </w:rPr>
          <w:t>213</w:t>
        </w:r>
        <w:r>
          <w:rPr>
            <w:noProof/>
            <w:webHidden/>
          </w:rPr>
          <w:fldChar w:fldCharType="end"/>
        </w:r>
      </w:hyperlink>
    </w:p>
    <w:p w14:paraId="1DEE1DC5" w14:textId="1FE2B270" w:rsidR="007A0276" w:rsidRDefault="007A0276">
      <w:pPr>
        <w:pStyle w:val="Kazaloslik"/>
        <w:tabs>
          <w:tab w:val="right" w:leader="dot" w:pos="9628"/>
        </w:tabs>
        <w:rPr>
          <w:rFonts w:asciiTheme="minorHAnsi" w:eastAsiaTheme="minorEastAsia" w:hAnsiTheme="minorHAnsi"/>
          <w:noProof/>
          <w:lang w:eastAsia="sl-SI"/>
        </w:rPr>
      </w:pPr>
      <w:hyperlink w:anchor="_Toc97026892" w:history="1">
        <w:r w:rsidRPr="004070C7">
          <w:rPr>
            <w:rStyle w:val="Hiperpovezava"/>
            <w:noProof/>
          </w:rPr>
          <w:t>Slika 6.41: Vodovarstvena območja in lokacije zajetji po in lokacije zajetji po pretekli zakonodaji (občinski nivo) (vir: ARSO) ter zajetja, ki so v uporabi za potrebe oskrbe s pitno vodo, ki jo izvaja gospodarska javna služba Vodovod in kanalizacija Nova Gorica d.d. (vir: VIK-NG).</w:t>
        </w:r>
        <w:r>
          <w:rPr>
            <w:noProof/>
            <w:webHidden/>
          </w:rPr>
          <w:tab/>
        </w:r>
        <w:r>
          <w:rPr>
            <w:noProof/>
            <w:webHidden/>
          </w:rPr>
          <w:fldChar w:fldCharType="begin"/>
        </w:r>
        <w:r>
          <w:rPr>
            <w:noProof/>
            <w:webHidden/>
          </w:rPr>
          <w:instrText xml:space="preserve"> PAGEREF _Toc97026892 \h </w:instrText>
        </w:r>
        <w:r>
          <w:rPr>
            <w:noProof/>
            <w:webHidden/>
          </w:rPr>
        </w:r>
        <w:r>
          <w:rPr>
            <w:noProof/>
            <w:webHidden/>
          </w:rPr>
          <w:fldChar w:fldCharType="separate"/>
        </w:r>
        <w:r>
          <w:rPr>
            <w:noProof/>
            <w:webHidden/>
          </w:rPr>
          <w:t>216</w:t>
        </w:r>
        <w:r>
          <w:rPr>
            <w:noProof/>
            <w:webHidden/>
          </w:rPr>
          <w:fldChar w:fldCharType="end"/>
        </w:r>
      </w:hyperlink>
    </w:p>
    <w:p w14:paraId="52F8D825" w14:textId="2FE8C42B" w:rsidR="007A0276" w:rsidRDefault="007A0276">
      <w:pPr>
        <w:pStyle w:val="Kazaloslik"/>
        <w:tabs>
          <w:tab w:val="right" w:leader="dot" w:pos="9628"/>
        </w:tabs>
        <w:rPr>
          <w:rFonts w:asciiTheme="minorHAnsi" w:eastAsiaTheme="minorEastAsia" w:hAnsiTheme="minorHAnsi"/>
          <w:noProof/>
          <w:lang w:eastAsia="sl-SI"/>
        </w:rPr>
      </w:pPr>
      <w:hyperlink w:anchor="_Toc97026893" w:history="1">
        <w:r w:rsidRPr="004070C7">
          <w:rPr>
            <w:rStyle w:val="Hiperpovezava"/>
            <w:noProof/>
          </w:rPr>
          <w:t>Slika 6.42: Indeks izkoriščanja virov podzemne vode po zaledjih (Slika 6.41) v referenčnem obdobju v poletni in zimski sezoni pri maksimalnem (maks), srednjem (median) in minimalnem (min) napajanju podzemne vode.</w:t>
        </w:r>
        <w:r>
          <w:rPr>
            <w:noProof/>
            <w:webHidden/>
          </w:rPr>
          <w:tab/>
        </w:r>
        <w:r>
          <w:rPr>
            <w:noProof/>
            <w:webHidden/>
          </w:rPr>
          <w:fldChar w:fldCharType="begin"/>
        </w:r>
        <w:r>
          <w:rPr>
            <w:noProof/>
            <w:webHidden/>
          </w:rPr>
          <w:instrText xml:space="preserve"> PAGEREF _Toc97026893 \h </w:instrText>
        </w:r>
        <w:r>
          <w:rPr>
            <w:noProof/>
            <w:webHidden/>
          </w:rPr>
        </w:r>
        <w:r>
          <w:rPr>
            <w:noProof/>
            <w:webHidden/>
          </w:rPr>
          <w:fldChar w:fldCharType="separate"/>
        </w:r>
        <w:r>
          <w:rPr>
            <w:noProof/>
            <w:webHidden/>
          </w:rPr>
          <w:t>219</w:t>
        </w:r>
        <w:r>
          <w:rPr>
            <w:noProof/>
            <w:webHidden/>
          </w:rPr>
          <w:fldChar w:fldCharType="end"/>
        </w:r>
      </w:hyperlink>
    </w:p>
    <w:p w14:paraId="2F88EB85" w14:textId="3F2FB6E1" w:rsidR="007A0276" w:rsidRDefault="007A0276">
      <w:pPr>
        <w:pStyle w:val="Kazaloslik"/>
        <w:tabs>
          <w:tab w:val="right" w:leader="dot" w:pos="9628"/>
        </w:tabs>
        <w:rPr>
          <w:rFonts w:asciiTheme="minorHAnsi" w:eastAsiaTheme="minorEastAsia" w:hAnsiTheme="minorHAnsi"/>
          <w:noProof/>
          <w:lang w:eastAsia="sl-SI"/>
        </w:rPr>
      </w:pPr>
      <w:hyperlink w:anchor="_Toc97026894" w:history="1">
        <w:r w:rsidRPr="004070C7">
          <w:rPr>
            <w:rStyle w:val="Hiperpovezava"/>
            <w:noProof/>
          </w:rPr>
          <w:t>Slika 6.43: Skupni odtok v prihodnjih obdobjih po podnebnih scenarijih RCP4.5 in RCP8.5 za poletno in zimsko polovico leta.</w:t>
        </w:r>
        <w:r>
          <w:rPr>
            <w:noProof/>
            <w:webHidden/>
          </w:rPr>
          <w:tab/>
        </w:r>
        <w:r>
          <w:rPr>
            <w:noProof/>
            <w:webHidden/>
          </w:rPr>
          <w:fldChar w:fldCharType="begin"/>
        </w:r>
        <w:r>
          <w:rPr>
            <w:noProof/>
            <w:webHidden/>
          </w:rPr>
          <w:instrText xml:space="preserve"> PAGEREF _Toc97026894 \h </w:instrText>
        </w:r>
        <w:r>
          <w:rPr>
            <w:noProof/>
            <w:webHidden/>
          </w:rPr>
        </w:r>
        <w:r>
          <w:rPr>
            <w:noProof/>
            <w:webHidden/>
          </w:rPr>
          <w:fldChar w:fldCharType="separate"/>
        </w:r>
        <w:r>
          <w:rPr>
            <w:noProof/>
            <w:webHidden/>
          </w:rPr>
          <w:t>220</w:t>
        </w:r>
        <w:r>
          <w:rPr>
            <w:noProof/>
            <w:webHidden/>
          </w:rPr>
          <w:fldChar w:fldCharType="end"/>
        </w:r>
      </w:hyperlink>
    </w:p>
    <w:p w14:paraId="32C00C42" w14:textId="02B8AE7E" w:rsidR="007A0276" w:rsidRDefault="007A0276">
      <w:pPr>
        <w:pStyle w:val="Kazaloslik"/>
        <w:tabs>
          <w:tab w:val="right" w:leader="dot" w:pos="9628"/>
        </w:tabs>
        <w:rPr>
          <w:rFonts w:asciiTheme="minorHAnsi" w:eastAsiaTheme="minorEastAsia" w:hAnsiTheme="minorHAnsi"/>
          <w:noProof/>
          <w:lang w:eastAsia="sl-SI"/>
        </w:rPr>
      </w:pPr>
      <w:hyperlink w:anchor="_Toc97026895" w:history="1">
        <w:r w:rsidRPr="004070C7">
          <w:rPr>
            <w:rStyle w:val="Hiperpovezava"/>
            <w:noProof/>
          </w:rPr>
          <w:t>Slika 6.44: Prostorska porazdelitev odstopanja skupnega odtoka od referenčnega obdobja 1981 2010 po podnebnem scenariju RCP4.5 za poletno in zimsko polovico leta</w:t>
        </w:r>
        <w:r>
          <w:rPr>
            <w:noProof/>
            <w:webHidden/>
          </w:rPr>
          <w:tab/>
        </w:r>
        <w:r>
          <w:rPr>
            <w:noProof/>
            <w:webHidden/>
          </w:rPr>
          <w:fldChar w:fldCharType="begin"/>
        </w:r>
        <w:r>
          <w:rPr>
            <w:noProof/>
            <w:webHidden/>
          </w:rPr>
          <w:instrText xml:space="preserve"> PAGEREF _Toc97026895 \h </w:instrText>
        </w:r>
        <w:r>
          <w:rPr>
            <w:noProof/>
            <w:webHidden/>
          </w:rPr>
        </w:r>
        <w:r>
          <w:rPr>
            <w:noProof/>
            <w:webHidden/>
          </w:rPr>
          <w:fldChar w:fldCharType="separate"/>
        </w:r>
        <w:r>
          <w:rPr>
            <w:noProof/>
            <w:webHidden/>
          </w:rPr>
          <w:t>221</w:t>
        </w:r>
        <w:r>
          <w:rPr>
            <w:noProof/>
            <w:webHidden/>
          </w:rPr>
          <w:fldChar w:fldCharType="end"/>
        </w:r>
      </w:hyperlink>
    </w:p>
    <w:p w14:paraId="0CA309A2" w14:textId="63CF2BBB" w:rsidR="007A0276" w:rsidRDefault="007A0276">
      <w:pPr>
        <w:pStyle w:val="Kazaloslik"/>
        <w:tabs>
          <w:tab w:val="right" w:leader="dot" w:pos="9628"/>
        </w:tabs>
        <w:rPr>
          <w:rFonts w:asciiTheme="minorHAnsi" w:eastAsiaTheme="minorEastAsia" w:hAnsiTheme="minorHAnsi"/>
          <w:noProof/>
          <w:lang w:eastAsia="sl-SI"/>
        </w:rPr>
      </w:pPr>
      <w:hyperlink w:anchor="_Toc97026896" w:history="1">
        <w:r w:rsidRPr="004070C7">
          <w:rPr>
            <w:rStyle w:val="Hiperpovezava"/>
            <w:noProof/>
          </w:rPr>
          <w:t>Slika 6.45: Prostorska porazdelitev odstopanja skupnega odtoka od referenčnega obdobja 1981 2010 po podnebnem scenariju RCP8.5 za poletno in zimsko polovico leta</w:t>
        </w:r>
        <w:r>
          <w:rPr>
            <w:noProof/>
            <w:webHidden/>
          </w:rPr>
          <w:tab/>
        </w:r>
        <w:r>
          <w:rPr>
            <w:noProof/>
            <w:webHidden/>
          </w:rPr>
          <w:fldChar w:fldCharType="begin"/>
        </w:r>
        <w:r>
          <w:rPr>
            <w:noProof/>
            <w:webHidden/>
          </w:rPr>
          <w:instrText xml:space="preserve"> PAGEREF _Toc97026896 \h </w:instrText>
        </w:r>
        <w:r>
          <w:rPr>
            <w:noProof/>
            <w:webHidden/>
          </w:rPr>
        </w:r>
        <w:r>
          <w:rPr>
            <w:noProof/>
            <w:webHidden/>
          </w:rPr>
          <w:fldChar w:fldCharType="separate"/>
        </w:r>
        <w:r>
          <w:rPr>
            <w:noProof/>
            <w:webHidden/>
          </w:rPr>
          <w:t>222</w:t>
        </w:r>
        <w:r>
          <w:rPr>
            <w:noProof/>
            <w:webHidden/>
          </w:rPr>
          <w:fldChar w:fldCharType="end"/>
        </w:r>
      </w:hyperlink>
    </w:p>
    <w:p w14:paraId="65B55488" w14:textId="276A6E62" w:rsidR="007A0276" w:rsidRDefault="007A0276">
      <w:pPr>
        <w:pStyle w:val="Kazaloslik"/>
        <w:tabs>
          <w:tab w:val="right" w:leader="dot" w:pos="9628"/>
        </w:tabs>
        <w:rPr>
          <w:rFonts w:asciiTheme="minorHAnsi" w:eastAsiaTheme="minorEastAsia" w:hAnsiTheme="minorHAnsi"/>
          <w:noProof/>
          <w:lang w:eastAsia="sl-SI"/>
        </w:rPr>
      </w:pPr>
      <w:hyperlink w:anchor="_Toc97026897" w:history="1">
        <w:r w:rsidRPr="004070C7">
          <w:rPr>
            <w:rStyle w:val="Hiperpovezava"/>
            <w:noProof/>
          </w:rPr>
          <w:t>Slika 6.46: Napajanje podzemne vode v prihodnjih obdobjih po podnebnih scenarijih RCP4.5 in RCP8.5 za poletno in zimsko polovico leta.</w:t>
        </w:r>
        <w:r>
          <w:rPr>
            <w:noProof/>
            <w:webHidden/>
          </w:rPr>
          <w:tab/>
        </w:r>
        <w:r>
          <w:rPr>
            <w:noProof/>
            <w:webHidden/>
          </w:rPr>
          <w:fldChar w:fldCharType="begin"/>
        </w:r>
        <w:r>
          <w:rPr>
            <w:noProof/>
            <w:webHidden/>
          </w:rPr>
          <w:instrText xml:space="preserve"> PAGEREF _Toc97026897 \h </w:instrText>
        </w:r>
        <w:r>
          <w:rPr>
            <w:noProof/>
            <w:webHidden/>
          </w:rPr>
        </w:r>
        <w:r>
          <w:rPr>
            <w:noProof/>
            <w:webHidden/>
          </w:rPr>
          <w:fldChar w:fldCharType="separate"/>
        </w:r>
        <w:r>
          <w:rPr>
            <w:noProof/>
            <w:webHidden/>
          </w:rPr>
          <w:t>224</w:t>
        </w:r>
        <w:r>
          <w:rPr>
            <w:noProof/>
            <w:webHidden/>
          </w:rPr>
          <w:fldChar w:fldCharType="end"/>
        </w:r>
      </w:hyperlink>
    </w:p>
    <w:p w14:paraId="7878C696" w14:textId="74128BE7" w:rsidR="007A0276" w:rsidRDefault="007A0276">
      <w:pPr>
        <w:pStyle w:val="Kazaloslik"/>
        <w:tabs>
          <w:tab w:val="right" w:leader="dot" w:pos="9628"/>
        </w:tabs>
        <w:rPr>
          <w:rFonts w:asciiTheme="minorHAnsi" w:eastAsiaTheme="minorEastAsia" w:hAnsiTheme="minorHAnsi"/>
          <w:noProof/>
          <w:lang w:eastAsia="sl-SI"/>
        </w:rPr>
      </w:pPr>
      <w:hyperlink w:anchor="_Toc97026898" w:history="1">
        <w:r w:rsidRPr="004070C7">
          <w:rPr>
            <w:rStyle w:val="Hiperpovezava"/>
            <w:noProof/>
          </w:rPr>
          <w:t>Slika 6.47: Prostorska porazdelitev odstopanja napajanja podzemne vode od referenčnega obdobja 1981 2010 po podnebnem scenariju RCP4.5 za poletno in zimsko polovico leta</w:t>
        </w:r>
        <w:r>
          <w:rPr>
            <w:noProof/>
            <w:webHidden/>
          </w:rPr>
          <w:tab/>
        </w:r>
        <w:r>
          <w:rPr>
            <w:noProof/>
            <w:webHidden/>
          </w:rPr>
          <w:fldChar w:fldCharType="begin"/>
        </w:r>
        <w:r>
          <w:rPr>
            <w:noProof/>
            <w:webHidden/>
          </w:rPr>
          <w:instrText xml:space="preserve"> PAGEREF _Toc97026898 \h </w:instrText>
        </w:r>
        <w:r>
          <w:rPr>
            <w:noProof/>
            <w:webHidden/>
          </w:rPr>
        </w:r>
        <w:r>
          <w:rPr>
            <w:noProof/>
            <w:webHidden/>
          </w:rPr>
          <w:fldChar w:fldCharType="separate"/>
        </w:r>
        <w:r>
          <w:rPr>
            <w:noProof/>
            <w:webHidden/>
          </w:rPr>
          <w:t>224</w:t>
        </w:r>
        <w:r>
          <w:rPr>
            <w:noProof/>
            <w:webHidden/>
          </w:rPr>
          <w:fldChar w:fldCharType="end"/>
        </w:r>
      </w:hyperlink>
    </w:p>
    <w:p w14:paraId="4C6758E2" w14:textId="104EAB10" w:rsidR="007A0276" w:rsidRDefault="007A0276">
      <w:pPr>
        <w:pStyle w:val="Kazaloslik"/>
        <w:tabs>
          <w:tab w:val="right" w:leader="dot" w:pos="9628"/>
        </w:tabs>
        <w:rPr>
          <w:rFonts w:asciiTheme="minorHAnsi" w:eastAsiaTheme="minorEastAsia" w:hAnsiTheme="minorHAnsi"/>
          <w:noProof/>
          <w:lang w:eastAsia="sl-SI"/>
        </w:rPr>
      </w:pPr>
      <w:hyperlink w:anchor="_Toc97026899" w:history="1">
        <w:r w:rsidRPr="004070C7">
          <w:rPr>
            <w:rStyle w:val="Hiperpovezava"/>
            <w:noProof/>
          </w:rPr>
          <w:t>Slika 6.48: Prostorska porazdelitev odstopanja napajanja podzemne vode od referenčnega obdobja 1981 2010 po podnebnem scenariju RCP8.5 za poletno in zimsko polovico leta</w:t>
        </w:r>
        <w:r>
          <w:rPr>
            <w:noProof/>
            <w:webHidden/>
          </w:rPr>
          <w:tab/>
        </w:r>
        <w:r>
          <w:rPr>
            <w:noProof/>
            <w:webHidden/>
          </w:rPr>
          <w:fldChar w:fldCharType="begin"/>
        </w:r>
        <w:r>
          <w:rPr>
            <w:noProof/>
            <w:webHidden/>
          </w:rPr>
          <w:instrText xml:space="preserve"> PAGEREF _Toc97026899 \h </w:instrText>
        </w:r>
        <w:r>
          <w:rPr>
            <w:noProof/>
            <w:webHidden/>
          </w:rPr>
        </w:r>
        <w:r>
          <w:rPr>
            <w:noProof/>
            <w:webHidden/>
          </w:rPr>
          <w:fldChar w:fldCharType="separate"/>
        </w:r>
        <w:r>
          <w:rPr>
            <w:noProof/>
            <w:webHidden/>
          </w:rPr>
          <w:t>225</w:t>
        </w:r>
        <w:r>
          <w:rPr>
            <w:noProof/>
            <w:webHidden/>
          </w:rPr>
          <w:fldChar w:fldCharType="end"/>
        </w:r>
      </w:hyperlink>
    </w:p>
    <w:p w14:paraId="33C9C1A0" w14:textId="3DC39432" w:rsidR="007A0276" w:rsidRDefault="007A0276">
      <w:pPr>
        <w:pStyle w:val="Kazaloslik"/>
        <w:tabs>
          <w:tab w:val="right" w:leader="dot" w:pos="9628"/>
        </w:tabs>
        <w:rPr>
          <w:rFonts w:asciiTheme="minorHAnsi" w:eastAsiaTheme="minorEastAsia" w:hAnsiTheme="minorHAnsi"/>
          <w:noProof/>
          <w:lang w:eastAsia="sl-SI"/>
        </w:rPr>
      </w:pPr>
      <w:hyperlink w:anchor="_Toc97026900" w:history="1">
        <w:r w:rsidRPr="004070C7">
          <w:rPr>
            <w:rStyle w:val="Hiperpovezava"/>
            <w:noProof/>
          </w:rPr>
          <w:t>Slika 6.49: Shematski prikaz ocene ranljivosti posameznih segmentov sektorja vodnih virov v referenčnem obdobju (rumena) in v prihodnosti (rdeča).</w:t>
        </w:r>
        <w:r>
          <w:rPr>
            <w:noProof/>
            <w:webHidden/>
          </w:rPr>
          <w:tab/>
        </w:r>
        <w:r>
          <w:rPr>
            <w:noProof/>
            <w:webHidden/>
          </w:rPr>
          <w:fldChar w:fldCharType="begin"/>
        </w:r>
        <w:r>
          <w:rPr>
            <w:noProof/>
            <w:webHidden/>
          </w:rPr>
          <w:instrText xml:space="preserve"> PAGEREF _Toc97026900 \h </w:instrText>
        </w:r>
        <w:r>
          <w:rPr>
            <w:noProof/>
            <w:webHidden/>
          </w:rPr>
        </w:r>
        <w:r>
          <w:rPr>
            <w:noProof/>
            <w:webHidden/>
          </w:rPr>
          <w:fldChar w:fldCharType="separate"/>
        </w:r>
        <w:r>
          <w:rPr>
            <w:noProof/>
            <w:webHidden/>
          </w:rPr>
          <w:t>229</w:t>
        </w:r>
        <w:r>
          <w:rPr>
            <w:noProof/>
            <w:webHidden/>
          </w:rPr>
          <w:fldChar w:fldCharType="end"/>
        </w:r>
      </w:hyperlink>
    </w:p>
    <w:p w14:paraId="5E15E3B3" w14:textId="56654101" w:rsidR="007A0276" w:rsidRDefault="007A0276">
      <w:pPr>
        <w:pStyle w:val="Kazaloslik"/>
        <w:tabs>
          <w:tab w:val="right" w:leader="dot" w:pos="9628"/>
        </w:tabs>
        <w:rPr>
          <w:rFonts w:asciiTheme="minorHAnsi" w:eastAsiaTheme="minorEastAsia" w:hAnsiTheme="minorHAnsi"/>
          <w:noProof/>
          <w:lang w:eastAsia="sl-SI"/>
        </w:rPr>
      </w:pPr>
      <w:hyperlink w:anchor="_Toc97026901" w:history="1">
        <w:r w:rsidRPr="004070C7">
          <w:rPr>
            <w:rStyle w:val="Hiperpovezava"/>
            <w:noProof/>
          </w:rPr>
          <w:t>Slika 6.50: Vodovodni sistemi v Mestni Občini Nova Gorica – severni del  (Vir ZKGJI).</w:t>
        </w:r>
        <w:r>
          <w:rPr>
            <w:noProof/>
            <w:webHidden/>
          </w:rPr>
          <w:tab/>
        </w:r>
        <w:r>
          <w:rPr>
            <w:noProof/>
            <w:webHidden/>
          </w:rPr>
          <w:fldChar w:fldCharType="begin"/>
        </w:r>
        <w:r>
          <w:rPr>
            <w:noProof/>
            <w:webHidden/>
          </w:rPr>
          <w:instrText xml:space="preserve"> PAGEREF _Toc97026901 \h </w:instrText>
        </w:r>
        <w:r>
          <w:rPr>
            <w:noProof/>
            <w:webHidden/>
          </w:rPr>
        </w:r>
        <w:r>
          <w:rPr>
            <w:noProof/>
            <w:webHidden/>
          </w:rPr>
          <w:fldChar w:fldCharType="separate"/>
        </w:r>
        <w:r>
          <w:rPr>
            <w:noProof/>
            <w:webHidden/>
          </w:rPr>
          <w:t>242</w:t>
        </w:r>
        <w:r>
          <w:rPr>
            <w:noProof/>
            <w:webHidden/>
          </w:rPr>
          <w:fldChar w:fldCharType="end"/>
        </w:r>
      </w:hyperlink>
    </w:p>
    <w:p w14:paraId="08CD3C4C" w14:textId="07870B48" w:rsidR="007A0276" w:rsidRDefault="007A0276">
      <w:pPr>
        <w:pStyle w:val="Kazaloslik"/>
        <w:tabs>
          <w:tab w:val="right" w:leader="dot" w:pos="9628"/>
        </w:tabs>
        <w:rPr>
          <w:rFonts w:asciiTheme="minorHAnsi" w:eastAsiaTheme="minorEastAsia" w:hAnsiTheme="minorHAnsi"/>
          <w:noProof/>
          <w:lang w:eastAsia="sl-SI"/>
        </w:rPr>
      </w:pPr>
      <w:hyperlink w:anchor="_Toc97026902" w:history="1">
        <w:r w:rsidRPr="004070C7">
          <w:rPr>
            <w:rStyle w:val="Hiperpovezava"/>
            <w:noProof/>
          </w:rPr>
          <w:t>Slika 6.51: Vodovodni sistemi v Mestni Občini Nova Gorica – južni del (Vir ZKGJI).</w:t>
        </w:r>
        <w:r>
          <w:rPr>
            <w:noProof/>
            <w:webHidden/>
          </w:rPr>
          <w:tab/>
        </w:r>
        <w:r>
          <w:rPr>
            <w:noProof/>
            <w:webHidden/>
          </w:rPr>
          <w:fldChar w:fldCharType="begin"/>
        </w:r>
        <w:r>
          <w:rPr>
            <w:noProof/>
            <w:webHidden/>
          </w:rPr>
          <w:instrText xml:space="preserve"> PAGEREF _Toc97026902 \h </w:instrText>
        </w:r>
        <w:r>
          <w:rPr>
            <w:noProof/>
            <w:webHidden/>
          </w:rPr>
        </w:r>
        <w:r>
          <w:rPr>
            <w:noProof/>
            <w:webHidden/>
          </w:rPr>
          <w:fldChar w:fldCharType="separate"/>
        </w:r>
        <w:r>
          <w:rPr>
            <w:noProof/>
            <w:webHidden/>
          </w:rPr>
          <w:t>243</w:t>
        </w:r>
        <w:r>
          <w:rPr>
            <w:noProof/>
            <w:webHidden/>
          </w:rPr>
          <w:fldChar w:fldCharType="end"/>
        </w:r>
      </w:hyperlink>
    </w:p>
    <w:p w14:paraId="448EE329" w14:textId="1F79CF08" w:rsidR="007A0276" w:rsidRDefault="007A0276">
      <w:pPr>
        <w:pStyle w:val="Kazaloslik"/>
        <w:tabs>
          <w:tab w:val="right" w:leader="dot" w:pos="9628"/>
        </w:tabs>
        <w:rPr>
          <w:rFonts w:asciiTheme="minorHAnsi" w:eastAsiaTheme="minorEastAsia" w:hAnsiTheme="minorHAnsi"/>
          <w:noProof/>
          <w:lang w:eastAsia="sl-SI"/>
        </w:rPr>
      </w:pPr>
      <w:hyperlink w:anchor="_Toc97026903" w:history="1">
        <w:r w:rsidRPr="004070C7">
          <w:rPr>
            <w:rStyle w:val="Hiperpovezava"/>
            <w:noProof/>
          </w:rPr>
          <w:t>Slika 6.52: Prikaz identificiranih delov vodovodnega sistema na katerih je mogoče pričakovati težave s povišano temperaturo: Vitovlje.</w:t>
        </w:r>
        <w:r>
          <w:rPr>
            <w:noProof/>
            <w:webHidden/>
          </w:rPr>
          <w:tab/>
        </w:r>
        <w:r>
          <w:rPr>
            <w:noProof/>
            <w:webHidden/>
          </w:rPr>
          <w:fldChar w:fldCharType="begin"/>
        </w:r>
        <w:r>
          <w:rPr>
            <w:noProof/>
            <w:webHidden/>
          </w:rPr>
          <w:instrText xml:space="preserve"> PAGEREF _Toc97026903 \h </w:instrText>
        </w:r>
        <w:r>
          <w:rPr>
            <w:noProof/>
            <w:webHidden/>
          </w:rPr>
        </w:r>
        <w:r>
          <w:rPr>
            <w:noProof/>
            <w:webHidden/>
          </w:rPr>
          <w:fldChar w:fldCharType="separate"/>
        </w:r>
        <w:r>
          <w:rPr>
            <w:noProof/>
            <w:webHidden/>
          </w:rPr>
          <w:t>250</w:t>
        </w:r>
        <w:r>
          <w:rPr>
            <w:noProof/>
            <w:webHidden/>
          </w:rPr>
          <w:fldChar w:fldCharType="end"/>
        </w:r>
      </w:hyperlink>
    </w:p>
    <w:p w14:paraId="38AD7489" w14:textId="4A1C3E1B" w:rsidR="007A0276" w:rsidRDefault="007A0276">
      <w:pPr>
        <w:pStyle w:val="Kazaloslik"/>
        <w:tabs>
          <w:tab w:val="right" w:leader="dot" w:pos="9628"/>
        </w:tabs>
        <w:rPr>
          <w:rFonts w:asciiTheme="minorHAnsi" w:eastAsiaTheme="minorEastAsia" w:hAnsiTheme="minorHAnsi"/>
          <w:noProof/>
          <w:lang w:eastAsia="sl-SI"/>
        </w:rPr>
      </w:pPr>
      <w:hyperlink w:anchor="_Toc97026904" w:history="1">
        <w:r w:rsidRPr="004070C7">
          <w:rPr>
            <w:rStyle w:val="Hiperpovezava"/>
            <w:noProof/>
          </w:rPr>
          <w:t>Slika 6.53: Prikaz identificiranih delov vodovodnega sistema na katerih je mogoče pričakovati težave s povišano temperaturo: Gradišče nad Prvačino, Potok pri Dornberku, Preserje, Brje, Pedrovo, Spodnja Branica.</w:t>
        </w:r>
        <w:r>
          <w:rPr>
            <w:noProof/>
            <w:webHidden/>
          </w:rPr>
          <w:tab/>
        </w:r>
        <w:r>
          <w:rPr>
            <w:noProof/>
            <w:webHidden/>
          </w:rPr>
          <w:fldChar w:fldCharType="begin"/>
        </w:r>
        <w:r>
          <w:rPr>
            <w:noProof/>
            <w:webHidden/>
          </w:rPr>
          <w:instrText xml:space="preserve"> PAGEREF _Toc97026904 \h </w:instrText>
        </w:r>
        <w:r>
          <w:rPr>
            <w:noProof/>
            <w:webHidden/>
          </w:rPr>
        </w:r>
        <w:r>
          <w:rPr>
            <w:noProof/>
            <w:webHidden/>
          </w:rPr>
          <w:fldChar w:fldCharType="separate"/>
        </w:r>
        <w:r>
          <w:rPr>
            <w:noProof/>
            <w:webHidden/>
          </w:rPr>
          <w:t>251</w:t>
        </w:r>
        <w:r>
          <w:rPr>
            <w:noProof/>
            <w:webHidden/>
          </w:rPr>
          <w:fldChar w:fldCharType="end"/>
        </w:r>
      </w:hyperlink>
    </w:p>
    <w:p w14:paraId="715C8109" w14:textId="2C54B1F0" w:rsidR="007A0276" w:rsidRDefault="007A0276">
      <w:pPr>
        <w:pStyle w:val="Kazaloslik"/>
        <w:tabs>
          <w:tab w:val="right" w:leader="dot" w:pos="9628"/>
        </w:tabs>
        <w:rPr>
          <w:rFonts w:asciiTheme="minorHAnsi" w:eastAsiaTheme="minorEastAsia" w:hAnsiTheme="minorHAnsi"/>
          <w:noProof/>
          <w:lang w:eastAsia="sl-SI"/>
        </w:rPr>
      </w:pPr>
      <w:hyperlink w:anchor="_Toc97026905" w:history="1">
        <w:r w:rsidRPr="004070C7">
          <w:rPr>
            <w:rStyle w:val="Hiperpovezava"/>
            <w:noProof/>
          </w:rPr>
          <w:t>Slika 6.54: Trend povečane temperature tal za toplo polovico leta (april, september) za globino 100 cm (ARSO 2015).</w:t>
        </w:r>
        <w:r>
          <w:rPr>
            <w:noProof/>
            <w:webHidden/>
          </w:rPr>
          <w:tab/>
        </w:r>
        <w:r>
          <w:rPr>
            <w:noProof/>
            <w:webHidden/>
          </w:rPr>
          <w:fldChar w:fldCharType="begin"/>
        </w:r>
        <w:r>
          <w:rPr>
            <w:noProof/>
            <w:webHidden/>
          </w:rPr>
          <w:instrText xml:space="preserve"> PAGEREF _Toc97026905 \h </w:instrText>
        </w:r>
        <w:r>
          <w:rPr>
            <w:noProof/>
            <w:webHidden/>
          </w:rPr>
        </w:r>
        <w:r>
          <w:rPr>
            <w:noProof/>
            <w:webHidden/>
          </w:rPr>
          <w:fldChar w:fldCharType="separate"/>
        </w:r>
        <w:r>
          <w:rPr>
            <w:noProof/>
            <w:webHidden/>
          </w:rPr>
          <w:t>252</w:t>
        </w:r>
        <w:r>
          <w:rPr>
            <w:noProof/>
            <w:webHidden/>
          </w:rPr>
          <w:fldChar w:fldCharType="end"/>
        </w:r>
      </w:hyperlink>
    </w:p>
    <w:p w14:paraId="04CF2B3D" w14:textId="77E1B39D" w:rsidR="007A0276" w:rsidRDefault="007A0276">
      <w:pPr>
        <w:pStyle w:val="Kazaloslik"/>
        <w:tabs>
          <w:tab w:val="right" w:leader="dot" w:pos="9628"/>
        </w:tabs>
        <w:rPr>
          <w:rFonts w:asciiTheme="minorHAnsi" w:eastAsiaTheme="minorEastAsia" w:hAnsiTheme="minorHAnsi"/>
          <w:noProof/>
          <w:lang w:eastAsia="sl-SI"/>
        </w:rPr>
      </w:pPr>
      <w:hyperlink w:anchor="_Toc97026906" w:history="1">
        <w:r w:rsidRPr="004070C7">
          <w:rPr>
            <w:rStyle w:val="Hiperpovezava"/>
            <w:noProof/>
          </w:rPr>
          <w:t>Slika 6.55: Analizirana pojavnost zemeljskih plazov v Sloveniji (vir: Projekt MASPREM)</w:t>
        </w:r>
        <w:r>
          <w:rPr>
            <w:noProof/>
            <w:webHidden/>
          </w:rPr>
          <w:tab/>
        </w:r>
        <w:r>
          <w:rPr>
            <w:noProof/>
            <w:webHidden/>
          </w:rPr>
          <w:fldChar w:fldCharType="begin"/>
        </w:r>
        <w:r>
          <w:rPr>
            <w:noProof/>
            <w:webHidden/>
          </w:rPr>
          <w:instrText xml:space="preserve"> PAGEREF _Toc97026906 \h </w:instrText>
        </w:r>
        <w:r>
          <w:rPr>
            <w:noProof/>
            <w:webHidden/>
          </w:rPr>
        </w:r>
        <w:r>
          <w:rPr>
            <w:noProof/>
            <w:webHidden/>
          </w:rPr>
          <w:fldChar w:fldCharType="separate"/>
        </w:r>
        <w:r>
          <w:rPr>
            <w:noProof/>
            <w:webHidden/>
          </w:rPr>
          <w:t>253</w:t>
        </w:r>
        <w:r>
          <w:rPr>
            <w:noProof/>
            <w:webHidden/>
          </w:rPr>
          <w:fldChar w:fldCharType="end"/>
        </w:r>
      </w:hyperlink>
    </w:p>
    <w:p w14:paraId="1ABA651B" w14:textId="1C80141E" w:rsidR="007A0276" w:rsidRDefault="007A0276">
      <w:pPr>
        <w:pStyle w:val="Kazaloslik"/>
        <w:tabs>
          <w:tab w:val="right" w:leader="dot" w:pos="9628"/>
        </w:tabs>
        <w:rPr>
          <w:rFonts w:asciiTheme="minorHAnsi" w:eastAsiaTheme="minorEastAsia" w:hAnsiTheme="minorHAnsi"/>
          <w:noProof/>
          <w:lang w:eastAsia="sl-SI"/>
        </w:rPr>
      </w:pPr>
      <w:hyperlink w:anchor="_Toc97026907" w:history="1">
        <w:r w:rsidRPr="004070C7">
          <w:rPr>
            <w:rStyle w:val="Hiperpovezava"/>
            <w:noProof/>
          </w:rPr>
          <w:t>Slika 6.56Verjetnost pojavljanja Plazov v Mestni občini Nova Gorica (GeoZS, 2005)</w:t>
        </w:r>
        <w:r>
          <w:rPr>
            <w:noProof/>
            <w:webHidden/>
          </w:rPr>
          <w:tab/>
        </w:r>
        <w:r>
          <w:rPr>
            <w:noProof/>
            <w:webHidden/>
          </w:rPr>
          <w:fldChar w:fldCharType="begin"/>
        </w:r>
        <w:r>
          <w:rPr>
            <w:noProof/>
            <w:webHidden/>
          </w:rPr>
          <w:instrText xml:space="preserve"> PAGEREF _Toc97026907 \h </w:instrText>
        </w:r>
        <w:r>
          <w:rPr>
            <w:noProof/>
            <w:webHidden/>
          </w:rPr>
        </w:r>
        <w:r>
          <w:rPr>
            <w:noProof/>
            <w:webHidden/>
          </w:rPr>
          <w:fldChar w:fldCharType="separate"/>
        </w:r>
        <w:r>
          <w:rPr>
            <w:noProof/>
            <w:webHidden/>
          </w:rPr>
          <w:t>254</w:t>
        </w:r>
        <w:r>
          <w:rPr>
            <w:noProof/>
            <w:webHidden/>
          </w:rPr>
          <w:fldChar w:fldCharType="end"/>
        </w:r>
      </w:hyperlink>
    </w:p>
    <w:p w14:paraId="7BC57B25" w14:textId="0DE6F208" w:rsidR="007A0276" w:rsidRDefault="007A0276">
      <w:pPr>
        <w:pStyle w:val="Kazaloslik"/>
        <w:tabs>
          <w:tab w:val="right" w:leader="dot" w:pos="9628"/>
        </w:tabs>
        <w:rPr>
          <w:rFonts w:asciiTheme="minorHAnsi" w:eastAsiaTheme="minorEastAsia" w:hAnsiTheme="minorHAnsi"/>
          <w:noProof/>
          <w:lang w:eastAsia="sl-SI"/>
        </w:rPr>
      </w:pPr>
      <w:hyperlink w:anchor="_Toc97026908" w:history="1">
        <w:r w:rsidRPr="004070C7">
          <w:rPr>
            <w:rStyle w:val="Hiperpovezava"/>
            <w:noProof/>
          </w:rPr>
          <w:t>Slika 6.57: Shematski prikaz ocene ranljivosti posameznih segmentov sektorja vodovodni sistemi v referenčnem obdobju in v prihodnosti</w:t>
        </w:r>
        <w:r>
          <w:rPr>
            <w:noProof/>
            <w:webHidden/>
          </w:rPr>
          <w:tab/>
        </w:r>
        <w:r>
          <w:rPr>
            <w:noProof/>
            <w:webHidden/>
          </w:rPr>
          <w:fldChar w:fldCharType="begin"/>
        </w:r>
        <w:r>
          <w:rPr>
            <w:noProof/>
            <w:webHidden/>
          </w:rPr>
          <w:instrText xml:space="preserve"> PAGEREF _Toc97026908 \h </w:instrText>
        </w:r>
        <w:r>
          <w:rPr>
            <w:noProof/>
            <w:webHidden/>
          </w:rPr>
        </w:r>
        <w:r>
          <w:rPr>
            <w:noProof/>
            <w:webHidden/>
          </w:rPr>
          <w:fldChar w:fldCharType="separate"/>
        </w:r>
        <w:r>
          <w:rPr>
            <w:noProof/>
            <w:webHidden/>
          </w:rPr>
          <w:t>260</w:t>
        </w:r>
        <w:r>
          <w:rPr>
            <w:noProof/>
            <w:webHidden/>
          </w:rPr>
          <w:fldChar w:fldCharType="end"/>
        </w:r>
      </w:hyperlink>
    </w:p>
    <w:p w14:paraId="62123F70" w14:textId="015588EC" w:rsidR="007A0276" w:rsidRDefault="007A0276">
      <w:pPr>
        <w:pStyle w:val="Kazaloslik"/>
        <w:tabs>
          <w:tab w:val="right" w:leader="dot" w:pos="9628"/>
        </w:tabs>
        <w:rPr>
          <w:rFonts w:asciiTheme="minorHAnsi" w:eastAsiaTheme="minorEastAsia" w:hAnsiTheme="minorHAnsi"/>
          <w:noProof/>
          <w:lang w:eastAsia="sl-SI"/>
        </w:rPr>
      </w:pPr>
      <w:hyperlink w:anchor="_Toc97026909" w:history="1">
        <w:r w:rsidRPr="004070C7">
          <w:rPr>
            <w:rStyle w:val="Hiperpovezava"/>
            <w:noProof/>
          </w:rPr>
          <w:t>Slika 6.58: Poplave – Vas Potok pri Dornberku (vir:primorske.si Ambrož Sardoč)</w:t>
        </w:r>
        <w:r>
          <w:rPr>
            <w:noProof/>
            <w:webHidden/>
          </w:rPr>
          <w:tab/>
        </w:r>
        <w:r>
          <w:rPr>
            <w:noProof/>
            <w:webHidden/>
          </w:rPr>
          <w:fldChar w:fldCharType="begin"/>
        </w:r>
        <w:r>
          <w:rPr>
            <w:noProof/>
            <w:webHidden/>
          </w:rPr>
          <w:instrText xml:space="preserve"> PAGEREF _Toc97026909 \h </w:instrText>
        </w:r>
        <w:r>
          <w:rPr>
            <w:noProof/>
            <w:webHidden/>
          </w:rPr>
        </w:r>
        <w:r>
          <w:rPr>
            <w:noProof/>
            <w:webHidden/>
          </w:rPr>
          <w:fldChar w:fldCharType="separate"/>
        </w:r>
        <w:r>
          <w:rPr>
            <w:noProof/>
            <w:webHidden/>
          </w:rPr>
          <w:t>263</w:t>
        </w:r>
        <w:r>
          <w:rPr>
            <w:noProof/>
            <w:webHidden/>
          </w:rPr>
          <w:fldChar w:fldCharType="end"/>
        </w:r>
      </w:hyperlink>
    </w:p>
    <w:p w14:paraId="71189569" w14:textId="228D478D" w:rsidR="007A0276" w:rsidRDefault="007A0276">
      <w:pPr>
        <w:pStyle w:val="Kazaloslik"/>
        <w:tabs>
          <w:tab w:val="right" w:leader="dot" w:pos="9628"/>
        </w:tabs>
        <w:rPr>
          <w:rFonts w:asciiTheme="minorHAnsi" w:eastAsiaTheme="minorEastAsia" w:hAnsiTheme="minorHAnsi"/>
          <w:noProof/>
          <w:lang w:eastAsia="sl-SI"/>
        </w:rPr>
      </w:pPr>
      <w:hyperlink w:anchor="_Toc97026910" w:history="1">
        <w:r w:rsidRPr="004070C7">
          <w:rPr>
            <w:rStyle w:val="Hiperpovezava"/>
            <w:noProof/>
          </w:rPr>
          <w:t>Slika 6.59: Mehanizem opredeljevanja poplavnih škod kot verjetnostne kombinacije ranljivosti (S-h), povratne dobe pretokov (Q-P) in hidravličnih karakteristik pretočnih profilov(h-Q) (Banovec 2016).</w:t>
        </w:r>
        <w:r>
          <w:rPr>
            <w:noProof/>
            <w:webHidden/>
          </w:rPr>
          <w:tab/>
        </w:r>
        <w:r>
          <w:rPr>
            <w:noProof/>
            <w:webHidden/>
          </w:rPr>
          <w:fldChar w:fldCharType="begin"/>
        </w:r>
        <w:r>
          <w:rPr>
            <w:noProof/>
            <w:webHidden/>
          </w:rPr>
          <w:instrText xml:space="preserve"> PAGEREF _Toc97026910 \h </w:instrText>
        </w:r>
        <w:r>
          <w:rPr>
            <w:noProof/>
            <w:webHidden/>
          </w:rPr>
        </w:r>
        <w:r>
          <w:rPr>
            <w:noProof/>
            <w:webHidden/>
          </w:rPr>
          <w:fldChar w:fldCharType="separate"/>
        </w:r>
        <w:r>
          <w:rPr>
            <w:noProof/>
            <w:webHidden/>
          </w:rPr>
          <w:t>264</w:t>
        </w:r>
        <w:r>
          <w:rPr>
            <w:noProof/>
            <w:webHidden/>
          </w:rPr>
          <w:fldChar w:fldCharType="end"/>
        </w:r>
      </w:hyperlink>
    </w:p>
    <w:p w14:paraId="5728C24C" w14:textId="295A912E" w:rsidR="007A0276" w:rsidRDefault="007A0276">
      <w:pPr>
        <w:pStyle w:val="Kazaloslik"/>
        <w:tabs>
          <w:tab w:val="right" w:leader="dot" w:pos="9628"/>
        </w:tabs>
        <w:rPr>
          <w:rFonts w:asciiTheme="minorHAnsi" w:eastAsiaTheme="minorEastAsia" w:hAnsiTheme="minorHAnsi"/>
          <w:noProof/>
          <w:lang w:eastAsia="sl-SI"/>
        </w:rPr>
      </w:pPr>
      <w:hyperlink w:anchor="_Toc97026911" w:history="1">
        <w:r w:rsidRPr="004070C7">
          <w:rPr>
            <w:rStyle w:val="Hiperpovezava"/>
            <w:noProof/>
          </w:rPr>
          <w:t>Slika 6.60: Opredelitev oblike škode zaradi poplav in načina njenega merjenja (Banovec, 2016)</w:t>
        </w:r>
        <w:r>
          <w:rPr>
            <w:noProof/>
            <w:webHidden/>
          </w:rPr>
          <w:tab/>
        </w:r>
        <w:r>
          <w:rPr>
            <w:noProof/>
            <w:webHidden/>
          </w:rPr>
          <w:fldChar w:fldCharType="begin"/>
        </w:r>
        <w:r>
          <w:rPr>
            <w:noProof/>
            <w:webHidden/>
          </w:rPr>
          <w:instrText xml:space="preserve"> PAGEREF _Toc97026911 \h </w:instrText>
        </w:r>
        <w:r>
          <w:rPr>
            <w:noProof/>
            <w:webHidden/>
          </w:rPr>
        </w:r>
        <w:r>
          <w:rPr>
            <w:noProof/>
            <w:webHidden/>
          </w:rPr>
          <w:fldChar w:fldCharType="separate"/>
        </w:r>
        <w:r>
          <w:rPr>
            <w:noProof/>
            <w:webHidden/>
          </w:rPr>
          <w:t>265</w:t>
        </w:r>
        <w:r>
          <w:rPr>
            <w:noProof/>
            <w:webHidden/>
          </w:rPr>
          <w:fldChar w:fldCharType="end"/>
        </w:r>
      </w:hyperlink>
    </w:p>
    <w:p w14:paraId="51B2BFD7" w14:textId="44BF55B1" w:rsidR="007A0276" w:rsidRDefault="007A0276">
      <w:pPr>
        <w:pStyle w:val="Kazaloslik"/>
        <w:tabs>
          <w:tab w:val="right" w:leader="dot" w:pos="9628"/>
        </w:tabs>
        <w:rPr>
          <w:rFonts w:asciiTheme="minorHAnsi" w:eastAsiaTheme="minorEastAsia" w:hAnsiTheme="minorHAnsi"/>
          <w:noProof/>
          <w:lang w:eastAsia="sl-SI"/>
        </w:rPr>
      </w:pPr>
      <w:hyperlink w:anchor="_Toc97026912" w:history="1">
        <w:r w:rsidRPr="004070C7">
          <w:rPr>
            <w:rStyle w:val="Hiperpovezava"/>
            <w:noProof/>
          </w:rPr>
          <w:t>Slika 6.61: Prikaz lokacij načrtovanih vzdrževalnih del za območje Mestne občine Nova Gorica (severni del občine) za leto 2018 (vir: DRSV – EU EIONET CIRCA).</w:t>
        </w:r>
        <w:r>
          <w:rPr>
            <w:noProof/>
            <w:webHidden/>
          </w:rPr>
          <w:tab/>
        </w:r>
        <w:r>
          <w:rPr>
            <w:noProof/>
            <w:webHidden/>
          </w:rPr>
          <w:fldChar w:fldCharType="begin"/>
        </w:r>
        <w:r>
          <w:rPr>
            <w:noProof/>
            <w:webHidden/>
          </w:rPr>
          <w:instrText xml:space="preserve"> PAGEREF _Toc97026912 \h </w:instrText>
        </w:r>
        <w:r>
          <w:rPr>
            <w:noProof/>
            <w:webHidden/>
          </w:rPr>
        </w:r>
        <w:r>
          <w:rPr>
            <w:noProof/>
            <w:webHidden/>
          </w:rPr>
          <w:fldChar w:fldCharType="separate"/>
        </w:r>
        <w:r>
          <w:rPr>
            <w:noProof/>
            <w:webHidden/>
          </w:rPr>
          <w:t>266</w:t>
        </w:r>
        <w:r>
          <w:rPr>
            <w:noProof/>
            <w:webHidden/>
          </w:rPr>
          <w:fldChar w:fldCharType="end"/>
        </w:r>
      </w:hyperlink>
    </w:p>
    <w:p w14:paraId="517679F7" w14:textId="163DB54F" w:rsidR="007A0276" w:rsidRDefault="007A0276">
      <w:pPr>
        <w:pStyle w:val="Kazaloslik"/>
        <w:tabs>
          <w:tab w:val="right" w:leader="dot" w:pos="9628"/>
        </w:tabs>
        <w:rPr>
          <w:rFonts w:asciiTheme="minorHAnsi" w:eastAsiaTheme="minorEastAsia" w:hAnsiTheme="minorHAnsi"/>
          <w:noProof/>
          <w:lang w:eastAsia="sl-SI"/>
        </w:rPr>
      </w:pPr>
      <w:hyperlink w:anchor="_Toc97026913" w:history="1">
        <w:r w:rsidRPr="004070C7">
          <w:rPr>
            <w:rStyle w:val="Hiperpovezava"/>
            <w:noProof/>
          </w:rPr>
          <w:t>Slika 6.62: Prikaz lokacij načrtovanih vzdrževalnih del za območje Mestne občine Nova Gorica (južni del občine) za leto 2018 (vir: DRSV – EU EIONET CIRCA).</w:t>
        </w:r>
        <w:r>
          <w:rPr>
            <w:noProof/>
            <w:webHidden/>
          </w:rPr>
          <w:tab/>
        </w:r>
        <w:r>
          <w:rPr>
            <w:noProof/>
            <w:webHidden/>
          </w:rPr>
          <w:fldChar w:fldCharType="begin"/>
        </w:r>
        <w:r>
          <w:rPr>
            <w:noProof/>
            <w:webHidden/>
          </w:rPr>
          <w:instrText xml:space="preserve"> PAGEREF _Toc97026913 \h </w:instrText>
        </w:r>
        <w:r>
          <w:rPr>
            <w:noProof/>
            <w:webHidden/>
          </w:rPr>
        </w:r>
        <w:r>
          <w:rPr>
            <w:noProof/>
            <w:webHidden/>
          </w:rPr>
          <w:fldChar w:fldCharType="separate"/>
        </w:r>
        <w:r>
          <w:rPr>
            <w:noProof/>
            <w:webHidden/>
          </w:rPr>
          <w:t>267</w:t>
        </w:r>
        <w:r>
          <w:rPr>
            <w:noProof/>
            <w:webHidden/>
          </w:rPr>
          <w:fldChar w:fldCharType="end"/>
        </w:r>
      </w:hyperlink>
    </w:p>
    <w:p w14:paraId="4931D0EC" w14:textId="1C202ACF" w:rsidR="007A0276" w:rsidRDefault="007A0276">
      <w:pPr>
        <w:pStyle w:val="Kazaloslik"/>
        <w:tabs>
          <w:tab w:val="right" w:leader="dot" w:pos="9628"/>
        </w:tabs>
        <w:rPr>
          <w:rFonts w:asciiTheme="minorHAnsi" w:eastAsiaTheme="minorEastAsia" w:hAnsiTheme="minorHAnsi"/>
          <w:noProof/>
          <w:lang w:eastAsia="sl-SI"/>
        </w:rPr>
      </w:pPr>
      <w:hyperlink w:anchor="_Toc97026914" w:history="1">
        <w:r w:rsidRPr="004070C7">
          <w:rPr>
            <w:rStyle w:val="Hiperpovezava"/>
            <w:noProof/>
          </w:rPr>
          <w:t>Slika 6.63 Prikaz stanja poplavne nevarnosti – opozorilna karta poplav (Vir- atlas voda).:</w:t>
        </w:r>
        <w:r>
          <w:rPr>
            <w:noProof/>
            <w:webHidden/>
          </w:rPr>
          <w:tab/>
        </w:r>
        <w:r>
          <w:rPr>
            <w:noProof/>
            <w:webHidden/>
          </w:rPr>
          <w:fldChar w:fldCharType="begin"/>
        </w:r>
        <w:r>
          <w:rPr>
            <w:noProof/>
            <w:webHidden/>
          </w:rPr>
          <w:instrText xml:space="preserve"> PAGEREF _Toc97026914 \h </w:instrText>
        </w:r>
        <w:r>
          <w:rPr>
            <w:noProof/>
            <w:webHidden/>
          </w:rPr>
        </w:r>
        <w:r>
          <w:rPr>
            <w:noProof/>
            <w:webHidden/>
          </w:rPr>
          <w:fldChar w:fldCharType="separate"/>
        </w:r>
        <w:r>
          <w:rPr>
            <w:noProof/>
            <w:webHidden/>
          </w:rPr>
          <w:t>277</w:t>
        </w:r>
        <w:r>
          <w:rPr>
            <w:noProof/>
            <w:webHidden/>
          </w:rPr>
          <w:fldChar w:fldCharType="end"/>
        </w:r>
      </w:hyperlink>
    </w:p>
    <w:p w14:paraId="1728BF8F" w14:textId="5FC5FA61" w:rsidR="007A0276" w:rsidRDefault="007A0276">
      <w:pPr>
        <w:pStyle w:val="Kazaloslik"/>
        <w:tabs>
          <w:tab w:val="right" w:leader="dot" w:pos="9628"/>
        </w:tabs>
        <w:rPr>
          <w:rFonts w:asciiTheme="minorHAnsi" w:eastAsiaTheme="minorEastAsia" w:hAnsiTheme="minorHAnsi"/>
          <w:noProof/>
          <w:lang w:eastAsia="sl-SI"/>
        </w:rPr>
      </w:pPr>
      <w:hyperlink w:anchor="_Toc97026915" w:history="1">
        <w:r w:rsidRPr="004070C7">
          <w:rPr>
            <w:rStyle w:val="Hiperpovezava"/>
            <w:noProof/>
          </w:rPr>
          <w:t>Slika 6.64: Prikaz stanja sistema odvajanja in čiščanje komunalnih odpadnih in padavinskih voda (Vir: GURS zbirni kataster gospodarske javne infrastrukture)</w:t>
        </w:r>
        <w:r>
          <w:rPr>
            <w:noProof/>
            <w:webHidden/>
          </w:rPr>
          <w:tab/>
        </w:r>
        <w:r>
          <w:rPr>
            <w:noProof/>
            <w:webHidden/>
          </w:rPr>
          <w:fldChar w:fldCharType="begin"/>
        </w:r>
        <w:r>
          <w:rPr>
            <w:noProof/>
            <w:webHidden/>
          </w:rPr>
          <w:instrText xml:space="preserve"> PAGEREF _Toc97026915 \h </w:instrText>
        </w:r>
        <w:r>
          <w:rPr>
            <w:noProof/>
            <w:webHidden/>
          </w:rPr>
        </w:r>
        <w:r>
          <w:rPr>
            <w:noProof/>
            <w:webHidden/>
          </w:rPr>
          <w:fldChar w:fldCharType="separate"/>
        </w:r>
        <w:r>
          <w:rPr>
            <w:noProof/>
            <w:webHidden/>
          </w:rPr>
          <w:t>280</w:t>
        </w:r>
        <w:r>
          <w:rPr>
            <w:noProof/>
            <w:webHidden/>
          </w:rPr>
          <w:fldChar w:fldCharType="end"/>
        </w:r>
      </w:hyperlink>
    </w:p>
    <w:p w14:paraId="114991EA" w14:textId="72DB1DF3" w:rsidR="007A0276" w:rsidRDefault="007A0276">
      <w:pPr>
        <w:pStyle w:val="Kazaloslik"/>
        <w:tabs>
          <w:tab w:val="right" w:leader="dot" w:pos="9628"/>
        </w:tabs>
        <w:rPr>
          <w:rFonts w:asciiTheme="minorHAnsi" w:eastAsiaTheme="minorEastAsia" w:hAnsiTheme="minorHAnsi"/>
          <w:noProof/>
          <w:lang w:eastAsia="sl-SI"/>
        </w:rPr>
      </w:pPr>
      <w:hyperlink w:anchor="_Toc97026916" w:history="1">
        <w:r w:rsidRPr="004070C7">
          <w:rPr>
            <w:rStyle w:val="Hiperpovezava"/>
            <w:noProof/>
          </w:rPr>
          <w:t>Slika 6.65: Območje ob vodotoku Koren</w:t>
        </w:r>
        <w:r>
          <w:rPr>
            <w:noProof/>
            <w:webHidden/>
          </w:rPr>
          <w:tab/>
        </w:r>
        <w:r>
          <w:rPr>
            <w:noProof/>
            <w:webHidden/>
          </w:rPr>
          <w:fldChar w:fldCharType="begin"/>
        </w:r>
        <w:r>
          <w:rPr>
            <w:noProof/>
            <w:webHidden/>
          </w:rPr>
          <w:instrText xml:space="preserve"> PAGEREF _Toc97026916 \h </w:instrText>
        </w:r>
        <w:r>
          <w:rPr>
            <w:noProof/>
            <w:webHidden/>
          </w:rPr>
        </w:r>
        <w:r>
          <w:rPr>
            <w:noProof/>
            <w:webHidden/>
          </w:rPr>
          <w:fldChar w:fldCharType="separate"/>
        </w:r>
        <w:r>
          <w:rPr>
            <w:noProof/>
            <w:webHidden/>
          </w:rPr>
          <w:t>281</w:t>
        </w:r>
        <w:r>
          <w:rPr>
            <w:noProof/>
            <w:webHidden/>
          </w:rPr>
          <w:fldChar w:fldCharType="end"/>
        </w:r>
      </w:hyperlink>
    </w:p>
    <w:p w14:paraId="4E6F83FE" w14:textId="22238C5C" w:rsidR="007A0276" w:rsidRDefault="007A0276">
      <w:pPr>
        <w:pStyle w:val="Kazaloslik"/>
        <w:tabs>
          <w:tab w:val="right" w:leader="dot" w:pos="9628"/>
        </w:tabs>
        <w:rPr>
          <w:rFonts w:asciiTheme="minorHAnsi" w:eastAsiaTheme="minorEastAsia" w:hAnsiTheme="minorHAnsi"/>
          <w:noProof/>
          <w:lang w:eastAsia="sl-SI"/>
        </w:rPr>
      </w:pPr>
      <w:hyperlink w:anchor="_Toc97026917" w:history="1">
        <w:r w:rsidRPr="004070C7">
          <w:rPr>
            <w:rStyle w:val="Hiperpovezava"/>
            <w:noProof/>
          </w:rPr>
          <w:t>Slika 6.66: Vtočni del v prekritje na slovenski strani.</w:t>
        </w:r>
        <w:r>
          <w:rPr>
            <w:noProof/>
            <w:webHidden/>
          </w:rPr>
          <w:tab/>
        </w:r>
        <w:r>
          <w:rPr>
            <w:noProof/>
            <w:webHidden/>
          </w:rPr>
          <w:fldChar w:fldCharType="begin"/>
        </w:r>
        <w:r>
          <w:rPr>
            <w:noProof/>
            <w:webHidden/>
          </w:rPr>
          <w:instrText xml:space="preserve"> PAGEREF _Toc97026917 \h </w:instrText>
        </w:r>
        <w:r>
          <w:rPr>
            <w:noProof/>
            <w:webHidden/>
          </w:rPr>
        </w:r>
        <w:r>
          <w:rPr>
            <w:noProof/>
            <w:webHidden/>
          </w:rPr>
          <w:fldChar w:fldCharType="separate"/>
        </w:r>
        <w:r>
          <w:rPr>
            <w:noProof/>
            <w:webHidden/>
          </w:rPr>
          <w:t>282</w:t>
        </w:r>
        <w:r>
          <w:rPr>
            <w:noProof/>
            <w:webHidden/>
          </w:rPr>
          <w:fldChar w:fldCharType="end"/>
        </w:r>
      </w:hyperlink>
    </w:p>
    <w:p w14:paraId="272773C7" w14:textId="0A5270B6" w:rsidR="007A0276" w:rsidRDefault="007A0276">
      <w:pPr>
        <w:pStyle w:val="Kazaloslik"/>
        <w:tabs>
          <w:tab w:val="right" w:leader="dot" w:pos="9628"/>
        </w:tabs>
        <w:rPr>
          <w:rFonts w:asciiTheme="minorHAnsi" w:eastAsiaTheme="minorEastAsia" w:hAnsiTheme="minorHAnsi"/>
          <w:noProof/>
          <w:lang w:eastAsia="sl-SI"/>
        </w:rPr>
      </w:pPr>
      <w:hyperlink w:anchor="_Toc97026918" w:history="1">
        <w:r w:rsidRPr="004070C7">
          <w:rPr>
            <w:rStyle w:val="Hiperpovezava"/>
            <w:noProof/>
          </w:rPr>
          <w:t>Slika 6.67: Območje vodotoka Koren v Gorici (Palača Attems) leta 1822, ko potok Koren še ni bil prekrit.</w:t>
        </w:r>
        <w:r>
          <w:rPr>
            <w:noProof/>
            <w:webHidden/>
          </w:rPr>
          <w:tab/>
        </w:r>
        <w:r>
          <w:rPr>
            <w:noProof/>
            <w:webHidden/>
          </w:rPr>
          <w:fldChar w:fldCharType="begin"/>
        </w:r>
        <w:r>
          <w:rPr>
            <w:noProof/>
            <w:webHidden/>
          </w:rPr>
          <w:instrText xml:space="preserve"> PAGEREF _Toc97026918 \h </w:instrText>
        </w:r>
        <w:r>
          <w:rPr>
            <w:noProof/>
            <w:webHidden/>
          </w:rPr>
        </w:r>
        <w:r>
          <w:rPr>
            <w:noProof/>
            <w:webHidden/>
          </w:rPr>
          <w:fldChar w:fldCharType="separate"/>
        </w:r>
        <w:r>
          <w:rPr>
            <w:noProof/>
            <w:webHidden/>
          </w:rPr>
          <w:t>283</w:t>
        </w:r>
        <w:r>
          <w:rPr>
            <w:noProof/>
            <w:webHidden/>
          </w:rPr>
          <w:fldChar w:fldCharType="end"/>
        </w:r>
      </w:hyperlink>
    </w:p>
    <w:p w14:paraId="2F915E3A" w14:textId="6CD771E5" w:rsidR="007A0276" w:rsidRDefault="007A0276">
      <w:pPr>
        <w:pStyle w:val="Kazaloslik"/>
        <w:tabs>
          <w:tab w:val="right" w:leader="dot" w:pos="9628"/>
        </w:tabs>
        <w:rPr>
          <w:rFonts w:asciiTheme="minorHAnsi" w:eastAsiaTheme="minorEastAsia" w:hAnsiTheme="minorHAnsi"/>
          <w:noProof/>
          <w:lang w:eastAsia="sl-SI"/>
        </w:rPr>
      </w:pPr>
      <w:hyperlink w:anchor="_Toc97026919" w:history="1">
        <w:r w:rsidRPr="004070C7">
          <w:rPr>
            <w:rStyle w:val="Hiperpovezava"/>
            <w:noProof/>
          </w:rPr>
          <w:t>Slika 6.68: Območje vodotoka Koren v Gorici (vir: Mapire – Obalno območje (1821–1824) – Druga vojaška izmera Habsburškega imperija.</w:t>
        </w:r>
        <w:r>
          <w:rPr>
            <w:noProof/>
            <w:webHidden/>
          </w:rPr>
          <w:tab/>
        </w:r>
        <w:r>
          <w:rPr>
            <w:noProof/>
            <w:webHidden/>
          </w:rPr>
          <w:fldChar w:fldCharType="begin"/>
        </w:r>
        <w:r>
          <w:rPr>
            <w:noProof/>
            <w:webHidden/>
          </w:rPr>
          <w:instrText xml:space="preserve"> PAGEREF _Toc97026919 \h </w:instrText>
        </w:r>
        <w:r>
          <w:rPr>
            <w:noProof/>
            <w:webHidden/>
          </w:rPr>
        </w:r>
        <w:r>
          <w:rPr>
            <w:noProof/>
            <w:webHidden/>
          </w:rPr>
          <w:fldChar w:fldCharType="separate"/>
        </w:r>
        <w:r>
          <w:rPr>
            <w:noProof/>
            <w:webHidden/>
          </w:rPr>
          <w:t>283</w:t>
        </w:r>
        <w:r>
          <w:rPr>
            <w:noProof/>
            <w:webHidden/>
          </w:rPr>
          <w:fldChar w:fldCharType="end"/>
        </w:r>
      </w:hyperlink>
    </w:p>
    <w:p w14:paraId="76D8B51A" w14:textId="5B5D1999" w:rsidR="007A0276" w:rsidRDefault="007A0276">
      <w:pPr>
        <w:pStyle w:val="Kazaloslik"/>
        <w:tabs>
          <w:tab w:val="right" w:leader="dot" w:pos="9628"/>
        </w:tabs>
        <w:rPr>
          <w:rFonts w:asciiTheme="minorHAnsi" w:eastAsiaTheme="minorEastAsia" w:hAnsiTheme="minorHAnsi"/>
          <w:noProof/>
          <w:lang w:eastAsia="sl-SI"/>
        </w:rPr>
      </w:pPr>
      <w:hyperlink w:anchor="_Toc97026920" w:history="1">
        <w:r w:rsidRPr="004070C7">
          <w:rPr>
            <w:rStyle w:val="Hiperpovezava"/>
            <w:noProof/>
          </w:rPr>
          <w:t>Slika 6.69: Pregled analizirani objektov na poplavnem območju (modri objekti so objekti, ki so podkleteni, zeleni objekti so objekti brez podkletitve (vseh objektov, tudi izven poplavnega območja je 169).</w:t>
        </w:r>
        <w:r>
          <w:rPr>
            <w:noProof/>
            <w:webHidden/>
          </w:rPr>
          <w:tab/>
        </w:r>
        <w:r>
          <w:rPr>
            <w:noProof/>
            <w:webHidden/>
          </w:rPr>
          <w:fldChar w:fldCharType="begin"/>
        </w:r>
        <w:r>
          <w:rPr>
            <w:noProof/>
            <w:webHidden/>
          </w:rPr>
          <w:instrText xml:space="preserve"> PAGEREF _Toc97026920 \h </w:instrText>
        </w:r>
        <w:r>
          <w:rPr>
            <w:noProof/>
            <w:webHidden/>
          </w:rPr>
        </w:r>
        <w:r>
          <w:rPr>
            <w:noProof/>
            <w:webHidden/>
          </w:rPr>
          <w:fldChar w:fldCharType="separate"/>
        </w:r>
        <w:r>
          <w:rPr>
            <w:noProof/>
            <w:webHidden/>
          </w:rPr>
          <w:t>284</w:t>
        </w:r>
        <w:r>
          <w:rPr>
            <w:noProof/>
            <w:webHidden/>
          </w:rPr>
          <w:fldChar w:fldCharType="end"/>
        </w:r>
      </w:hyperlink>
    </w:p>
    <w:p w14:paraId="72A8A512" w14:textId="2EAD92B9" w:rsidR="007A0276" w:rsidRDefault="007A0276">
      <w:pPr>
        <w:pStyle w:val="Kazaloslik"/>
        <w:tabs>
          <w:tab w:val="right" w:leader="dot" w:pos="9628"/>
        </w:tabs>
        <w:rPr>
          <w:rFonts w:asciiTheme="minorHAnsi" w:eastAsiaTheme="minorEastAsia" w:hAnsiTheme="minorHAnsi"/>
          <w:noProof/>
          <w:lang w:eastAsia="sl-SI"/>
        </w:rPr>
      </w:pPr>
      <w:hyperlink w:anchor="_Toc97026921" w:history="1">
        <w:r w:rsidRPr="004070C7">
          <w:rPr>
            <w:rStyle w:val="Hiperpovezava"/>
            <w:noProof/>
          </w:rPr>
          <w:t>Slika 6.70: Trasa in vzdolžni prerez ukrepa za zmanjšanje poplavne ogroženosti naselja Gorica zaradi poplavljanja s strani Korna (v izvedbi v letu 2021).</w:t>
        </w:r>
        <w:r>
          <w:rPr>
            <w:noProof/>
            <w:webHidden/>
          </w:rPr>
          <w:tab/>
        </w:r>
        <w:r>
          <w:rPr>
            <w:noProof/>
            <w:webHidden/>
          </w:rPr>
          <w:fldChar w:fldCharType="begin"/>
        </w:r>
        <w:r>
          <w:rPr>
            <w:noProof/>
            <w:webHidden/>
          </w:rPr>
          <w:instrText xml:space="preserve"> PAGEREF _Toc97026921 \h </w:instrText>
        </w:r>
        <w:r>
          <w:rPr>
            <w:noProof/>
            <w:webHidden/>
          </w:rPr>
        </w:r>
        <w:r>
          <w:rPr>
            <w:noProof/>
            <w:webHidden/>
          </w:rPr>
          <w:fldChar w:fldCharType="separate"/>
        </w:r>
        <w:r>
          <w:rPr>
            <w:noProof/>
            <w:webHidden/>
          </w:rPr>
          <w:t>285</w:t>
        </w:r>
        <w:r>
          <w:rPr>
            <w:noProof/>
            <w:webHidden/>
          </w:rPr>
          <w:fldChar w:fldCharType="end"/>
        </w:r>
      </w:hyperlink>
    </w:p>
    <w:p w14:paraId="4AD1A2D8" w14:textId="2C4758D5" w:rsidR="007A0276" w:rsidRDefault="007A0276">
      <w:pPr>
        <w:pStyle w:val="Kazaloslik"/>
        <w:tabs>
          <w:tab w:val="right" w:leader="dot" w:pos="9628"/>
        </w:tabs>
        <w:rPr>
          <w:rFonts w:asciiTheme="minorHAnsi" w:eastAsiaTheme="minorEastAsia" w:hAnsiTheme="minorHAnsi"/>
          <w:noProof/>
          <w:lang w:eastAsia="sl-SI"/>
        </w:rPr>
      </w:pPr>
      <w:hyperlink w:anchor="_Toc97026922" w:history="1">
        <w:r w:rsidRPr="004070C7">
          <w:rPr>
            <w:rStyle w:val="Hiperpovezava"/>
            <w:noProof/>
          </w:rPr>
          <w:t>Slika 6.71: Vhodni del cevi razbremenilnika na lokaciji Erjavčeva cesta</w:t>
        </w:r>
        <w:r>
          <w:rPr>
            <w:noProof/>
            <w:webHidden/>
          </w:rPr>
          <w:tab/>
        </w:r>
        <w:r>
          <w:rPr>
            <w:noProof/>
            <w:webHidden/>
          </w:rPr>
          <w:fldChar w:fldCharType="begin"/>
        </w:r>
        <w:r>
          <w:rPr>
            <w:noProof/>
            <w:webHidden/>
          </w:rPr>
          <w:instrText xml:space="preserve"> PAGEREF _Toc97026922 \h </w:instrText>
        </w:r>
        <w:r>
          <w:rPr>
            <w:noProof/>
            <w:webHidden/>
          </w:rPr>
        </w:r>
        <w:r>
          <w:rPr>
            <w:noProof/>
            <w:webHidden/>
          </w:rPr>
          <w:fldChar w:fldCharType="separate"/>
        </w:r>
        <w:r>
          <w:rPr>
            <w:noProof/>
            <w:webHidden/>
          </w:rPr>
          <w:t>285</w:t>
        </w:r>
        <w:r>
          <w:rPr>
            <w:noProof/>
            <w:webHidden/>
          </w:rPr>
          <w:fldChar w:fldCharType="end"/>
        </w:r>
      </w:hyperlink>
    </w:p>
    <w:p w14:paraId="67610352" w14:textId="34A87097" w:rsidR="007A0276" w:rsidRDefault="007A0276">
      <w:pPr>
        <w:pStyle w:val="Kazaloslik"/>
        <w:tabs>
          <w:tab w:val="right" w:leader="dot" w:pos="9628"/>
        </w:tabs>
        <w:rPr>
          <w:rFonts w:asciiTheme="minorHAnsi" w:eastAsiaTheme="minorEastAsia" w:hAnsiTheme="minorHAnsi"/>
          <w:noProof/>
          <w:lang w:eastAsia="sl-SI"/>
        </w:rPr>
      </w:pPr>
      <w:hyperlink w:anchor="_Toc97026923" w:history="1">
        <w:r w:rsidRPr="004070C7">
          <w:rPr>
            <w:rStyle w:val="Hiperpovezava"/>
            <w:noProof/>
          </w:rPr>
          <w:t>Slika 6.71: Opozorilna karta poplav (atlas voda DRSV) za obmčje naselja Grgar</w:t>
        </w:r>
        <w:r>
          <w:rPr>
            <w:noProof/>
            <w:webHidden/>
          </w:rPr>
          <w:tab/>
        </w:r>
        <w:r>
          <w:rPr>
            <w:noProof/>
            <w:webHidden/>
          </w:rPr>
          <w:fldChar w:fldCharType="begin"/>
        </w:r>
        <w:r>
          <w:rPr>
            <w:noProof/>
            <w:webHidden/>
          </w:rPr>
          <w:instrText xml:space="preserve"> PAGEREF _Toc97026923 \h </w:instrText>
        </w:r>
        <w:r>
          <w:rPr>
            <w:noProof/>
            <w:webHidden/>
          </w:rPr>
        </w:r>
        <w:r>
          <w:rPr>
            <w:noProof/>
            <w:webHidden/>
          </w:rPr>
          <w:fldChar w:fldCharType="separate"/>
        </w:r>
        <w:r>
          <w:rPr>
            <w:noProof/>
            <w:webHidden/>
          </w:rPr>
          <w:t>287</w:t>
        </w:r>
        <w:r>
          <w:rPr>
            <w:noProof/>
            <w:webHidden/>
          </w:rPr>
          <w:fldChar w:fldCharType="end"/>
        </w:r>
      </w:hyperlink>
    </w:p>
    <w:p w14:paraId="0FC94C3D" w14:textId="4EC42996" w:rsidR="007A0276" w:rsidRDefault="007A0276">
      <w:pPr>
        <w:pStyle w:val="Kazaloslik"/>
        <w:tabs>
          <w:tab w:val="right" w:leader="dot" w:pos="9628"/>
        </w:tabs>
        <w:rPr>
          <w:rFonts w:asciiTheme="minorHAnsi" w:eastAsiaTheme="minorEastAsia" w:hAnsiTheme="minorHAnsi"/>
          <w:noProof/>
          <w:lang w:eastAsia="sl-SI"/>
        </w:rPr>
      </w:pPr>
      <w:hyperlink w:anchor="_Toc97026924" w:history="1">
        <w:r w:rsidRPr="004070C7">
          <w:rPr>
            <w:rStyle w:val="Hiperpovezava"/>
            <w:noProof/>
          </w:rPr>
          <w:t>Slika 6.72: Poplavna nevarnost (KPN) in lokacija suhega zadrževalnika Pivol v Rožni dolini</w:t>
        </w:r>
        <w:r>
          <w:rPr>
            <w:noProof/>
            <w:webHidden/>
          </w:rPr>
          <w:tab/>
        </w:r>
        <w:r>
          <w:rPr>
            <w:noProof/>
            <w:webHidden/>
          </w:rPr>
          <w:fldChar w:fldCharType="begin"/>
        </w:r>
        <w:r>
          <w:rPr>
            <w:noProof/>
            <w:webHidden/>
          </w:rPr>
          <w:instrText xml:space="preserve"> PAGEREF _Toc97026924 \h </w:instrText>
        </w:r>
        <w:r>
          <w:rPr>
            <w:noProof/>
            <w:webHidden/>
          </w:rPr>
        </w:r>
        <w:r>
          <w:rPr>
            <w:noProof/>
            <w:webHidden/>
          </w:rPr>
          <w:fldChar w:fldCharType="separate"/>
        </w:r>
        <w:r>
          <w:rPr>
            <w:noProof/>
            <w:webHidden/>
          </w:rPr>
          <w:t>288</w:t>
        </w:r>
        <w:r>
          <w:rPr>
            <w:noProof/>
            <w:webHidden/>
          </w:rPr>
          <w:fldChar w:fldCharType="end"/>
        </w:r>
      </w:hyperlink>
    </w:p>
    <w:p w14:paraId="387E85C5" w14:textId="20AA8673" w:rsidR="007A0276" w:rsidRDefault="007A0276">
      <w:pPr>
        <w:pStyle w:val="Kazaloslik"/>
        <w:tabs>
          <w:tab w:val="right" w:leader="dot" w:pos="9628"/>
        </w:tabs>
        <w:rPr>
          <w:rFonts w:asciiTheme="minorHAnsi" w:eastAsiaTheme="minorEastAsia" w:hAnsiTheme="minorHAnsi"/>
          <w:noProof/>
          <w:lang w:eastAsia="sl-SI"/>
        </w:rPr>
      </w:pPr>
      <w:hyperlink w:anchor="_Toc97026925" w:history="1">
        <w:r w:rsidRPr="004070C7">
          <w:rPr>
            <w:rStyle w:val="Hiperpovezava"/>
            <w:noProof/>
          </w:rPr>
          <w:t>Slika 6.73: Opozorilna karta poplav za območje vodotokov Lijak in pritokov (Globočnik, Vitovnik, Ozlenšček)</w:t>
        </w:r>
        <w:r>
          <w:rPr>
            <w:noProof/>
            <w:webHidden/>
          </w:rPr>
          <w:tab/>
        </w:r>
        <w:r>
          <w:rPr>
            <w:noProof/>
            <w:webHidden/>
          </w:rPr>
          <w:fldChar w:fldCharType="begin"/>
        </w:r>
        <w:r>
          <w:rPr>
            <w:noProof/>
            <w:webHidden/>
          </w:rPr>
          <w:instrText xml:space="preserve"> PAGEREF _Toc97026925 \h </w:instrText>
        </w:r>
        <w:r>
          <w:rPr>
            <w:noProof/>
            <w:webHidden/>
          </w:rPr>
        </w:r>
        <w:r>
          <w:rPr>
            <w:noProof/>
            <w:webHidden/>
          </w:rPr>
          <w:fldChar w:fldCharType="separate"/>
        </w:r>
        <w:r>
          <w:rPr>
            <w:noProof/>
            <w:webHidden/>
          </w:rPr>
          <w:t>289</w:t>
        </w:r>
        <w:r>
          <w:rPr>
            <w:noProof/>
            <w:webHidden/>
          </w:rPr>
          <w:fldChar w:fldCharType="end"/>
        </w:r>
      </w:hyperlink>
    </w:p>
    <w:p w14:paraId="68DEA696" w14:textId="37BC3EFA" w:rsidR="007A0276" w:rsidRDefault="007A0276">
      <w:pPr>
        <w:pStyle w:val="Kazaloslik"/>
        <w:tabs>
          <w:tab w:val="right" w:leader="dot" w:pos="9628"/>
        </w:tabs>
        <w:rPr>
          <w:rFonts w:asciiTheme="minorHAnsi" w:eastAsiaTheme="minorEastAsia" w:hAnsiTheme="minorHAnsi"/>
          <w:noProof/>
          <w:lang w:eastAsia="sl-SI"/>
        </w:rPr>
      </w:pPr>
      <w:hyperlink w:anchor="_Toc97026926" w:history="1">
        <w:r w:rsidRPr="004070C7">
          <w:rPr>
            <w:rStyle w:val="Hiperpovezava"/>
            <w:noProof/>
          </w:rPr>
          <w:t>Slika 6.74: Opozorilna karta poplav za območje vodotokov Potok in Vipava na območju Dornberka in Prvačine</w:t>
        </w:r>
        <w:r>
          <w:rPr>
            <w:noProof/>
            <w:webHidden/>
          </w:rPr>
          <w:tab/>
        </w:r>
        <w:r>
          <w:rPr>
            <w:noProof/>
            <w:webHidden/>
          </w:rPr>
          <w:fldChar w:fldCharType="begin"/>
        </w:r>
        <w:r>
          <w:rPr>
            <w:noProof/>
            <w:webHidden/>
          </w:rPr>
          <w:instrText xml:space="preserve"> PAGEREF _Toc97026926 \h </w:instrText>
        </w:r>
        <w:r>
          <w:rPr>
            <w:noProof/>
            <w:webHidden/>
          </w:rPr>
        </w:r>
        <w:r>
          <w:rPr>
            <w:noProof/>
            <w:webHidden/>
          </w:rPr>
          <w:fldChar w:fldCharType="separate"/>
        </w:r>
        <w:r>
          <w:rPr>
            <w:noProof/>
            <w:webHidden/>
          </w:rPr>
          <w:t>290</w:t>
        </w:r>
        <w:r>
          <w:rPr>
            <w:noProof/>
            <w:webHidden/>
          </w:rPr>
          <w:fldChar w:fldCharType="end"/>
        </w:r>
      </w:hyperlink>
    </w:p>
    <w:p w14:paraId="40A9C865" w14:textId="3C98549F" w:rsidR="007A0276" w:rsidRDefault="007A0276">
      <w:pPr>
        <w:pStyle w:val="Kazaloslik"/>
        <w:tabs>
          <w:tab w:val="right" w:leader="dot" w:pos="9628"/>
        </w:tabs>
        <w:rPr>
          <w:rFonts w:asciiTheme="minorHAnsi" w:eastAsiaTheme="minorEastAsia" w:hAnsiTheme="minorHAnsi"/>
          <w:noProof/>
          <w:lang w:eastAsia="sl-SI"/>
        </w:rPr>
      </w:pPr>
      <w:hyperlink w:anchor="_Toc97026927" w:history="1">
        <w:r w:rsidRPr="004070C7">
          <w:rPr>
            <w:rStyle w:val="Hiperpovezava"/>
            <w:noProof/>
          </w:rPr>
          <w:t>Slika 6.75: Karta poplavne nevarnosti za povodje Branice</w:t>
        </w:r>
        <w:r>
          <w:rPr>
            <w:noProof/>
            <w:webHidden/>
          </w:rPr>
          <w:tab/>
        </w:r>
        <w:r>
          <w:rPr>
            <w:noProof/>
            <w:webHidden/>
          </w:rPr>
          <w:fldChar w:fldCharType="begin"/>
        </w:r>
        <w:r>
          <w:rPr>
            <w:noProof/>
            <w:webHidden/>
          </w:rPr>
          <w:instrText xml:space="preserve"> PAGEREF _Toc97026927 \h </w:instrText>
        </w:r>
        <w:r>
          <w:rPr>
            <w:noProof/>
            <w:webHidden/>
          </w:rPr>
        </w:r>
        <w:r>
          <w:rPr>
            <w:noProof/>
            <w:webHidden/>
          </w:rPr>
          <w:fldChar w:fldCharType="separate"/>
        </w:r>
        <w:r>
          <w:rPr>
            <w:noProof/>
            <w:webHidden/>
          </w:rPr>
          <w:t>291</w:t>
        </w:r>
        <w:r>
          <w:rPr>
            <w:noProof/>
            <w:webHidden/>
          </w:rPr>
          <w:fldChar w:fldCharType="end"/>
        </w:r>
      </w:hyperlink>
    </w:p>
    <w:p w14:paraId="4C79A6DA" w14:textId="6E3F03BE" w:rsidR="007A0276" w:rsidRDefault="007A0276">
      <w:pPr>
        <w:pStyle w:val="Kazaloslik"/>
        <w:tabs>
          <w:tab w:val="right" w:leader="dot" w:pos="9628"/>
        </w:tabs>
        <w:rPr>
          <w:rFonts w:asciiTheme="minorHAnsi" w:eastAsiaTheme="minorEastAsia" w:hAnsiTheme="minorHAnsi"/>
          <w:noProof/>
          <w:lang w:eastAsia="sl-SI"/>
        </w:rPr>
      </w:pPr>
      <w:hyperlink w:anchor="_Toc97026928" w:history="1">
        <w:r w:rsidRPr="004070C7">
          <w:rPr>
            <w:rStyle w:val="Hiperpovezava"/>
            <w:noProof/>
          </w:rPr>
          <w:t>Slika 6.76: : Opozorilna karta poplavne nevarnosti za odsek reke Vipave ob naseljih Prvačina in Dornberk</w:t>
        </w:r>
        <w:r>
          <w:rPr>
            <w:noProof/>
            <w:webHidden/>
          </w:rPr>
          <w:tab/>
        </w:r>
        <w:r>
          <w:rPr>
            <w:noProof/>
            <w:webHidden/>
          </w:rPr>
          <w:fldChar w:fldCharType="begin"/>
        </w:r>
        <w:r>
          <w:rPr>
            <w:noProof/>
            <w:webHidden/>
          </w:rPr>
          <w:instrText xml:space="preserve"> PAGEREF _Toc97026928 \h </w:instrText>
        </w:r>
        <w:r>
          <w:rPr>
            <w:noProof/>
            <w:webHidden/>
          </w:rPr>
        </w:r>
        <w:r>
          <w:rPr>
            <w:noProof/>
            <w:webHidden/>
          </w:rPr>
          <w:fldChar w:fldCharType="separate"/>
        </w:r>
        <w:r>
          <w:rPr>
            <w:noProof/>
            <w:webHidden/>
          </w:rPr>
          <w:t>292</w:t>
        </w:r>
        <w:r>
          <w:rPr>
            <w:noProof/>
            <w:webHidden/>
          </w:rPr>
          <w:fldChar w:fldCharType="end"/>
        </w:r>
      </w:hyperlink>
    </w:p>
    <w:p w14:paraId="7202E311" w14:textId="097D3014" w:rsidR="007A0276" w:rsidRDefault="007A0276">
      <w:pPr>
        <w:pStyle w:val="Kazaloslik"/>
        <w:tabs>
          <w:tab w:val="right" w:leader="dot" w:pos="9628"/>
        </w:tabs>
        <w:rPr>
          <w:rFonts w:asciiTheme="minorHAnsi" w:eastAsiaTheme="minorEastAsia" w:hAnsiTheme="minorHAnsi"/>
          <w:noProof/>
          <w:lang w:eastAsia="sl-SI"/>
        </w:rPr>
      </w:pPr>
      <w:hyperlink w:anchor="_Toc97026929" w:history="1">
        <w:r w:rsidRPr="004070C7">
          <w:rPr>
            <w:rStyle w:val="Hiperpovezava"/>
            <w:noProof/>
          </w:rPr>
          <w:t>Slika 6.77: Shematski prikaz ocene ranljivosti posameznih segmentov sektorja poplavne ogroženosti v referenčnem obdobju in v prihodnosti</w:t>
        </w:r>
        <w:r>
          <w:rPr>
            <w:noProof/>
            <w:webHidden/>
          </w:rPr>
          <w:tab/>
        </w:r>
        <w:r>
          <w:rPr>
            <w:noProof/>
            <w:webHidden/>
          </w:rPr>
          <w:fldChar w:fldCharType="begin"/>
        </w:r>
        <w:r>
          <w:rPr>
            <w:noProof/>
            <w:webHidden/>
          </w:rPr>
          <w:instrText xml:space="preserve"> PAGEREF _Toc97026929 \h </w:instrText>
        </w:r>
        <w:r>
          <w:rPr>
            <w:noProof/>
            <w:webHidden/>
          </w:rPr>
        </w:r>
        <w:r>
          <w:rPr>
            <w:noProof/>
            <w:webHidden/>
          </w:rPr>
          <w:fldChar w:fldCharType="separate"/>
        </w:r>
        <w:r>
          <w:rPr>
            <w:noProof/>
            <w:webHidden/>
          </w:rPr>
          <w:t>299</w:t>
        </w:r>
        <w:r>
          <w:rPr>
            <w:noProof/>
            <w:webHidden/>
          </w:rPr>
          <w:fldChar w:fldCharType="end"/>
        </w:r>
      </w:hyperlink>
    </w:p>
    <w:p w14:paraId="73CDF643" w14:textId="52763EFE" w:rsidR="007A0276" w:rsidRDefault="007A0276">
      <w:pPr>
        <w:pStyle w:val="Kazaloslik"/>
        <w:tabs>
          <w:tab w:val="right" w:leader="dot" w:pos="9628"/>
        </w:tabs>
        <w:rPr>
          <w:rFonts w:asciiTheme="minorHAnsi" w:eastAsiaTheme="minorEastAsia" w:hAnsiTheme="minorHAnsi"/>
          <w:noProof/>
          <w:lang w:eastAsia="sl-SI"/>
        </w:rPr>
      </w:pPr>
      <w:hyperlink w:anchor="_Toc97026930" w:history="1">
        <w:r w:rsidRPr="004070C7">
          <w:rPr>
            <w:rStyle w:val="Hiperpovezava"/>
            <w:noProof/>
          </w:rPr>
          <w:t>Slika 8.1: Delež poplavno ogroženih kmetijskih zemljišč (%), 2017, občine, indeks. Vrednost indeksa za mestno občino Nova Gorica je označena z rdečo.</w:t>
        </w:r>
        <w:r>
          <w:rPr>
            <w:noProof/>
            <w:webHidden/>
          </w:rPr>
          <w:tab/>
        </w:r>
        <w:r>
          <w:rPr>
            <w:noProof/>
            <w:webHidden/>
          </w:rPr>
          <w:fldChar w:fldCharType="begin"/>
        </w:r>
        <w:r>
          <w:rPr>
            <w:noProof/>
            <w:webHidden/>
          </w:rPr>
          <w:instrText xml:space="preserve"> PAGEREF _Toc97026930 \h </w:instrText>
        </w:r>
        <w:r>
          <w:rPr>
            <w:noProof/>
            <w:webHidden/>
          </w:rPr>
        </w:r>
        <w:r>
          <w:rPr>
            <w:noProof/>
            <w:webHidden/>
          </w:rPr>
          <w:fldChar w:fldCharType="separate"/>
        </w:r>
        <w:r>
          <w:rPr>
            <w:noProof/>
            <w:webHidden/>
          </w:rPr>
          <w:t>304</w:t>
        </w:r>
        <w:r>
          <w:rPr>
            <w:noProof/>
            <w:webHidden/>
          </w:rPr>
          <w:fldChar w:fldCharType="end"/>
        </w:r>
      </w:hyperlink>
    </w:p>
    <w:p w14:paraId="3F6D688B" w14:textId="605BA585" w:rsidR="007A0276" w:rsidRDefault="007A0276">
      <w:pPr>
        <w:pStyle w:val="Kazaloslik"/>
        <w:tabs>
          <w:tab w:val="right" w:leader="dot" w:pos="9628"/>
        </w:tabs>
        <w:rPr>
          <w:rFonts w:asciiTheme="minorHAnsi" w:eastAsiaTheme="minorEastAsia" w:hAnsiTheme="minorHAnsi"/>
          <w:noProof/>
          <w:lang w:eastAsia="sl-SI"/>
        </w:rPr>
      </w:pPr>
      <w:hyperlink w:anchor="_Toc97026931" w:history="1">
        <w:r w:rsidRPr="004070C7">
          <w:rPr>
            <w:rStyle w:val="Hiperpovezava"/>
            <w:noProof/>
          </w:rPr>
          <w:t>Slika 8.2: Delež kmetijskih zemljišč (%) z boniteto &lt;= 40, občine, indeks. Vrednost indeksa za mestno občino Nova Gorica je označena z rdečo.</w:t>
        </w:r>
        <w:r>
          <w:rPr>
            <w:noProof/>
            <w:webHidden/>
          </w:rPr>
          <w:tab/>
        </w:r>
        <w:r>
          <w:rPr>
            <w:noProof/>
            <w:webHidden/>
          </w:rPr>
          <w:fldChar w:fldCharType="begin"/>
        </w:r>
        <w:r>
          <w:rPr>
            <w:noProof/>
            <w:webHidden/>
          </w:rPr>
          <w:instrText xml:space="preserve"> PAGEREF _Toc97026931 \h </w:instrText>
        </w:r>
        <w:r>
          <w:rPr>
            <w:noProof/>
            <w:webHidden/>
          </w:rPr>
        </w:r>
        <w:r>
          <w:rPr>
            <w:noProof/>
            <w:webHidden/>
          </w:rPr>
          <w:fldChar w:fldCharType="separate"/>
        </w:r>
        <w:r>
          <w:rPr>
            <w:noProof/>
            <w:webHidden/>
          </w:rPr>
          <w:t>304</w:t>
        </w:r>
        <w:r>
          <w:rPr>
            <w:noProof/>
            <w:webHidden/>
          </w:rPr>
          <w:fldChar w:fldCharType="end"/>
        </w:r>
      </w:hyperlink>
    </w:p>
    <w:p w14:paraId="63506E3E" w14:textId="099A077F" w:rsidR="007A0276" w:rsidRDefault="007A0276">
      <w:pPr>
        <w:pStyle w:val="Kazaloslik"/>
        <w:tabs>
          <w:tab w:val="right" w:leader="dot" w:pos="9628"/>
        </w:tabs>
        <w:rPr>
          <w:rFonts w:asciiTheme="minorHAnsi" w:eastAsiaTheme="minorEastAsia" w:hAnsiTheme="minorHAnsi"/>
          <w:noProof/>
          <w:lang w:eastAsia="sl-SI"/>
        </w:rPr>
      </w:pPr>
      <w:hyperlink w:anchor="_Toc97026932" w:history="1">
        <w:r w:rsidRPr="004070C7">
          <w:rPr>
            <w:rStyle w:val="Hiperpovezava"/>
            <w:noProof/>
          </w:rPr>
          <w:t>Slika 8.3: Delež kmetijskih zemljišč v uporabi v območjih z omejenimi možnostmi za kmetijsko dejavnost (%), 2016, občine, indeks. Vrednost indeksa za mestno občino Nova Gorica je označena z rdečo.</w:t>
        </w:r>
        <w:r>
          <w:rPr>
            <w:noProof/>
            <w:webHidden/>
          </w:rPr>
          <w:tab/>
        </w:r>
        <w:r>
          <w:rPr>
            <w:noProof/>
            <w:webHidden/>
          </w:rPr>
          <w:fldChar w:fldCharType="begin"/>
        </w:r>
        <w:r>
          <w:rPr>
            <w:noProof/>
            <w:webHidden/>
          </w:rPr>
          <w:instrText xml:space="preserve"> PAGEREF _Toc97026932 \h </w:instrText>
        </w:r>
        <w:r>
          <w:rPr>
            <w:noProof/>
            <w:webHidden/>
          </w:rPr>
        </w:r>
        <w:r>
          <w:rPr>
            <w:noProof/>
            <w:webHidden/>
          </w:rPr>
          <w:fldChar w:fldCharType="separate"/>
        </w:r>
        <w:r>
          <w:rPr>
            <w:noProof/>
            <w:webHidden/>
          </w:rPr>
          <w:t>305</w:t>
        </w:r>
        <w:r>
          <w:rPr>
            <w:noProof/>
            <w:webHidden/>
          </w:rPr>
          <w:fldChar w:fldCharType="end"/>
        </w:r>
      </w:hyperlink>
    </w:p>
    <w:p w14:paraId="1FA220E2" w14:textId="3D3F8EBE" w:rsidR="007A0276" w:rsidRDefault="007A0276">
      <w:pPr>
        <w:pStyle w:val="Kazaloslik"/>
        <w:tabs>
          <w:tab w:val="right" w:leader="dot" w:pos="9628"/>
        </w:tabs>
        <w:rPr>
          <w:rFonts w:asciiTheme="minorHAnsi" w:eastAsiaTheme="minorEastAsia" w:hAnsiTheme="minorHAnsi"/>
          <w:noProof/>
          <w:lang w:eastAsia="sl-SI"/>
        </w:rPr>
      </w:pPr>
      <w:hyperlink w:anchor="_Toc97026933" w:history="1">
        <w:r w:rsidRPr="004070C7">
          <w:rPr>
            <w:rStyle w:val="Hiperpovezava"/>
            <w:noProof/>
          </w:rPr>
          <w:t>Slika 8.4: Indeks rasti kmetijskih zemljišč v uporabi, 2019/2007, občine, indeks. Vrednost indeksa za mestno občino Nova Gorica je označena z rdečo.</w:t>
        </w:r>
        <w:r>
          <w:rPr>
            <w:noProof/>
            <w:webHidden/>
          </w:rPr>
          <w:tab/>
        </w:r>
        <w:r>
          <w:rPr>
            <w:noProof/>
            <w:webHidden/>
          </w:rPr>
          <w:fldChar w:fldCharType="begin"/>
        </w:r>
        <w:r>
          <w:rPr>
            <w:noProof/>
            <w:webHidden/>
          </w:rPr>
          <w:instrText xml:space="preserve"> PAGEREF _Toc97026933 \h </w:instrText>
        </w:r>
        <w:r>
          <w:rPr>
            <w:noProof/>
            <w:webHidden/>
          </w:rPr>
        </w:r>
        <w:r>
          <w:rPr>
            <w:noProof/>
            <w:webHidden/>
          </w:rPr>
          <w:fldChar w:fldCharType="separate"/>
        </w:r>
        <w:r>
          <w:rPr>
            <w:noProof/>
            <w:webHidden/>
          </w:rPr>
          <w:t>305</w:t>
        </w:r>
        <w:r>
          <w:rPr>
            <w:noProof/>
            <w:webHidden/>
          </w:rPr>
          <w:fldChar w:fldCharType="end"/>
        </w:r>
      </w:hyperlink>
    </w:p>
    <w:p w14:paraId="29D44835" w14:textId="396FCF08" w:rsidR="007A0276" w:rsidRDefault="007A0276">
      <w:pPr>
        <w:pStyle w:val="Kazaloslik"/>
        <w:tabs>
          <w:tab w:val="right" w:leader="dot" w:pos="9628"/>
        </w:tabs>
        <w:rPr>
          <w:rFonts w:asciiTheme="minorHAnsi" w:eastAsiaTheme="minorEastAsia" w:hAnsiTheme="minorHAnsi"/>
          <w:noProof/>
          <w:lang w:eastAsia="sl-SI"/>
        </w:rPr>
      </w:pPr>
      <w:hyperlink w:anchor="_Toc97026934" w:history="1">
        <w:r w:rsidRPr="004070C7">
          <w:rPr>
            <w:rStyle w:val="Hiperpovezava"/>
            <w:noProof/>
          </w:rPr>
          <w:t>Slika 8.5: Povprečna starost nosilca kmetijskega gospodarstva, 2016, občine, indeks. Vrednost indeksa za mestno občino Nova Gorica je označena z rdečo.</w:t>
        </w:r>
        <w:r>
          <w:rPr>
            <w:noProof/>
            <w:webHidden/>
          </w:rPr>
          <w:tab/>
        </w:r>
        <w:r>
          <w:rPr>
            <w:noProof/>
            <w:webHidden/>
          </w:rPr>
          <w:fldChar w:fldCharType="begin"/>
        </w:r>
        <w:r>
          <w:rPr>
            <w:noProof/>
            <w:webHidden/>
          </w:rPr>
          <w:instrText xml:space="preserve"> PAGEREF _Toc97026934 \h </w:instrText>
        </w:r>
        <w:r>
          <w:rPr>
            <w:noProof/>
            <w:webHidden/>
          </w:rPr>
        </w:r>
        <w:r>
          <w:rPr>
            <w:noProof/>
            <w:webHidden/>
          </w:rPr>
          <w:fldChar w:fldCharType="separate"/>
        </w:r>
        <w:r>
          <w:rPr>
            <w:noProof/>
            <w:webHidden/>
          </w:rPr>
          <w:t>306</w:t>
        </w:r>
        <w:r>
          <w:rPr>
            <w:noProof/>
            <w:webHidden/>
          </w:rPr>
          <w:fldChar w:fldCharType="end"/>
        </w:r>
      </w:hyperlink>
    </w:p>
    <w:p w14:paraId="4FE2E561" w14:textId="6FA8935B" w:rsidR="007A0276" w:rsidRDefault="007A0276">
      <w:pPr>
        <w:pStyle w:val="Kazaloslik"/>
        <w:tabs>
          <w:tab w:val="right" w:leader="dot" w:pos="9628"/>
        </w:tabs>
        <w:rPr>
          <w:rFonts w:asciiTheme="minorHAnsi" w:eastAsiaTheme="minorEastAsia" w:hAnsiTheme="minorHAnsi"/>
          <w:noProof/>
          <w:lang w:eastAsia="sl-SI"/>
        </w:rPr>
      </w:pPr>
      <w:hyperlink w:anchor="_Toc97026935" w:history="1">
        <w:r w:rsidRPr="004070C7">
          <w:rPr>
            <w:rStyle w:val="Hiperpovezava"/>
            <w:noProof/>
          </w:rPr>
          <w:t>Slika 8.6: Povprečna starost članov kmetijskega gospodarstva, 2016, občine, indeks. Vrednost indeksa za mestno občino Nova Gorica je označena z rdečo.</w:t>
        </w:r>
        <w:r>
          <w:rPr>
            <w:noProof/>
            <w:webHidden/>
          </w:rPr>
          <w:tab/>
        </w:r>
        <w:r>
          <w:rPr>
            <w:noProof/>
            <w:webHidden/>
          </w:rPr>
          <w:fldChar w:fldCharType="begin"/>
        </w:r>
        <w:r>
          <w:rPr>
            <w:noProof/>
            <w:webHidden/>
          </w:rPr>
          <w:instrText xml:space="preserve"> PAGEREF _Toc97026935 \h </w:instrText>
        </w:r>
        <w:r>
          <w:rPr>
            <w:noProof/>
            <w:webHidden/>
          </w:rPr>
        </w:r>
        <w:r>
          <w:rPr>
            <w:noProof/>
            <w:webHidden/>
          </w:rPr>
          <w:fldChar w:fldCharType="separate"/>
        </w:r>
        <w:r>
          <w:rPr>
            <w:noProof/>
            <w:webHidden/>
          </w:rPr>
          <w:t>306</w:t>
        </w:r>
        <w:r>
          <w:rPr>
            <w:noProof/>
            <w:webHidden/>
          </w:rPr>
          <w:fldChar w:fldCharType="end"/>
        </w:r>
      </w:hyperlink>
    </w:p>
    <w:p w14:paraId="4E86A90F" w14:textId="6D201386" w:rsidR="007A0276" w:rsidRDefault="007A0276">
      <w:pPr>
        <w:pStyle w:val="Kazaloslik"/>
        <w:tabs>
          <w:tab w:val="right" w:leader="dot" w:pos="9628"/>
        </w:tabs>
        <w:rPr>
          <w:rFonts w:asciiTheme="minorHAnsi" w:eastAsiaTheme="minorEastAsia" w:hAnsiTheme="minorHAnsi"/>
          <w:noProof/>
          <w:lang w:eastAsia="sl-SI"/>
        </w:rPr>
      </w:pPr>
      <w:hyperlink w:anchor="_Toc97026936" w:history="1">
        <w:r w:rsidRPr="004070C7">
          <w:rPr>
            <w:rStyle w:val="Hiperpovezava"/>
            <w:noProof/>
          </w:rPr>
          <w:t>Slika 8.7: Delež kmetijskih gospodarstev z dopolnilnimi dejavnostmi (%), 2016, občine, indeks. Vrednost indeksa za mestno občino Nova Gorica je označena z rdečo.</w:t>
        </w:r>
        <w:r>
          <w:rPr>
            <w:noProof/>
            <w:webHidden/>
          </w:rPr>
          <w:tab/>
        </w:r>
        <w:r>
          <w:rPr>
            <w:noProof/>
            <w:webHidden/>
          </w:rPr>
          <w:fldChar w:fldCharType="begin"/>
        </w:r>
        <w:r>
          <w:rPr>
            <w:noProof/>
            <w:webHidden/>
          </w:rPr>
          <w:instrText xml:space="preserve"> PAGEREF _Toc97026936 \h </w:instrText>
        </w:r>
        <w:r>
          <w:rPr>
            <w:noProof/>
            <w:webHidden/>
          </w:rPr>
        </w:r>
        <w:r>
          <w:rPr>
            <w:noProof/>
            <w:webHidden/>
          </w:rPr>
          <w:fldChar w:fldCharType="separate"/>
        </w:r>
        <w:r>
          <w:rPr>
            <w:noProof/>
            <w:webHidden/>
          </w:rPr>
          <w:t>307</w:t>
        </w:r>
        <w:r>
          <w:rPr>
            <w:noProof/>
            <w:webHidden/>
          </w:rPr>
          <w:fldChar w:fldCharType="end"/>
        </w:r>
      </w:hyperlink>
    </w:p>
    <w:p w14:paraId="1F1070BB" w14:textId="3C1B1D9F" w:rsidR="007A0276" w:rsidRDefault="007A0276">
      <w:pPr>
        <w:pStyle w:val="Kazaloslik"/>
        <w:tabs>
          <w:tab w:val="right" w:leader="dot" w:pos="9628"/>
        </w:tabs>
        <w:rPr>
          <w:rFonts w:asciiTheme="minorHAnsi" w:eastAsiaTheme="minorEastAsia" w:hAnsiTheme="minorHAnsi"/>
          <w:noProof/>
          <w:lang w:eastAsia="sl-SI"/>
        </w:rPr>
      </w:pPr>
      <w:hyperlink w:anchor="_Toc97026937" w:history="1">
        <w:r w:rsidRPr="004070C7">
          <w:rPr>
            <w:rStyle w:val="Hiperpovezava"/>
            <w:noProof/>
          </w:rPr>
          <w:t>Slika 8.8: Delež kmetijskih gospodarstev z ekološkim kmetovanjem ali v preusmeritvi (%), 2016, občine (indeks). Vrednost indeksa za mestno občino Nova Gorica je označena z rdečo.</w:t>
        </w:r>
        <w:r>
          <w:rPr>
            <w:noProof/>
            <w:webHidden/>
          </w:rPr>
          <w:tab/>
        </w:r>
        <w:r>
          <w:rPr>
            <w:noProof/>
            <w:webHidden/>
          </w:rPr>
          <w:fldChar w:fldCharType="begin"/>
        </w:r>
        <w:r>
          <w:rPr>
            <w:noProof/>
            <w:webHidden/>
          </w:rPr>
          <w:instrText xml:space="preserve"> PAGEREF _Toc97026937 \h </w:instrText>
        </w:r>
        <w:r>
          <w:rPr>
            <w:noProof/>
            <w:webHidden/>
          </w:rPr>
        </w:r>
        <w:r>
          <w:rPr>
            <w:noProof/>
            <w:webHidden/>
          </w:rPr>
          <w:fldChar w:fldCharType="separate"/>
        </w:r>
        <w:r>
          <w:rPr>
            <w:noProof/>
            <w:webHidden/>
          </w:rPr>
          <w:t>307</w:t>
        </w:r>
        <w:r>
          <w:rPr>
            <w:noProof/>
            <w:webHidden/>
          </w:rPr>
          <w:fldChar w:fldCharType="end"/>
        </w:r>
      </w:hyperlink>
    </w:p>
    <w:p w14:paraId="54C165F6" w14:textId="00F7C0F1" w:rsidR="007A0276" w:rsidRDefault="007A0276">
      <w:pPr>
        <w:pStyle w:val="Kazaloslik"/>
        <w:tabs>
          <w:tab w:val="right" w:leader="dot" w:pos="9628"/>
        </w:tabs>
        <w:rPr>
          <w:rFonts w:asciiTheme="minorHAnsi" w:eastAsiaTheme="minorEastAsia" w:hAnsiTheme="minorHAnsi"/>
          <w:noProof/>
          <w:lang w:eastAsia="sl-SI"/>
        </w:rPr>
      </w:pPr>
      <w:hyperlink w:anchor="_Toc97026938" w:history="1">
        <w:r w:rsidRPr="004070C7">
          <w:rPr>
            <w:rStyle w:val="Hiperpovezava"/>
            <w:noProof/>
          </w:rPr>
          <w:t>Slika 8.9: Delež kmetijskih zemljišč z namakalnimi sistemi (%), 2017, občine (indeks). Vrednost indeksa za mestno občino Nova Gorica je označena z rdečo.</w:t>
        </w:r>
        <w:r>
          <w:rPr>
            <w:noProof/>
            <w:webHidden/>
          </w:rPr>
          <w:tab/>
        </w:r>
        <w:r>
          <w:rPr>
            <w:noProof/>
            <w:webHidden/>
          </w:rPr>
          <w:fldChar w:fldCharType="begin"/>
        </w:r>
        <w:r>
          <w:rPr>
            <w:noProof/>
            <w:webHidden/>
          </w:rPr>
          <w:instrText xml:space="preserve"> PAGEREF _Toc97026938 \h </w:instrText>
        </w:r>
        <w:r>
          <w:rPr>
            <w:noProof/>
            <w:webHidden/>
          </w:rPr>
        </w:r>
        <w:r>
          <w:rPr>
            <w:noProof/>
            <w:webHidden/>
          </w:rPr>
          <w:fldChar w:fldCharType="separate"/>
        </w:r>
        <w:r>
          <w:rPr>
            <w:noProof/>
            <w:webHidden/>
          </w:rPr>
          <w:t>308</w:t>
        </w:r>
        <w:r>
          <w:rPr>
            <w:noProof/>
            <w:webHidden/>
          </w:rPr>
          <w:fldChar w:fldCharType="end"/>
        </w:r>
      </w:hyperlink>
    </w:p>
    <w:p w14:paraId="1A7178C5" w14:textId="5C65C775" w:rsidR="007A0276" w:rsidRDefault="007A0276">
      <w:pPr>
        <w:pStyle w:val="Kazaloslik"/>
        <w:tabs>
          <w:tab w:val="right" w:leader="dot" w:pos="9628"/>
        </w:tabs>
        <w:rPr>
          <w:rFonts w:asciiTheme="minorHAnsi" w:eastAsiaTheme="minorEastAsia" w:hAnsiTheme="minorHAnsi"/>
          <w:noProof/>
          <w:lang w:eastAsia="sl-SI"/>
        </w:rPr>
      </w:pPr>
      <w:hyperlink w:anchor="_Toc97026939" w:history="1">
        <w:r w:rsidRPr="004070C7">
          <w:rPr>
            <w:rStyle w:val="Hiperpovezava"/>
            <w:noProof/>
          </w:rPr>
          <w:t>Slika 8.10: Napoved sanitarne sečnje v gozdovih, prizadetih zaradi žleda za srednji scenarij B podnebnih sprememb v obdobju 2031–2040 za Mestno občino Nova Gorica (Ogris 2007).</w:t>
        </w:r>
        <w:r>
          <w:rPr>
            <w:noProof/>
            <w:webHidden/>
          </w:rPr>
          <w:tab/>
        </w:r>
        <w:r>
          <w:rPr>
            <w:noProof/>
            <w:webHidden/>
          </w:rPr>
          <w:fldChar w:fldCharType="begin"/>
        </w:r>
        <w:r>
          <w:rPr>
            <w:noProof/>
            <w:webHidden/>
          </w:rPr>
          <w:instrText xml:space="preserve"> PAGEREF _Toc97026939 \h </w:instrText>
        </w:r>
        <w:r>
          <w:rPr>
            <w:noProof/>
            <w:webHidden/>
          </w:rPr>
        </w:r>
        <w:r>
          <w:rPr>
            <w:noProof/>
            <w:webHidden/>
          </w:rPr>
          <w:fldChar w:fldCharType="separate"/>
        </w:r>
        <w:r>
          <w:rPr>
            <w:noProof/>
            <w:webHidden/>
          </w:rPr>
          <w:t>313</w:t>
        </w:r>
        <w:r>
          <w:rPr>
            <w:noProof/>
            <w:webHidden/>
          </w:rPr>
          <w:fldChar w:fldCharType="end"/>
        </w:r>
      </w:hyperlink>
    </w:p>
    <w:p w14:paraId="0E32CE59" w14:textId="2D62AE72" w:rsidR="007A0276" w:rsidRDefault="007A0276">
      <w:pPr>
        <w:pStyle w:val="Kazaloslik"/>
        <w:tabs>
          <w:tab w:val="right" w:leader="dot" w:pos="9628"/>
        </w:tabs>
        <w:rPr>
          <w:rFonts w:asciiTheme="minorHAnsi" w:eastAsiaTheme="minorEastAsia" w:hAnsiTheme="minorHAnsi"/>
          <w:noProof/>
          <w:lang w:eastAsia="sl-SI"/>
        </w:rPr>
      </w:pPr>
      <w:hyperlink w:anchor="_Toc97026940" w:history="1">
        <w:r w:rsidRPr="004070C7">
          <w:rPr>
            <w:rStyle w:val="Hiperpovezava"/>
            <w:noProof/>
          </w:rPr>
          <w:t>Slika 8.11: Projekcije gibanja potencialnih površin gozdov za sanitarno sečnjo zaradi žleda v Mestni občini Nova Gorica za tri scenarije podnebnih sprememb za obdobje 1981–2100 (Ogris 2007).</w:t>
        </w:r>
        <w:r>
          <w:rPr>
            <w:noProof/>
            <w:webHidden/>
          </w:rPr>
          <w:tab/>
        </w:r>
        <w:r>
          <w:rPr>
            <w:noProof/>
            <w:webHidden/>
          </w:rPr>
          <w:fldChar w:fldCharType="begin"/>
        </w:r>
        <w:r>
          <w:rPr>
            <w:noProof/>
            <w:webHidden/>
          </w:rPr>
          <w:instrText xml:space="preserve"> PAGEREF _Toc97026940 \h </w:instrText>
        </w:r>
        <w:r>
          <w:rPr>
            <w:noProof/>
            <w:webHidden/>
          </w:rPr>
        </w:r>
        <w:r>
          <w:rPr>
            <w:noProof/>
            <w:webHidden/>
          </w:rPr>
          <w:fldChar w:fldCharType="separate"/>
        </w:r>
        <w:r>
          <w:rPr>
            <w:noProof/>
            <w:webHidden/>
          </w:rPr>
          <w:t>313</w:t>
        </w:r>
        <w:r>
          <w:rPr>
            <w:noProof/>
            <w:webHidden/>
          </w:rPr>
          <w:fldChar w:fldCharType="end"/>
        </w:r>
      </w:hyperlink>
    </w:p>
    <w:p w14:paraId="4E22E953" w14:textId="672E7516" w:rsidR="007A0276" w:rsidRDefault="007A0276">
      <w:pPr>
        <w:pStyle w:val="Kazaloslik"/>
        <w:tabs>
          <w:tab w:val="right" w:leader="dot" w:pos="9628"/>
        </w:tabs>
        <w:rPr>
          <w:rFonts w:asciiTheme="minorHAnsi" w:eastAsiaTheme="minorEastAsia" w:hAnsiTheme="minorHAnsi"/>
          <w:noProof/>
          <w:lang w:eastAsia="sl-SI"/>
        </w:rPr>
      </w:pPr>
      <w:hyperlink w:anchor="_Toc97026941" w:history="1">
        <w:r w:rsidRPr="004070C7">
          <w:rPr>
            <w:rStyle w:val="Hiperpovezava"/>
            <w:noProof/>
          </w:rPr>
          <w:t>Slika 8.12. Napoved sanitarne sečnje zaradi podlubnikov za scenarij B podnebnih sprememb v obdobju 2091–2100 za Mestno občino Nova Gorica</w:t>
        </w:r>
        <w:r>
          <w:rPr>
            <w:noProof/>
            <w:webHidden/>
          </w:rPr>
          <w:tab/>
        </w:r>
        <w:r>
          <w:rPr>
            <w:noProof/>
            <w:webHidden/>
          </w:rPr>
          <w:fldChar w:fldCharType="begin"/>
        </w:r>
        <w:r>
          <w:rPr>
            <w:noProof/>
            <w:webHidden/>
          </w:rPr>
          <w:instrText xml:space="preserve"> PAGEREF _Toc97026941 \h </w:instrText>
        </w:r>
        <w:r>
          <w:rPr>
            <w:noProof/>
            <w:webHidden/>
          </w:rPr>
        </w:r>
        <w:r>
          <w:rPr>
            <w:noProof/>
            <w:webHidden/>
          </w:rPr>
          <w:fldChar w:fldCharType="separate"/>
        </w:r>
        <w:r>
          <w:rPr>
            <w:noProof/>
            <w:webHidden/>
          </w:rPr>
          <w:t>316</w:t>
        </w:r>
        <w:r>
          <w:rPr>
            <w:noProof/>
            <w:webHidden/>
          </w:rPr>
          <w:fldChar w:fldCharType="end"/>
        </w:r>
      </w:hyperlink>
    </w:p>
    <w:p w14:paraId="2C5DE973" w14:textId="374F229E" w:rsidR="007A0276" w:rsidRDefault="007A0276">
      <w:pPr>
        <w:pStyle w:val="Kazaloslik"/>
        <w:tabs>
          <w:tab w:val="right" w:leader="dot" w:pos="9628"/>
        </w:tabs>
        <w:rPr>
          <w:rFonts w:asciiTheme="minorHAnsi" w:eastAsiaTheme="minorEastAsia" w:hAnsiTheme="minorHAnsi"/>
          <w:noProof/>
          <w:lang w:eastAsia="sl-SI"/>
        </w:rPr>
      </w:pPr>
      <w:hyperlink w:anchor="_Toc97026942" w:history="1">
        <w:r w:rsidRPr="004070C7">
          <w:rPr>
            <w:rStyle w:val="Hiperpovezava"/>
            <w:noProof/>
          </w:rPr>
          <w:t>Slika 8.13: Projekcije gibanja potencialnih površin za sanitarno sečnjo zaradi podlubnikov v Mestni občini Nova Gorica za tri scenarije podnebnih sprememb za obdobje 1981–2100.</w:t>
        </w:r>
        <w:r>
          <w:rPr>
            <w:noProof/>
            <w:webHidden/>
          </w:rPr>
          <w:tab/>
        </w:r>
        <w:r>
          <w:rPr>
            <w:noProof/>
            <w:webHidden/>
          </w:rPr>
          <w:fldChar w:fldCharType="begin"/>
        </w:r>
        <w:r>
          <w:rPr>
            <w:noProof/>
            <w:webHidden/>
          </w:rPr>
          <w:instrText xml:space="preserve"> PAGEREF _Toc97026942 \h </w:instrText>
        </w:r>
        <w:r>
          <w:rPr>
            <w:noProof/>
            <w:webHidden/>
          </w:rPr>
        </w:r>
        <w:r>
          <w:rPr>
            <w:noProof/>
            <w:webHidden/>
          </w:rPr>
          <w:fldChar w:fldCharType="separate"/>
        </w:r>
        <w:r>
          <w:rPr>
            <w:noProof/>
            <w:webHidden/>
          </w:rPr>
          <w:t>316</w:t>
        </w:r>
        <w:r>
          <w:rPr>
            <w:noProof/>
            <w:webHidden/>
          </w:rPr>
          <w:fldChar w:fldCharType="end"/>
        </w:r>
      </w:hyperlink>
    </w:p>
    <w:p w14:paraId="0D10F9B9" w14:textId="29D1A184" w:rsidR="003A7819" w:rsidRPr="00097AA5" w:rsidRDefault="003A7819">
      <w:pPr>
        <w:jc w:val="left"/>
      </w:pPr>
      <w:r w:rsidRPr="004D3D6F">
        <w:fldChar w:fldCharType="end"/>
      </w:r>
      <w:r w:rsidRPr="00097AA5">
        <w:br w:type="page"/>
      </w:r>
    </w:p>
    <w:p w14:paraId="650B191D" w14:textId="136F16B1" w:rsidR="003A7819" w:rsidRDefault="003A7819" w:rsidP="003A7819">
      <w:pPr>
        <w:pStyle w:val="Brezrazmikov"/>
        <w:spacing w:after="120" w:line="259" w:lineRule="auto"/>
        <w:jc w:val="both"/>
        <w:rPr>
          <w:rFonts w:ascii="Trebuchet MS" w:hAnsi="Trebuchet MS" w:cstheme="minorBidi"/>
          <w:b/>
          <w:color w:val="203B88"/>
          <w:sz w:val="32"/>
          <w:szCs w:val="32"/>
          <w:lang w:val="sl-SI"/>
        </w:rPr>
      </w:pPr>
      <w:r>
        <w:rPr>
          <w:rFonts w:ascii="Trebuchet MS" w:hAnsi="Trebuchet MS" w:cstheme="minorBidi"/>
          <w:b/>
          <w:color w:val="203B88"/>
          <w:sz w:val="32"/>
          <w:szCs w:val="32"/>
          <w:lang w:val="sl-SI"/>
        </w:rPr>
        <w:lastRenderedPageBreak/>
        <w:t>Kazalo preglednic</w:t>
      </w:r>
    </w:p>
    <w:p w14:paraId="6C2C2B26" w14:textId="78BCF499" w:rsidR="007A0276" w:rsidRDefault="003A7819">
      <w:pPr>
        <w:pStyle w:val="Kazaloslik"/>
        <w:tabs>
          <w:tab w:val="right" w:leader="dot" w:pos="9628"/>
        </w:tabs>
        <w:rPr>
          <w:rFonts w:asciiTheme="minorHAnsi" w:eastAsiaTheme="minorEastAsia" w:hAnsiTheme="minorHAnsi"/>
          <w:noProof/>
          <w:lang w:eastAsia="sl-SI"/>
        </w:rPr>
      </w:pPr>
      <w:r w:rsidRPr="00AD296E">
        <w:fldChar w:fldCharType="begin"/>
      </w:r>
      <w:r w:rsidRPr="00AD296E">
        <w:instrText xml:space="preserve"> TOC \h \z \c "Preglednica" </w:instrText>
      </w:r>
      <w:r w:rsidRPr="00AD296E">
        <w:fldChar w:fldCharType="separate"/>
      </w:r>
      <w:hyperlink w:anchor="_Toc97026943" w:history="1">
        <w:r w:rsidR="007A0276" w:rsidRPr="002F25E3">
          <w:rPr>
            <w:rStyle w:val="Hiperpovezava"/>
            <w:noProof/>
          </w:rPr>
          <w:t>Preglednica 1.1: Rezultati analize podatkov podnebnih spremenljivk</w:t>
        </w:r>
        <w:r w:rsidR="007A0276">
          <w:rPr>
            <w:noProof/>
            <w:webHidden/>
          </w:rPr>
          <w:tab/>
        </w:r>
        <w:r w:rsidR="007A0276">
          <w:rPr>
            <w:noProof/>
            <w:webHidden/>
          </w:rPr>
          <w:fldChar w:fldCharType="begin"/>
        </w:r>
        <w:r w:rsidR="007A0276">
          <w:rPr>
            <w:noProof/>
            <w:webHidden/>
          </w:rPr>
          <w:instrText xml:space="preserve"> PAGEREF _Toc97026943 \h </w:instrText>
        </w:r>
        <w:r w:rsidR="007A0276">
          <w:rPr>
            <w:noProof/>
            <w:webHidden/>
          </w:rPr>
        </w:r>
        <w:r w:rsidR="007A0276">
          <w:rPr>
            <w:noProof/>
            <w:webHidden/>
          </w:rPr>
          <w:fldChar w:fldCharType="separate"/>
        </w:r>
        <w:r w:rsidR="007A0276">
          <w:rPr>
            <w:noProof/>
            <w:webHidden/>
          </w:rPr>
          <w:t>16</w:t>
        </w:r>
        <w:r w:rsidR="007A0276">
          <w:rPr>
            <w:noProof/>
            <w:webHidden/>
          </w:rPr>
          <w:fldChar w:fldCharType="end"/>
        </w:r>
      </w:hyperlink>
    </w:p>
    <w:p w14:paraId="75805188" w14:textId="77882488" w:rsidR="007A0276" w:rsidRDefault="007A0276">
      <w:pPr>
        <w:pStyle w:val="Kazaloslik"/>
        <w:tabs>
          <w:tab w:val="right" w:leader="dot" w:pos="9628"/>
        </w:tabs>
        <w:rPr>
          <w:rFonts w:asciiTheme="minorHAnsi" w:eastAsiaTheme="minorEastAsia" w:hAnsiTheme="minorHAnsi"/>
          <w:noProof/>
          <w:lang w:eastAsia="sl-SI"/>
        </w:rPr>
      </w:pPr>
      <w:hyperlink w:anchor="_Toc97026944" w:history="1">
        <w:r w:rsidRPr="002F25E3">
          <w:rPr>
            <w:rStyle w:val="Hiperpovezava"/>
            <w:rFonts w:eastAsia="Trebuchet MS" w:cstheme="minorHAnsi"/>
            <w:i/>
            <w:iCs/>
            <w:noProof/>
            <w:lang w:eastAsia="sl-SI"/>
          </w:rPr>
          <w:t>Preglednica 1.2: Ranljivost kmetijstva, sestavljena iz petih kazalnikov ranljivosti, s pripadajočimi potencialnimi vplivi in sposobnostjo prilagajanja po scenarijih RCP4.5 in RCP8.5 v obdobju 2041–2070 ter pripadajoča ocena tveganja.</w:t>
        </w:r>
        <w:r>
          <w:rPr>
            <w:noProof/>
            <w:webHidden/>
          </w:rPr>
          <w:tab/>
        </w:r>
        <w:r>
          <w:rPr>
            <w:noProof/>
            <w:webHidden/>
          </w:rPr>
          <w:fldChar w:fldCharType="begin"/>
        </w:r>
        <w:r>
          <w:rPr>
            <w:noProof/>
            <w:webHidden/>
          </w:rPr>
          <w:instrText xml:space="preserve"> PAGEREF _Toc97026944 \h </w:instrText>
        </w:r>
        <w:r>
          <w:rPr>
            <w:noProof/>
            <w:webHidden/>
          </w:rPr>
        </w:r>
        <w:r>
          <w:rPr>
            <w:noProof/>
            <w:webHidden/>
          </w:rPr>
          <w:fldChar w:fldCharType="separate"/>
        </w:r>
        <w:r>
          <w:rPr>
            <w:noProof/>
            <w:webHidden/>
          </w:rPr>
          <w:t>19</w:t>
        </w:r>
        <w:r>
          <w:rPr>
            <w:noProof/>
            <w:webHidden/>
          </w:rPr>
          <w:fldChar w:fldCharType="end"/>
        </w:r>
      </w:hyperlink>
    </w:p>
    <w:p w14:paraId="56C4C192" w14:textId="1434981E" w:rsidR="007A0276" w:rsidRDefault="007A0276">
      <w:pPr>
        <w:pStyle w:val="Kazaloslik"/>
        <w:tabs>
          <w:tab w:val="right" w:leader="dot" w:pos="9628"/>
        </w:tabs>
        <w:rPr>
          <w:rFonts w:asciiTheme="minorHAnsi" w:eastAsiaTheme="minorEastAsia" w:hAnsiTheme="minorHAnsi"/>
          <w:noProof/>
          <w:lang w:eastAsia="sl-SI"/>
        </w:rPr>
      </w:pPr>
      <w:hyperlink w:anchor="_Toc97026945" w:history="1">
        <w:r w:rsidRPr="002F25E3">
          <w:rPr>
            <w:rStyle w:val="Hiperpovezava"/>
            <w:noProof/>
          </w:rPr>
          <w:t xml:space="preserve">Preglednica 1.3: : </w:t>
        </w:r>
        <w:r w:rsidRPr="002F25E3">
          <w:rPr>
            <w:rStyle w:val="Hiperpovezava"/>
            <w:rFonts w:eastAsia="Trebuchet MS" w:cs="Trebuchet MS"/>
            <w:noProof/>
          </w:rPr>
          <w:t>Ocena ranljivosti sektorja gozdarstvo v Mestni občini Nova Gorica, sestavljena iz devetih kazalnikov (sedmih kazalnikov za naravno okolje ter dveh kazalnikov za družbeno okolje), s pripadajočimi potencialnimi vplivi in sposobnostjo prilagajanja, po scenarijih RCP4.5 in RCP8.5 v drugem obdobju (2041–2070) ter ocena tveganja.</w:t>
        </w:r>
        <w:r>
          <w:rPr>
            <w:noProof/>
            <w:webHidden/>
          </w:rPr>
          <w:tab/>
        </w:r>
        <w:r>
          <w:rPr>
            <w:noProof/>
            <w:webHidden/>
          </w:rPr>
          <w:fldChar w:fldCharType="begin"/>
        </w:r>
        <w:r>
          <w:rPr>
            <w:noProof/>
            <w:webHidden/>
          </w:rPr>
          <w:instrText xml:space="preserve"> PAGEREF _Toc97026945 \h </w:instrText>
        </w:r>
        <w:r>
          <w:rPr>
            <w:noProof/>
            <w:webHidden/>
          </w:rPr>
        </w:r>
        <w:r>
          <w:rPr>
            <w:noProof/>
            <w:webHidden/>
          </w:rPr>
          <w:fldChar w:fldCharType="separate"/>
        </w:r>
        <w:r>
          <w:rPr>
            <w:noProof/>
            <w:webHidden/>
          </w:rPr>
          <w:t>22</w:t>
        </w:r>
        <w:r>
          <w:rPr>
            <w:noProof/>
            <w:webHidden/>
          </w:rPr>
          <w:fldChar w:fldCharType="end"/>
        </w:r>
      </w:hyperlink>
    </w:p>
    <w:p w14:paraId="5542DEEC" w14:textId="780E730D" w:rsidR="007A0276" w:rsidRDefault="007A0276">
      <w:pPr>
        <w:pStyle w:val="Kazaloslik"/>
        <w:tabs>
          <w:tab w:val="right" w:leader="dot" w:pos="9628"/>
        </w:tabs>
        <w:rPr>
          <w:rFonts w:asciiTheme="minorHAnsi" w:eastAsiaTheme="minorEastAsia" w:hAnsiTheme="minorHAnsi"/>
          <w:noProof/>
          <w:lang w:eastAsia="sl-SI"/>
        </w:rPr>
      </w:pPr>
      <w:hyperlink w:anchor="_Toc97026946" w:history="1">
        <w:r w:rsidRPr="002F25E3">
          <w:rPr>
            <w:rStyle w:val="Hiperpovezava"/>
            <w:noProof/>
          </w:rPr>
          <w:t>Preglednica 1.4: Ocena ranljivosti zdravstva sestavljen iz štirih segmentov sektorja in kazalnikov ranljivosti ter potencialni vplivi in sposobnost prilagajanja, stanje v prihodnosti</w:t>
        </w:r>
        <w:r>
          <w:rPr>
            <w:noProof/>
            <w:webHidden/>
          </w:rPr>
          <w:tab/>
        </w:r>
        <w:r>
          <w:rPr>
            <w:noProof/>
            <w:webHidden/>
          </w:rPr>
          <w:fldChar w:fldCharType="begin"/>
        </w:r>
        <w:r>
          <w:rPr>
            <w:noProof/>
            <w:webHidden/>
          </w:rPr>
          <w:instrText xml:space="preserve"> PAGEREF _Toc97026946 \h </w:instrText>
        </w:r>
        <w:r>
          <w:rPr>
            <w:noProof/>
            <w:webHidden/>
          </w:rPr>
        </w:r>
        <w:r>
          <w:rPr>
            <w:noProof/>
            <w:webHidden/>
          </w:rPr>
          <w:fldChar w:fldCharType="separate"/>
        </w:r>
        <w:r>
          <w:rPr>
            <w:noProof/>
            <w:webHidden/>
          </w:rPr>
          <w:t>27</w:t>
        </w:r>
        <w:r>
          <w:rPr>
            <w:noProof/>
            <w:webHidden/>
          </w:rPr>
          <w:fldChar w:fldCharType="end"/>
        </w:r>
      </w:hyperlink>
    </w:p>
    <w:p w14:paraId="016ED842" w14:textId="7A7C45B1" w:rsidR="007A0276" w:rsidRDefault="007A0276">
      <w:pPr>
        <w:pStyle w:val="Kazaloslik"/>
        <w:tabs>
          <w:tab w:val="right" w:leader="dot" w:pos="9628"/>
        </w:tabs>
        <w:rPr>
          <w:rFonts w:asciiTheme="minorHAnsi" w:eastAsiaTheme="minorEastAsia" w:hAnsiTheme="minorHAnsi"/>
          <w:noProof/>
          <w:lang w:eastAsia="sl-SI"/>
        </w:rPr>
      </w:pPr>
      <w:hyperlink w:anchor="_Toc97026947" w:history="1">
        <w:r w:rsidRPr="002F25E3">
          <w:rPr>
            <w:rStyle w:val="Hiperpovezava"/>
            <w:rFonts w:eastAsia="Trebuchet MS" w:cs="Trebuchet MS"/>
            <w:i/>
            <w:iCs/>
            <w:noProof/>
            <w:lang w:eastAsia="sl-SI"/>
          </w:rPr>
          <w:t>Preglednica 1.5: Ranljivost sektorja turizma, sestavljena iz petih kazalnikov ranljivosti, s pripadajočimi potencialnimi vplivi in oceno sposobnosti prilagajanja ter ocena tveganja zaradi podnebnih sprememb v obdobju 2011—2040.</w:t>
        </w:r>
        <w:r>
          <w:rPr>
            <w:noProof/>
            <w:webHidden/>
          </w:rPr>
          <w:tab/>
        </w:r>
        <w:r>
          <w:rPr>
            <w:noProof/>
            <w:webHidden/>
          </w:rPr>
          <w:fldChar w:fldCharType="begin"/>
        </w:r>
        <w:r>
          <w:rPr>
            <w:noProof/>
            <w:webHidden/>
          </w:rPr>
          <w:instrText xml:space="preserve"> PAGEREF _Toc97026947 \h </w:instrText>
        </w:r>
        <w:r>
          <w:rPr>
            <w:noProof/>
            <w:webHidden/>
          </w:rPr>
        </w:r>
        <w:r>
          <w:rPr>
            <w:noProof/>
            <w:webHidden/>
          </w:rPr>
          <w:fldChar w:fldCharType="separate"/>
        </w:r>
        <w:r>
          <w:rPr>
            <w:noProof/>
            <w:webHidden/>
          </w:rPr>
          <w:t>31</w:t>
        </w:r>
        <w:r>
          <w:rPr>
            <w:noProof/>
            <w:webHidden/>
          </w:rPr>
          <w:fldChar w:fldCharType="end"/>
        </w:r>
      </w:hyperlink>
    </w:p>
    <w:p w14:paraId="146B0B42" w14:textId="4C656E8F" w:rsidR="007A0276" w:rsidRDefault="007A0276">
      <w:pPr>
        <w:pStyle w:val="Kazaloslik"/>
        <w:tabs>
          <w:tab w:val="right" w:leader="dot" w:pos="9628"/>
        </w:tabs>
        <w:rPr>
          <w:rFonts w:asciiTheme="minorHAnsi" w:eastAsiaTheme="minorEastAsia" w:hAnsiTheme="minorHAnsi"/>
          <w:noProof/>
          <w:lang w:eastAsia="sl-SI"/>
        </w:rPr>
      </w:pPr>
      <w:hyperlink w:anchor="_Toc97026948" w:history="1">
        <w:r w:rsidRPr="002F25E3">
          <w:rPr>
            <w:rStyle w:val="Hiperpovezava"/>
            <w:rFonts w:eastAsia="Trebuchet MS" w:cs="Trebuchet MS"/>
            <w:i/>
            <w:iCs/>
            <w:noProof/>
            <w:lang w:eastAsia="sl-SI"/>
          </w:rPr>
          <w:t>Preglednica 1.6: Ranljivost sektorja turizma, sestavljena iz petih kazalnikov ranljivosti, s pripadajočimi potencialnimi vplivi in oceno sposobnosti prilagajanja ter ocena tveganja zaradi podnebnih sprememb v obdobju 2041—2070.</w:t>
        </w:r>
        <w:r>
          <w:rPr>
            <w:noProof/>
            <w:webHidden/>
          </w:rPr>
          <w:tab/>
        </w:r>
        <w:r>
          <w:rPr>
            <w:noProof/>
            <w:webHidden/>
          </w:rPr>
          <w:fldChar w:fldCharType="begin"/>
        </w:r>
        <w:r>
          <w:rPr>
            <w:noProof/>
            <w:webHidden/>
          </w:rPr>
          <w:instrText xml:space="preserve"> PAGEREF _Toc97026948 \h </w:instrText>
        </w:r>
        <w:r>
          <w:rPr>
            <w:noProof/>
            <w:webHidden/>
          </w:rPr>
        </w:r>
        <w:r>
          <w:rPr>
            <w:noProof/>
            <w:webHidden/>
          </w:rPr>
          <w:fldChar w:fldCharType="separate"/>
        </w:r>
        <w:r>
          <w:rPr>
            <w:noProof/>
            <w:webHidden/>
          </w:rPr>
          <w:t>31</w:t>
        </w:r>
        <w:r>
          <w:rPr>
            <w:noProof/>
            <w:webHidden/>
          </w:rPr>
          <w:fldChar w:fldCharType="end"/>
        </w:r>
      </w:hyperlink>
    </w:p>
    <w:p w14:paraId="699BAE0E" w14:textId="7035D9D9" w:rsidR="007A0276" w:rsidRDefault="007A0276">
      <w:pPr>
        <w:pStyle w:val="Kazaloslik"/>
        <w:tabs>
          <w:tab w:val="right" w:leader="dot" w:pos="9628"/>
        </w:tabs>
        <w:rPr>
          <w:rFonts w:asciiTheme="minorHAnsi" w:eastAsiaTheme="minorEastAsia" w:hAnsiTheme="minorHAnsi"/>
          <w:noProof/>
          <w:lang w:eastAsia="sl-SI"/>
        </w:rPr>
      </w:pPr>
      <w:hyperlink w:anchor="_Toc97026949" w:history="1">
        <w:r w:rsidRPr="002F25E3">
          <w:rPr>
            <w:rStyle w:val="Hiperpovezava"/>
            <w:noProof/>
          </w:rPr>
          <w:t>Preglednica 1.7: Ocena ranljivosti in tveganja površinskih in podzemnih voda v prihodnosti.</w:t>
        </w:r>
        <w:r>
          <w:rPr>
            <w:noProof/>
            <w:webHidden/>
          </w:rPr>
          <w:tab/>
        </w:r>
        <w:r>
          <w:rPr>
            <w:noProof/>
            <w:webHidden/>
          </w:rPr>
          <w:fldChar w:fldCharType="begin"/>
        </w:r>
        <w:r>
          <w:rPr>
            <w:noProof/>
            <w:webHidden/>
          </w:rPr>
          <w:instrText xml:space="preserve"> PAGEREF _Toc97026949 \h </w:instrText>
        </w:r>
        <w:r>
          <w:rPr>
            <w:noProof/>
            <w:webHidden/>
          </w:rPr>
        </w:r>
        <w:r>
          <w:rPr>
            <w:noProof/>
            <w:webHidden/>
          </w:rPr>
          <w:fldChar w:fldCharType="separate"/>
        </w:r>
        <w:r>
          <w:rPr>
            <w:noProof/>
            <w:webHidden/>
          </w:rPr>
          <w:t>34</w:t>
        </w:r>
        <w:r>
          <w:rPr>
            <w:noProof/>
            <w:webHidden/>
          </w:rPr>
          <w:fldChar w:fldCharType="end"/>
        </w:r>
      </w:hyperlink>
    </w:p>
    <w:p w14:paraId="14713494" w14:textId="62D8C45B" w:rsidR="007A0276" w:rsidRDefault="007A0276">
      <w:pPr>
        <w:pStyle w:val="Kazaloslik"/>
        <w:tabs>
          <w:tab w:val="right" w:leader="dot" w:pos="9628"/>
        </w:tabs>
        <w:rPr>
          <w:rFonts w:asciiTheme="minorHAnsi" w:eastAsiaTheme="minorEastAsia" w:hAnsiTheme="minorHAnsi"/>
          <w:noProof/>
          <w:lang w:eastAsia="sl-SI"/>
        </w:rPr>
      </w:pPr>
      <w:hyperlink r:id="rId18" w:anchor="_Toc97026950" w:history="1">
        <w:r w:rsidRPr="002F25E3">
          <w:rPr>
            <w:rStyle w:val="Hiperpovezava"/>
            <w:noProof/>
          </w:rPr>
          <w:t>Preglednica 1.8: Ocena ranljivosti in tveganja oskrbe s pitno vodo na podnebne spremembe v prihodnosti.</w:t>
        </w:r>
        <w:r>
          <w:rPr>
            <w:noProof/>
            <w:webHidden/>
          </w:rPr>
          <w:tab/>
        </w:r>
        <w:r>
          <w:rPr>
            <w:noProof/>
            <w:webHidden/>
          </w:rPr>
          <w:fldChar w:fldCharType="begin"/>
        </w:r>
        <w:r>
          <w:rPr>
            <w:noProof/>
            <w:webHidden/>
          </w:rPr>
          <w:instrText xml:space="preserve"> PAGEREF _Toc97026950 \h </w:instrText>
        </w:r>
        <w:r>
          <w:rPr>
            <w:noProof/>
            <w:webHidden/>
          </w:rPr>
        </w:r>
        <w:r>
          <w:rPr>
            <w:noProof/>
            <w:webHidden/>
          </w:rPr>
          <w:fldChar w:fldCharType="separate"/>
        </w:r>
        <w:r>
          <w:rPr>
            <w:noProof/>
            <w:webHidden/>
          </w:rPr>
          <w:t>37</w:t>
        </w:r>
        <w:r>
          <w:rPr>
            <w:noProof/>
            <w:webHidden/>
          </w:rPr>
          <w:fldChar w:fldCharType="end"/>
        </w:r>
      </w:hyperlink>
    </w:p>
    <w:p w14:paraId="55FAD9B2" w14:textId="0AD730C7" w:rsidR="007A0276" w:rsidRDefault="007A0276">
      <w:pPr>
        <w:pStyle w:val="Kazaloslik"/>
        <w:tabs>
          <w:tab w:val="right" w:leader="dot" w:pos="9628"/>
        </w:tabs>
        <w:rPr>
          <w:rFonts w:asciiTheme="minorHAnsi" w:eastAsiaTheme="minorEastAsia" w:hAnsiTheme="minorHAnsi"/>
          <w:noProof/>
          <w:lang w:eastAsia="sl-SI"/>
        </w:rPr>
      </w:pPr>
      <w:hyperlink w:anchor="_Toc97026951" w:history="1">
        <w:r w:rsidRPr="002F25E3">
          <w:rPr>
            <w:rStyle w:val="Hiperpovezava"/>
            <w:noProof/>
          </w:rPr>
          <w:t>Preglednica 1.9: Ocena ranljivosti in tveganja – poplave na podnebne spremembe v prihodnosti.</w:t>
        </w:r>
        <w:r>
          <w:rPr>
            <w:noProof/>
            <w:webHidden/>
          </w:rPr>
          <w:tab/>
        </w:r>
        <w:r>
          <w:rPr>
            <w:noProof/>
            <w:webHidden/>
          </w:rPr>
          <w:fldChar w:fldCharType="begin"/>
        </w:r>
        <w:r>
          <w:rPr>
            <w:noProof/>
            <w:webHidden/>
          </w:rPr>
          <w:instrText xml:space="preserve"> PAGEREF _Toc97026951 \h </w:instrText>
        </w:r>
        <w:r>
          <w:rPr>
            <w:noProof/>
            <w:webHidden/>
          </w:rPr>
        </w:r>
        <w:r>
          <w:rPr>
            <w:noProof/>
            <w:webHidden/>
          </w:rPr>
          <w:fldChar w:fldCharType="separate"/>
        </w:r>
        <w:r>
          <w:rPr>
            <w:noProof/>
            <w:webHidden/>
          </w:rPr>
          <w:t>40</w:t>
        </w:r>
        <w:r>
          <w:rPr>
            <w:noProof/>
            <w:webHidden/>
          </w:rPr>
          <w:fldChar w:fldCharType="end"/>
        </w:r>
      </w:hyperlink>
    </w:p>
    <w:p w14:paraId="137E69E4" w14:textId="217DC1DC" w:rsidR="007A0276" w:rsidRDefault="007A0276">
      <w:pPr>
        <w:pStyle w:val="Kazaloslik"/>
        <w:tabs>
          <w:tab w:val="right" w:leader="dot" w:pos="9628"/>
        </w:tabs>
        <w:rPr>
          <w:rFonts w:asciiTheme="minorHAnsi" w:eastAsiaTheme="minorEastAsia" w:hAnsiTheme="minorHAnsi"/>
          <w:noProof/>
          <w:lang w:eastAsia="sl-SI"/>
        </w:rPr>
      </w:pPr>
      <w:hyperlink w:anchor="_Toc97026952" w:history="1">
        <w:r w:rsidRPr="002F25E3">
          <w:rPr>
            <w:rStyle w:val="Hiperpovezava"/>
            <w:noProof/>
          </w:rPr>
          <w:t>Preglednica 5.1: Kvalitativna metoda določanja ranljivosti</w:t>
        </w:r>
        <w:r>
          <w:rPr>
            <w:noProof/>
            <w:webHidden/>
          </w:rPr>
          <w:tab/>
        </w:r>
        <w:r>
          <w:rPr>
            <w:noProof/>
            <w:webHidden/>
          </w:rPr>
          <w:fldChar w:fldCharType="begin"/>
        </w:r>
        <w:r>
          <w:rPr>
            <w:noProof/>
            <w:webHidden/>
          </w:rPr>
          <w:instrText xml:space="preserve"> PAGEREF _Toc97026952 \h </w:instrText>
        </w:r>
        <w:r>
          <w:rPr>
            <w:noProof/>
            <w:webHidden/>
          </w:rPr>
        </w:r>
        <w:r>
          <w:rPr>
            <w:noProof/>
            <w:webHidden/>
          </w:rPr>
          <w:fldChar w:fldCharType="separate"/>
        </w:r>
        <w:r>
          <w:rPr>
            <w:noProof/>
            <w:webHidden/>
          </w:rPr>
          <w:t>66</w:t>
        </w:r>
        <w:r>
          <w:rPr>
            <w:noProof/>
            <w:webHidden/>
          </w:rPr>
          <w:fldChar w:fldCharType="end"/>
        </w:r>
      </w:hyperlink>
    </w:p>
    <w:p w14:paraId="73B11CB4" w14:textId="00BFE047" w:rsidR="007A0276" w:rsidRDefault="007A0276">
      <w:pPr>
        <w:pStyle w:val="Kazaloslik"/>
        <w:tabs>
          <w:tab w:val="right" w:leader="dot" w:pos="9628"/>
        </w:tabs>
        <w:rPr>
          <w:rFonts w:asciiTheme="minorHAnsi" w:eastAsiaTheme="minorEastAsia" w:hAnsiTheme="minorHAnsi"/>
          <w:noProof/>
          <w:lang w:eastAsia="sl-SI"/>
        </w:rPr>
      </w:pPr>
      <w:hyperlink w:anchor="_Toc97026953" w:history="1">
        <w:r w:rsidRPr="002F25E3">
          <w:rPr>
            <w:rStyle w:val="Hiperpovezava"/>
            <w:noProof/>
          </w:rPr>
          <w:t>Preglednica 5.2: Metoda določanja tveganja.</w:t>
        </w:r>
        <w:r>
          <w:rPr>
            <w:noProof/>
            <w:webHidden/>
          </w:rPr>
          <w:tab/>
        </w:r>
        <w:r>
          <w:rPr>
            <w:noProof/>
            <w:webHidden/>
          </w:rPr>
          <w:fldChar w:fldCharType="begin"/>
        </w:r>
        <w:r>
          <w:rPr>
            <w:noProof/>
            <w:webHidden/>
          </w:rPr>
          <w:instrText xml:space="preserve"> PAGEREF _Toc97026953 \h </w:instrText>
        </w:r>
        <w:r>
          <w:rPr>
            <w:noProof/>
            <w:webHidden/>
          </w:rPr>
        </w:r>
        <w:r>
          <w:rPr>
            <w:noProof/>
            <w:webHidden/>
          </w:rPr>
          <w:fldChar w:fldCharType="separate"/>
        </w:r>
        <w:r>
          <w:rPr>
            <w:noProof/>
            <w:webHidden/>
          </w:rPr>
          <w:t>68</w:t>
        </w:r>
        <w:r>
          <w:rPr>
            <w:noProof/>
            <w:webHidden/>
          </w:rPr>
          <w:fldChar w:fldCharType="end"/>
        </w:r>
      </w:hyperlink>
    </w:p>
    <w:p w14:paraId="6CA70D2A" w14:textId="6D963ADD" w:rsidR="007A0276" w:rsidRDefault="007A0276">
      <w:pPr>
        <w:pStyle w:val="Kazaloslik"/>
        <w:tabs>
          <w:tab w:val="right" w:leader="dot" w:pos="9628"/>
        </w:tabs>
        <w:rPr>
          <w:rFonts w:asciiTheme="minorHAnsi" w:eastAsiaTheme="minorEastAsia" w:hAnsiTheme="minorHAnsi"/>
          <w:noProof/>
          <w:lang w:eastAsia="sl-SI"/>
        </w:rPr>
      </w:pPr>
      <w:hyperlink w:anchor="_Toc97026954" w:history="1">
        <w:r w:rsidRPr="002F25E3">
          <w:rPr>
            <w:rStyle w:val="Hiperpovezava"/>
            <w:noProof/>
          </w:rPr>
          <w:t>Preglednica 6.1: Kazalnik občutljivosti kmetijstva na podnebje (prirejeno po Kociper, 2020).</w:t>
        </w:r>
        <w:r>
          <w:rPr>
            <w:noProof/>
            <w:webHidden/>
          </w:rPr>
          <w:tab/>
        </w:r>
        <w:r>
          <w:rPr>
            <w:noProof/>
            <w:webHidden/>
          </w:rPr>
          <w:fldChar w:fldCharType="begin"/>
        </w:r>
        <w:r>
          <w:rPr>
            <w:noProof/>
            <w:webHidden/>
          </w:rPr>
          <w:instrText xml:space="preserve"> PAGEREF _Toc97026954 \h </w:instrText>
        </w:r>
        <w:r>
          <w:rPr>
            <w:noProof/>
            <w:webHidden/>
          </w:rPr>
        </w:r>
        <w:r>
          <w:rPr>
            <w:noProof/>
            <w:webHidden/>
          </w:rPr>
          <w:fldChar w:fldCharType="separate"/>
        </w:r>
        <w:r>
          <w:rPr>
            <w:noProof/>
            <w:webHidden/>
          </w:rPr>
          <w:t>74</w:t>
        </w:r>
        <w:r>
          <w:rPr>
            <w:noProof/>
            <w:webHidden/>
          </w:rPr>
          <w:fldChar w:fldCharType="end"/>
        </w:r>
      </w:hyperlink>
    </w:p>
    <w:p w14:paraId="5FB0F420" w14:textId="060047EF" w:rsidR="007A0276" w:rsidRDefault="007A0276">
      <w:pPr>
        <w:pStyle w:val="Kazaloslik"/>
        <w:tabs>
          <w:tab w:val="right" w:leader="dot" w:pos="9628"/>
        </w:tabs>
        <w:rPr>
          <w:rFonts w:asciiTheme="minorHAnsi" w:eastAsiaTheme="minorEastAsia" w:hAnsiTheme="minorHAnsi"/>
          <w:noProof/>
          <w:lang w:eastAsia="sl-SI"/>
        </w:rPr>
      </w:pPr>
      <w:hyperlink w:anchor="_Toc97026955" w:history="1">
        <w:r w:rsidRPr="002F25E3">
          <w:rPr>
            <w:rStyle w:val="Hiperpovezava"/>
            <w:noProof/>
          </w:rPr>
          <w:t>Preglednica 6.2: Kazalnik sposobnosti prilagajanja kmetijstva na podnebje (prirejeno po Kociper, 2020).</w:t>
        </w:r>
        <w:r>
          <w:rPr>
            <w:noProof/>
            <w:webHidden/>
          </w:rPr>
          <w:tab/>
        </w:r>
        <w:r>
          <w:rPr>
            <w:noProof/>
            <w:webHidden/>
          </w:rPr>
          <w:fldChar w:fldCharType="begin"/>
        </w:r>
        <w:r>
          <w:rPr>
            <w:noProof/>
            <w:webHidden/>
          </w:rPr>
          <w:instrText xml:space="preserve"> PAGEREF _Toc97026955 \h </w:instrText>
        </w:r>
        <w:r>
          <w:rPr>
            <w:noProof/>
            <w:webHidden/>
          </w:rPr>
        </w:r>
        <w:r>
          <w:rPr>
            <w:noProof/>
            <w:webHidden/>
          </w:rPr>
          <w:fldChar w:fldCharType="separate"/>
        </w:r>
        <w:r>
          <w:rPr>
            <w:noProof/>
            <w:webHidden/>
          </w:rPr>
          <w:t>74</w:t>
        </w:r>
        <w:r>
          <w:rPr>
            <w:noProof/>
            <w:webHidden/>
          </w:rPr>
          <w:fldChar w:fldCharType="end"/>
        </w:r>
      </w:hyperlink>
    </w:p>
    <w:p w14:paraId="229250CF" w14:textId="2EBE7D77" w:rsidR="007A0276" w:rsidRDefault="007A0276">
      <w:pPr>
        <w:pStyle w:val="Kazaloslik"/>
        <w:tabs>
          <w:tab w:val="right" w:leader="dot" w:pos="9628"/>
        </w:tabs>
        <w:rPr>
          <w:rFonts w:asciiTheme="minorHAnsi" w:eastAsiaTheme="minorEastAsia" w:hAnsiTheme="minorHAnsi"/>
          <w:noProof/>
          <w:lang w:eastAsia="sl-SI"/>
        </w:rPr>
      </w:pPr>
      <w:hyperlink w:anchor="_Toc97026956" w:history="1">
        <w:r w:rsidRPr="002F25E3">
          <w:rPr>
            <w:rStyle w:val="Hiperpovezava"/>
            <w:noProof/>
          </w:rPr>
          <w:t>Preglednica 6.3: Določanje ocene izpostavljenosti, občutljivosti, potencialnega vpliva, sposobnosti prilagajanja in ranljivosti iz standardiziranih vrednosti spremenljivk (x)</w:t>
        </w:r>
        <w:r>
          <w:rPr>
            <w:noProof/>
            <w:webHidden/>
          </w:rPr>
          <w:tab/>
        </w:r>
        <w:r>
          <w:rPr>
            <w:noProof/>
            <w:webHidden/>
          </w:rPr>
          <w:fldChar w:fldCharType="begin"/>
        </w:r>
        <w:r>
          <w:rPr>
            <w:noProof/>
            <w:webHidden/>
          </w:rPr>
          <w:instrText xml:space="preserve"> PAGEREF _Toc97026956 \h </w:instrText>
        </w:r>
        <w:r>
          <w:rPr>
            <w:noProof/>
            <w:webHidden/>
          </w:rPr>
        </w:r>
        <w:r>
          <w:rPr>
            <w:noProof/>
            <w:webHidden/>
          </w:rPr>
          <w:fldChar w:fldCharType="separate"/>
        </w:r>
        <w:r>
          <w:rPr>
            <w:noProof/>
            <w:webHidden/>
          </w:rPr>
          <w:t>76</w:t>
        </w:r>
        <w:r>
          <w:rPr>
            <w:noProof/>
            <w:webHidden/>
          </w:rPr>
          <w:fldChar w:fldCharType="end"/>
        </w:r>
      </w:hyperlink>
    </w:p>
    <w:p w14:paraId="6232DF3A" w14:textId="70AA8CF4" w:rsidR="007A0276" w:rsidRDefault="007A0276">
      <w:pPr>
        <w:pStyle w:val="Kazaloslik"/>
        <w:tabs>
          <w:tab w:val="right" w:leader="dot" w:pos="9628"/>
        </w:tabs>
        <w:rPr>
          <w:rFonts w:asciiTheme="minorHAnsi" w:eastAsiaTheme="minorEastAsia" w:hAnsiTheme="minorHAnsi"/>
          <w:noProof/>
          <w:lang w:eastAsia="sl-SI"/>
        </w:rPr>
      </w:pPr>
      <w:hyperlink w:anchor="_Toc97026957" w:history="1">
        <w:r w:rsidRPr="002F25E3">
          <w:rPr>
            <w:rStyle w:val="Hiperpovezava"/>
            <w:noProof/>
          </w:rPr>
          <w:t>Preglednica 6.4: Matrika izbora spremenljivk kazalnikov izpostavljenosti in občutljivosti kmetijstva na podnebje (xi) za pet kazalnikov ranljivosti (yi)</w:t>
        </w:r>
        <w:r>
          <w:rPr>
            <w:noProof/>
            <w:webHidden/>
          </w:rPr>
          <w:tab/>
        </w:r>
        <w:r>
          <w:rPr>
            <w:noProof/>
            <w:webHidden/>
          </w:rPr>
          <w:fldChar w:fldCharType="begin"/>
        </w:r>
        <w:r>
          <w:rPr>
            <w:noProof/>
            <w:webHidden/>
          </w:rPr>
          <w:instrText xml:space="preserve"> PAGEREF _Toc97026957 \h </w:instrText>
        </w:r>
        <w:r>
          <w:rPr>
            <w:noProof/>
            <w:webHidden/>
          </w:rPr>
        </w:r>
        <w:r>
          <w:rPr>
            <w:noProof/>
            <w:webHidden/>
          </w:rPr>
          <w:fldChar w:fldCharType="separate"/>
        </w:r>
        <w:r>
          <w:rPr>
            <w:noProof/>
            <w:webHidden/>
          </w:rPr>
          <w:t>77</w:t>
        </w:r>
        <w:r>
          <w:rPr>
            <w:noProof/>
            <w:webHidden/>
          </w:rPr>
          <w:fldChar w:fldCharType="end"/>
        </w:r>
      </w:hyperlink>
    </w:p>
    <w:p w14:paraId="54AA9F97" w14:textId="35D907B6" w:rsidR="007A0276" w:rsidRDefault="007A0276">
      <w:pPr>
        <w:pStyle w:val="Kazaloslik"/>
        <w:tabs>
          <w:tab w:val="right" w:leader="dot" w:pos="9628"/>
        </w:tabs>
        <w:rPr>
          <w:rFonts w:asciiTheme="minorHAnsi" w:eastAsiaTheme="minorEastAsia" w:hAnsiTheme="minorHAnsi"/>
          <w:noProof/>
          <w:lang w:eastAsia="sl-SI"/>
        </w:rPr>
      </w:pPr>
      <w:hyperlink w:anchor="_Toc97026958" w:history="1">
        <w:r w:rsidRPr="002F25E3">
          <w:rPr>
            <w:rStyle w:val="Hiperpovezava"/>
            <w:rFonts w:eastAsia="Trebuchet MS" w:cs="Trebuchet MS"/>
            <w:i/>
            <w:iCs/>
            <w:noProof/>
            <w:lang w:eastAsia="sl-SI"/>
          </w:rPr>
          <w:t>Preglednica 6.5: Povprečne vrednosti izbranih meteoroloških spremenljivk za obdobje 1981</w:t>
        </w:r>
        <w:r w:rsidRPr="002F25E3">
          <w:rPr>
            <w:rStyle w:val="Hiperpovezava"/>
            <w:noProof/>
          </w:rPr>
          <w:t>–</w:t>
        </w:r>
        <w:r w:rsidRPr="002F25E3">
          <w:rPr>
            <w:rStyle w:val="Hiperpovezava"/>
            <w:rFonts w:eastAsia="Trebuchet MS" w:cs="Trebuchet MS"/>
            <w:i/>
            <w:iCs/>
            <w:noProof/>
            <w:lang w:eastAsia="sl-SI"/>
          </w:rPr>
          <w:t>2010 na območju mestne občine Nova Gorica (vir: ARSO, 2020) in na dveh lokacijah v Sloveniji, kjer dosegajo najmanjšo in največjo vrednost (vir: arhiv ARSO; Vertačnik in Bertalanič, 2017). Spremenljivke sestavljajo kazalnik izpostavljenosti kmetijstva podnebnim vplivom.</w:t>
        </w:r>
        <w:r>
          <w:rPr>
            <w:noProof/>
            <w:webHidden/>
          </w:rPr>
          <w:tab/>
        </w:r>
        <w:r>
          <w:rPr>
            <w:noProof/>
            <w:webHidden/>
          </w:rPr>
          <w:fldChar w:fldCharType="begin"/>
        </w:r>
        <w:r>
          <w:rPr>
            <w:noProof/>
            <w:webHidden/>
          </w:rPr>
          <w:instrText xml:space="preserve"> PAGEREF _Toc97026958 \h </w:instrText>
        </w:r>
        <w:r>
          <w:rPr>
            <w:noProof/>
            <w:webHidden/>
          </w:rPr>
        </w:r>
        <w:r>
          <w:rPr>
            <w:noProof/>
            <w:webHidden/>
          </w:rPr>
          <w:fldChar w:fldCharType="separate"/>
        </w:r>
        <w:r>
          <w:rPr>
            <w:noProof/>
            <w:webHidden/>
          </w:rPr>
          <w:t>85</w:t>
        </w:r>
        <w:r>
          <w:rPr>
            <w:noProof/>
            <w:webHidden/>
          </w:rPr>
          <w:fldChar w:fldCharType="end"/>
        </w:r>
      </w:hyperlink>
    </w:p>
    <w:p w14:paraId="30B956CC" w14:textId="02C677F5" w:rsidR="007A0276" w:rsidRDefault="007A0276">
      <w:pPr>
        <w:pStyle w:val="Kazaloslik"/>
        <w:tabs>
          <w:tab w:val="right" w:leader="dot" w:pos="9628"/>
        </w:tabs>
        <w:rPr>
          <w:rFonts w:asciiTheme="minorHAnsi" w:eastAsiaTheme="minorEastAsia" w:hAnsiTheme="minorHAnsi"/>
          <w:noProof/>
          <w:lang w:eastAsia="sl-SI"/>
        </w:rPr>
      </w:pPr>
      <w:hyperlink w:anchor="_Toc97026959" w:history="1">
        <w:r w:rsidRPr="002F25E3">
          <w:rPr>
            <w:rStyle w:val="Hiperpovezava"/>
            <w:rFonts w:eastAsia="Trebuchet MS" w:cs="Trebuchet MS"/>
            <w:i/>
            <w:iCs/>
            <w:noProof/>
            <w:lang w:eastAsia="sl-SI"/>
          </w:rPr>
          <w:t>Preglednica 6.6: Kvantitativne ocene spremenljivk kazalnika izpostavljenosti kmetijstva na podnebje v referenčnem obdobju 1981</w:t>
        </w:r>
        <w:r w:rsidRPr="002F25E3">
          <w:rPr>
            <w:rStyle w:val="Hiperpovezava"/>
            <w:noProof/>
          </w:rPr>
          <w:t>–</w:t>
        </w:r>
        <w:r w:rsidRPr="002F25E3">
          <w:rPr>
            <w:rStyle w:val="Hiperpovezava"/>
            <w:rFonts w:eastAsia="Trebuchet MS" w:cs="Trebuchet MS"/>
            <w:i/>
            <w:iCs/>
            <w:noProof/>
            <w:lang w:eastAsia="sl-SI"/>
          </w:rPr>
          <w:t>2010.</w:t>
        </w:r>
        <w:r>
          <w:rPr>
            <w:noProof/>
            <w:webHidden/>
          </w:rPr>
          <w:tab/>
        </w:r>
        <w:r>
          <w:rPr>
            <w:noProof/>
            <w:webHidden/>
          </w:rPr>
          <w:fldChar w:fldCharType="begin"/>
        </w:r>
        <w:r>
          <w:rPr>
            <w:noProof/>
            <w:webHidden/>
          </w:rPr>
          <w:instrText xml:space="preserve"> PAGEREF _Toc97026959 \h </w:instrText>
        </w:r>
        <w:r>
          <w:rPr>
            <w:noProof/>
            <w:webHidden/>
          </w:rPr>
        </w:r>
        <w:r>
          <w:rPr>
            <w:noProof/>
            <w:webHidden/>
          </w:rPr>
          <w:fldChar w:fldCharType="separate"/>
        </w:r>
        <w:r>
          <w:rPr>
            <w:noProof/>
            <w:webHidden/>
          </w:rPr>
          <w:t>86</w:t>
        </w:r>
        <w:r>
          <w:rPr>
            <w:noProof/>
            <w:webHidden/>
          </w:rPr>
          <w:fldChar w:fldCharType="end"/>
        </w:r>
      </w:hyperlink>
    </w:p>
    <w:p w14:paraId="51439C03" w14:textId="4FD767CE" w:rsidR="007A0276" w:rsidRDefault="007A0276">
      <w:pPr>
        <w:pStyle w:val="Kazaloslik"/>
        <w:tabs>
          <w:tab w:val="right" w:leader="dot" w:pos="9628"/>
        </w:tabs>
        <w:rPr>
          <w:rFonts w:asciiTheme="minorHAnsi" w:eastAsiaTheme="minorEastAsia" w:hAnsiTheme="minorHAnsi"/>
          <w:noProof/>
          <w:lang w:eastAsia="sl-SI"/>
        </w:rPr>
      </w:pPr>
      <w:hyperlink w:anchor="_Toc97026960" w:history="1">
        <w:r w:rsidRPr="002F25E3">
          <w:rPr>
            <w:rStyle w:val="Hiperpovezava"/>
            <w:rFonts w:eastAsia="Trebuchet MS" w:cs="Trebuchet MS"/>
            <w:i/>
            <w:iCs/>
            <w:noProof/>
            <w:lang w:eastAsia="sl-SI"/>
          </w:rPr>
          <w:t xml:space="preserve">Preglednica 6.7: Kvantitativne ocene spremenljivk kazalnika izpostavljenosti kmetijstva na podnebje po scenariju </w:t>
        </w:r>
        <w:r w:rsidRPr="002F25E3">
          <w:rPr>
            <w:rStyle w:val="Hiperpovezava"/>
            <w:rFonts w:ascii="Calibri" w:eastAsia="Calibri" w:hAnsi="Calibri" w:cs="Times New Roman"/>
            <w:i/>
            <w:iCs/>
            <w:noProof/>
          </w:rPr>
          <w:t>RCP4.5.</w:t>
        </w:r>
        <w:r>
          <w:rPr>
            <w:noProof/>
            <w:webHidden/>
          </w:rPr>
          <w:tab/>
        </w:r>
        <w:r>
          <w:rPr>
            <w:noProof/>
            <w:webHidden/>
          </w:rPr>
          <w:fldChar w:fldCharType="begin"/>
        </w:r>
        <w:r>
          <w:rPr>
            <w:noProof/>
            <w:webHidden/>
          </w:rPr>
          <w:instrText xml:space="preserve"> PAGEREF _Toc97026960 \h </w:instrText>
        </w:r>
        <w:r>
          <w:rPr>
            <w:noProof/>
            <w:webHidden/>
          </w:rPr>
        </w:r>
        <w:r>
          <w:rPr>
            <w:noProof/>
            <w:webHidden/>
          </w:rPr>
          <w:fldChar w:fldCharType="separate"/>
        </w:r>
        <w:r>
          <w:rPr>
            <w:noProof/>
            <w:webHidden/>
          </w:rPr>
          <w:t>91</w:t>
        </w:r>
        <w:r>
          <w:rPr>
            <w:noProof/>
            <w:webHidden/>
          </w:rPr>
          <w:fldChar w:fldCharType="end"/>
        </w:r>
      </w:hyperlink>
    </w:p>
    <w:p w14:paraId="29C4F901" w14:textId="4D89745E" w:rsidR="007A0276" w:rsidRDefault="007A0276">
      <w:pPr>
        <w:pStyle w:val="Kazaloslik"/>
        <w:tabs>
          <w:tab w:val="right" w:leader="dot" w:pos="9628"/>
        </w:tabs>
        <w:rPr>
          <w:rFonts w:asciiTheme="minorHAnsi" w:eastAsiaTheme="minorEastAsia" w:hAnsiTheme="minorHAnsi"/>
          <w:noProof/>
          <w:lang w:eastAsia="sl-SI"/>
        </w:rPr>
      </w:pPr>
      <w:hyperlink w:anchor="_Toc97026961" w:history="1">
        <w:r w:rsidRPr="002F25E3">
          <w:rPr>
            <w:rStyle w:val="Hiperpovezava"/>
            <w:rFonts w:eastAsia="Trebuchet MS" w:cs="Trebuchet MS"/>
            <w:i/>
            <w:iCs/>
            <w:noProof/>
            <w:lang w:eastAsia="sl-SI"/>
          </w:rPr>
          <w:t xml:space="preserve">Preglednica 6.8: Kvantitativne ocene spremenljivk kazalnika izpostavljenosti kmetijstva na podnebje po scenariju </w:t>
        </w:r>
        <w:r w:rsidRPr="002F25E3">
          <w:rPr>
            <w:rStyle w:val="Hiperpovezava"/>
            <w:rFonts w:ascii="Calibri" w:eastAsia="Calibri" w:hAnsi="Calibri" w:cs="Times New Roman"/>
            <w:i/>
            <w:iCs/>
            <w:noProof/>
          </w:rPr>
          <w:t>RCP8.5.</w:t>
        </w:r>
        <w:r>
          <w:rPr>
            <w:noProof/>
            <w:webHidden/>
          </w:rPr>
          <w:tab/>
        </w:r>
        <w:r>
          <w:rPr>
            <w:noProof/>
            <w:webHidden/>
          </w:rPr>
          <w:fldChar w:fldCharType="begin"/>
        </w:r>
        <w:r>
          <w:rPr>
            <w:noProof/>
            <w:webHidden/>
          </w:rPr>
          <w:instrText xml:space="preserve"> PAGEREF _Toc97026961 \h </w:instrText>
        </w:r>
        <w:r>
          <w:rPr>
            <w:noProof/>
            <w:webHidden/>
          </w:rPr>
        </w:r>
        <w:r>
          <w:rPr>
            <w:noProof/>
            <w:webHidden/>
          </w:rPr>
          <w:fldChar w:fldCharType="separate"/>
        </w:r>
        <w:r>
          <w:rPr>
            <w:noProof/>
            <w:webHidden/>
          </w:rPr>
          <w:t>92</w:t>
        </w:r>
        <w:r>
          <w:rPr>
            <w:noProof/>
            <w:webHidden/>
          </w:rPr>
          <w:fldChar w:fldCharType="end"/>
        </w:r>
      </w:hyperlink>
    </w:p>
    <w:p w14:paraId="04917402" w14:textId="1C476AC2" w:rsidR="007A0276" w:rsidRDefault="007A0276">
      <w:pPr>
        <w:pStyle w:val="Kazaloslik"/>
        <w:tabs>
          <w:tab w:val="right" w:leader="dot" w:pos="9628"/>
        </w:tabs>
        <w:rPr>
          <w:rFonts w:asciiTheme="minorHAnsi" w:eastAsiaTheme="minorEastAsia" w:hAnsiTheme="minorHAnsi"/>
          <w:noProof/>
          <w:lang w:eastAsia="sl-SI"/>
        </w:rPr>
      </w:pPr>
      <w:hyperlink w:anchor="_Toc97026962" w:history="1">
        <w:r w:rsidRPr="002F25E3">
          <w:rPr>
            <w:rStyle w:val="Hiperpovezava"/>
            <w:noProof/>
          </w:rPr>
          <w:t>Preglednica 6.9: Kvantitativne ocene spremenljivk kazalnika občutljivosti kmetijstva na podnebje (v referenčnem obdobju 1981–2010 in enako v prihodnje).</w:t>
        </w:r>
        <w:r>
          <w:rPr>
            <w:noProof/>
            <w:webHidden/>
          </w:rPr>
          <w:tab/>
        </w:r>
        <w:r>
          <w:rPr>
            <w:noProof/>
            <w:webHidden/>
          </w:rPr>
          <w:fldChar w:fldCharType="begin"/>
        </w:r>
        <w:r>
          <w:rPr>
            <w:noProof/>
            <w:webHidden/>
          </w:rPr>
          <w:instrText xml:space="preserve"> PAGEREF _Toc97026962 \h </w:instrText>
        </w:r>
        <w:r>
          <w:rPr>
            <w:noProof/>
            <w:webHidden/>
          </w:rPr>
        </w:r>
        <w:r>
          <w:rPr>
            <w:noProof/>
            <w:webHidden/>
          </w:rPr>
          <w:fldChar w:fldCharType="separate"/>
        </w:r>
        <w:r>
          <w:rPr>
            <w:noProof/>
            <w:webHidden/>
          </w:rPr>
          <w:t>93</w:t>
        </w:r>
        <w:r>
          <w:rPr>
            <w:noProof/>
            <w:webHidden/>
          </w:rPr>
          <w:fldChar w:fldCharType="end"/>
        </w:r>
      </w:hyperlink>
    </w:p>
    <w:p w14:paraId="5B1C1FA1" w14:textId="79F71532" w:rsidR="007A0276" w:rsidRDefault="007A0276">
      <w:pPr>
        <w:pStyle w:val="Kazaloslik"/>
        <w:tabs>
          <w:tab w:val="right" w:leader="dot" w:pos="9628"/>
        </w:tabs>
        <w:rPr>
          <w:rFonts w:asciiTheme="minorHAnsi" w:eastAsiaTheme="minorEastAsia" w:hAnsiTheme="minorHAnsi"/>
          <w:noProof/>
          <w:lang w:eastAsia="sl-SI"/>
        </w:rPr>
      </w:pPr>
      <w:hyperlink w:anchor="_Toc97026963" w:history="1">
        <w:r w:rsidRPr="002F25E3">
          <w:rPr>
            <w:rStyle w:val="Hiperpovezava"/>
            <w:noProof/>
          </w:rPr>
          <w:t>Preglednica 6.10: Kvantitativne ocene spremenljivk kazalnika sposobnosti prilagajanja kmetijstva na podnebje (v referenčnem obdobju 1981–2010 in enako v prihodnje).</w:t>
        </w:r>
        <w:r>
          <w:rPr>
            <w:noProof/>
            <w:webHidden/>
          </w:rPr>
          <w:tab/>
        </w:r>
        <w:r>
          <w:rPr>
            <w:noProof/>
            <w:webHidden/>
          </w:rPr>
          <w:fldChar w:fldCharType="begin"/>
        </w:r>
        <w:r>
          <w:rPr>
            <w:noProof/>
            <w:webHidden/>
          </w:rPr>
          <w:instrText xml:space="preserve"> PAGEREF _Toc97026963 \h </w:instrText>
        </w:r>
        <w:r>
          <w:rPr>
            <w:noProof/>
            <w:webHidden/>
          </w:rPr>
        </w:r>
        <w:r>
          <w:rPr>
            <w:noProof/>
            <w:webHidden/>
          </w:rPr>
          <w:fldChar w:fldCharType="separate"/>
        </w:r>
        <w:r>
          <w:rPr>
            <w:noProof/>
            <w:webHidden/>
          </w:rPr>
          <w:t>95</w:t>
        </w:r>
        <w:r>
          <w:rPr>
            <w:noProof/>
            <w:webHidden/>
          </w:rPr>
          <w:fldChar w:fldCharType="end"/>
        </w:r>
      </w:hyperlink>
    </w:p>
    <w:p w14:paraId="60F65873" w14:textId="36BC9C48" w:rsidR="007A0276" w:rsidRDefault="007A0276">
      <w:pPr>
        <w:pStyle w:val="Kazaloslik"/>
        <w:tabs>
          <w:tab w:val="right" w:leader="dot" w:pos="9628"/>
        </w:tabs>
        <w:rPr>
          <w:rFonts w:asciiTheme="minorHAnsi" w:eastAsiaTheme="minorEastAsia" w:hAnsiTheme="minorHAnsi"/>
          <w:noProof/>
          <w:lang w:eastAsia="sl-SI"/>
        </w:rPr>
      </w:pPr>
      <w:hyperlink w:anchor="_Toc97026964" w:history="1">
        <w:r w:rsidRPr="002F25E3">
          <w:rPr>
            <w:rStyle w:val="Hiperpovezava"/>
            <w:noProof/>
          </w:rPr>
          <w:t>Preglednica 6.11: Ranljivost kmetijstva, sestavljena iz petih kazalnikov ranljivosti s pripadajočimi potencialnimi vplivi in sposobnostjo prilagajanja, v referenčnem obdobju 1981–2010 in po obeh scenarijih v obdobju 2011–2040.</w:t>
        </w:r>
        <w:r>
          <w:rPr>
            <w:noProof/>
            <w:webHidden/>
          </w:rPr>
          <w:tab/>
        </w:r>
        <w:r>
          <w:rPr>
            <w:noProof/>
            <w:webHidden/>
          </w:rPr>
          <w:fldChar w:fldCharType="begin"/>
        </w:r>
        <w:r>
          <w:rPr>
            <w:noProof/>
            <w:webHidden/>
          </w:rPr>
          <w:instrText xml:space="preserve"> PAGEREF _Toc97026964 \h </w:instrText>
        </w:r>
        <w:r>
          <w:rPr>
            <w:noProof/>
            <w:webHidden/>
          </w:rPr>
        </w:r>
        <w:r>
          <w:rPr>
            <w:noProof/>
            <w:webHidden/>
          </w:rPr>
          <w:fldChar w:fldCharType="separate"/>
        </w:r>
        <w:r>
          <w:rPr>
            <w:noProof/>
            <w:webHidden/>
          </w:rPr>
          <w:t>97</w:t>
        </w:r>
        <w:r>
          <w:rPr>
            <w:noProof/>
            <w:webHidden/>
          </w:rPr>
          <w:fldChar w:fldCharType="end"/>
        </w:r>
      </w:hyperlink>
    </w:p>
    <w:p w14:paraId="65AC225F" w14:textId="0FEF5FAC" w:rsidR="007A0276" w:rsidRDefault="007A0276">
      <w:pPr>
        <w:pStyle w:val="Kazaloslik"/>
        <w:tabs>
          <w:tab w:val="right" w:leader="dot" w:pos="9628"/>
        </w:tabs>
        <w:rPr>
          <w:rFonts w:asciiTheme="minorHAnsi" w:eastAsiaTheme="minorEastAsia" w:hAnsiTheme="minorHAnsi"/>
          <w:noProof/>
          <w:lang w:eastAsia="sl-SI"/>
        </w:rPr>
      </w:pPr>
      <w:hyperlink w:anchor="_Toc97026965" w:history="1">
        <w:r w:rsidRPr="002F25E3">
          <w:rPr>
            <w:rStyle w:val="Hiperpovezava"/>
            <w:noProof/>
          </w:rPr>
          <w:t>Preglednica 6.12: Ranljivost kmetijstva, sestavljena iz petih kazalnikov ranljivosti s pripadajočimi potencialnimi vplivi in sposobnostjo prilagajanja, po scenarijih RCP4.5 in RCP8.5 v drugem obdobju (2041–2070) in ocena tveganja.</w:t>
        </w:r>
        <w:r>
          <w:rPr>
            <w:noProof/>
            <w:webHidden/>
          </w:rPr>
          <w:tab/>
        </w:r>
        <w:r>
          <w:rPr>
            <w:noProof/>
            <w:webHidden/>
          </w:rPr>
          <w:fldChar w:fldCharType="begin"/>
        </w:r>
        <w:r>
          <w:rPr>
            <w:noProof/>
            <w:webHidden/>
          </w:rPr>
          <w:instrText xml:space="preserve"> PAGEREF _Toc97026965 \h </w:instrText>
        </w:r>
        <w:r>
          <w:rPr>
            <w:noProof/>
            <w:webHidden/>
          </w:rPr>
        </w:r>
        <w:r>
          <w:rPr>
            <w:noProof/>
            <w:webHidden/>
          </w:rPr>
          <w:fldChar w:fldCharType="separate"/>
        </w:r>
        <w:r>
          <w:rPr>
            <w:noProof/>
            <w:webHidden/>
          </w:rPr>
          <w:t>99</w:t>
        </w:r>
        <w:r>
          <w:rPr>
            <w:noProof/>
            <w:webHidden/>
          </w:rPr>
          <w:fldChar w:fldCharType="end"/>
        </w:r>
      </w:hyperlink>
    </w:p>
    <w:p w14:paraId="17AF7440" w14:textId="384EE578" w:rsidR="007A0276" w:rsidRDefault="007A0276">
      <w:pPr>
        <w:pStyle w:val="Kazaloslik"/>
        <w:tabs>
          <w:tab w:val="right" w:leader="dot" w:pos="9628"/>
        </w:tabs>
        <w:rPr>
          <w:rFonts w:asciiTheme="minorHAnsi" w:eastAsiaTheme="minorEastAsia" w:hAnsiTheme="minorHAnsi"/>
          <w:noProof/>
          <w:lang w:eastAsia="sl-SI"/>
        </w:rPr>
      </w:pPr>
      <w:hyperlink w:anchor="_Toc97026966" w:history="1">
        <w:r w:rsidRPr="002F25E3">
          <w:rPr>
            <w:rStyle w:val="Hiperpovezava"/>
            <w:noProof/>
          </w:rPr>
          <w:t>Preglednica 6.13: Delež površine Mestne občine Nova Gorica (%) glede na območja ogroženosti zaradi žleda v obdobju 1961–2014 (ARSO, 2015) (legenda: Območje 1: območje, kjer se žled ne pojavlja, ali se pojavlja zelo redko in v tanjših plasteh, tako da ne povzroča škode; Območje 2: območje, kjer se žled sicer pojavlja, vendar zelo redko povzroči manjšo škodo (enkrat na 10 let); Območje 3: območje, kjer se žled pojavlja pogosto in v povprečju na 3 leta povzroči tudi škodo; Območje 4: območje, kjer se žled, ki povzroča škodo, v povprečju pojavlja na 1-2 leti, razmeroma pogosto pa povzroči tudi večjo škodo.</w:t>
        </w:r>
        <w:r>
          <w:rPr>
            <w:noProof/>
            <w:webHidden/>
          </w:rPr>
          <w:tab/>
        </w:r>
        <w:r>
          <w:rPr>
            <w:noProof/>
            <w:webHidden/>
          </w:rPr>
          <w:fldChar w:fldCharType="begin"/>
        </w:r>
        <w:r>
          <w:rPr>
            <w:noProof/>
            <w:webHidden/>
          </w:rPr>
          <w:instrText xml:space="preserve"> PAGEREF _Toc97026966 \h </w:instrText>
        </w:r>
        <w:r>
          <w:rPr>
            <w:noProof/>
            <w:webHidden/>
          </w:rPr>
        </w:r>
        <w:r>
          <w:rPr>
            <w:noProof/>
            <w:webHidden/>
          </w:rPr>
          <w:fldChar w:fldCharType="separate"/>
        </w:r>
        <w:r>
          <w:rPr>
            <w:noProof/>
            <w:webHidden/>
          </w:rPr>
          <w:t>114</w:t>
        </w:r>
        <w:r>
          <w:rPr>
            <w:noProof/>
            <w:webHidden/>
          </w:rPr>
          <w:fldChar w:fldCharType="end"/>
        </w:r>
      </w:hyperlink>
    </w:p>
    <w:p w14:paraId="410B77A4" w14:textId="74DDDAAB" w:rsidR="007A0276" w:rsidRDefault="007A0276">
      <w:pPr>
        <w:pStyle w:val="Kazaloslik"/>
        <w:tabs>
          <w:tab w:val="right" w:leader="dot" w:pos="9628"/>
        </w:tabs>
        <w:rPr>
          <w:rFonts w:asciiTheme="minorHAnsi" w:eastAsiaTheme="minorEastAsia" w:hAnsiTheme="minorHAnsi"/>
          <w:noProof/>
          <w:lang w:eastAsia="sl-SI"/>
        </w:rPr>
      </w:pPr>
      <w:hyperlink w:anchor="_Toc97026967" w:history="1">
        <w:r w:rsidRPr="002F25E3">
          <w:rPr>
            <w:rStyle w:val="Hiperpovezava"/>
            <w:noProof/>
          </w:rPr>
          <w:t>Preglednica 6.14: Delež gozdnih površin v Mestni občini Nova Gorica (%) glede na požarno ogroženost (ZGS, 2019).</w:t>
        </w:r>
        <w:r>
          <w:rPr>
            <w:noProof/>
            <w:webHidden/>
          </w:rPr>
          <w:tab/>
        </w:r>
        <w:r>
          <w:rPr>
            <w:noProof/>
            <w:webHidden/>
          </w:rPr>
          <w:fldChar w:fldCharType="begin"/>
        </w:r>
        <w:r>
          <w:rPr>
            <w:noProof/>
            <w:webHidden/>
          </w:rPr>
          <w:instrText xml:space="preserve"> PAGEREF _Toc97026967 \h </w:instrText>
        </w:r>
        <w:r>
          <w:rPr>
            <w:noProof/>
            <w:webHidden/>
          </w:rPr>
        </w:r>
        <w:r>
          <w:rPr>
            <w:noProof/>
            <w:webHidden/>
          </w:rPr>
          <w:fldChar w:fldCharType="separate"/>
        </w:r>
        <w:r>
          <w:rPr>
            <w:noProof/>
            <w:webHidden/>
          </w:rPr>
          <w:t>116</w:t>
        </w:r>
        <w:r>
          <w:rPr>
            <w:noProof/>
            <w:webHidden/>
          </w:rPr>
          <w:fldChar w:fldCharType="end"/>
        </w:r>
      </w:hyperlink>
    </w:p>
    <w:p w14:paraId="6FF9B7DA" w14:textId="78CC89D1" w:rsidR="007A0276" w:rsidRDefault="007A0276">
      <w:pPr>
        <w:pStyle w:val="Kazaloslik"/>
        <w:tabs>
          <w:tab w:val="right" w:leader="dot" w:pos="9628"/>
        </w:tabs>
        <w:rPr>
          <w:rFonts w:asciiTheme="minorHAnsi" w:eastAsiaTheme="minorEastAsia" w:hAnsiTheme="minorHAnsi"/>
          <w:noProof/>
          <w:lang w:eastAsia="sl-SI"/>
        </w:rPr>
      </w:pPr>
      <w:hyperlink w:anchor="_Toc97026968" w:history="1">
        <w:r w:rsidRPr="002F25E3">
          <w:rPr>
            <w:rStyle w:val="Hiperpovezava"/>
            <w:noProof/>
          </w:rPr>
          <w:t>Preglednica 6.15: Škodljivi dejavniki navadne bukve, ocena njihovega vpliva v sedanjosti (Ogris in sod. 2008).</w:t>
        </w:r>
        <w:r>
          <w:rPr>
            <w:noProof/>
            <w:webHidden/>
          </w:rPr>
          <w:tab/>
        </w:r>
        <w:r>
          <w:rPr>
            <w:noProof/>
            <w:webHidden/>
          </w:rPr>
          <w:fldChar w:fldCharType="begin"/>
        </w:r>
        <w:r>
          <w:rPr>
            <w:noProof/>
            <w:webHidden/>
          </w:rPr>
          <w:instrText xml:space="preserve"> PAGEREF _Toc97026968 \h </w:instrText>
        </w:r>
        <w:r>
          <w:rPr>
            <w:noProof/>
            <w:webHidden/>
          </w:rPr>
        </w:r>
        <w:r>
          <w:rPr>
            <w:noProof/>
            <w:webHidden/>
          </w:rPr>
          <w:fldChar w:fldCharType="separate"/>
        </w:r>
        <w:r>
          <w:rPr>
            <w:noProof/>
            <w:webHidden/>
          </w:rPr>
          <w:t>119</w:t>
        </w:r>
        <w:r>
          <w:rPr>
            <w:noProof/>
            <w:webHidden/>
          </w:rPr>
          <w:fldChar w:fldCharType="end"/>
        </w:r>
      </w:hyperlink>
    </w:p>
    <w:p w14:paraId="5A0F07E7" w14:textId="5DF8E90F" w:rsidR="007A0276" w:rsidRDefault="007A0276">
      <w:pPr>
        <w:pStyle w:val="Kazaloslik"/>
        <w:tabs>
          <w:tab w:val="right" w:leader="dot" w:pos="9628"/>
        </w:tabs>
        <w:rPr>
          <w:rFonts w:asciiTheme="minorHAnsi" w:eastAsiaTheme="minorEastAsia" w:hAnsiTheme="minorHAnsi"/>
          <w:noProof/>
          <w:lang w:eastAsia="sl-SI"/>
        </w:rPr>
      </w:pPr>
      <w:hyperlink w:anchor="_Toc97026969" w:history="1">
        <w:r w:rsidRPr="002F25E3">
          <w:rPr>
            <w:rStyle w:val="Hiperpovezava"/>
            <w:noProof/>
          </w:rPr>
          <w:t>Preglednica 6.16: Seznam invazivnih tujerodnih vrst v Mestni občini Nova Gorica, ki so bile zabeležene v sistemu Invazivke: www.invazivke.si (5. 5. 2021).</w:t>
        </w:r>
        <w:r>
          <w:rPr>
            <w:noProof/>
            <w:webHidden/>
          </w:rPr>
          <w:tab/>
        </w:r>
        <w:r>
          <w:rPr>
            <w:noProof/>
            <w:webHidden/>
          </w:rPr>
          <w:fldChar w:fldCharType="begin"/>
        </w:r>
        <w:r>
          <w:rPr>
            <w:noProof/>
            <w:webHidden/>
          </w:rPr>
          <w:instrText xml:space="preserve"> PAGEREF _Toc97026969 \h </w:instrText>
        </w:r>
        <w:r>
          <w:rPr>
            <w:noProof/>
            <w:webHidden/>
          </w:rPr>
        </w:r>
        <w:r>
          <w:rPr>
            <w:noProof/>
            <w:webHidden/>
          </w:rPr>
          <w:fldChar w:fldCharType="separate"/>
        </w:r>
        <w:r>
          <w:rPr>
            <w:noProof/>
            <w:webHidden/>
          </w:rPr>
          <w:t>120</w:t>
        </w:r>
        <w:r>
          <w:rPr>
            <w:noProof/>
            <w:webHidden/>
          </w:rPr>
          <w:fldChar w:fldCharType="end"/>
        </w:r>
      </w:hyperlink>
    </w:p>
    <w:p w14:paraId="0DAEFD5E" w14:textId="077E8888" w:rsidR="007A0276" w:rsidRDefault="007A0276">
      <w:pPr>
        <w:pStyle w:val="Kazaloslik"/>
        <w:tabs>
          <w:tab w:val="right" w:leader="dot" w:pos="9628"/>
        </w:tabs>
        <w:rPr>
          <w:rFonts w:asciiTheme="minorHAnsi" w:eastAsiaTheme="minorEastAsia" w:hAnsiTheme="minorHAnsi"/>
          <w:noProof/>
          <w:lang w:eastAsia="sl-SI"/>
        </w:rPr>
      </w:pPr>
      <w:hyperlink w:anchor="_Toc97026970" w:history="1">
        <w:r w:rsidRPr="002F25E3">
          <w:rPr>
            <w:rStyle w:val="Hiperpovezava"/>
            <w:noProof/>
          </w:rPr>
          <w:t>Preglednica 6.17: Ocena količin in potencialov lesa v Mestni občini Nova Gorica v obdobju 2009–2013 (Ščap s sod. 2014, spletni portal WCM, http://wcm.gozdis.si/ocene-potencialov, dostop 27. 3. 2020).</w:t>
        </w:r>
        <w:r>
          <w:rPr>
            <w:noProof/>
            <w:webHidden/>
          </w:rPr>
          <w:tab/>
        </w:r>
        <w:r>
          <w:rPr>
            <w:noProof/>
            <w:webHidden/>
          </w:rPr>
          <w:fldChar w:fldCharType="begin"/>
        </w:r>
        <w:r>
          <w:rPr>
            <w:noProof/>
            <w:webHidden/>
          </w:rPr>
          <w:instrText xml:space="preserve"> PAGEREF _Toc97026970 \h </w:instrText>
        </w:r>
        <w:r>
          <w:rPr>
            <w:noProof/>
            <w:webHidden/>
          </w:rPr>
        </w:r>
        <w:r>
          <w:rPr>
            <w:noProof/>
            <w:webHidden/>
          </w:rPr>
          <w:fldChar w:fldCharType="separate"/>
        </w:r>
        <w:r>
          <w:rPr>
            <w:noProof/>
            <w:webHidden/>
          </w:rPr>
          <w:t>124</w:t>
        </w:r>
        <w:r>
          <w:rPr>
            <w:noProof/>
            <w:webHidden/>
          </w:rPr>
          <w:fldChar w:fldCharType="end"/>
        </w:r>
      </w:hyperlink>
    </w:p>
    <w:p w14:paraId="0D3AA777" w14:textId="061D0C52" w:rsidR="007A0276" w:rsidRDefault="007A0276">
      <w:pPr>
        <w:pStyle w:val="Kazaloslik"/>
        <w:tabs>
          <w:tab w:val="right" w:leader="dot" w:pos="9628"/>
        </w:tabs>
        <w:rPr>
          <w:rFonts w:asciiTheme="minorHAnsi" w:eastAsiaTheme="minorEastAsia" w:hAnsiTheme="minorHAnsi"/>
          <w:noProof/>
          <w:lang w:eastAsia="sl-SI"/>
        </w:rPr>
      </w:pPr>
      <w:hyperlink w:anchor="_Toc97026971" w:history="1">
        <w:r w:rsidRPr="002F25E3">
          <w:rPr>
            <w:rStyle w:val="Hiperpovezava"/>
            <w:noProof/>
          </w:rPr>
          <w:t>Preglednica 6.18: Ocena ranljivosti trenutnega stanja sektorja gozdarstvo v Mestni občini Nova Gorica (MONG) z analizo potencialnih vplivov podnebnih sprememb ter oceno sposobnosti prilagajanja na vplive podnebnih sprememb.</w:t>
        </w:r>
        <w:r>
          <w:rPr>
            <w:noProof/>
            <w:webHidden/>
          </w:rPr>
          <w:tab/>
        </w:r>
        <w:r>
          <w:rPr>
            <w:noProof/>
            <w:webHidden/>
          </w:rPr>
          <w:fldChar w:fldCharType="begin"/>
        </w:r>
        <w:r>
          <w:rPr>
            <w:noProof/>
            <w:webHidden/>
          </w:rPr>
          <w:instrText xml:space="preserve"> PAGEREF _Toc97026971 \h </w:instrText>
        </w:r>
        <w:r>
          <w:rPr>
            <w:noProof/>
            <w:webHidden/>
          </w:rPr>
        </w:r>
        <w:r>
          <w:rPr>
            <w:noProof/>
            <w:webHidden/>
          </w:rPr>
          <w:fldChar w:fldCharType="separate"/>
        </w:r>
        <w:r>
          <w:rPr>
            <w:noProof/>
            <w:webHidden/>
          </w:rPr>
          <w:t>127</w:t>
        </w:r>
        <w:r>
          <w:rPr>
            <w:noProof/>
            <w:webHidden/>
          </w:rPr>
          <w:fldChar w:fldCharType="end"/>
        </w:r>
      </w:hyperlink>
    </w:p>
    <w:p w14:paraId="1E372912" w14:textId="420BCE02" w:rsidR="007A0276" w:rsidRDefault="007A0276">
      <w:pPr>
        <w:pStyle w:val="Kazaloslik"/>
        <w:tabs>
          <w:tab w:val="right" w:leader="dot" w:pos="9628"/>
        </w:tabs>
        <w:rPr>
          <w:rFonts w:asciiTheme="minorHAnsi" w:eastAsiaTheme="minorEastAsia" w:hAnsiTheme="minorHAnsi"/>
          <w:noProof/>
          <w:lang w:eastAsia="sl-SI"/>
        </w:rPr>
      </w:pPr>
      <w:hyperlink w:anchor="_Toc97026972" w:history="1">
        <w:r w:rsidRPr="002F25E3">
          <w:rPr>
            <w:rStyle w:val="Hiperpovezava"/>
            <w:noProof/>
          </w:rPr>
          <w:t>Preglednica 6.19: : Ocena ranljivosti sektorja gozdarstvo v Mestni občini Nova Gorica, sestavljena iz devetih kazalnikov (sedmih kazalnikov za naravno okolje ter dveh kazalnikov za družbeno okolje), s pripadajočimi potencialnimi vplivi in sposobnostjo prilagajanja, po scenarijih RCP4.5 in RCP8.5 v drugem obdobju (2041–2070) ter ocena tveganja.</w:t>
        </w:r>
        <w:r>
          <w:rPr>
            <w:noProof/>
            <w:webHidden/>
          </w:rPr>
          <w:tab/>
        </w:r>
        <w:r>
          <w:rPr>
            <w:noProof/>
            <w:webHidden/>
          </w:rPr>
          <w:fldChar w:fldCharType="begin"/>
        </w:r>
        <w:r>
          <w:rPr>
            <w:noProof/>
            <w:webHidden/>
          </w:rPr>
          <w:instrText xml:space="preserve"> PAGEREF _Toc97026972 \h </w:instrText>
        </w:r>
        <w:r>
          <w:rPr>
            <w:noProof/>
            <w:webHidden/>
          </w:rPr>
        </w:r>
        <w:r>
          <w:rPr>
            <w:noProof/>
            <w:webHidden/>
          </w:rPr>
          <w:fldChar w:fldCharType="separate"/>
        </w:r>
        <w:r>
          <w:rPr>
            <w:noProof/>
            <w:webHidden/>
          </w:rPr>
          <w:t>134</w:t>
        </w:r>
        <w:r>
          <w:rPr>
            <w:noProof/>
            <w:webHidden/>
          </w:rPr>
          <w:fldChar w:fldCharType="end"/>
        </w:r>
      </w:hyperlink>
    </w:p>
    <w:p w14:paraId="452F4ACA" w14:textId="32217F16" w:rsidR="007A0276" w:rsidRDefault="007A0276">
      <w:pPr>
        <w:pStyle w:val="Kazaloslik"/>
        <w:tabs>
          <w:tab w:val="right" w:leader="dot" w:pos="9628"/>
        </w:tabs>
        <w:rPr>
          <w:rFonts w:asciiTheme="minorHAnsi" w:eastAsiaTheme="minorEastAsia" w:hAnsiTheme="minorHAnsi"/>
          <w:noProof/>
          <w:lang w:eastAsia="sl-SI"/>
        </w:rPr>
      </w:pPr>
      <w:hyperlink w:anchor="_Toc97026973" w:history="1">
        <w:r w:rsidRPr="002F25E3">
          <w:rPr>
            <w:rStyle w:val="Hiperpovezava"/>
            <w:noProof/>
          </w:rPr>
          <w:t>Preglednica 6.20: Kazalniki ranljivosti</w:t>
        </w:r>
        <w:r>
          <w:rPr>
            <w:noProof/>
            <w:webHidden/>
          </w:rPr>
          <w:tab/>
        </w:r>
        <w:r>
          <w:rPr>
            <w:noProof/>
            <w:webHidden/>
          </w:rPr>
          <w:fldChar w:fldCharType="begin"/>
        </w:r>
        <w:r>
          <w:rPr>
            <w:noProof/>
            <w:webHidden/>
          </w:rPr>
          <w:instrText xml:space="preserve"> PAGEREF _Toc97026973 \h </w:instrText>
        </w:r>
        <w:r>
          <w:rPr>
            <w:noProof/>
            <w:webHidden/>
          </w:rPr>
        </w:r>
        <w:r>
          <w:rPr>
            <w:noProof/>
            <w:webHidden/>
          </w:rPr>
          <w:fldChar w:fldCharType="separate"/>
        </w:r>
        <w:r>
          <w:rPr>
            <w:noProof/>
            <w:webHidden/>
          </w:rPr>
          <w:t>149</w:t>
        </w:r>
        <w:r>
          <w:rPr>
            <w:noProof/>
            <w:webHidden/>
          </w:rPr>
          <w:fldChar w:fldCharType="end"/>
        </w:r>
      </w:hyperlink>
    </w:p>
    <w:p w14:paraId="42550A83" w14:textId="267DB32F" w:rsidR="007A0276" w:rsidRDefault="007A0276">
      <w:pPr>
        <w:pStyle w:val="Kazaloslik"/>
        <w:tabs>
          <w:tab w:val="right" w:leader="dot" w:pos="9628"/>
        </w:tabs>
        <w:rPr>
          <w:rFonts w:asciiTheme="minorHAnsi" w:eastAsiaTheme="minorEastAsia" w:hAnsiTheme="minorHAnsi"/>
          <w:noProof/>
          <w:lang w:eastAsia="sl-SI"/>
        </w:rPr>
      </w:pPr>
      <w:hyperlink w:anchor="_Toc97026974" w:history="1">
        <w:r w:rsidRPr="002F25E3">
          <w:rPr>
            <w:rStyle w:val="Hiperpovezava"/>
            <w:noProof/>
          </w:rPr>
          <w:t>Preglednica 6.21: Izpostavljenost nekaterim dejavnikom iz naravnega okolja v referenčnem obdobju in dveh prihodnjih tridesetletnih obdobjih (scenarij RCP4.5) (vir: ARSO, natančnejši opis v poglavju 4)</w:t>
        </w:r>
        <w:r>
          <w:rPr>
            <w:noProof/>
            <w:webHidden/>
          </w:rPr>
          <w:tab/>
        </w:r>
        <w:r>
          <w:rPr>
            <w:noProof/>
            <w:webHidden/>
          </w:rPr>
          <w:fldChar w:fldCharType="begin"/>
        </w:r>
        <w:r>
          <w:rPr>
            <w:noProof/>
            <w:webHidden/>
          </w:rPr>
          <w:instrText xml:space="preserve"> PAGEREF _Toc97026974 \h </w:instrText>
        </w:r>
        <w:r>
          <w:rPr>
            <w:noProof/>
            <w:webHidden/>
          </w:rPr>
        </w:r>
        <w:r>
          <w:rPr>
            <w:noProof/>
            <w:webHidden/>
          </w:rPr>
          <w:fldChar w:fldCharType="separate"/>
        </w:r>
        <w:r>
          <w:rPr>
            <w:noProof/>
            <w:webHidden/>
          </w:rPr>
          <w:t>150</w:t>
        </w:r>
        <w:r>
          <w:rPr>
            <w:noProof/>
            <w:webHidden/>
          </w:rPr>
          <w:fldChar w:fldCharType="end"/>
        </w:r>
      </w:hyperlink>
    </w:p>
    <w:p w14:paraId="53812957" w14:textId="73821E8C" w:rsidR="007A0276" w:rsidRDefault="007A0276">
      <w:pPr>
        <w:pStyle w:val="Kazaloslik"/>
        <w:tabs>
          <w:tab w:val="right" w:leader="dot" w:pos="9628"/>
        </w:tabs>
        <w:rPr>
          <w:rFonts w:asciiTheme="minorHAnsi" w:eastAsiaTheme="minorEastAsia" w:hAnsiTheme="minorHAnsi"/>
          <w:noProof/>
          <w:lang w:eastAsia="sl-SI"/>
        </w:rPr>
      </w:pPr>
      <w:hyperlink w:anchor="_Toc97026975" w:history="1">
        <w:r w:rsidRPr="002F25E3">
          <w:rPr>
            <w:rStyle w:val="Hiperpovezava"/>
            <w:noProof/>
          </w:rPr>
          <w:t>Preglednica 6.22: Ocena ranljivosti zdravstva sestavljen iz štirih segmentov sektorja in kazalnikov ranljivosti ter potencialni vplivi in sposobnost prilagajanja, sedanje stanje</w:t>
        </w:r>
        <w:r>
          <w:rPr>
            <w:noProof/>
            <w:webHidden/>
          </w:rPr>
          <w:tab/>
        </w:r>
        <w:r>
          <w:rPr>
            <w:noProof/>
            <w:webHidden/>
          </w:rPr>
          <w:fldChar w:fldCharType="begin"/>
        </w:r>
        <w:r>
          <w:rPr>
            <w:noProof/>
            <w:webHidden/>
          </w:rPr>
          <w:instrText xml:space="preserve"> PAGEREF _Toc97026975 \h </w:instrText>
        </w:r>
        <w:r>
          <w:rPr>
            <w:noProof/>
            <w:webHidden/>
          </w:rPr>
        </w:r>
        <w:r>
          <w:rPr>
            <w:noProof/>
            <w:webHidden/>
          </w:rPr>
          <w:fldChar w:fldCharType="separate"/>
        </w:r>
        <w:r>
          <w:rPr>
            <w:noProof/>
            <w:webHidden/>
          </w:rPr>
          <w:t>156</w:t>
        </w:r>
        <w:r>
          <w:rPr>
            <w:noProof/>
            <w:webHidden/>
          </w:rPr>
          <w:fldChar w:fldCharType="end"/>
        </w:r>
      </w:hyperlink>
    </w:p>
    <w:p w14:paraId="1D1BE213" w14:textId="166B842D" w:rsidR="007A0276" w:rsidRDefault="007A0276">
      <w:pPr>
        <w:pStyle w:val="Kazaloslik"/>
        <w:tabs>
          <w:tab w:val="right" w:leader="dot" w:pos="9628"/>
        </w:tabs>
        <w:rPr>
          <w:rFonts w:asciiTheme="minorHAnsi" w:eastAsiaTheme="minorEastAsia" w:hAnsiTheme="minorHAnsi"/>
          <w:noProof/>
          <w:lang w:eastAsia="sl-SI"/>
        </w:rPr>
      </w:pPr>
      <w:hyperlink w:anchor="_Toc97026976" w:history="1">
        <w:r w:rsidRPr="002F25E3">
          <w:rPr>
            <w:rStyle w:val="Hiperpovezava"/>
            <w:noProof/>
          </w:rPr>
          <w:t>Preglednica 6.23: Ocena ranljivost zdravstva, sestavljena iz štirih segmentov sektorja s kazalniki ranljivosti ter potencialnimi vplivi in sposobnostjo prilagajanja v obdobju 2011-2040 in ocena tveganja.</w:t>
        </w:r>
        <w:r>
          <w:rPr>
            <w:noProof/>
            <w:webHidden/>
          </w:rPr>
          <w:tab/>
        </w:r>
        <w:r>
          <w:rPr>
            <w:noProof/>
            <w:webHidden/>
          </w:rPr>
          <w:fldChar w:fldCharType="begin"/>
        </w:r>
        <w:r>
          <w:rPr>
            <w:noProof/>
            <w:webHidden/>
          </w:rPr>
          <w:instrText xml:space="preserve"> PAGEREF _Toc97026976 \h </w:instrText>
        </w:r>
        <w:r>
          <w:rPr>
            <w:noProof/>
            <w:webHidden/>
          </w:rPr>
        </w:r>
        <w:r>
          <w:rPr>
            <w:noProof/>
            <w:webHidden/>
          </w:rPr>
          <w:fldChar w:fldCharType="separate"/>
        </w:r>
        <w:r>
          <w:rPr>
            <w:noProof/>
            <w:webHidden/>
          </w:rPr>
          <w:t>158</w:t>
        </w:r>
        <w:r>
          <w:rPr>
            <w:noProof/>
            <w:webHidden/>
          </w:rPr>
          <w:fldChar w:fldCharType="end"/>
        </w:r>
      </w:hyperlink>
    </w:p>
    <w:p w14:paraId="51BCA2DB" w14:textId="26F28213" w:rsidR="007A0276" w:rsidRDefault="007A0276">
      <w:pPr>
        <w:pStyle w:val="Kazaloslik"/>
        <w:tabs>
          <w:tab w:val="right" w:leader="dot" w:pos="9628"/>
        </w:tabs>
        <w:rPr>
          <w:rFonts w:asciiTheme="minorHAnsi" w:eastAsiaTheme="minorEastAsia" w:hAnsiTheme="minorHAnsi"/>
          <w:noProof/>
          <w:lang w:eastAsia="sl-SI"/>
        </w:rPr>
      </w:pPr>
      <w:hyperlink w:anchor="_Toc97026977" w:history="1">
        <w:r w:rsidRPr="002F25E3">
          <w:rPr>
            <w:rStyle w:val="Hiperpovezava"/>
            <w:noProof/>
          </w:rPr>
          <w:t xml:space="preserve">Preglednica 6.24: </w:t>
        </w:r>
        <w:r w:rsidRPr="002F25E3">
          <w:rPr>
            <w:rStyle w:val="Hiperpovezava"/>
            <w:noProof/>
            <w:shd w:val="clear" w:color="auto" w:fill="FFFFFF"/>
          </w:rPr>
          <w:t>Pregled kazalnikov izpostavljenosti in podnebnih kazalnikov</w:t>
        </w:r>
        <w:r>
          <w:rPr>
            <w:noProof/>
            <w:webHidden/>
          </w:rPr>
          <w:tab/>
        </w:r>
        <w:r>
          <w:rPr>
            <w:noProof/>
            <w:webHidden/>
          </w:rPr>
          <w:fldChar w:fldCharType="begin"/>
        </w:r>
        <w:r>
          <w:rPr>
            <w:noProof/>
            <w:webHidden/>
          </w:rPr>
          <w:instrText xml:space="preserve"> PAGEREF _Toc97026977 \h </w:instrText>
        </w:r>
        <w:r>
          <w:rPr>
            <w:noProof/>
            <w:webHidden/>
          </w:rPr>
        </w:r>
        <w:r>
          <w:rPr>
            <w:noProof/>
            <w:webHidden/>
          </w:rPr>
          <w:fldChar w:fldCharType="separate"/>
        </w:r>
        <w:r>
          <w:rPr>
            <w:noProof/>
            <w:webHidden/>
          </w:rPr>
          <w:t>164</w:t>
        </w:r>
        <w:r>
          <w:rPr>
            <w:noProof/>
            <w:webHidden/>
          </w:rPr>
          <w:fldChar w:fldCharType="end"/>
        </w:r>
      </w:hyperlink>
    </w:p>
    <w:p w14:paraId="4CC08EFD" w14:textId="28EAFF19" w:rsidR="007A0276" w:rsidRDefault="007A0276">
      <w:pPr>
        <w:pStyle w:val="Kazaloslik"/>
        <w:tabs>
          <w:tab w:val="right" w:leader="dot" w:pos="9628"/>
        </w:tabs>
        <w:rPr>
          <w:rFonts w:asciiTheme="minorHAnsi" w:eastAsiaTheme="minorEastAsia" w:hAnsiTheme="minorHAnsi"/>
          <w:noProof/>
          <w:lang w:eastAsia="sl-SI"/>
        </w:rPr>
      </w:pPr>
      <w:hyperlink w:anchor="_Toc97026978" w:history="1">
        <w:r w:rsidRPr="002F25E3">
          <w:rPr>
            <w:rStyle w:val="Hiperpovezava"/>
            <w:noProof/>
          </w:rPr>
          <w:t>Preglednica 6.25: Razporeditev turističnih nočitev v občini Nova Gorica po sezonah (vir podatkov: SURS)</w:t>
        </w:r>
        <w:r>
          <w:rPr>
            <w:noProof/>
            <w:webHidden/>
          </w:rPr>
          <w:tab/>
        </w:r>
        <w:r>
          <w:rPr>
            <w:noProof/>
            <w:webHidden/>
          </w:rPr>
          <w:fldChar w:fldCharType="begin"/>
        </w:r>
        <w:r>
          <w:rPr>
            <w:noProof/>
            <w:webHidden/>
          </w:rPr>
          <w:instrText xml:space="preserve"> PAGEREF _Toc97026978 \h </w:instrText>
        </w:r>
        <w:r>
          <w:rPr>
            <w:noProof/>
            <w:webHidden/>
          </w:rPr>
        </w:r>
        <w:r>
          <w:rPr>
            <w:noProof/>
            <w:webHidden/>
          </w:rPr>
          <w:fldChar w:fldCharType="separate"/>
        </w:r>
        <w:r>
          <w:rPr>
            <w:noProof/>
            <w:webHidden/>
          </w:rPr>
          <w:t>168</w:t>
        </w:r>
        <w:r>
          <w:rPr>
            <w:noProof/>
            <w:webHidden/>
          </w:rPr>
          <w:fldChar w:fldCharType="end"/>
        </w:r>
      </w:hyperlink>
    </w:p>
    <w:p w14:paraId="123A5B2D" w14:textId="75CB21A9" w:rsidR="007A0276" w:rsidRDefault="007A0276">
      <w:pPr>
        <w:pStyle w:val="Kazaloslik"/>
        <w:tabs>
          <w:tab w:val="right" w:leader="dot" w:pos="9628"/>
        </w:tabs>
        <w:rPr>
          <w:rFonts w:asciiTheme="minorHAnsi" w:eastAsiaTheme="minorEastAsia" w:hAnsiTheme="minorHAnsi"/>
          <w:noProof/>
          <w:lang w:eastAsia="sl-SI"/>
        </w:rPr>
      </w:pPr>
      <w:hyperlink r:id="rId19" w:anchor="_Toc97026979" w:history="1">
        <w:r w:rsidRPr="002F25E3">
          <w:rPr>
            <w:rStyle w:val="Hiperpovezava"/>
            <w:noProof/>
          </w:rPr>
          <w:t>Preglednica 6.26: Potencialni vplivi podnebnih sprememb na turizem v destinaciji Nova Gorica</w:t>
        </w:r>
        <w:r>
          <w:rPr>
            <w:noProof/>
            <w:webHidden/>
          </w:rPr>
          <w:tab/>
        </w:r>
        <w:r>
          <w:rPr>
            <w:noProof/>
            <w:webHidden/>
          </w:rPr>
          <w:fldChar w:fldCharType="begin"/>
        </w:r>
        <w:r>
          <w:rPr>
            <w:noProof/>
            <w:webHidden/>
          </w:rPr>
          <w:instrText xml:space="preserve"> PAGEREF _Toc97026979 \h </w:instrText>
        </w:r>
        <w:r>
          <w:rPr>
            <w:noProof/>
            <w:webHidden/>
          </w:rPr>
        </w:r>
        <w:r>
          <w:rPr>
            <w:noProof/>
            <w:webHidden/>
          </w:rPr>
          <w:fldChar w:fldCharType="separate"/>
        </w:r>
        <w:r>
          <w:rPr>
            <w:noProof/>
            <w:webHidden/>
          </w:rPr>
          <w:t>175</w:t>
        </w:r>
        <w:r>
          <w:rPr>
            <w:noProof/>
            <w:webHidden/>
          </w:rPr>
          <w:fldChar w:fldCharType="end"/>
        </w:r>
      </w:hyperlink>
    </w:p>
    <w:p w14:paraId="63C889F6" w14:textId="58DBE88F" w:rsidR="007A0276" w:rsidRDefault="007A0276">
      <w:pPr>
        <w:pStyle w:val="Kazaloslik"/>
        <w:tabs>
          <w:tab w:val="right" w:leader="dot" w:pos="9628"/>
        </w:tabs>
        <w:rPr>
          <w:rFonts w:asciiTheme="minorHAnsi" w:eastAsiaTheme="minorEastAsia" w:hAnsiTheme="minorHAnsi"/>
          <w:noProof/>
          <w:lang w:eastAsia="sl-SI"/>
        </w:rPr>
      </w:pPr>
      <w:hyperlink w:anchor="_Toc97026980" w:history="1">
        <w:r w:rsidRPr="002F25E3">
          <w:rPr>
            <w:rStyle w:val="Hiperpovezava"/>
            <w:noProof/>
          </w:rPr>
          <w:t>Preglednica 6.27: Ocena ranljivost turizma v destinaciji Nova Gorica zaradi podnebnih sprememb v referenčnem obdobju 1981–2010</w:t>
        </w:r>
        <w:r>
          <w:rPr>
            <w:noProof/>
            <w:webHidden/>
          </w:rPr>
          <w:tab/>
        </w:r>
        <w:r>
          <w:rPr>
            <w:noProof/>
            <w:webHidden/>
          </w:rPr>
          <w:fldChar w:fldCharType="begin"/>
        </w:r>
        <w:r>
          <w:rPr>
            <w:noProof/>
            <w:webHidden/>
          </w:rPr>
          <w:instrText xml:space="preserve"> PAGEREF _Toc97026980 \h </w:instrText>
        </w:r>
        <w:r>
          <w:rPr>
            <w:noProof/>
            <w:webHidden/>
          </w:rPr>
        </w:r>
        <w:r>
          <w:rPr>
            <w:noProof/>
            <w:webHidden/>
          </w:rPr>
          <w:fldChar w:fldCharType="separate"/>
        </w:r>
        <w:r>
          <w:rPr>
            <w:noProof/>
            <w:webHidden/>
          </w:rPr>
          <w:t>184</w:t>
        </w:r>
        <w:r>
          <w:rPr>
            <w:noProof/>
            <w:webHidden/>
          </w:rPr>
          <w:fldChar w:fldCharType="end"/>
        </w:r>
      </w:hyperlink>
    </w:p>
    <w:p w14:paraId="1F61A08C" w14:textId="43AC064E" w:rsidR="007A0276" w:rsidRDefault="007A0276">
      <w:pPr>
        <w:pStyle w:val="Kazaloslik"/>
        <w:tabs>
          <w:tab w:val="right" w:leader="dot" w:pos="9628"/>
        </w:tabs>
        <w:rPr>
          <w:rFonts w:asciiTheme="minorHAnsi" w:eastAsiaTheme="minorEastAsia" w:hAnsiTheme="minorHAnsi"/>
          <w:noProof/>
          <w:lang w:eastAsia="sl-SI"/>
        </w:rPr>
      </w:pPr>
      <w:hyperlink w:anchor="_Toc97026981" w:history="1">
        <w:r w:rsidRPr="002F25E3">
          <w:rPr>
            <w:rStyle w:val="Hiperpovezava"/>
            <w:noProof/>
          </w:rPr>
          <w:t>Preglednica 6.28: Tveganje za turizem v občini Nova Gorica zaradi podnebnih sprememb v obdobju 2011-2040.</w:t>
        </w:r>
        <w:r>
          <w:rPr>
            <w:noProof/>
            <w:webHidden/>
          </w:rPr>
          <w:tab/>
        </w:r>
        <w:r>
          <w:rPr>
            <w:noProof/>
            <w:webHidden/>
          </w:rPr>
          <w:fldChar w:fldCharType="begin"/>
        </w:r>
        <w:r>
          <w:rPr>
            <w:noProof/>
            <w:webHidden/>
          </w:rPr>
          <w:instrText xml:space="preserve"> PAGEREF _Toc97026981 \h </w:instrText>
        </w:r>
        <w:r>
          <w:rPr>
            <w:noProof/>
            <w:webHidden/>
          </w:rPr>
        </w:r>
        <w:r>
          <w:rPr>
            <w:noProof/>
            <w:webHidden/>
          </w:rPr>
          <w:fldChar w:fldCharType="separate"/>
        </w:r>
        <w:r>
          <w:rPr>
            <w:noProof/>
            <w:webHidden/>
          </w:rPr>
          <w:t>187</w:t>
        </w:r>
        <w:r>
          <w:rPr>
            <w:noProof/>
            <w:webHidden/>
          </w:rPr>
          <w:fldChar w:fldCharType="end"/>
        </w:r>
      </w:hyperlink>
    </w:p>
    <w:p w14:paraId="7F58F033" w14:textId="68C630DD" w:rsidR="007A0276" w:rsidRDefault="007A0276">
      <w:pPr>
        <w:pStyle w:val="Kazaloslik"/>
        <w:tabs>
          <w:tab w:val="right" w:leader="dot" w:pos="9628"/>
        </w:tabs>
        <w:rPr>
          <w:rFonts w:asciiTheme="minorHAnsi" w:eastAsiaTheme="minorEastAsia" w:hAnsiTheme="minorHAnsi"/>
          <w:noProof/>
          <w:lang w:eastAsia="sl-SI"/>
        </w:rPr>
      </w:pPr>
      <w:hyperlink w:anchor="_Toc97026982" w:history="1">
        <w:r w:rsidRPr="002F25E3">
          <w:rPr>
            <w:rStyle w:val="Hiperpovezava"/>
            <w:noProof/>
          </w:rPr>
          <w:t>Preglednica 6.29: Tveganje za turizem v občini Nova Gorica zaradi podnebnih sprememb v obdobju 2041-2070.</w:t>
        </w:r>
        <w:r>
          <w:rPr>
            <w:noProof/>
            <w:webHidden/>
          </w:rPr>
          <w:tab/>
        </w:r>
        <w:r>
          <w:rPr>
            <w:noProof/>
            <w:webHidden/>
          </w:rPr>
          <w:fldChar w:fldCharType="begin"/>
        </w:r>
        <w:r>
          <w:rPr>
            <w:noProof/>
            <w:webHidden/>
          </w:rPr>
          <w:instrText xml:space="preserve"> PAGEREF _Toc97026982 \h </w:instrText>
        </w:r>
        <w:r>
          <w:rPr>
            <w:noProof/>
            <w:webHidden/>
          </w:rPr>
        </w:r>
        <w:r>
          <w:rPr>
            <w:noProof/>
            <w:webHidden/>
          </w:rPr>
          <w:fldChar w:fldCharType="separate"/>
        </w:r>
        <w:r>
          <w:rPr>
            <w:noProof/>
            <w:webHidden/>
          </w:rPr>
          <w:t>188</w:t>
        </w:r>
        <w:r>
          <w:rPr>
            <w:noProof/>
            <w:webHidden/>
          </w:rPr>
          <w:fldChar w:fldCharType="end"/>
        </w:r>
      </w:hyperlink>
    </w:p>
    <w:p w14:paraId="1203D076" w14:textId="0CEFED42" w:rsidR="007A0276" w:rsidRDefault="007A0276">
      <w:pPr>
        <w:pStyle w:val="Kazaloslik"/>
        <w:tabs>
          <w:tab w:val="right" w:leader="dot" w:pos="9628"/>
        </w:tabs>
        <w:rPr>
          <w:rFonts w:asciiTheme="minorHAnsi" w:eastAsiaTheme="minorEastAsia" w:hAnsiTheme="minorHAnsi"/>
          <w:noProof/>
          <w:lang w:eastAsia="sl-SI"/>
        </w:rPr>
      </w:pPr>
      <w:hyperlink w:anchor="_Toc97026983" w:history="1">
        <w:r w:rsidRPr="002F25E3">
          <w:rPr>
            <w:rStyle w:val="Hiperpovezava"/>
            <w:noProof/>
          </w:rPr>
          <w:t>Preglednica 6.30: Ocenjevalna lestvica stopnje vpliva podnebnih sprememb.</w:t>
        </w:r>
        <w:r>
          <w:rPr>
            <w:noProof/>
            <w:webHidden/>
          </w:rPr>
          <w:tab/>
        </w:r>
        <w:r>
          <w:rPr>
            <w:noProof/>
            <w:webHidden/>
          </w:rPr>
          <w:fldChar w:fldCharType="begin"/>
        </w:r>
        <w:r>
          <w:rPr>
            <w:noProof/>
            <w:webHidden/>
          </w:rPr>
          <w:instrText xml:space="preserve"> PAGEREF _Toc97026983 \h </w:instrText>
        </w:r>
        <w:r>
          <w:rPr>
            <w:noProof/>
            <w:webHidden/>
          </w:rPr>
        </w:r>
        <w:r>
          <w:rPr>
            <w:noProof/>
            <w:webHidden/>
          </w:rPr>
          <w:fldChar w:fldCharType="separate"/>
        </w:r>
        <w:r>
          <w:rPr>
            <w:noProof/>
            <w:webHidden/>
          </w:rPr>
          <w:t>195</w:t>
        </w:r>
        <w:r>
          <w:rPr>
            <w:noProof/>
            <w:webHidden/>
          </w:rPr>
          <w:fldChar w:fldCharType="end"/>
        </w:r>
      </w:hyperlink>
    </w:p>
    <w:p w14:paraId="37610321" w14:textId="38D0C5A5" w:rsidR="007A0276" w:rsidRDefault="007A0276">
      <w:pPr>
        <w:pStyle w:val="Kazaloslik"/>
        <w:tabs>
          <w:tab w:val="right" w:leader="dot" w:pos="9628"/>
        </w:tabs>
        <w:rPr>
          <w:rFonts w:asciiTheme="minorHAnsi" w:eastAsiaTheme="minorEastAsia" w:hAnsiTheme="minorHAnsi"/>
          <w:noProof/>
          <w:lang w:eastAsia="sl-SI"/>
        </w:rPr>
      </w:pPr>
      <w:hyperlink w:anchor="_Toc97026984" w:history="1">
        <w:r w:rsidRPr="002F25E3">
          <w:rPr>
            <w:rStyle w:val="Hiperpovezava"/>
            <w:noProof/>
          </w:rPr>
          <w:t>Preglednica 6.31: Tabelarični prikaz povprečnih minimalnih, srednjih in maksimalnih pretokov na postaji Solkan I (Soča) na letni in sezonski ravni, vključno z mesecem, ko je bil povprečni pretok najnižji ali najvišji. Podatki zajemajo obdobje 1980 do 2018.</w:t>
        </w:r>
        <w:r>
          <w:rPr>
            <w:noProof/>
            <w:webHidden/>
          </w:rPr>
          <w:tab/>
        </w:r>
        <w:r>
          <w:rPr>
            <w:noProof/>
            <w:webHidden/>
          </w:rPr>
          <w:fldChar w:fldCharType="begin"/>
        </w:r>
        <w:r>
          <w:rPr>
            <w:noProof/>
            <w:webHidden/>
          </w:rPr>
          <w:instrText xml:space="preserve"> PAGEREF _Toc97026984 \h </w:instrText>
        </w:r>
        <w:r>
          <w:rPr>
            <w:noProof/>
            <w:webHidden/>
          </w:rPr>
        </w:r>
        <w:r>
          <w:rPr>
            <w:noProof/>
            <w:webHidden/>
          </w:rPr>
          <w:fldChar w:fldCharType="separate"/>
        </w:r>
        <w:r>
          <w:rPr>
            <w:noProof/>
            <w:webHidden/>
          </w:rPr>
          <w:t>198</w:t>
        </w:r>
        <w:r>
          <w:rPr>
            <w:noProof/>
            <w:webHidden/>
          </w:rPr>
          <w:fldChar w:fldCharType="end"/>
        </w:r>
      </w:hyperlink>
    </w:p>
    <w:p w14:paraId="1FC1CEAD" w14:textId="1F34A5D8" w:rsidR="007A0276" w:rsidRDefault="007A0276">
      <w:pPr>
        <w:pStyle w:val="Kazaloslik"/>
        <w:tabs>
          <w:tab w:val="right" w:leader="dot" w:pos="9628"/>
        </w:tabs>
        <w:rPr>
          <w:rFonts w:asciiTheme="minorHAnsi" w:eastAsiaTheme="minorEastAsia" w:hAnsiTheme="minorHAnsi"/>
          <w:noProof/>
          <w:lang w:eastAsia="sl-SI"/>
        </w:rPr>
      </w:pPr>
      <w:hyperlink w:anchor="_Toc97026985" w:history="1">
        <w:r w:rsidRPr="002F25E3">
          <w:rPr>
            <w:rStyle w:val="Hiperpovezava"/>
            <w:noProof/>
          </w:rPr>
          <w:t>Preglednica 6.32: Tabelarični prikaz povprečnih minimalnih, srednjih in maksimalnih pretokov na postaji Dolenje (Vipava) na letni in sezonski ravni, vključno z mesecem, ko je bil povprečni pretok najnižji ali najvišji. Podatki zajemajo obdobje 1991 do 2019.</w:t>
        </w:r>
        <w:r>
          <w:rPr>
            <w:noProof/>
            <w:webHidden/>
          </w:rPr>
          <w:tab/>
        </w:r>
        <w:r>
          <w:rPr>
            <w:noProof/>
            <w:webHidden/>
          </w:rPr>
          <w:fldChar w:fldCharType="begin"/>
        </w:r>
        <w:r>
          <w:rPr>
            <w:noProof/>
            <w:webHidden/>
          </w:rPr>
          <w:instrText xml:space="preserve"> PAGEREF _Toc97026985 \h </w:instrText>
        </w:r>
        <w:r>
          <w:rPr>
            <w:noProof/>
            <w:webHidden/>
          </w:rPr>
        </w:r>
        <w:r>
          <w:rPr>
            <w:noProof/>
            <w:webHidden/>
          </w:rPr>
          <w:fldChar w:fldCharType="separate"/>
        </w:r>
        <w:r>
          <w:rPr>
            <w:noProof/>
            <w:webHidden/>
          </w:rPr>
          <w:t>199</w:t>
        </w:r>
        <w:r>
          <w:rPr>
            <w:noProof/>
            <w:webHidden/>
          </w:rPr>
          <w:fldChar w:fldCharType="end"/>
        </w:r>
      </w:hyperlink>
    </w:p>
    <w:p w14:paraId="69227379" w14:textId="31787AB6" w:rsidR="007A0276" w:rsidRDefault="007A0276">
      <w:pPr>
        <w:pStyle w:val="Kazaloslik"/>
        <w:tabs>
          <w:tab w:val="right" w:leader="dot" w:pos="9628"/>
        </w:tabs>
        <w:rPr>
          <w:rFonts w:asciiTheme="minorHAnsi" w:eastAsiaTheme="minorEastAsia" w:hAnsiTheme="minorHAnsi"/>
          <w:noProof/>
          <w:lang w:eastAsia="sl-SI"/>
        </w:rPr>
      </w:pPr>
      <w:hyperlink w:anchor="_Toc97026986" w:history="1">
        <w:r w:rsidRPr="002F25E3">
          <w:rPr>
            <w:rStyle w:val="Hiperpovezava"/>
            <w:noProof/>
          </w:rPr>
          <w:t>Preglednica 6.33: Tabelarični prikaz povprečnih minimalnih, srednjih in maksimalnih pretokov na postaji Zalošče (Vipava) na letni in sezonski ravni, vključno z mesecem, ko je bil povprečni pretok najnižji ali najvišji. Podatki zajemajo obdobje 2014 do 2019.</w:t>
        </w:r>
        <w:r>
          <w:rPr>
            <w:noProof/>
            <w:webHidden/>
          </w:rPr>
          <w:tab/>
        </w:r>
        <w:r>
          <w:rPr>
            <w:noProof/>
            <w:webHidden/>
          </w:rPr>
          <w:fldChar w:fldCharType="begin"/>
        </w:r>
        <w:r>
          <w:rPr>
            <w:noProof/>
            <w:webHidden/>
          </w:rPr>
          <w:instrText xml:space="preserve"> PAGEREF _Toc97026986 \h </w:instrText>
        </w:r>
        <w:r>
          <w:rPr>
            <w:noProof/>
            <w:webHidden/>
          </w:rPr>
        </w:r>
        <w:r>
          <w:rPr>
            <w:noProof/>
            <w:webHidden/>
          </w:rPr>
          <w:fldChar w:fldCharType="separate"/>
        </w:r>
        <w:r>
          <w:rPr>
            <w:noProof/>
            <w:webHidden/>
          </w:rPr>
          <w:t>200</w:t>
        </w:r>
        <w:r>
          <w:rPr>
            <w:noProof/>
            <w:webHidden/>
          </w:rPr>
          <w:fldChar w:fldCharType="end"/>
        </w:r>
      </w:hyperlink>
    </w:p>
    <w:p w14:paraId="69B4E4BD" w14:textId="0756FE60" w:rsidR="007A0276" w:rsidRDefault="007A0276">
      <w:pPr>
        <w:pStyle w:val="Kazaloslik"/>
        <w:tabs>
          <w:tab w:val="right" w:leader="dot" w:pos="9628"/>
        </w:tabs>
        <w:rPr>
          <w:rFonts w:asciiTheme="minorHAnsi" w:eastAsiaTheme="minorEastAsia" w:hAnsiTheme="minorHAnsi"/>
          <w:noProof/>
          <w:lang w:eastAsia="sl-SI"/>
        </w:rPr>
      </w:pPr>
      <w:hyperlink w:anchor="_Toc97026987" w:history="1">
        <w:r w:rsidRPr="002F25E3">
          <w:rPr>
            <w:rStyle w:val="Hiperpovezava"/>
            <w:noProof/>
          </w:rPr>
          <w:t>Preglednica 6.34: Tabelarični prikaz povprečnih minimalnih, srednjih in maksimalnih pretokov na postaji Miren I (Vipava) na letni in sezonski ravni, vključno z mesecem, ko je bil povprečni pretok najnižji ali najvišji. Podatki zajemajo obdobje 2004 do 2019.</w:t>
        </w:r>
        <w:r>
          <w:rPr>
            <w:noProof/>
            <w:webHidden/>
          </w:rPr>
          <w:tab/>
        </w:r>
        <w:r>
          <w:rPr>
            <w:noProof/>
            <w:webHidden/>
          </w:rPr>
          <w:fldChar w:fldCharType="begin"/>
        </w:r>
        <w:r>
          <w:rPr>
            <w:noProof/>
            <w:webHidden/>
          </w:rPr>
          <w:instrText xml:space="preserve"> PAGEREF _Toc97026987 \h </w:instrText>
        </w:r>
        <w:r>
          <w:rPr>
            <w:noProof/>
            <w:webHidden/>
          </w:rPr>
        </w:r>
        <w:r>
          <w:rPr>
            <w:noProof/>
            <w:webHidden/>
          </w:rPr>
          <w:fldChar w:fldCharType="separate"/>
        </w:r>
        <w:r>
          <w:rPr>
            <w:noProof/>
            <w:webHidden/>
          </w:rPr>
          <w:t>201</w:t>
        </w:r>
        <w:r>
          <w:rPr>
            <w:noProof/>
            <w:webHidden/>
          </w:rPr>
          <w:fldChar w:fldCharType="end"/>
        </w:r>
      </w:hyperlink>
    </w:p>
    <w:p w14:paraId="5BB80332" w14:textId="2DEE5C27" w:rsidR="007A0276" w:rsidRDefault="007A0276">
      <w:pPr>
        <w:pStyle w:val="Kazaloslik"/>
        <w:tabs>
          <w:tab w:val="right" w:leader="dot" w:pos="9628"/>
        </w:tabs>
        <w:rPr>
          <w:rFonts w:asciiTheme="minorHAnsi" w:eastAsiaTheme="minorEastAsia" w:hAnsiTheme="minorHAnsi"/>
          <w:noProof/>
          <w:lang w:eastAsia="sl-SI"/>
        </w:rPr>
      </w:pPr>
      <w:hyperlink w:anchor="_Toc97026988" w:history="1">
        <w:r w:rsidRPr="002F25E3">
          <w:rPr>
            <w:rStyle w:val="Hiperpovezava"/>
            <w:noProof/>
          </w:rPr>
          <w:t>Preglednica 6.35: Tabelarični prikaz povprečnih minimalnih, srednjih in maksimalnih pretokov na postaji Miren I (Vipava) na letni in sezonski ravni, vključno z mesecem, ko je bil povprečni pretok najnižji ali najvišji. Podatki zajemajo obdobje 2004 do 2019.</w:t>
        </w:r>
        <w:r>
          <w:rPr>
            <w:noProof/>
            <w:webHidden/>
          </w:rPr>
          <w:tab/>
        </w:r>
        <w:r>
          <w:rPr>
            <w:noProof/>
            <w:webHidden/>
          </w:rPr>
          <w:fldChar w:fldCharType="begin"/>
        </w:r>
        <w:r>
          <w:rPr>
            <w:noProof/>
            <w:webHidden/>
          </w:rPr>
          <w:instrText xml:space="preserve"> PAGEREF _Toc97026988 \h </w:instrText>
        </w:r>
        <w:r>
          <w:rPr>
            <w:noProof/>
            <w:webHidden/>
          </w:rPr>
        </w:r>
        <w:r>
          <w:rPr>
            <w:noProof/>
            <w:webHidden/>
          </w:rPr>
          <w:fldChar w:fldCharType="separate"/>
        </w:r>
        <w:r>
          <w:rPr>
            <w:noProof/>
            <w:webHidden/>
          </w:rPr>
          <w:t>202</w:t>
        </w:r>
        <w:r>
          <w:rPr>
            <w:noProof/>
            <w:webHidden/>
          </w:rPr>
          <w:fldChar w:fldCharType="end"/>
        </w:r>
      </w:hyperlink>
    </w:p>
    <w:p w14:paraId="3D5F7B84" w14:textId="17262519" w:rsidR="007A0276" w:rsidRDefault="007A0276">
      <w:pPr>
        <w:pStyle w:val="Kazaloslik"/>
        <w:tabs>
          <w:tab w:val="right" w:leader="dot" w:pos="9628"/>
        </w:tabs>
        <w:rPr>
          <w:rFonts w:asciiTheme="minorHAnsi" w:eastAsiaTheme="minorEastAsia" w:hAnsiTheme="minorHAnsi"/>
          <w:noProof/>
          <w:lang w:eastAsia="sl-SI"/>
        </w:rPr>
      </w:pPr>
      <w:hyperlink w:anchor="_Toc97026989" w:history="1">
        <w:r w:rsidRPr="002F25E3">
          <w:rPr>
            <w:rStyle w:val="Hiperpovezava"/>
            <w:noProof/>
          </w:rPr>
          <w:t>Preglednica 6.36: Povprečno napajanje podzemne vode na sezono v referenčnem obdobju po zaledjih.</w:t>
        </w:r>
        <w:r>
          <w:rPr>
            <w:noProof/>
            <w:webHidden/>
          </w:rPr>
          <w:tab/>
        </w:r>
        <w:r>
          <w:rPr>
            <w:noProof/>
            <w:webHidden/>
          </w:rPr>
          <w:fldChar w:fldCharType="begin"/>
        </w:r>
        <w:r>
          <w:rPr>
            <w:noProof/>
            <w:webHidden/>
          </w:rPr>
          <w:instrText xml:space="preserve"> PAGEREF _Toc97026989 \h </w:instrText>
        </w:r>
        <w:r>
          <w:rPr>
            <w:noProof/>
            <w:webHidden/>
          </w:rPr>
        </w:r>
        <w:r>
          <w:rPr>
            <w:noProof/>
            <w:webHidden/>
          </w:rPr>
          <w:fldChar w:fldCharType="separate"/>
        </w:r>
        <w:r>
          <w:rPr>
            <w:noProof/>
            <w:webHidden/>
          </w:rPr>
          <w:t>208</w:t>
        </w:r>
        <w:r>
          <w:rPr>
            <w:noProof/>
            <w:webHidden/>
          </w:rPr>
          <w:fldChar w:fldCharType="end"/>
        </w:r>
      </w:hyperlink>
    </w:p>
    <w:p w14:paraId="13125571" w14:textId="3221FE28" w:rsidR="007A0276" w:rsidRDefault="007A0276">
      <w:pPr>
        <w:pStyle w:val="Kazaloslik"/>
        <w:tabs>
          <w:tab w:val="right" w:leader="dot" w:pos="9628"/>
        </w:tabs>
        <w:rPr>
          <w:rFonts w:asciiTheme="minorHAnsi" w:eastAsiaTheme="minorEastAsia" w:hAnsiTheme="minorHAnsi"/>
          <w:noProof/>
          <w:lang w:eastAsia="sl-SI"/>
        </w:rPr>
      </w:pPr>
      <w:hyperlink w:anchor="_Toc97026990" w:history="1">
        <w:r w:rsidRPr="002F25E3">
          <w:rPr>
            <w:rStyle w:val="Hiperpovezava"/>
            <w:noProof/>
          </w:rPr>
          <w:t>Preglednica 6.37: Skupni seštevek predvidenih odvzemov podzemne vode na sezono po zaledjih.</w:t>
        </w:r>
        <w:r>
          <w:rPr>
            <w:noProof/>
            <w:webHidden/>
          </w:rPr>
          <w:tab/>
        </w:r>
        <w:r>
          <w:rPr>
            <w:noProof/>
            <w:webHidden/>
          </w:rPr>
          <w:fldChar w:fldCharType="begin"/>
        </w:r>
        <w:r>
          <w:rPr>
            <w:noProof/>
            <w:webHidden/>
          </w:rPr>
          <w:instrText xml:space="preserve"> PAGEREF _Toc97026990 \h </w:instrText>
        </w:r>
        <w:r>
          <w:rPr>
            <w:noProof/>
            <w:webHidden/>
          </w:rPr>
        </w:r>
        <w:r>
          <w:rPr>
            <w:noProof/>
            <w:webHidden/>
          </w:rPr>
          <w:fldChar w:fldCharType="separate"/>
        </w:r>
        <w:r>
          <w:rPr>
            <w:noProof/>
            <w:webHidden/>
          </w:rPr>
          <w:t>213</w:t>
        </w:r>
        <w:r>
          <w:rPr>
            <w:noProof/>
            <w:webHidden/>
          </w:rPr>
          <w:fldChar w:fldCharType="end"/>
        </w:r>
      </w:hyperlink>
    </w:p>
    <w:p w14:paraId="41648566" w14:textId="3238254F" w:rsidR="007A0276" w:rsidRDefault="007A0276">
      <w:pPr>
        <w:pStyle w:val="Kazaloslik"/>
        <w:tabs>
          <w:tab w:val="right" w:leader="dot" w:pos="9628"/>
        </w:tabs>
        <w:rPr>
          <w:rFonts w:asciiTheme="minorHAnsi" w:eastAsiaTheme="minorEastAsia" w:hAnsiTheme="minorHAnsi"/>
          <w:noProof/>
          <w:lang w:eastAsia="sl-SI"/>
        </w:rPr>
      </w:pPr>
      <w:hyperlink w:anchor="_Toc97026991" w:history="1">
        <w:r w:rsidRPr="002F25E3">
          <w:rPr>
            <w:rStyle w:val="Hiperpovezava"/>
            <w:noProof/>
          </w:rPr>
          <w:t>Preglednica 6.38: Aktivni in rezervni vodni viri, ki jih uporablja podjetje Vodovod in kanalizacija Nova Gorica d.d. za oskrbo s pitno vodo.</w:t>
        </w:r>
        <w:r>
          <w:rPr>
            <w:noProof/>
            <w:webHidden/>
          </w:rPr>
          <w:tab/>
        </w:r>
        <w:r>
          <w:rPr>
            <w:noProof/>
            <w:webHidden/>
          </w:rPr>
          <w:fldChar w:fldCharType="begin"/>
        </w:r>
        <w:r>
          <w:rPr>
            <w:noProof/>
            <w:webHidden/>
          </w:rPr>
          <w:instrText xml:space="preserve"> PAGEREF _Toc97026991 \h </w:instrText>
        </w:r>
        <w:r>
          <w:rPr>
            <w:noProof/>
            <w:webHidden/>
          </w:rPr>
        </w:r>
        <w:r>
          <w:rPr>
            <w:noProof/>
            <w:webHidden/>
          </w:rPr>
          <w:fldChar w:fldCharType="separate"/>
        </w:r>
        <w:r>
          <w:rPr>
            <w:noProof/>
            <w:webHidden/>
          </w:rPr>
          <w:t>214</w:t>
        </w:r>
        <w:r>
          <w:rPr>
            <w:noProof/>
            <w:webHidden/>
          </w:rPr>
          <w:fldChar w:fldCharType="end"/>
        </w:r>
      </w:hyperlink>
    </w:p>
    <w:p w14:paraId="485E807B" w14:textId="609724AD" w:rsidR="007A0276" w:rsidRDefault="007A0276">
      <w:pPr>
        <w:pStyle w:val="Kazaloslik"/>
        <w:tabs>
          <w:tab w:val="right" w:leader="dot" w:pos="9628"/>
        </w:tabs>
        <w:rPr>
          <w:rFonts w:asciiTheme="minorHAnsi" w:eastAsiaTheme="minorEastAsia" w:hAnsiTheme="minorHAnsi"/>
          <w:noProof/>
          <w:lang w:eastAsia="sl-SI"/>
        </w:rPr>
      </w:pPr>
      <w:hyperlink w:anchor="_Toc97026992" w:history="1">
        <w:r w:rsidRPr="002F25E3">
          <w:rPr>
            <w:rStyle w:val="Hiperpovezava"/>
            <w:noProof/>
          </w:rPr>
          <w:t>Preglednica 6.39: Ocena ranljivosti površinskih in podzemnih voda v referenčnem obdobju 1981-2010.</w:t>
        </w:r>
        <w:r>
          <w:rPr>
            <w:noProof/>
            <w:webHidden/>
          </w:rPr>
          <w:tab/>
        </w:r>
        <w:r>
          <w:rPr>
            <w:noProof/>
            <w:webHidden/>
          </w:rPr>
          <w:fldChar w:fldCharType="begin"/>
        </w:r>
        <w:r>
          <w:rPr>
            <w:noProof/>
            <w:webHidden/>
          </w:rPr>
          <w:instrText xml:space="preserve"> PAGEREF _Toc97026992 \h </w:instrText>
        </w:r>
        <w:r>
          <w:rPr>
            <w:noProof/>
            <w:webHidden/>
          </w:rPr>
        </w:r>
        <w:r>
          <w:rPr>
            <w:noProof/>
            <w:webHidden/>
          </w:rPr>
          <w:fldChar w:fldCharType="separate"/>
        </w:r>
        <w:r>
          <w:rPr>
            <w:noProof/>
            <w:webHidden/>
          </w:rPr>
          <w:t>228</w:t>
        </w:r>
        <w:r>
          <w:rPr>
            <w:noProof/>
            <w:webHidden/>
          </w:rPr>
          <w:fldChar w:fldCharType="end"/>
        </w:r>
      </w:hyperlink>
    </w:p>
    <w:p w14:paraId="6C73D422" w14:textId="05301B8A" w:rsidR="007A0276" w:rsidRDefault="007A0276">
      <w:pPr>
        <w:pStyle w:val="Kazaloslik"/>
        <w:tabs>
          <w:tab w:val="right" w:leader="dot" w:pos="9628"/>
        </w:tabs>
        <w:rPr>
          <w:rFonts w:asciiTheme="minorHAnsi" w:eastAsiaTheme="minorEastAsia" w:hAnsiTheme="minorHAnsi"/>
          <w:noProof/>
          <w:lang w:eastAsia="sl-SI"/>
        </w:rPr>
      </w:pPr>
      <w:hyperlink w:anchor="_Toc97026993" w:history="1">
        <w:r w:rsidRPr="002F25E3">
          <w:rPr>
            <w:rStyle w:val="Hiperpovezava"/>
            <w:noProof/>
          </w:rPr>
          <w:t>Preglednica 6.40: Ocena ranljivosti in tveganja površinskih in podzemnih vod na podnebne spremembe v prihodnosti.</w:t>
        </w:r>
        <w:r>
          <w:rPr>
            <w:noProof/>
            <w:webHidden/>
          </w:rPr>
          <w:tab/>
        </w:r>
        <w:r>
          <w:rPr>
            <w:noProof/>
            <w:webHidden/>
          </w:rPr>
          <w:fldChar w:fldCharType="begin"/>
        </w:r>
        <w:r>
          <w:rPr>
            <w:noProof/>
            <w:webHidden/>
          </w:rPr>
          <w:instrText xml:space="preserve"> PAGEREF _Toc97026993 \h </w:instrText>
        </w:r>
        <w:r>
          <w:rPr>
            <w:noProof/>
            <w:webHidden/>
          </w:rPr>
        </w:r>
        <w:r>
          <w:rPr>
            <w:noProof/>
            <w:webHidden/>
          </w:rPr>
          <w:fldChar w:fldCharType="separate"/>
        </w:r>
        <w:r>
          <w:rPr>
            <w:noProof/>
            <w:webHidden/>
          </w:rPr>
          <w:t>230</w:t>
        </w:r>
        <w:r>
          <w:rPr>
            <w:noProof/>
            <w:webHidden/>
          </w:rPr>
          <w:fldChar w:fldCharType="end"/>
        </w:r>
      </w:hyperlink>
    </w:p>
    <w:p w14:paraId="329E1A4F" w14:textId="2F412B15" w:rsidR="007A0276" w:rsidRDefault="007A0276">
      <w:pPr>
        <w:pStyle w:val="Kazaloslik"/>
        <w:tabs>
          <w:tab w:val="right" w:leader="dot" w:pos="9628"/>
        </w:tabs>
        <w:rPr>
          <w:rFonts w:asciiTheme="minorHAnsi" w:eastAsiaTheme="minorEastAsia" w:hAnsiTheme="minorHAnsi"/>
          <w:noProof/>
          <w:lang w:eastAsia="sl-SI"/>
        </w:rPr>
      </w:pPr>
      <w:hyperlink w:anchor="_Toc97026994" w:history="1">
        <w:r w:rsidRPr="002F25E3">
          <w:rPr>
            <w:rStyle w:val="Hiperpovezava"/>
            <w:noProof/>
          </w:rPr>
          <w:t>Preglednica 6.41: Mejne vrednosti dnevne povprečne temperature zraka za nastop vročinskega vala</w:t>
        </w:r>
        <w:r>
          <w:rPr>
            <w:noProof/>
            <w:webHidden/>
          </w:rPr>
          <w:tab/>
        </w:r>
        <w:r>
          <w:rPr>
            <w:noProof/>
            <w:webHidden/>
          </w:rPr>
          <w:fldChar w:fldCharType="begin"/>
        </w:r>
        <w:r>
          <w:rPr>
            <w:noProof/>
            <w:webHidden/>
          </w:rPr>
          <w:instrText xml:space="preserve"> PAGEREF _Toc97026994 \h </w:instrText>
        </w:r>
        <w:r>
          <w:rPr>
            <w:noProof/>
            <w:webHidden/>
          </w:rPr>
        </w:r>
        <w:r>
          <w:rPr>
            <w:noProof/>
            <w:webHidden/>
          </w:rPr>
          <w:fldChar w:fldCharType="separate"/>
        </w:r>
        <w:r>
          <w:rPr>
            <w:noProof/>
            <w:webHidden/>
          </w:rPr>
          <w:t>236</w:t>
        </w:r>
        <w:r>
          <w:rPr>
            <w:noProof/>
            <w:webHidden/>
          </w:rPr>
          <w:fldChar w:fldCharType="end"/>
        </w:r>
      </w:hyperlink>
    </w:p>
    <w:p w14:paraId="76640936" w14:textId="586C64B2" w:rsidR="007A0276" w:rsidRDefault="007A0276">
      <w:pPr>
        <w:pStyle w:val="Kazaloslik"/>
        <w:tabs>
          <w:tab w:val="right" w:leader="dot" w:pos="9628"/>
        </w:tabs>
        <w:rPr>
          <w:rFonts w:asciiTheme="minorHAnsi" w:eastAsiaTheme="minorEastAsia" w:hAnsiTheme="minorHAnsi"/>
          <w:noProof/>
          <w:lang w:eastAsia="sl-SI"/>
        </w:rPr>
      </w:pPr>
      <w:hyperlink w:anchor="_Toc97026995" w:history="1">
        <w:r w:rsidRPr="002F25E3">
          <w:rPr>
            <w:rStyle w:val="Hiperpovezava"/>
            <w:noProof/>
          </w:rPr>
          <w:t>Preglednica 6.42: Ocena ranljivosti sektorja vodovodni sistem v sedanjosti.</w:t>
        </w:r>
        <w:r>
          <w:rPr>
            <w:noProof/>
            <w:webHidden/>
          </w:rPr>
          <w:tab/>
        </w:r>
        <w:r>
          <w:rPr>
            <w:noProof/>
            <w:webHidden/>
          </w:rPr>
          <w:fldChar w:fldCharType="begin"/>
        </w:r>
        <w:r>
          <w:rPr>
            <w:noProof/>
            <w:webHidden/>
          </w:rPr>
          <w:instrText xml:space="preserve"> PAGEREF _Toc97026995 \h </w:instrText>
        </w:r>
        <w:r>
          <w:rPr>
            <w:noProof/>
            <w:webHidden/>
          </w:rPr>
        </w:r>
        <w:r>
          <w:rPr>
            <w:noProof/>
            <w:webHidden/>
          </w:rPr>
          <w:fldChar w:fldCharType="separate"/>
        </w:r>
        <w:r>
          <w:rPr>
            <w:noProof/>
            <w:webHidden/>
          </w:rPr>
          <w:t>258</w:t>
        </w:r>
        <w:r>
          <w:rPr>
            <w:noProof/>
            <w:webHidden/>
          </w:rPr>
          <w:fldChar w:fldCharType="end"/>
        </w:r>
      </w:hyperlink>
    </w:p>
    <w:p w14:paraId="76C24584" w14:textId="2F7DD258" w:rsidR="007A0276" w:rsidRDefault="007A0276">
      <w:pPr>
        <w:pStyle w:val="Kazaloslik"/>
        <w:tabs>
          <w:tab w:val="right" w:leader="dot" w:pos="9628"/>
        </w:tabs>
        <w:rPr>
          <w:rFonts w:asciiTheme="minorHAnsi" w:eastAsiaTheme="minorEastAsia" w:hAnsiTheme="minorHAnsi"/>
          <w:noProof/>
          <w:lang w:eastAsia="sl-SI"/>
        </w:rPr>
      </w:pPr>
      <w:hyperlink w:anchor="_Toc97026996" w:history="1">
        <w:r w:rsidRPr="002F25E3">
          <w:rPr>
            <w:rStyle w:val="Hiperpovezava"/>
            <w:noProof/>
          </w:rPr>
          <w:t>Preglednica 6.43: Ocena ranljivosti in tveganja vodovodnega sistema na podnebne spremembe v prihodnosti.</w:t>
        </w:r>
        <w:r>
          <w:rPr>
            <w:noProof/>
            <w:webHidden/>
          </w:rPr>
          <w:tab/>
        </w:r>
        <w:r>
          <w:rPr>
            <w:noProof/>
            <w:webHidden/>
          </w:rPr>
          <w:fldChar w:fldCharType="begin"/>
        </w:r>
        <w:r>
          <w:rPr>
            <w:noProof/>
            <w:webHidden/>
          </w:rPr>
          <w:instrText xml:space="preserve"> PAGEREF _Toc97026996 \h </w:instrText>
        </w:r>
        <w:r>
          <w:rPr>
            <w:noProof/>
            <w:webHidden/>
          </w:rPr>
        </w:r>
        <w:r>
          <w:rPr>
            <w:noProof/>
            <w:webHidden/>
          </w:rPr>
          <w:fldChar w:fldCharType="separate"/>
        </w:r>
        <w:r>
          <w:rPr>
            <w:noProof/>
            <w:webHidden/>
          </w:rPr>
          <w:t>259</w:t>
        </w:r>
        <w:r>
          <w:rPr>
            <w:noProof/>
            <w:webHidden/>
          </w:rPr>
          <w:fldChar w:fldCharType="end"/>
        </w:r>
      </w:hyperlink>
    </w:p>
    <w:p w14:paraId="15F1BE2F" w14:textId="011D12EA" w:rsidR="007A0276" w:rsidRDefault="007A0276">
      <w:pPr>
        <w:pStyle w:val="Kazaloslik"/>
        <w:tabs>
          <w:tab w:val="right" w:leader="dot" w:pos="9628"/>
        </w:tabs>
        <w:rPr>
          <w:rFonts w:asciiTheme="minorHAnsi" w:eastAsiaTheme="minorEastAsia" w:hAnsiTheme="minorHAnsi"/>
          <w:noProof/>
          <w:lang w:eastAsia="sl-SI"/>
        </w:rPr>
      </w:pPr>
      <w:hyperlink w:anchor="_Toc97026997" w:history="1">
        <w:r w:rsidRPr="002F25E3">
          <w:rPr>
            <w:rStyle w:val="Hiperpovezava"/>
            <w:noProof/>
          </w:rPr>
          <w:t>Preglednica 6.44: Osnovni nabor ukrepov - ukrepov iz NZPO1 in pomen za Mestno občino Nova Gorica</w:t>
        </w:r>
        <w:r>
          <w:rPr>
            <w:noProof/>
            <w:webHidden/>
          </w:rPr>
          <w:tab/>
        </w:r>
        <w:r>
          <w:rPr>
            <w:noProof/>
            <w:webHidden/>
          </w:rPr>
          <w:fldChar w:fldCharType="begin"/>
        </w:r>
        <w:r>
          <w:rPr>
            <w:noProof/>
            <w:webHidden/>
          </w:rPr>
          <w:instrText xml:space="preserve"> PAGEREF _Toc97026997 \h </w:instrText>
        </w:r>
        <w:r>
          <w:rPr>
            <w:noProof/>
            <w:webHidden/>
          </w:rPr>
        </w:r>
        <w:r>
          <w:rPr>
            <w:noProof/>
            <w:webHidden/>
          </w:rPr>
          <w:fldChar w:fldCharType="separate"/>
        </w:r>
        <w:r>
          <w:rPr>
            <w:noProof/>
            <w:webHidden/>
          </w:rPr>
          <w:t>294</w:t>
        </w:r>
        <w:r>
          <w:rPr>
            <w:noProof/>
            <w:webHidden/>
          </w:rPr>
          <w:fldChar w:fldCharType="end"/>
        </w:r>
      </w:hyperlink>
    </w:p>
    <w:p w14:paraId="7619D3D5" w14:textId="204CC80B" w:rsidR="007A0276" w:rsidRDefault="007A0276">
      <w:pPr>
        <w:pStyle w:val="Kazaloslik"/>
        <w:tabs>
          <w:tab w:val="right" w:leader="dot" w:pos="9628"/>
        </w:tabs>
        <w:rPr>
          <w:rFonts w:asciiTheme="minorHAnsi" w:eastAsiaTheme="minorEastAsia" w:hAnsiTheme="minorHAnsi"/>
          <w:noProof/>
          <w:lang w:eastAsia="sl-SI"/>
        </w:rPr>
      </w:pPr>
      <w:hyperlink w:anchor="_Toc97026998" w:history="1">
        <w:r w:rsidRPr="002F25E3">
          <w:rPr>
            <w:rStyle w:val="Hiperpovezava"/>
            <w:noProof/>
          </w:rPr>
          <w:t>Preglednica 6.45: Razširjen nabor ukrepov - poleg ukrepov iz NZPO1 so to ukrepi, ki izhajajo iz specifičnih identificiranih potreb na območju mestne občine Nova Gorica.</w:t>
        </w:r>
        <w:r>
          <w:rPr>
            <w:noProof/>
            <w:webHidden/>
          </w:rPr>
          <w:tab/>
        </w:r>
        <w:r>
          <w:rPr>
            <w:noProof/>
            <w:webHidden/>
          </w:rPr>
          <w:fldChar w:fldCharType="begin"/>
        </w:r>
        <w:r>
          <w:rPr>
            <w:noProof/>
            <w:webHidden/>
          </w:rPr>
          <w:instrText xml:space="preserve"> PAGEREF _Toc97026998 \h </w:instrText>
        </w:r>
        <w:r>
          <w:rPr>
            <w:noProof/>
            <w:webHidden/>
          </w:rPr>
        </w:r>
        <w:r>
          <w:rPr>
            <w:noProof/>
            <w:webHidden/>
          </w:rPr>
          <w:fldChar w:fldCharType="separate"/>
        </w:r>
        <w:r>
          <w:rPr>
            <w:noProof/>
            <w:webHidden/>
          </w:rPr>
          <w:t>296</w:t>
        </w:r>
        <w:r>
          <w:rPr>
            <w:noProof/>
            <w:webHidden/>
          </w:rPr>
          <w:fldChar w:fldCharType="end"/>
        </w:r>
      </w:hyperlink>
    </w:p>
    <w:p w14:paraId="57E08C83" w14:textId="21186000" w:rsidR="007A0276" w:rsidRDefault="007A0276">
      <w:pPr>
        <w:pStyle w:val="Kazaloslik"/>
        <w:tabs>
          <w:tab w:val="right" w:leader="dot" w:pos="9628"/>
        </w:tabs>
        <w:rPr>
          <w:rFonts w:asciiTheme="minorHAnsi" w:eastAsiaTheme="minorEastAsia" w:hAnsiTheme="minorHAnsi"/>
          <w:noProof/>
          <w:lang w:eastAsia="sl-SI"/>
        </w:rPr>
      </w:pPr>
      <w:hyperlink w:anchor="_Toc97026999" w:history="1">
        <w:r w:rsidRPr="002F25E3">
          <w:rPr>
            <w:rStyle w:val="Hiperpovezava"/>
            <w:noProof/>
          </w:rPr>
          <w:t>Preglednica 6.46: Ocena ranljivosti sektorja poplavne ogroženosti v sedanjosti</w:t>
        </w:r>
        <w:r>
          <w:rPr>
            <w:noProof/>
            <w:webHidden/>
          </w:rPr>
          <w:tab/>
        </w:r>
        <w:r>
          <w:rPr>
            <w:noProof/>
            <w:webHidden/>
          </w:rPr>
          <w:fldChar w:fldCharType="begin"/>
        </w:r>
        <w:r>
          <w:rPr>
            <w:noProof/>
            <w:webHidden/>
          </w:rPr>
          <w:instrText xml:space="preserve"> PAGEREF _Toc97026999 \h </w:instrText>
        </w:r>
        <w:r>
          <w:rPr>
            <w:noProof/>
            <w:webHidden/>
          </w:rPr>
        </w:r>
        <w:r>
          <w:rPr>
            <w:noProof/>
            <w:webHidden/>
          </w:rPr>
          <w:fldChar w:fldCharType="separate"/>
        </w:r>
        <w:r>
          <w:rPr>
            <w:noProof/>
            <w:webHidden/>
          </w:rPr>
          <w:t>298</w:t>
        </w:r>
        <w:r>
          <w:rPr>
            <w:noProof/>
            <w:webHidden/>
          </w:rPr>
          <w:fldChar w:fldCharType="end"/>
        </w:r>
      </w:hyperlink>
    </w:p>
    <w:p w14:paraId="5C7B5A6D" w14:textId="1A7ADC86" w:rsidR="007A0276" w:rsidRDefault="007A0276">
      <w:pPr>
        <w:pStyle w:val="Kazaloslik"/>
        <w:tabs>
          <w:tab w:val="right" w:leader="dot" w:pos="9628"/>
        </w:tabs>
        <w:rPr>
          <w:rFonts w:asciiTheme="minorHAnsi" w:eastAsiaTheme="minorEastAsia" w:hAnsiTheme="minorHAnsi"/>
          <w:noProof/>
          <w:lang w:eastAsia="sl-SI"/>
        </w:rPr>
      </w:pPr>
      <w:hyperlink w:anchor="_Toc97027000" w:history="1">
        <w:r w:rsidRPr="002F25E3">
          <w:rPr>
            <w:rStyle w:val="Hiperpovezava"/>
            <w:noProof/>
          </w:rPr>
          <w:t>Preglednica 6.47: Kazalniki ranljivosti in sposobnost prilagajanja na podnebne spremembe v prihodnosti (področje poplave).</w:t>
        </w:r>
        <w:r>
          <w:rPr>
            <w:noProof/>
            <w:webHidden/>
          </w:rPr>
          <w:tab/>
        </w:r>
        <w:r>
          <w:rPr>
            <w:noProof/>
            <w:webHidden/>
          </w:rPr>
          <w:fldChar w:fldCharType="begin"/>
        </w:r>
        <w:r>
          <w:rPr>
            <w:noProof/>
            <w:webHidden/>
          </w:rPr>
          <w:instrText xml:space="preserve"> PAGEREF _Toc97027000 \h </w:instrText>
        </w:r>
        <w:r>
          <w:rPr>
            <w:noProof/>
            <w:webHidden/>
          </w:rPr>
        </w:r>
        <w:r>
          <w:rPr>
            <w:noProof/>
            <w:webHidden/>
          </w:rPr>
          <w:fldChar w:fldCharType="separate"/>
        </w:r>
        <w:r>
          <w:rPr>
            <w:noProof/>
            <w:webHidden/>
          </w:rPr>
          <w:t>300</w:t>
        </w:r>
        <w:r>
          <w:rPr>
            <w:noProof/>
            <w:webHidden/>
          </w:rPr>
          <w:fldChar w:fldCharType="end"/>
        </w:r>
      </w:hyperlink>
    </w:p>
    <w:p w14:paraId="3CEF698A" w14:textId="0348E377" w:rsidR="003A7819" w:rsidRPr="00097AA5" w:rsidRDefault="003A7819">
      <w:pPr>
        <w:jc w:val="left"/>
      </w:pPr>
      <w:r w:rsidRPr="00AD296E">
        <w:fldChar w:fldCharType="end"/>
      </w:r>
    </w:p>
    <w:p w14:paraId="2603BB57" w14:textId="4228E0E2" w:rsidR="00D060DF" w:rsidRPr="00D060DF" w:rsidRDefault="00D060DF" w:rsidP="00D060DF">
      <w:pPr>
        <w:pStyle w:val="Brezrazmikov"/>
        <w:spacing w:after="120" w:line="259" w:lineRule="auto"/>
        <w:jc w:val="both"/>
        <w:rPr>
          <w:rFonts w:ascii="Trebuchet MS" w:hAnsi="Trebuchet MS" w:cstheme="minorBidi"/>
          <w:b/>
          <w:color w:val="203B88"/>
          <w:sz w:val="32"/>
          <w:szCs w:val="32"/>
          <w:lang w:val="sl-SI"/>
        </w:rPr>
      </w:pPr>
      <w:r w:rsidRPr="00D060DF">
        <w:rPr>
          <w:rFonts w:ascii="Trebuchet MS" w:hAnsi="Trebuchet MS" w:cstheme="minorBidi"/>
          <w:b/>
          <w:color w:val="203B88"/>
          <w:sz w:val="32"/>
          <w:szCs w:val="32"/>
          <w:lang w:val="sl-SI"/>
        </w:rPr>
        <w:lastRenderedPageBreak/>
        <w:t>Seznam kratic</w:t>
      </w:r>
    </w:p>
    <w:p w14:paraId="73C265A2" w14:textId="77777777" w:rsidR="00995D2C" w:rsidRDefault="00995D2C" w:rsidP="00995D2C">
      <w:pPr>
        <w:spacing w:after="0"/>
      </w:pPr>
      <w:r w:rsidRPr="001F7CD8">
        <w:t xml:space="preserve">ARSO </w:t>
      </w:r>
      <w:r w:rsidRPr="001F7CD8">
        <w:tab/>
      </w:r>
      <w:r>
        <w:tab/>
      </w:r>
      <w:r w:rsidRPr="001F7CD8">
        <w:t>Agencija Republike Slovenije za okolje</w:t>
      </w:r>
    </w:p>
    <w:p w14:paraId="03C1F4C3" w14:textId="77777777" w:rsidR="00995D2C" w:rsidRPr="001F7CD8" w:rsidRDefault="00995D2C" w:rsidP="00995D2C">
      <w:pPr>
        <w:spacing w:after="0"/>
      </w:pPr>
      <w:r>
        <w:t xml:space="preserve">MOP </w:t>
      </w:r>
      <w:r>
        <w:tab/>
      </w:r>
      <w:r>
        <w:tab/>
        <w:t>Ministrstvo za okolje in prostor</w:t>
      </w:r>
    </w:p>
    <w:p w14:paraId="42D78886" w14:textId="77777777" w:rsidR="00995D2C" w:rsidRDefault="00995D2C" w:rsidP="00995D2C">
      <w:pPr>
        <w:spacing w:after="0"/>
      </w:pPr>
      <w:r>
        <w:t xml:space="preserve">RCP </w:t>
      </w:r>
      <w:r>
        <w:tab/>
      </w:r>
      <w:r>
        <w:tab/>
      </w:r>
      <w:proofErr w:type="spellStart"/>
      <w:r>
        <w:t>Representative</w:t>
      </w:r>
      <w:proofErr w:type="spellEnd"/>
      <w:r>
        <w:t xml:space="preserve"> </w:t>
      </w:r>
      <w:proofErr w:type="spellStart"/>
      <w:r>
        <w:t>Concentration</w:t>
      </w:r>
      <w:proofErr w:type="spellEnd"/>
      <w:r>
        <w:t xml:space="preserve"> </w:t>
      </w:r>
      <w:proofErr w:type="spellStart"/>
      <w:r>
        <w:t>Pathways</w:t>
      </w:r>
      <w:proofErr w:type="spellEnd"/>
      <w:r>
        <w:t xml:space="preserve"> – scenariji </w:t>
      </w:r>
      <w:r w:rsidRPr="005C0382">
        <w:t xml:space="preserve">značilnih potekov </w:t>
      </w:r>
    </w:p>
    <w:p w14:paraId="619D528C" w14:textId="77777777" w:rsidR="00995D2C" w:rsidRDefault="00995D2C" w:rsidP="00995D2C">
      <w:pPr>
        <w:spacing w:after="0"/>
        <w:ind w:left="708" w:firstLine="708"/>
      </w:pPr>
      <w:r w:rsidRPr="005C0382">
        <w:t>vsebnosti toplo</w:t>
      </w:r>
      <w:r w:rsidRPr="005C0382">
        <w:softHyphen/>
        <w:t xml:space="preserve">grednih plinov </w:t>
      </w:r>
    </w:p>
    <w:p w14:paraId="6B74A4D7" w14:textId="77777777" w:rsidR="00995D2C" w:rsidRDefault="00995D2C" w:rsidP="00995D2C">
      <w:pPr>
        <w:spacing w:after="0"/>
      </w:pPr>
      <w:r>
        <w:t xml:space="preserve">SI STAT </w:t>
      </w:r>
      <w:r>
        <w:tab/>
        <w:t>Statistični urad Republike Slovenije</w:t>
      </w:r>
    </w:p>
    <w:p w14:paraId="74E4C017" w14:textId="77777777" w:rsidR="00995D2C" w:rsidRPr="001F7CD8" w:rsidRDefault="00995D2C" w:rsidP="00995D2C">
      <w:pPr>
        <w:spacing w:after="0"/>
      </w:pPr>
      <w:r>
        <w:t>CO</w:t>
      </w:r>
      <w:r w:rsidRPr="00B16A34">
        <w:rPr>
          <w:vertAlign w:val="subscript"/>
        </w:rPr>
        <w:t>2</w:t>
      </w:r>
      <w:r w:rsidRPr="001F7CD8">
        <w:t xml:space="preserve"> </w:t>
      </w:r>
      <w:r w:rsidRPr="001F7CD8">
        <w:tab/>
      </w:r>
      <w:r>
        <w:tab/>
        <w:t>ogljikov dioksid</w:t>
      </w:r>
    </w:p>
    <w:p w14:paraId="06AA3974" w14:textId="77777777" w:rsidR="00995D2C" w:rsidRDefault="00995D2C" w:rsidP="00995D2C">
      <w:pPr>
        <w:spacing w:after="0"/>
      </w:pPr>
      <w:r>
        <w:t>CH</w:t>
      </w:r>
      <w:r w:rsidRPr="00B16A34">
        <w:rPr>
          <w:vertAlign w:val="subscript"/>
        </w:rPr>
        <w:t>4</w:t>
      </w:r>
      <w:r w:rsidRPr="001F7CD8">
        <w:t xml:space="preserve"> </w:t>
      </w:r>
      <w:r w:rsidRPr="001F7CD8">
        <w:tab/>
      </w:r>
      <w:r>
        <w:tab/>
        <w:t>metan</w:t>
      </w:r>
    </w:p>
    <w:p w14:paraId="4B6ADDCC" w14:textId="77777777" w:rsidR="00995D2C" w:rsidRPr="001F7CD8" w:rsidRDefault="00995D2C" w:rsidP="00995D2C">
      <w:pPr>
        <w:spacing w:after="0"/>
      </w:pPr>
      <w:r>
        <w:t>N</w:t>
      </w:r>
      <w:r w:rsidRPr="00B16A34">
        <w:rPr>
          <w:vertAlign w:val="subscript"/>
        </w:rPr>
        <w:t>2</w:t>
      </w:r>
      <w:r>
        <w:t xml:space="preserve">O </w:t>
      </w:r>
      <w:r>
        <w:tab/>
      </w:r>
      <w:r>
        <w:tab/>
        <w:t>dušikov oksid</w:t>
      </w:r>
    </w:p>
    <w:p w14:paraId="6509EC93" w14:textId="77777777" w:rsidR="00D060DF" w:rsidRDefault="00D060DF">
      <w:pPr>
        <w:jc w:val="left"/>
      </w:pPr>
    </w:p>
    <w:p w14:paraId="183BBD69" w14:textId="77777777" w:rsidR="00305F30" w:rsidRDefault="00305F30">
      <w:pPr>
        <w:jc w:val="left"/>
      </w:pPr>
      <w:r>
        <w:br w:type="page"/>
      </w:r>
    </w:p>
    <w:p w14:paraId="23982FC9" w14:textId="77777777" w:rsidR="003A7819" w:rsidRDefault="003A7819">
      <w:pPr>
        <w:jc w:val="left"/>
        <w:sectPr w:rsidR="003A7819" w:rsidSect="003A7819">
          <w:headerReference w:type="default" r:id="rId20"/>
          <w:footerReference w:type="default" r:id="rId21"/>
          <w:pgSz w:w="11906" w:h="16838"/>
          <w:pgMar w:top="2410" w:right="1134" w:bottom="1418" w:left="1134" w:header="709" w:footer="709" w:gutter="0"/>
          <w:pgNumType w:fmt="upperRoman" w:start="1"/>
          <w:cols w:space="708"/>
          <w:docGrid w:linePitch="299"/>
        </w:sectPr>
      </w:pPr>
    </w:p>
    <w:p w14:paraId="13FE6F81" w14:textId="38702034" w:rsidR="00FC7B8E" w:rsidRDefault="00FC7B8E" w:rsidP="006B7E34">
      <w:pPr>
        <w:pStyle w:val="Naslov1"/>
      </w:pPr>
      <w:bookmarkStart w:id="1" w:name="_Toc97026718"/>
      <w:r w:rsidRPr="00B14994">
        <w:lastRenderedPageBreak/>
        <w:t>Povzetek poročila</w:t>
      </w:r>
      <w:bookmarkEnd w:id="1"/>
    </w:p>
    <w:p w14:paraId="7867F840" w14:textId="77777777" w:rsidR="00995D2C" w:rsidRPr="00E87FAD" w:rsidRDefault="00995D2C" w:rsidP="00995D2C">
      <w:bookmarkStart w:id="2" w:name="_Hlk41559672"/>
      <w:r w:rsidRPr="00722220">
        <w:t>Mestna občina Nova Gorica</w:t>
      </w:r>
      <w:r w:rsidRPr="00E87FAD">
        <w:t xml:space="preserve"> je usmerjena v trajnostni in sonaravni razvoj ter varstvo okolja, zato se je odločila, da v okviru »Konvencije županov za podnebne spremembe in energijo«  pripravi “Akcijski načrt za trajnostno energijo in podnebne spremembe”. Podlaga za Akcijski načrt sta Osnovna evidenca emisij za analizo rabe energije ter Analiza tveganja in ranljivosti na podnebne spremembe, v slednji je ločeno obravnavnih šest sektorjev</w:t>
      </w:r>
      <w:r w:rsidRPr="00E87FAD">
        <w:rPr>
          <w:b/>
          <w:bCs/>
        </w:rPr>
        <w:t>: vodni viri, poplavna varnost, kmetijstvo, gozdarstvo, zdravstvo in turizem</w:t>
      </w:r>
      <w:r w:rsidRPr="00E87FAD">
        <w:t xml:space="preserve">, ki so bili prepoznani kot sektorji z največjim vplivom podnebnih sprememb. </w:t>
      </w:r>
    </w:p>
    <w:p w14:paraId="7721D802" w14:textId="77777777" w:rsidR="00FC3CA1" w:rsidRPr="00E87FAD" w:rsidRDefault="00FC3CA1" w:rsidP="006D5793"/>
    <w:p w14:paraId="359F1566" w14:textId="77777777" w:rsidR="00B849B5" w:rsidRPr="00BE00BE" w:rsidRDefault="00B849B5" w:rsidP="00CE43D7">
      <w:pPr>
        <w:pStyle w:val="Naslov2"/>
      </w:pPr>
      <w:bookmarkStart w:id="3" w:name="_Toc97026719"/>
      <w:bookmarkEnd w:id="2"/>
      <w:r w:rsidRPr="00BE00BE">
        <w:t>Scenariji in kazalniki okolja</w:t>
      </w:r>
      <w:bookmarkEnd w:id="3"/>
    </w:p>
    <w:p w14:paraId="51231B63" w14:textId="12300BDA" w:rsidR="00995D2C" w:rsidRPr="00722220" w:rsidRDefault="00995D2C" w:rsidP="00995D2C">
      <w:bookmarkStart w:id="4" w:name="_Toc39748814"/>
      <w:r w:rsidRPr="00722220">
        <w:t>V analizo ocene ranljivosti in tveganj je vključena analiza trenutnega stanja podnebja (analiza referenčnega obdobja 1981—2010) ter analiza pričakovanega stanja posameznih podnebnih spremenljivk (analiza podnebnih scenarijev RCP4.5 in RCP8.5 za obdobji 2011—2040</w:t>
      </w:r>
      <w:r>
        <w:t xml:space="preserve"> </w:t>
      </w:r>
      <w:r w:rsidRPr="00722220">
        <w:t xml:space="preserve">in 2041—2070). Ocena podnebnih sprememb za oba scenarija temelji na analizi simulacij regionalnih podnebnih modelov v ločljivosti 12 km. V analizi klimatskih podatkov so uporabljeni modelski podatki s korekcijami, pripravljeni s strani Agencije Republike Slovenije za okolje (ARSO). Rezultati analize podatkov so povzeti v spodnji </w:t>
      </w:r>
      <w:proofErr w:type="spellStart"/>
      <w:r w:rsidR="004D2955">
        <w:t>preglednci</w:t>
      </w:r>
      <w:proofErr w:type="spellEnd"/>
      <w:r w:rsidRPr="00722220">
        <w:t xml:space="preserve"> kot povprečne vrednosti posameznih podnebnih spremenljivk ter kratko obrazloženi v nadaljevanju s kazalniki stanja okolja za območje občine (več v Poglavju 4).</w:t>
      </w:r>
    </w:p>
    <w:p w14:paraId="7D62B76E" w14:textId="3C906DB6" w:rsidR="00995D2C" w:rsidRDefault="00995D2C" w:rsidP="00995D2C">
      <w:pPr>
        <w:pStyle w:val="Napis"/>
        <w:keepNext/>
      </w:pPr>
      <w:bookmarkStart w:id="5" w:name="_Toc97026943"/>
      <w:r>
        <w:t xml:space="preserve">Preglednica </w:t>
      </w:r>
      <w:r w:rsidR="00976D80">
        <w:fldChar w:fldCharType="begin"/>
      </w:r>
      <w:r w:rsidR="00976D80">
        <w:instrText xml:space="preserve"> STYLEREF 1 \s </w:instrText>
      </w:r>
      <w:r w:rsidR="00976D80">
        <w:fldChar w:fldCharType="separate"/>
      </w:r>
      <w:r w:rsidR="00976D80">
        <w:rPr>
          <w:noProof/>
        </w:rPr>
        <w:t>1</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1</w:t>
      </w:r>
      <w:r w:rsidR="00976D80">
        <w:fldChar w:fldCharType="end"/>
      </w:r>
      <w:r w:rsidRPr="00E07C82">
        <w:t>: Rezultati analize podatkov podnebnih spremenljivk</w:t>
      </w:r>
      <w:bookmarkEnd w:id="5"/>
    </w:p>
    <w:tbl>
      <w:tblPr>
        <w:tblStyle w:val="Tabelamrea"/>
        <w:tblW w:w="9065" w:type="dxa"/>
        <w:tblLayout w:type="fixed"/>
        <w:tblLook w:val="04A0" w:firstRow="1" w:lastRow="0" w:firstColumn="1" w:lastColumn="0" w:noHBand="0" w:noVBand="1"/>
      </w:tblPr>
      <w:tblGrid>
        <w:gridCol w:w="2263"/>
        <w:gridCol w:w="1701"/>
        <w:gridCol w:w="1227"/>
        <w:gridCol w:w="49"/>
        <w:gridCol w:w="1241"/>
        <w:gridCol w:w="35"/>
        <w:gridCol w:w="1255"/>
        <w:gridCol w:w="21"/>
        <w:gridCol w:w="1273"/>
      </w:tblGrid>
      <w:tr w:rsidR="00995D2C" w:rsidRPr="00722220" w14:paraId="4AE884C4" w14:textId="77777777" w:rsidTr="00995D2C">
        <w:trPr>
          <w:trHeight w:val="288"/>
        </w:trPr>
        <w:tc>
          <w:tcPr>
            <w:tcW w:w="2263" w:type="dxa"/>
            <w:shd w:val="clear" w:color="auto" w:fill="D9D9D9" w:themeFill="background1" w:themeFillShade="D9"/>
            <w:vAlign w:val="center"/>
            <w:hideMark/>
          </w:tcPr>
          <w:p w14:paraId="54183D7E" w14:textId="77777777" w:rsidR="00995D2C" w:rsidRPr="003D184A" w:rsidRDefault="00995D2C" w:rsidP="00995D2C">
            <w:pPr>
              <w:rPr>
                <w:b/>
                <w:bCs/>
              </w:rPr>
            </w:pPr>
            <w:r w:rsidRPr="003D184A">
              <w:rPr>
                <w:b/>
                <w:bCs/>
              </w:rPr>
              <w:t> </w:t>
            </w:r>
          </w:p>
        </w:tc>
        <w:tc>
          <w:tcPr>
            <w:tcW w:w="1701" w:type="dxa"/>
            <w:vMerge w:val="restart"/>
            <w:shd w:val="clear" w:color="auto" w:fill="D9D9D9" w:themeFill="background1" w:themeFillShade="D9"/>
            <w:vAlign w:val="center"/>
            <w:hideMark/>
          </w:tcPr>
          <w:p w14:paraId="40FBDC85" w14:textId="77777777" w:rsidR="00995D2C" w:rsidRPr="00722220" w:rsidRDefault="00995D2C" w:rsidP="00995D2C">
            <w:pPr>
              <w:jc w:val="center"/>
              <w:rPr>
                <w:b/>
                <w:bCs/>
              </w:rPr>
            </w:pPr>
            <w:r w:rsidRPr="00722220">
              <w:rPr>
                <w:b/>
                <w:bCs/>
              </w:rPr>
              <w:t>Trenutno stanje -</w:t>
            </w:r>
          </w:p>
          <w:p w14:paraId="1947BAAD" w14:textId="77777777" w:rsidR="00995D2C" w:rsidRPr="00722220" w:rsidRDefault="00995D2C" w:rsidP="00995D2C">
            <w:pPr>
              <w:jc w:val="center"/>
              <w:rPr>
                <w:b/>
                <w:bCs/>
              </w:rPr>
            </w:pPr>
            <w:r w:rsidRPr="00722220">
              <w:rPr>
                <w:b/>
                <w:bCs/>
              </w:rPr>
              <w:t>referenčno obdobje 1981-2010</w:t>
            </w:r>
          </w:p>
        </w:tc>
        <w:tc>
          <w:tcPr>
            <w:tcW w:w="5101" w:type="dxa"/>
            <w:gridSpan w:val="7"/>
            <w:shd w:val="clear" w:color="auto" w:fill="D9D9D9" w:themeFill="background1" w:themeFillShade="D9"/>
            <w:vAlign w:val="center"/>
            <w:hideMark/>
          </w:tcPr>
          <w:p w14:paraId="6FD148F3" w14:textId="77777777" w:rsidR="00995D2C" w:rsidRPr="00722220" w:rsidRDefault="00995D2C" w:rsidP="00995D2C">
            <w:pPr>
              <w:jc w:val="center"/>
              <w:rPr>
                <w:b/>
                <w:bCs/>
              </w:rPr>
            </w:pPr>
            <w:r w:rsidRPr="00722220">
              <w:rPr>
                <w:b/>
                <w:bCs/>
              </w:rPr>
              <w:t>Sprememba kazalnika v obdobju projekcije glede na referenčno obdobje 1981-2010</w:t>
            </w:r>
          </w:p>
        </w:tc>
      </w:tr>
      <w:tr w:rsidR="00995D2C" w:rsidRPr="00722220" w14:paraId="0BBE1100" w14:textId="77777777" w:rsidTr="00995D2C">
        <w:trPr>
          <w:trHeight w:val="288"/>
        </w:trPr>
        <w:tc>
          <w:tcPr>
            <w:tcW w:w="2263" w:type="dxa"/>
            <w:shd w:val="clear" w:color="auto" w:fill="D9D9D9" w:themeFill="background1" w:themeFillShade="D9"/>
            <w:vAlign w:val="center"/>
            <w:hideMark/>
          </w:tcPr>
          <w:p w14:paraId="553A4205" w14:textId="77777777" w:rsidR="00995D2C" w:rsidRPr="003D184A" w:rsidRDefault="00995D2C" w:rsidP="00995D2C">
            <w:pPr>
              <w:rPr>
                <w:b/>
                <w:bCs/>
              </w:rPr>
            </w:pPr>
            <w:r w:rsidRPr="003D184A">
              <w:rPr>
                <w:b/>
                <w:bCs/>
              </w:rPr>
              <w:t> Projekcije</w:t>
            </w:r>
          </w:p>
        </w:tc>
        <w:tc>
          <w:tcPr>
            <w:tcW w:w="1701" w:type="dxa"/>
            <w:vMerge/>
            <w:shd w:val="clear" w:color="auto" w:fill="D9D9D9" w:themeFill="background1" w:themeFillShade="D9"/>
            <w:vAlign w:val="center"/>
            <w:hideMark/>
          </w:tcPr>
          <w:p w14:paraId="3703AC75" w14:textId="77777777" w:rsidR="00995D2C" w:rsidRPr="00722220" w:rsidRDefault="00995D2C" w:rsidP="00995D2C">
            <w:pPr>
              <w:jc w:val="center"/>
              <w:rPr>
                <w:b/>
                <w:bCs/>
              </w:rPr>
            </w:pPr>
          </w:p>
        </w:tc>
        <w:tc>
          <w:tcPr>
            <w:tcW w:w="2552" w:type="dxa"/>
            <w:gridSpan w:val="4"/>
            <w:shd w:val="clear" w:color="auto" w:fill="D9D9D9" w:themeFill="background1" w:themeFillShade="D9"/>
            <w:noWrap/>
            <w:vAlign w:val="center"/>
            <w:hideMark/>
          </w:tcPr>
          <w:p w14:paraId="22FBDAE6" w14:textId="77777777" w:rsidR="00995D2C" w:rsidRPr="00722220" w:rsidRDefault="00995D2C" w:rsidP="00995D2C">
            <w:pPr>
              <w:jc w:val="center"/>
            </w:pPr>
            <w:r w:rsidRPr="00722220">
              <w:t>RCP4.5</w:t>
            </w:r>
          </w:p>
        </w:tc>
        <w:tc>
          <w:tcPr>
            <w:tcW w:w="2549" w:type="dxa"/>
            <w:gridSpan w:val="3"/>
            <w:shd w:val="clear" w:color="auto" w:fill="D9D9D9" w:themeFill="background1" w:themeFillShade="D9"/>
            <w:noWrap/>
            <w:vAlign w:val="center"/>
            <w:hideMark/>
          </w:tcPr>
          <w:p w14:paraId="33096D97" w14:textId="77777777" w:rsidR="00995D2C" w:rsidRPr="00722220" w:rsidRDefault="00995D2C" w:rsidP="00995D2C">
            <w:pPr>
              <w:jc w:val="center"/>
            </w:pPr>
            <w:r w:rsidRPr="00722220">
              <w:t>RCP8.5</w:t>
            </w:r>
          </w:p>
        </w:tc>
      </w:tr>
      <w:tr w:rsidR="00995D2C" w:rsidRPr="00722220" w14:paraId="2B0506A6" w14:textId="77777777" w:rsidTr="00995D2C">
        <w:trPr>
          <w:trHeight w:val="479"/>
        </w:trPr>
        <w:tc>
          <w:tcPr>
            <w:tcW w:w="2263" w:type="dxa"/>
            <w:shd w:val="clear" w:color="auto" w:fill="D9D9D9" w:themeFill="background1" w:themeFillShade="D9"/>
            <w:vAlign w:val="center"/>
            <w:hideMark/>
          </w:tcPr>
          <w:p w14:paraId="159EE9FF" w14:textId="77777777" w:rsidR="00995D2C" w:rsidRPr="003D184A" w:rsidRDefault="00995D2C" w:rsidP="00995D2C">
            <w:pPr>
              <w:rPr>
                <w:b/>
                <w:bCs/>
              </w:rPr>
            </w:pPr>
            <w:r w:rsidRPr="003D184A">
              <w:rPr>
                <w:b/>
                <w:bCs/>
              </w:rPr>
              <w:t xml:space="preserve">Obdobje </w:t>
            </w:r>
          </w:p>
          <w:p w14:paraId="0C838992" w14:textId="77777777" w:rsidR="00995D2C" w:rsidRPr="003D184A" w:rsidRDefault="00995D2C" w:rsidP="00995D2C">
            <w:pPr>
              <w:rPr>
                <w:b/>
                <w:bCs/>
              </w:rPr>
            </w:pPr>
            <w:r w:rsidRPr="003D184A">
              <w:rPr>
                <w:b/>
                <w:bCs/>
              </w:rPr>
              <w:t>/ kazalnik</w:t>
            </w:r>
          </w:p>
        </w:tc>
        <w:tc>
          <w:tcPr>
            <w:tcW w:w="1701" w:type="dxa"/>
            <w:vMerge/>
            <w:shd w:val="clear" w:color="auto" w:fill="D9D9D9" w:themeFill="background1" w:themeFillShade="D9"/>
            <w:vAlign w:val="center"/>
            <w:hideMark/>
          </w:tcPr>
          <w:p w14:paraId="2D4166C7" w14:textId="77777777" w:rsidR="00995D2C" w:rsidRPr="00722220" w:rsidRDefault="00995D2C" w:rsidP="00995D2C">
            <w:pPr>
              <w:jc w:val="center"/>
              <w:rPr>
                <w:b/>
                <w:bCs/>
              </w:rPr>
            </w:pPr>
          </w:p>
        </w:tc>
        <w:tc>
          <w:tcPr>
            <w:tcW w:w="1276" w:type="dxa"/>
            <w:gridSpan w:val="2"/>
            <w:shd w:val="clear" w:color="auto" w:fill="D9D9D9" w:themeFill="background1" w:themeFillShade="D9"/>
            <w:noWrap/>
            <w:vAlign w:val="center"/>
            <w:hideMark/>
          </w:tcPr>
          <w:p w14:paraId="4110B7BC" w14:textId="77777777" w:rsidR="00995D2C" w:rsidRPr="00722220" w:rsidRDefault="00995D2C" w:rsidP="00995D2C">
            <w:pPr>
              <w:jc w:val="center"/>
            </w:pPr>
            <w:r w:rsidRPr="00722220">
              <w:t>2011-2040</w:t>
            </w:r>
          </w:p>
        </w:tc>
        <w:tc>
          <w:tcPr>
            <w:tcW w:w="1276" w:type="dxa"/>
            <w:gridSpan w:val="2"/>
            <w:shd w:val="clear" w:color="auto" w:fill="D9D9D9" w:themeFill="background1" w:themeFillShade="D9"/>
            <w:noWrap/>
            <w:vAlign w:val="center"/>
            <w:hideMark/>
          </w:tcPr>
          <w:p w14:paraId="3965802A" w14:textId="77777777" w:rsidR="00995D2C" w:rsidRPr="00722220" w:rsidRDefault="00995D2C" w:rsidP="00995D2C">
            <w:pPr>
              <w:jc w:val="center"/>
            </w:pPr>
            <w:r w:rsidRPr="00722220">
              <w:t>2041-2070</w:t>
            </w:r>
          </w:p>
        </w:tc>
        <w:tc>
          <w:tcPr>
            <w:tcW w:w="1276" w:type="dxa"/>
            <w:gridSpan w:val="2"/>
            <w:shd w:val="clear" w:color="auto" w:fill="D9D9D9" w:themeFill="background1" w:themeFillShade="D9"/>
            <w:noWrap/>
            <w:vAlign w:val="center"/>
            <w:hideMark/>
          </w:tcPr>
          <w:p w14:paraId="05F28F12" w14:textId="77777777" w:rsidR="00995D2C" w:rsidRPr="00722220" w:rsidRDefault="00995D2C" w:rsidP="00995D2C">
            <w:pPr>
              <w:jc w:val="center"/>
            </w:pPr>
            <w:r w:rsidRPr="00722220">
              <w:t>2011-2040</w:t>
            </w:r>
          </w:p>
        </w:tc>
        <w:tc>
          <w:tcPr>
            <w:tcW w:w="1273" w:type="dxa"/>
            <w:shd w:val="clear" w:color="auto" w:fill="D9D9D9" w:themeFill="background1" w:themeFillShade="D9"/>
            <w:noWrap/>
            <w:vAlign w:val="center"/>
            <w:hideMark/>
          </w:tcPr>
          <w:p w14:paraId="456767C7" w14:textId="77777777" w:rsidR="00995D2C" w:rsidRPr="00722220" w:rsidRDefault="00995D2C" w:rsidP="00995D2C">
            <w:pPr>
              <w:jc w:val="center"/>
            </w:pPr>
            <w:r w:rsidRPr="00722220">
              <w:t>2041-2070</w:t>
            </w:r>
          </w:p>
        </w:tc>
      </w:tr>
      <w:tr w:rsidR="00995D2C" w:rsidRPr="003D184A" w14:paraId="7BA6CDA1" w14:textId="77777777" w:rsidTr="00995D2C">
        <w:trPr>
          <w:trHeight w:val="288"/>
        </w:trPr>
        <w:tc>
          <w:tcPr>
            <w:tcW w:w="2263" w:type="dxa"/>
            <w:noWrap/>
            <w:vAlign w:val="center"/>
            <w:hideMark/>
          </w:tcPr>
          <w:p w14:paraId="7ADCE179" w14:textId="77777777" w:rsidR="00995D2C" w:rsidRPr="003D184A" w:rsidRDefault="00995D2C" w:rsidP="00995D2C">
            <w:r w:rsidRPr="003D184A">
              <w:t>Povprečna temperatura zraka</w:t>
            </w:r>
          </w:p>
        </w:tc>
        <w:tc>
          <w:tcPr>
            <w:tcW w:w="1701" w:type="dxa"/>
            <w:noWrap/>
            <w:vAlign w:val="center"/>
            <w:hideMark/>
          </w:tcPr>
          <w:p w14:paraId="06C2D0A1" w14:textId="77777777" w:rsidR="00995D2C" w:rsidRPr="003D184A" w:rsidRDefault="00995D2C" w:rsidP="00995D2C">
            <w:pPr>
              <w:jc w:val="center"/>
            </w:pPr>
            <w:r w:rsidRPr="003D184A">
              <w:t>10,4 °C</w:t>
            </w:r>
          </w:p>
        </w:tc>
        <w:tc>
          <w:tcPr>
            <w:tcW w:w="1276" w:type="dxa"/>
            <w:gridSpan w:val="2"/>
            <w:vAlign w:val="center"/>
            <w:hideMark/>
          </w:tcPr>
          <w:p w14:paraId="7ACA52BA" w14:textId="77777777" w:rsidR="00995D2C" w:rsidRPr="003D184A" w:rsidRDefault="00995D2C" w:rsidP="00995D2C">
            <w:pPr>
              <w:jc w:val="center"/>
            </w:pPr>
            <w:r w:rsidRPr="003D184A">
              <w:t>+ 0,8 °C</w:t>
            </w:r>
          </w:p>
        </w:tc>
        <w:tc>
          <w:tcPr>
            <w:tcW w:w="1276" w:type="dxa"/>
            <w:gridSpan w:val="2"/>
            <w:vAlign w:val="center"/>
            <w:hideMark/>
          </w:tcPr>
          <w:p w14:paraId="3ED4AA26" w14:textId="77777777" w:rsidR="00995D2C" w:rsidRPr="003D184A" w:rsidRDefault="00995D2C" w:rsidP="00995D2C">
            <w:pPr>
              <w:jc w:val="center"/>
            </w:pPr>
            <w:r w:rsidRPr="003D184A">
              <w:t>+ 1,4°C</w:t>
            </w:r>
          </w:p>
        </w:tc>
        <w:tc>
          <w:tcPr>
            <w:tcW w:w="1276" w:type="dxa"/>
            <w:gridSpan w:val="2"/>
            <w:vAlign w:val="center"/>
            <w:hideMark/>
          </w:tcPr>
          <w:p w14:paraId="7F9041F4" w14:textId="77777777" w:rsidR="00995D2C" w:rsidRPr="003D184A" w:rsidRDefault="00995D2C" w:rsidP="00995D2C">
            <w:pPr>
              <w:jc w:val="center"/>
            </w:pPr>
            <w:r w:rsidRPr="003D184A">
              <w:t>+ 0,8°C</w:t>
            </w:r>
          </w:p>
        </w:tc>
        <w:tc>
          <w:tcPr>
            <w:tcW w:w="1273" w:type="dxa"/>
            <w:vAlign w:val="center"/>
            <w:hideMark/>
          </w:tcPr>
          <w:p w14:paraId="5C3F18C9" w14:textId="77777777" w:rsidR="00995D2C" w:rsidRPr="003D184A" w:rsidRDefault="00995D2C" w:rsidP="00995D2C">
            <w:pPr>
              <w:jc w:val="center"/>
            </w:pPr>
            <w:r w:rsidRPr="003D184A">
              <w:t>+ 1,9°C</w:t>
            </w:r>
          </w:p>
        </w:tc>
      </w:tr>
      <w:tr w:rsidR="00995D2C" w:rsidRPr="003D184A" w14:paraId="378E8DA2" w14:textId="77777777" w:rsidTr="00995D2C">
        <w:trPr>
          <w:trHeight w:val="576"/>
        </w:trPr>
        <w:tc>
          <w:tcPr>
            <w:tcW w:w="2263" w:type="dxa"/>
            <w:vAlign w:val="center"/>
            <w:hideMark/>
          </w:tcPr>
          <w:p w14:paraId="492B87EF" w14:textId="77777777" w:rsidR="00995D2C" w:rsidRPr="003D184A" w:rsidRDefault="00995D2C" w:rsidP="00995D2C">
            <w:r w:rsidRPr="003D184A">
              <w:t xml:space="preserve">Dnevne najvišje in najnižje temperature </w:t>
            </w:r>
          </w:p>
        </w:tc>
        <w:tc>
          <w:tcPr>
            <w:tcW w:w="1701" w:type="dxa"/>
            <w:noWrap/>
            <w:vAlign w:val="center"/>
            <w:hideMark/>
          </w:tcPr>
          <w:p w14:paraId="260AABC6" w14:textId="77777777" w:rsidR="00995D2C" w:rsidRPr="003D184A" w:rsidRDefault="00995D2C" w:rsidP="00995D2C">
            <w:pPr>
              <w:jc w:val="center"/>
            </w:pPr>
            <w:r w:rsidRPr="003D184A">
              <w:t>15,6 °C</w:t>
            </w:r>
          </w:p>
          <w:p w14:paraId="026C9D81" w14:textId="77777777" w:rsidR="00995D2C" w:rsidRPr="003D184A" w:rsidRDefault="00995D2C" w:rsidP="00995D2C">
            <w:pPr>
              <w:jc w:val="center"/>
            </w:pPr>
            <w:r w:rsidRPr="003D184A">
              <w:t>6,0 °C</w:t>
            </w:r>
          </w:p>
        </w:tc>
        <w:tc>
          <w:tcPr>
            <w:tcW w:w="1276" w:type="dxa"/>
            <w:gridSpan w:val="2"/>
            <w:vAlign w:val="center"/>
            <w:hideMark/>
          </w:tcPr>
          <w:p w14:paraId="1BE317C9" w14:textId="77777777" w:rsidR="00995D2C" w:rsidRPr="003D184A" w:rsidRDefault="00995D2C" w:rsidP="00995D2C">
            <w:pPr>
              <w:jc w:val="center"/>
            </w:pPr>
            <w:r w:rsidRPr="003D184A">
              <w:t>+ 0,8°C</w:t>
            </w:r>
          </w:p>
        </w:tc>
        <w:tc>
          <w:tcPr>
            <w:tcW w:w="1276" w:type="dxa"/>
            <w:gridSpan w:val="2"/>
            <w:vAlign w:val="center"/>
            <w:hideMark/>
          </w:tcPr>
          <w:p w14:paraId="72143D28" w14:textId="77777777" w:rsidR="00995D2C" w:rsidRPr="003D184A" w:rsidRDefault="00995D2C" w:rsidP="00995D2C">
            <w:pPr>
              <w:jc w:val="center"/>
            </w:pPr>
            <w:r w:rsidRPr="003D184A">
              <w:t>+ 1,4°C</w:t>
            </w:r>
          </w:p>
        </w:tc>
        <w:tc>
          <w:tcPr>
            <w:tcW w:w="1276" w:type="dxa"/>
            <w:gridSpan w:val="2"/>
            <w:vAlign w:val="center"/>
            <w:hideMark/>
          </w:tcPr>
          <w:p w14:paraId="0D7B0EC9" w14:textId="77777777" w:rsidR="00995D2C" w:rsidRPr="003D184A" w:rsidRDefault="00995D2C" w:rsidP="00995D2C">
            <w:pPr>
              <w:jc w:val="center"/>
            </w:pPr>
            <w:r w:rsidRPr="003D184A">
              <w:t>+ 0,8°C</w:t>
            </w:r>
          </w:p>
        </w:tc>
        <w:tc>
          <w:tcPr>
            <w:tcW w:w="1273" w:type="dxa"/>
            <w:vAlign w:val="center"/>
            <w:hideMark/>
          </w:tcPr>
          <w:p w14:paraId="44F2F42F" w14:textId="77777777" w:rsidR="00995D2C" w:rsidRPr="003D184A" w:rsidRDefault="00995D2C" w:rsidP="00995D2C">
            <w:pPr>
              <w:jc w:val="center"/>
            </w:pPr>
            <w:r w:rsidRPr="003D184A">
              <w:t>+ 1,9°C</w:t>
            </w:r>
          </w:p>
        </w:tc>
      </w:tr>
      <w:tr w:rsidR="00995D2C" w:rsidRPr="003D184A" w14:paraId="4CC00CA0" w14:textId="77777777" w:rsidTr="00995D2C">
        <w:trPr>
          <w:trHeight w:val="288"/>
        </w:trPr>
        <w:tc>
          <w:tcPr>
            <w:tcW w:w="2263" w:type="dxa"/>
            <w:noWrap/>
            <w:vAlign w:val="center"/>
            <w:hideMark/>
          </w:tcPr>
          <w:p w14:paraId="72DC6288" w14:textId="77777777" w:rsidR="00995D2C" w:rsidRPr="003D184A" w:rsidRDefault="00995D2C" w:rsidP="00995D2C">
            <w:r w:rsidRPr="003D184A">
              <w:t>Kazalnik vročine EHF pozitiven</w:t>
            </w:r>
          </w:p>
        </w:tc>
        <w:tc>
          <w:tcPr>
            <w:tcW w:w="1701" w:type="dxa"/>
            <w:noWrap/>
            <w:vAlign w:val="center"/>
            <w:hideMark/>
          </w:tcPr>
          <w:p w14:paraId="0BBCDDB7" w14:textId="77777777" w:rsidR="00995D2C" w:rsidRPr="003D184A" w:rsidRDefault="00995D2C" w:rsidP="00995D2C">
            <w:pPr>
              <w:jc w:val="center"/>
            </w:pPr>
            <w:r w:rsidRPr="003D184A">
              <w:t>16 dni/leto</w:t>
            </w:r>
          </w:p>
        </w:tc>
        <w:tc>
          <w:tcPr>
            <w:tcW w:w="1276" w:type="dxa"/>
            <w:gridSpan w:val="2"/>
            <w:vAlign w:val="center"/>
            <w:hideMark/>
          </w:tcPr>
          <w:p w14:paraId="679274F1" w14:textId="77777777" w:rsidR="00995D2C" w:rsidRPr="003D184A" w:rsidRDefault="00995D2C" w:rsidP="00995D2C">
            <w:pPr>
              <w:jc w:val="center"/>
            </w:pPr>
            <w:r w:rsidRPr="003D184A">
              <w:t>+ 11 dni/leto</w:t>
            </w:r>
          </w:p>
        </w:tc>
        <w:tc>
          <w:tcPr>
            <w:tcW w:w="1276" w:type="dxa"/>
            <w:gridSpan w:val="2"/>
            <w:vAlign w:val="center"/>
            <w:hideMark/>
          </w:tcPr>
          <w:p w14:paraId="789D3BFB" w14:textId="77777777" w:rsidR="00995D2C" w:rsidRPr="003D184A" w:rsidRDefault="00995D2C" w:rsidP="00995D2C">
            <w:pPr>
              <w:jc w:val="center"/>
            </w:pPr>
            <w:r w:rsidRPr="003D184A">
              <w:t>+ 24 dni/leto</w:t>
            </w:r>
          </w:p>
        </w:tc>
        <w:tc>
          <w:tcPr>
            <w:tcW w:w="1276" w:type="dxa"/>
            <w:gridSpan w:val="2"/>
            <w:vAlign w:val="center"/>
            <w:hideMark/>
          </w:tcPr>
          <w:p w14:paraId="431304BE" w14:textId="77777777" w:rsidR="00995D2C" w:rsidRPr="003D184A" w:rsidRDefault="00995D2C" w:rsidP="00995D2C">
            <w:pPr>
              <w:jc w:val="center"/>
            </w:pPr>
            <w:r w:rsidRPr="003D184A">
              <w:t>+ 11 dni/leto</w:t>
            </w:r>
          </w:p>
        </w:tc>
        <w:tc>
          <w:tcPr>
            <w:tcW w:w="1273" w:type="dxa"/>
            <w:vAlign w:val="center"/>
            <w:hideMark/>
          </w:tcPr>
          <w:p w14:paraId="4BA9D0E7" w14:textId="77777777" w:rsidR="00995D2C" w:rsidRPr="003D184A" w:rsidRDefault="00995D2C" w:rsidP="00995D2C">
            <w:pPr>
              <w:jc w:val="center"/>
            </w:pPr>
            <w:r w:rsidRPr="003D184A">
              <w:t>+ 28 dni/leto</w:t>
            </w:r>
          </w:p>
        </w:tc>
      </w:tr>
      <w:tr w:rsidR="00995D2C" w:rsidRPr="003D184A" w14:paraId="7A9E9542" w14:textId="77777777" w:rsidTr="00995D2C">
        <w:trPr>
          <w:trHeight w:val="288"/>
        </w:trPr>
        <w:tc>
          <w:tcPr>
            <w:tcW w:w="2263" w:type="dxa"/>
            <w:noWrap/>
            <w:vAlign w:val="center"/>
            <w:hideMark/>
          </w:tcPr>
          <w:p w14:paraId="7EB146BD" w14:textId="77777777" w:rsidR="00995D2C" w:rsidRPr="003D184A" w:rsidRDefault="00995D2C" w:rsidP="00995D2C">
            <w:r w:rsidRPr="003D184A">
              <w:t xml:space="preserve">Jakost najhujšega vročinskega vala </w:t>
            </w:r>
          </w:p>
        </w:tc>
        <w:tc>
          <w:tcPr>
            <w:tcW w:w="1701" w:type="dxa"/>
            <w:noWrap/>
            <w:vAlign w:val="center"/>
            <w:hideMark/>
          </w:tcPr>
          <w:p w14:paraId="71F3C116" w14:textId="77777777" w:rsidR="00995D2C" w:rsidRPr="003D184A" w:rsidRDefault="00995D2C" w:rsidP="00995D2C">
            <w:pPr>
              <w:jc w:val="center"/>
            </w:pPr>
          </w:p>
        </w:tc>
        <w:tc>
          <w:tcPr>
            <w:tcW w:w="1276" w:type="dxa"/>
            <w:gridSpan w:val="2"/>
            <w:vAlign w:val="center"/>
            <w:hideMark/>
          </w:tcPr>
          <w:p w14:paraId="2F434FB8" w14:textId="77777777" w:rsidR="00995D2C" w:rsidRPr="003D184A" w:rsidRDefault="00995D2C" w:rsidP="00995D2C">
            <w:pPr>
              <w:jc w:val="center"/>
            </w:pPr>
            <w:r w:rsidRPr="003D184A">
              <w:t>nekoliko močnejši</w:t>
            </w:r>
          </w:p>
        </w:tc>
        <w:tc>
          <w:tcPr>
            <w:tcW w:w="1276" w:type="dxa"/>
            <w:gridSpan w:val="2"/>
            <w:vAlign w:val="center"/>
            <w:hideMark/>
          </w:tcPr>
          <w:p w14:paraId="445620E2" w14:textId="77777777" w:rsidR="00995D2C" w:rsidRPr="003D184A" w:rsidRDefault="00995D2C" w:rsidP="00995D2C">
            <w:pPr>
              <w:jc w:val="center"/>
            </w:pPr>
            <w:r w:rsidRPr="003D184A">
              <w:t>precej močnejši</w:t>
            </w:r>
          </w:p>
        </w:tc>
        <w:tc>
          <w:tcPr>
            <w:tcW w:w="1276" w:type="dxa"/>
            <w:gridSpan w:val="2"/>
            <w:vAlign w:val="center"/>
            <w:hideMark/>
          </w:tcPr>
          <w:p w14:paraId="37384C2D" w14:textId="77777777" w:rsidR="00995D2C" w:rsidRPr="003D184A" w:rsidRDefault="00995D2C" w:rsidP="00995D2C">
            <w:pPr>
              <w:jc w:val="center"/>
            </w:pPr>
            <w:r w:rsidRPr="003D184A">
              <w:t>nekoliko močnejši</w:t>
            </w:r>
          </w:p>
        </w:tc>
        <w:tc>
          <w:tcPr>
            <w:tcW w:w="1273" w:type="dxa"/>
            <w:vAlign w:val="center"/>
            <w:hideMark/>
          </w:tcPr>
          <w:p w14:paraId="05CF3E88" w14:textId="77777777" w:rsidR="00995D2C" w:rsidRPr="003D184A" w:rsidRDefault="00995D2C" w:rsidP="00995D2C">
            <w:pPr>
              <w:jc w:val="center"/>
            </w:pPr>
            <w:r w:rsidRPr="003D184A">
              <w:t>precej močnejši</w:t>
            </w:r>
          </w:p>
        </w:tc>
      </w:tr>
      <w:tr w:rsidR="00995D2C" w:rsidRPr="003D184A" w14:paraId="70349A13" w14:textId="77777777" w:rsidTr="00995D2C">
        <w:trPr>
          <w:trHeight w:val="288"/>
        </w:trPr>
        <w:tc>
          <w:tcPr>
            <w:tcW w:w="2263" w:type="dxa"/>
            <w:noWrap/>
            <w:vAlign w:val="center"/>
            <w:hideMark/>
          </w:tcPr>
          <w:p w14:paraId="30D10B79" w14:textId="77777777" w:rsidR="00995D2C" w:rsidRPr="003D184A" w:rsidRDefault="00995D2C" w:rsidP="00995D2C">
            <w:r w:rsidRPr="003D184A">
              <w:t>Število vročinskih valov</w:t>
            </w:r>
          </w:p>
        </w:tc>
        <w:tc>
          <w:tcPr>
            <w:tcW w:w="1701" w:type="dxa"/>
            <w:noWrap/>
            <w:vAlign w:val="center"/>
            <w:hideMark/>
          </w:tcPr>
          <w:p w14:paraId="5EB1FC98" w14:textId="77777777" w:rsidR="00995D2C" w:rsidRPr="003D184A" w:rsidRDefault="00995D2C" w:rsidP="00995D2C">
            <w:pPr>
              <w:jc w:val="center"/>
            </w:pPr>
            <w:r w:rsidRPr="003D184A">
              <w:t>4 valovi/ leto</w:t>
            </w:r>
          </w:p>
        </w:tc>
        <w:tc>
          <w:tcPr>
            <w:tcW w:w="1276" w:type="dxa"/>
            <w:gridSpan w:val="2"/>
            <w:vAlign w:val="center"/>
            <w:hideMark/>
          </w:tcPr>
          <w:p w14:paraId="6D3432AD" w14:textId="77777777" w:rsidR="00995D2C" w:rsidRPr="003D184A" w:rsidRDefault="00995D2C" w:rsidP="00995D2C">
            <w:pPr>
              <w:jc w:val="center"/>
            </w:pPr>
            <w:r w:rsidRPr="003D184A">
              <w:t>+ 1val/ leto</w:t>
            </w:r>
          </w:p>
        </w:tc>
        <w:tc>
          <w:tcPr>
            <w:tcW w:w="1276" w:type="dxa"/>
            <w:gridSpan w:val="2"/>
            <w:vAlign w:val="center"/>
            <w:hideMark/>
          </w:tcPr>
          <w:p w14:paraId="0689006D" w14:textId="77777777" w:rsidR="00995D2C" w:rsidRPr="003D184A" w:rsidRDefault="00995D2C" w:rsidP="00995D2C">
            <w:pPr>
              <w:jc w:val="center"/>
            </w:pPr>
            <w:r w:rsidRPr="003D184A">
              <w:t>+ 2 vala /leto</w:t>
            </w:r>
          </w:p>
        </w:tc>
        <w:tc>
          <w:tcPr>
            <w:tcW w:w="1276" w:type="dxa"/>
            <w:gridSpan w:val="2"/>
            <w:vAlign w:val="center"/>
            <w:hideMark/>
          </w:tcPr>
          <w:p w14:paraId="50E20686" w14:textId="77777777" w:rsidR="00995D2C" w:rsidRPr="003D184A" w:rsidRDefault="00995D2C" w:rsidP="00995D2C">
            <w:pPr>
              <w:jc w:val="center"/>
            </w:pPr>
            <w:r w:rsidRPr="003D184A">
              <w:t>+ 1 val</w:t>
            </w:r>
          </w:p>
          <w:p w14:paraId="0A2133FA" w14:textId="77777777" w:rsidR="00995D2C" w:rsidRPr="003D184A" w:rsidRDefault="00995D2C" w:rsidP="00995D2C">
            <w:pPr>
              <w:jc w:val="center"/>
            </w:pPr>
            <w:r w:rsidRPr="003D184A">
              <w:t>/leto</w:t>
            </w:r>
          </w:p>
        </w:tc>
        <w:tc>
          <w:tcPr>
            <w:tcW w:w="1273" w:type="dxa"/>
            <w:vAlign w:val="center"/>
            <w:hideMark/>
          </w:tcPr>
          <w:p w14:paraId="36D3A383" w14:textId="77777777" w:rsidR="00995D2C" w:rsidRPr="003D184A" w:rsidRDefault="00995D2C" w:rsidP="00995D2C">
            <w:pPr>
              <w:jc w:val="center"/>
            </w:pPr>
            <w:r w:rsidRPr="003D184A">
              <w:t xml:space="preserve">+ </w:t>
            </w:r>
            <w:r>
              <w:t>3</w:t>
            </w:r>
            <w:r w:rsidRPr="003D184A">
              <w:t xml:space="preserve"> val</w:t>
            </w:r>
            <w:r>
              <w:t>i</w:t>
            </w:r>
            <w:r w:rsidRPr="003D184A">
              <w:t xml:space="preserve"> /leto</w:t>
            </w:r>
          </w:p>
        </w:tc>
      </w:tr>
      <w:tr w:rsidR="00995D2C" w:rsidRPr="003D184A" w14:paraId="3F6B4C73" w14:textId="77777777" w:rsidTr="00995D2C">
        <w:trPr>
          <w:trHeight w:val="288"/>
        </w:trPr>
        <w:tc>
          <w:tcPr>
            <w:tcW w:w="2263" w:type="dxa"/>
            <w:noWrap/>
            <w:vAlign w:val="center"/>
            <w:hideMark/>
          </w:tcPr>
          <w:p w14:paraId="2D07C1AA" w14:textId="77777777" w:rsidR="00995D2C" w:rsidRPr="003D184A" w:rsidRDefault="00995D2C" w:rsidP="00995D2C">
            <w:r w:rsidRPr="003D184A">
              <w:t>Dolžina vročinskih valov</w:t>
            </w:r>
          </w:p>
        </w:tc>
        <w:tc>
          <w:tcPr>
            <w:tcW w:w="1701" w:type="dxa"/>
            <w:noWrap/>
            <w:vAlign w:val="center"/>
            <w:hideMark/>
          </w:tcPr>
          <w:p w14:paraId="1D9D6CDA" w14:textId="77777777" w:rsidR="00995D2C" w:rsidRPr="003D184A" w:rsidRDefault="00995D2C" w:rsidP="00995D2C">
            <w:pPr>
              <w:jc w:val="center"/>
            </w:pPr>
          </w:p>
        </w:tc>
        <w:tc>
          <w:tcPr>
            <w:tcW w:w="2552" w:type="dxa"/>
            <w:gridSpan w:val="4"/>
            <w:vAlign w:val="center"/>
            <w:hideMark/>
          </w:tcPr>
          <w:p w14:paraId="3B65B5B9" w14:textId="77777777" w:rsidR="00995D2C" w:rsidRPr="003D184A" w:rsidRDefault="00995D2C" w:rsidP="00995D2C">
            <w:pPr>
              <w:jc w:val="center"/>
            </w:pPr>
            <w:r w:rsidRPr="003D184A">
              <w:t>se bo podaljšala za     1 dan</w:t>
            </w:r>
          </w:p>
        </w:tc>
        <w:tc>
          <w:tcPr>
            <w:tcW w:w="2549" w:type="dxa"/>
            <w:gridSpan w:val="3"/>
            <w:vAlign w:val="center"/>
            <w:hideMark/>
          </w:tcPr>
          <w:p w14:paraId="47F93B78" w14:textId="77777777" w:rsidR="00995D2C" w:rsidRPr="003D184A" w:rsidRDefault="00995D2C" w:rsidP="00995D2C">
            <w:pPr>
              <w:jc w:val="center"/>
            </w:pPr>
            <w:r w:rsidRPr="003D184A">
              <w:t xml:space="preserve">se bo podaljšala za     </w:t>
            </w:r>
            <w:r>
              <w:t xml:space="preserve"> </w:t>
            </w:r>
            <w:r w:rsidRPr="003D184A">
              <w:t>1</w:t>
            </w:r>
            <w:r>
              <w:t xml:space="preserve"> </w:t>
            </w:r>
            <w:r w:rsidRPr="003D184A">
              <w:t>dan</w:t>
            </w:r>
          </w:p>
        </w:tc>
      </w:tr>
      <w:tr w:rsidR="00995D2C" w:rsidRPr="003D184A" w14:paraId="05E8694A" w14:textId="77777777" w:rsidTr="00995D2C">
        <w:trPr>
          <w:trHeight w:val="288"/>
        </w:trPr>
        <w:tc>
          <w:tcPr>
            <w:tcW w:w="2263" w:type="dxa"/>
            <w:noWrap/>
            <w:vAlign w:val="center"/>
            <w:hideMark/>
          </w:tcPr>
          <w:p w14:paraId="1260BA29" w14:textId="77777777" w:rsidR="00995D2C" w:rsidRPr="003D184A" w:rsidRDefault="00995D2C" w:rsidP="00995D2C">
            <w:r w:rsidRPr="003D184A">
              <w:t>Število vročih dni</w:t>
            </w:r>
          </w:p>
        </w:tc>
        <w:tc>
          <w:tcPr>
            <w:tcW w:w="1701" w:type="dxa"/>
            <w:noWrap/>
            <w:vAlign w:val="center"/>
            <w:hideMark/>
          </w:tcPr>
          <w:p w14:paraId="23D27D54" w14:textId="77777777" w:rsidR="00995D2C" w:rsidRPr="003D184A" w:rsidRDefault="00995D2C" w:rsidP="00995D2C">
            <w:pPr>
              <w:jc w:val="center"/>
            </w:pPr>
            <w:r w:rsidRPr="003D184A">
              <w:t>13 dni/ leto</w:t>
            </w:r>
          </w:p>
        </w:tc>
        <w:tc>
          <w:tcPr>
            <w:tcW w:w="1276" w:type="dxa"/>
            <w:gridSpan w:val="2"/>
            <w:vAlign w:val="center"/>
            <w:hideMark/>
          </w:tcPr>
          <w:p w14:paraId="5D1ECF76" w14:textId="77777777" w:rsidR="00995D2C" w:rsidRPr="003D184A" w:rsidRDefault="00995D2C" w:rsidP="00995D2C">
            <w:pPr>
              <w:jc w:val="center"/>
            </w:pPr>
            <w:r w:rsidRPr="003D184A">
              <w:t>+ 7 dni/leto</w:t>
            </w:r>
          </w:p>
        </w:tc>
        <w:tc>
          <w:tcPr>
            <w:tcW w:w="1276" w:type="dxa"/>
            <w:gridSpan w:val="2"/>
            <w:vAlign w:val="center"/>
            <w:hideMark/>
          </w:tcPr>
          <w:p w14:paraId="0209DACE" w14:textId="77777777" w:rsidR="00995D2C" w:rsidRPr="003D184A" w:rsidRDefault="00995D2C" w:rsidP="00995D2C">
            <w:pPr>
              <w:jc w:val="center"/>
            </w:pPr>
            <w:r w:rsidRPr="003D184A">
              <w:t>+15 dni/leto</w:t>
            </w:r>
          </w:p>
        </w:tc>
        <w:tc>
          <w:tcPr>
            <w:tcW w:w="1276" w:type="dxa"/>
            <w:gridSpan w:val="2"/>
            <w:vAlign w:val="center"/>
            <w:hideMark/>
          </w:tcPr>
          <w:p w14:paraId="4F1BCAC1" w14:textId="77777777" w:rsidR="00995D2C" w:rsidRPr="003D184A" w:rsidRDefault="00995D2C" w:rsidP="00995D2C">
            <w:pPr>
              <w:jc w:val="center"/>
            </w:pPr>
            <w:r w:rsidRPr="003D184A">
              <w:t>+7 dni/leto</w:t>
            </w:r>
          </w:p>
        </w:tc>
        <w:tc>
          <w:tcPr>
            <w:tcW w:w="1273" w:type="dxa"/>
            <w:vAlign w:val="center"/>
            <w:hideMark/>
          </w:tcPr>
          <w:p w14:paraId="783E379D" w14:textId="77777777" w:rsidR="00995D2C" w:rsidRPr="003D184A" w:rsidRDefault="00995D2C" w:rsidP="00995D2C">
            <w:pPr>
              <w:jc w:val="center"/>
            </w:pPr>
            <w:r w:rsidRPr="003D184A">
              <w:t>+17 dni/leto</w:t>
            </w:r>
          </w:p>
        </w:tc>
      </w:tr>
      <w:tr w:rsidR="00995D2C" w:rsidRPr="003D184A" w14:paraId="4C79407A" w14:textId="77777777" w:rsidTr="00995D2C">
        <w:trPr>
          <w:trHeight w:val="288"/>
        </w:trPr>
        <w:tc>
          <w:tcPr>
            <w:tcW w:w="2263" w:type="dxa"/>
            <w:noWrap/>
            <w:vAlign w:val="center"/>
            <w:hideMark/>
          </w:tcPr>
          <w:p w14:paraId="401BFB0C" w14:textId="77777777" w:rsidR="00995D2C" w:rsidRPr="003D184A" w:rsidRDefault="00995D2C" w:rsidP="00995D2C">
            <w:r w:rsidRPr="003D184A">
              <w:t xml:space="preserve">Število tropskih noči </w:t>
            </w:r>
          </w:p>
        </w:tc>
        <w:tc>
          <w:tcPr>
            <w:tcW w:w="1701" w:type="dxa"/>
            <w:noWrap/>
            <w:vAlign w:val="center"/>
            <w:hideMark/>
          </w:tcPr>
          <w:p w14:paraId="0C7AD9EC" w14:textId="77777777" w:rsidR="00995D2C" w:rsidRPr="003D184A" w:rsidRDefault="00995D2C" w:rsidP="00995D2C">
            <w:pPr>
              <w:jc w:val="center"/>
            </w:pPr>
            <w:r w:rsidRPr="003D184A">
              <w:t>1 tropska noč/leto</w:t>
            </w:r>
          </w:p>
        </w:tc>
        <w:tc>
          <w:tcPr>
            <w:tcW w:w="1276" w:type="dxa"/>
            <w:gridSpan w:val="2"/>
            <w:vAlign w:val="center"/>
            <w:hideMark/>
          </w:tcPr>
          <w:p w14:paraId="6006EF0D" w14:textId="77777777" w:rsidR="00995D2C" w:rsidRPr="003D184A" w:rsidRDefault="00995D2C" w:rsidP="00995D2C">
            <w:pPr>
              <w:jc w:val="center"/>
            </w:pPr>
            <w:r w:rsidRPr="003D184A">
              <w:t>+2 noč</w:t>
            </w:r>
            <w:r>
              <w:t>i</w:t>
            </w:r>
            <w:r w:rsidRPr="003D184A">
              <w:t>/leto</w:t>
            </w:r>
          </w:p>
        </w:tc>
        <w:tc>
          <w:tcPr>
            <w:tcW w:w="1276" w:type="dxa"/>
            <w:gridSpan w:val="2"/>
            <w:vAlign w:val="center"/>
            <w:hideMark/>
          </w:tcPr>
          <w:p w14:paraId="050DA808" w14:textId="77777777" w:rsidR="00995D2C" w:rsidRPr="003D184A" w:rsidRDefault="00995D2C" w:rsidP="00995D2C">
            <w:pPr>
              <w:jc w:val="center"/>
            </w:pPr>
            <w:r w:rsidRPr="003D184A">
              <w:t>+8 noči/leto</w:t>
            </w:r>
          </w:p>
        </w:tc>
        <w:tc>
          <w:tcPr>
            <w:tcW w:w="1276" w:type="dxa"/>
            <w:gridSpan w:val="2"/>
            <w:vAlign w:val="center"/>
            <w:hideMark/>
          </w:tcPr>
          <w:p w14:paraId="77F3FA5E" w14:textId="77777777" w:rsidR="00995D2C" w:rsidRPr="003D184A" w:rsidRDefault="00995D2C" w:rsidP="00995D2C">
            <w:pPr>
              <w:jc w:val="center"/>
            </w:pPr>
            <w:r w:rsidRPr="003D184A">
              <w:t>+3 noč</w:t>
            </w:r>
            <w:r>
              <w:t>i</w:t>
            </w:r>
            <w:r w:rsidRPr="003D184A">
              <w:t>/leto</w:t>
            </w:r>
          </w:p>
        </w:tc>
        <w:tc>
          <w:tcPr>
            <w:tcW w:w="1273" w:type="dxa"/>
            <w:vAlign w:val="center"/>
            <w:hideMark/>
          </w:tcPr>
          <w:p w14:paraId="65D8E294" w14:textId="77777777" w:rsidR="00995D2C" w:rsidRPr="003D184A" w:rsidRDefault="00995D2C" w:rsidP="00995D2C">
            <w:pPr>
              <w:jc w:val="center"/>
            </w:pPr>
            <w:r w:rsidRPr="003D184A">
              <w:t>+12 noči/leto</w:t>
            </w:r>
          </w:p>
        </w:tc>
      </w:tr>
      <w:tr w:rsidR="00995D2C" w:rsidRPr="003D184A" w14:paraId="551B92F4" w14:textId="77777777" w:rsidTr="00995D2C">
        <w:trPr>
          <w:trHeight w:val="288"/>
        </w:trPr>
        <w:tc>
          <w:tcPr>
            <w:tcW w:w="2263" w:type="dxa"/>
            <w:noWrap/>
            <w:vAlign w:val="center"/>
            <w:hideMark/>
          </w:tcPr>
          <w:p w14:paraId="62AB53B2" w14:textId="77777777" w:rsidR="00995D2C" w:rsidRPr="003D184A" w:rsidRDefault="00995D2C" w:rsidP="00995D2C">
            <w:r w:rsidRPr="003D184A">
              <w:lastRenderedPageBreak/>
              <w:t>Povprečna letna količina padavin*</w:t>
            </w:r>
          </w:p>
        </w:tc>
        <w:tc>
          <w:tcPr>
            <w:tcW w:w="1701" w:type="dxa"/>
            <w:noWrap/>
            <w:vAlign w:val="center"/>
            <w:hideMark/>
          </w:tcPr>
          <w:p w14:paraId="61B6C986" w14:textId="77777777" w:rsidR="00995D2C" w:rsidRPr="003D184A" w:rsidRDefault="00995D2C" w:rsidP="00995D2C">
            <w:pPr>
              <w:jc w:val="center"/>
            </w:pPr>
            <w:r w:rsidRPr="003D184A">
              <w:t>1800 mm/leto</w:t>
            </w:r>
          </w:p>
        </w:tc>
        <w:tc>
          <w:tcPr>
            <w:tcW w:w="2552" w:type="dxa"/>
            <w:gridSpan w:val="4"/>
            <w:vAlign w:val="center"/>
            <w:hideMark/>
          </w:tcPr>
          <w:p w14:paraId="3C5E0F2B" w14:textId="77777777" w:rsidR="00995D2C" w:rsidRPr="003D184A" w:rsidRDefault="00995D2C" w:rsidP="00995D2C">
            <w:pPr>
              <w:jc w:val="center"/>
            </w:pPr>
            <w:r w:rsidRPr="003D184A">
              <w:t xml:space="preserve">+ </w:t>
            </w:r>
            <w:r>
              <w:t>2</w:t>
            </w:r>
            <w:r w:rsidRPr="003D184A">
              <w:t>-</w:t>
            </w:r>
            <w:r>
              <w:t>4</w:t>
            </w:r>
            <w:r w:rsidRPr="003D184A">
              <w:t>% letnih padavin</w:t>
            </w:r>
          </w:p>
        </w:tc>
        <w:tc>
          <w:tcPr>
            <w:tcW w:w="2549" w:type="dxa"/>
            <w:gridSpan w:val="3"/>
            <w:vAlign w:val="center"/>
            <w:hideMark/>
          </w:tcPr>
          <w:p w14:paraId="7F78B743" w14:textId="77777777" w:rsidR="00995D2C" w:rsidRPr="003D184A" w:rsidRDefault="00995D2C" w:rsidP="00995D2C">
            <w:pPr>
              <w:jc w:val="center"/>
            </w:pPr>
            <w:r w:rsidRPr="003D184A">
              <w:t xml:space="preserve">+ </w:t>
            </w:r>
            <w:r>
              <w:t>2</w:t>
            </w:r>
            <w:r w:rsidRPr="003D184A">
              <w:t>-6% letnih padavin</w:t>
            </w:r>
          </w:p>
        </w:tc>
      </w:tr>
      <w:tr w:rsidR="00995D2C" w:rsidRPr="003D184A" w14:paraId="567679B5" w14:textId="77777777" w:rsidTr="00995D2C">
        <w:trPr>
          <w:trHeight w:val="576"/>
        </w:trPr>
        <w:tc>
          <w:tcPr>
            <w:tcW w:w="2263" w:type="dxa"/>
            <w:vAlign w:val="center"/>
            <w:hideMark/>
          </w:tcPr>
          <w:p w14:paraId="1DE1802C" w14:textId="77777777" w:rsidR="00995D2C" w:rsidRPr="003D184A" w:rsidRDefault="00995D2C" w:rsidP="00995D2C">
            <w:r w:rsidRPr="003D184A">
              <w:t>Število dni z dežjem in snegom nad 0,1 mm</w:t>
            </w:r>
          </w:p>
        </w:tc>
        <w:tc>
          <w:tcPr>
            <w:tcW w:w="1701" w:type="dxa"/>
            <w:noWrap/>
            <w:vAlign w:val="center"/>
            <w:hideMark/>
          </w:tcPr>
          <w:p w14:paraId="6EFED02E" w14:textId="77777777" w:rsidR="00995D2C" w:rsidRPr="003D184A" w:rsidRDefault="00995D2C" w:rsidP="00995D2C">
            <w:pPr>
              <w:jc w:val="center"/>
            </w:pPr>
            <w:r w:rsidRPr="003D184A">
              <w:t>181 dni/leto</w:t>
            </w:r>
          </w:p>
        </w:tc>
        <w:tc>
          <w:tcPr>
            <w:tcW w:w="5101" w:type="dxa"/>
            <w:gridSpan w:val="7"/>
            <w:vAlign w:val="center"/>
            <w:hideMark/>
          </w:tcPr>
          <w:p w14:paraId="40855764" w14:textId="77777777" w:rsidR="00995D2C" w:rsidRPr="003D184A" w:rsidRDefault="00995D2C" w:rsidP="00995D2C">
            <w:pPr>
              <w:jc w:val="center"/>
            </w:pPr>
            <w:r w:rsidRPr="003D184A">
              <w:t>zmanjšanje števila dni se bo nekoliko stopnjevalo, predvsem poleti in jeseni</w:t>
            </w:r>
          </w:p>
        </w:tc>
      </w:tr>
      <w:tr w:rsidR="00995D2C" w:rsidRPr="003D184A" w14:paraId="77E21925" w14:textId="77777777" w:rsidTr="00995D2C">
        <w:trPr>
          <w:trHeight w:val="576"/>
        </w:trPr>
        <w:tc>
          <w:tcPr>
            <w:tcW w:w="2263" w:type="dxa"/>
            <w:noWrap/>
            <w:vAlign w:val="center"/>
            <w:hideMark/>
          </w:tcPr>
          <w:p w14:paraId="1A28018D" w14:textId="77777777" w:rsidR="00995D2C" w:rsidRPr="003D184A" w:rsidRDefault="00995D2C" w:rsidP="00995D2C">
            <w:r w:rsidRPr="003D184A">
              <w:t>Število dni z dežjem in snegom nad 50 mm</w:t>
            </w:r>
          </w:p>
        </w:tc>
        <w:tc>
          <w:tcPr>
            <w:tcW w:w="1701" w:type="dxa"/>
            <w:noWrap/>
            <w:vAlign w:val="center"/>
            <w:hideMark/>
          </w:tcPr>
          <w:p w14:paraId="0BD04E2D" w14:textId="77777777" w:rsidR="00995D2C" w:rsidRPr="003D184A" w:rsidRDefault="00995D2C" w:rsidP="00995D2C">
            <w:pPr>
              <w:jc w:val="center"/>
            </w:pPr>
            <w:r w:rsidRPr="003D184A">
              <w:t>6 dni/leto</w:t>
            </w:r>
          </w:p>
        </w:tc>
        <w:tc>
          <w:tcPr>
            <w:tcW w:w="3828" w:type="dxa"/>
            <w:gridSpan w:val="6"/>
            <w:vAlign w:val="center"/>
            <w:hideMark/>
          </w:tcPr>
          <w:p w14:paraId="5153C08E" w14:textId="77777777" w:rsidR="00995D2C" w:rsidRPr="003D184A" w:rsidRDefault="00995D2C" w:rsidP="00995D2C">
            <w:pPr>
              <w:jc w:val="center"/>
            </w:pPr>
            <w:r w:rsidRPr="003D184A">
              <w:t>jakost in pogostost izjemnih padavin se bo povečevala, predvsem jeseni in pozimi</w:t>
            </w:r>
          </w:p>
        </w:tc>
        <w:tc>
          <w:tcPr>
            <w:tcW w:w="1273" w:type="dxa"/>
            <w:vAlign w:val="center"/>
            <w:hideMark/>
          </w:tcPr>
          <w:p w14:paraId="150EE7DF" w14:textId="77777777" w:rsidR="00995D2C" w:rsidRPr="003D184A" w:rsidRDefault="00995D2C" w:rsidP="00995D2C">
            <w:pPr>
              <w:jc w:val="center"/>
            </w:pPr>
            <w:r w:rsidRPr="003D184A">
              <w:t>1 dan/leto</w:t>
            </w:r>
          </w:p>
        </w:tc>
      </w:tr>
      <w:tr w:rsidR="00995D2C" w:rsidRPr="003D184A" w14:paraId="151E3D1B" w14:textId="77777777" w:rsidTr="00995D2C">
        <w:trPr>
          <w:trHeight w:val="576"/>
        </w:trPr>
        <w:tc>
          <w:tcPr>
            <w:tcW w:w="2263" w:type="dxa"/>
            <w:noWrap/>
            <w:vAlign w:val="center"/>
            <w:hideMark/>
          </w:tcPr>
          <w:p w14:paraId="37EB970E" w14:textId="77777777" w:rsidR="00995D2C" w:rsidRPr="003D184A" w:rsidRDefault="00995D2C" w:rsidP="00995D2C">
            <w:r w:rsidRPr="003D184A">
              <w:t>Suha  obdobja</w:t>
            </w:r>
          </w:p>
        </w:tc>
        <w:tc>
          <w:tcPr>
            <w:tcW w:w="1701" w:type="dxa"/>
            <w:vAlign w:val="center"/>
            <w:hideMark/>
          </w:tcPr>
          <w:p w14:paraId="640EBC3D" w14:textId="77777777" w:rsidR="00995D2C" w:rsidRPr="003D184A" w:rsidRDefault="00995D2C" w:rsidP="00995D2C">
            <w:pPr>
              <w:jc w:val="center"/>
            </w:pPr>
            <w:r w:rsidRPr="003D184A">
              <w:t>dolžina najdaljšega sušnega obdobja 26 dni</w:t>
            </w:r>
          </w:p>
        </w:tc>
        <w:tc>
          <w:tcPr>
            <w:tcW w:w="2552" w:type="dxa"/>
            <w:gridSpan w:val="4"/>
            <w:vAlign w:val="center"/>
            <w:hideMark/>
          </w:tcPr>
          <w:p w14:paraId="24586D4B" w14:textId="77777777" w:rsidR="00995D2C" w:rsidRPr="003D184A" w:rsidRDefault="00995D2C" w:rsidP="00995D2C">
            <w:pPr>
              <w:jc w:val="center"/>
            </w:pPr>
            <w:r w:rsidRPr="003D184A">
              <w:t>ni večjih sprememb</w:t>
            </w:r>
          </w:p>
        </w:tc>
        <w:tc>
          <w:tcPr>
            <w:tcW w:w="1276" w:type="dxa"/>
            <w:gridSpan w:val="2"/>
            <w:vAlign w:val="center"/>
            <w:hideMark/>
          </w:tcPr>
          <w:p w14:paraId="6F6596C2" w14:textId="77777777" w:rsidR="00995D2C" w:rsidRPr="003D184A" w:rsidRDefault="00995D2C" w:rsidP="00995D2C">
            <w:pPr>
              <w:jc w:val="center"/>
            </w:pPr>
            <w:r w:rsidRPr="003D184A">
              <w:t>+1 dan</w:t>
            </w:r>
          </w:p>
        </w:tc>
        <w:tc>
          <w:tcPr>
            <w:tcW w:w="1273" w:type="dxa"/>
            <w:vAlign w:val="center"/>
            <w:hideMark/>
          </w:tcPr>
          <w:p w14:paraId="27557961" w14:textId="77777777" w:rsidR="00995D2C" w:rsidRPr="003D184A" w:rsidRDefault="00995D2C" w:rsidP="00995D2C">
            <w:pPr>
              <w:jc w:val="center"/>
            </w:pPr>
            <w:r>
              <w:t>ni sprememb</w:t>
            </w:r>
          </w:p>
        </w:tc>
      </w:tr>
      <w:tr w:rsidR="00995D2C" w:rsidRPr="003D184A" w14:paraId="54EC1933" w14:textId="77777777" w:rsidTr="00995D2C">
        <w:trPr>
          <w:trHeight w:val="576"/>
        </w:trPr>
        <w:tc>
          <w:tcPr>
            <w:tcW w:w="2263" w:type="dxa"/>
            <w:noWrap/>
            <w:vAlign w:val="center"/>
            <w:hideMark/>
          </w:tcPr>
          <w:p w14:paraId="441AF77F" w14:textId="77777777" w:rsidR="00995D2C" w:rsidRPr="003D184A" w:rsidRDefault="00995D2C" w:rsidP="00995D2C">
            <w:r w:rsidRPr="003D184A">
              <w:t>Mokra obdobja</w:t>
            </w:r>
          </w:p>
        </w:tc>
        <w:tc>
          <w:tcPr>
            <w:tcW w:w="1701" w:type="dxa"/>
            <w:vAlign w:val="center"/>
            <w:hideMark/>
          </w:tcPr>
          <w:p w14:paraId="59958FF0" w14:textId="77777777" w:rsidR="00995D2C" w:rsidRPr="003D184A" w:rsidRDefault="00995D2C" w:rsidP="00995D2C">
            <w:pPr>
              <w:jc w:val="center"/>
            </w:pPr>
            <w:r w:rsidRPr="003D184A">
              <w:t>dolžina najdaljšega mokrega obdobja  9 dni</w:t>
            </w:r>
          </w:p>
        </w:tc>
        <w:tc>
          <w:tcPr>
            <w:tcW w:w="3828" w:type="dxa"/>
            <w:gridSpan w:val="6"/>
            <w:vAlign w:val="center"/>
            <w:hideMark/>
          </w:tcPr>
          <w:p w14:paraId="59BFCAFE" w14:textId="77777777" w:rsidR="00995D2C" w:rsidRPr="003D184A" w:rsidRDefault="00995D2C" w:rsidP="00995D2C">
            <w:pPr>
              <w:jc w:val="center"/>
            </w:pPr>
            <w:r w:rsidRPr="003D184A">
              <w:t>ni večjih sprememb</w:t>
            </w:r>
          </w:p>
        </w:tc>
        <w:tc>
          <w:tcPr>
            <w:tcW w:w="1273" w:type="dxa"/>
            <w:vAlign w:val="center"/>
          </w:tcPr>
          <w:p w14:paraId="2DDB6630" w14:textId="77777777" w:rsidR="00995D2C" w:rsidRPr="003D184A" w:rsidRDefault="00995D2C" w:rsidP="00995D2C">
            <w:pPr>
              <w:jc w:val="center"/>
            </w:pPr>
            <w:r>
              <w:t>-</w:t>
            </w:r>
            <w:r w:rsidRPr="003D184A">
              <w:t>1 dan</w:t>
            </w:r>
          </w:p>
        </w:tc>
      </w:tr>
      <w:tr w:rsidR="00995D2C" w:rsidRPr="008A4778" w14:paraId="1ECF035F" w14:textId="77777777" w:rsidTr="00995D2C">
        <w:trPr>
          <w:trHeight w:val="288"/>
        </w:trPr>
        <w:tc>
          <w:tcPr>
            <w:tcW w:w="2263" w:type="dxa"/>
            <w:noWrap/>
            <w:vAlign w:val="center"/>
            <w:hideMark/>
          </w:tcPr>
          <w:p w14:paraId="008FAA99" w14:textId="77777777" w:rsidR="00995D2C" w:rsidRPr="008A4778" w:rsidRDefault="00995D2C" w:rsidP="00995D2C">
            <w:r w:rsidRPr="008A4778">
              <w:t xml:space="preserve">Število dni s snežno odejo </w:t>
            </w:r>
          </w:p>
        </w:tc>
        <w:tc>
          <w:tcPr>
            <w:tcW w:w="1701" w:type="dxa"/>
            <w:noWrap/>
            <w:vAlign w:val="center"/>
            <w:hideMark/>
          </w:tcPr>
          <w:p w14:paraId="229066BB" w14:textId="77777777" w:rsidR="00995D2C" w:rsidRPr="008A4778" w:rsidRDefault="00995D2C" w:rsidP="00995D2C">
            <w:pPr>
              <w:jc w:val="center"/>
            </w:pPr>
            <w:r w:rsidRPr="008A4778">
              <w:t>9-123 dni (odvisno od nadmorske višine)</w:t>
            </w:r>
          </w:p>
        </w:tc>
        <w:tc>
          <w:tcPr>
            <w:tcW w:w="1276" w:type="dxa"/>
            <w:gridSpan w:val="2"/>
            <w:vAlign w:val="center"/>
            <w:hideMark/>
          </w:tcPr>
          <w:p w14:paraId="18C1E1CA" w14:textId="77777777" w:rsidR="00995D2C" w:rsidRPr="008A4778" w:rsidRDefault="00995D2C" w:rsidP="00995D2C">
            <w:pPr>
              <w:jc w:val="center"/>
            </w:pPr>
            <w:r w:rsidRPr="008A4778">
              <w:t>- 2-17 dni</w:t>
            </w:r>
          </w:p>
        </w:tc>
        <w:tc>
          <w:tcPr>
            <w:tcW w:w="1276" w:type="dxa"/>
            <w:gridSpan w:val="2"/>
            <w:vAlign w:val="center"/>
            <w:hideMark/>
          </w:tcPr>
          <w:p w14:paraId="60FFB6CB" w14:textId="77777777" w:rsidR="00995D2C" w:rsidRPr="008A4778" w:rsidRDefault="00995D2C" w:rsidP="00995D2C">
            <w:pPr>
              <w:jc w:val="center"/>
            </w:pPr>
            <w:r w:rsidRPr="008A4778">
              <w:t>- 4-33 dni</w:t>
            </w:r>
          </w:p>
        </w:tc>
        <w:tc>
          <w:tcPr>
            <w:tcW w:w="1276" w:type="dxa"/>
            <w:gridSpan w:val="2"/>
            <w:vAlign w:val="center"/>
            <w:hideMark/>
          </w:tcPr>
          <w:p w14:paraId="4D1478FA" w14:textId="77777777" w:rsidR="00995D2C" w:rsidRPr="008A4778" w:rsidRDefault="00995D2C" w:rsidP="00995D2C">
            <w:pPr>
              <w:jc w:val="center"/>
            </w:pPr>
            <w:r w:rsidRPr="008A4778">
              <w:t>- 3-23 dni</w:t>
            </w:r>
          </w:p>
        </w:tc>
        <w:tc>
          <w:tcPr>
            <w:tcW w:w="1273" w:type="dxa"/>
            <w:vAlign w:val="center"/>
            <w:hideMark/>
          </w:tcPr>
          <w:p w14:paraId="2571EE48" w14:textId="77777777" w:rsidR="00995D2C" w:rsidRPr="008A4778" w:rsidRDefault="00995D2C" w:rsidP="00995D2C">
            <w:pPr>
              <w:jc w:val="center"/>
            </w:pPr>
            <w:r w:rsidRPr="008A4778">
              <w:t>- 5-46 dni</w:t>
            </w:r>
          </w:p>
        </w:tc>
      </w:tr>
      <w:tr w:rsidR="00995D2C" w:rsidRPr="008A4778" w14:paraId="13F501A0" w14:textId="77777777" w:rsidTr="00995D2C">
        <w:trPr>
          <w:trHeight w:val="576"/>
        </w:trPr>
        <w:tc>
          <w:tcPr>
            <w:tcW w:w="2263" w:type="dxa"/>
            <w:noWrap/>
            <w:vAlign w:val="center"/>
            <w:hideMark/>
          </w:tcPr>
          <w:p w14:paraId="06C1045E" w14:textId="77777777" w:rsidR="00995D2C" w:rsidRPr="00DD7742" w:rsidRDefault="00995D2C" w:rsidP="00995D2C">
            <w:r w:rsidRPr="00DD7742">
              <w:t xml:space="preserve">Referenčna </w:t>
            </w:r>
            <w:proofErr w:type="spellStart"/>
            <w:r w:rsidRPr="00DD7742">
              <w:t>evapotranspiracija</w:t>
            </w:r>
            <w:proofErr w:type="spellEnd"/>
            <w:r w:rsidRPr="00DD7742">
              <w:t xml:space="preserve"> </w:t>
            </w:r>
          </w:p>
        </w:tc>
        <w:tc>
          <w:tcPr>
            <w:tcW w:w="1701" w:type="dxa"/>
            <w:noWrap/>
            <w:vAlign w:val="center"/>
            <w:hideMark/>
          </w:tcPr>
          <w:p w14:paraId="35D14E1C" w14:textId="77777777" w:rsidR="00995D2C" w:rsidRPr="00DD7742" w:rsidRDefault="00995D2C" w:rsidP="00995D2C">
            <w:pPr>
              <w:jc w:val="center"/>
            </w:pPr>
            <w:r w:rsidRPr="00DD7742">
              <w:t>800mm/leto</w:t>
            </w:r>
          </w:p>
        </w:tc>
        <w:tc>
          <w:tcPr>
            <w:tcW w:w="1276" w:type="dxa"/>
            <w:gridSpan w:val="2"/>
            <w:vAlign w:val="center"/>
            <w:hideMark/>
          </w:tcPr>
          <w:p w14:paraId="39AE5859" w14:textId="77777777" w:rsidR="00995D2C" w:rsidRPr="00DD7742" w:rsidRDefault="00995D2C" w:rsidP="00995D2C">
            <w:pPr>
              <w:jc w:val="center"/>
            </w:pPr>
            <w:r w:rsidRPr="00DD7742">
              <w:t>+2,8 %</w:t>
            </w:r>
          </w:p>
        </w:tc>
        <w:tc>
          <w:tcPr>
            <w:tcW w:w="1276" w:type="dxa"/>
            <w:gridSpan w:val="2"/>
            <w:vAlign w:val="center"/>
            <w:hideMark/>
          </w:tcPr>
          <w:p w14:paraId="70800F71" w14:textId="77777777" w:rsidR="00995D2C" w:rsidRPr="00DD7742" w:rsidRDefault="00995D2C" w:rsidP="00995D2C">
            <w:pPr>
              <w:jc w:val="center"/>
            </w:pPr>
            <w:r w:rsidRPr="00DD7742">
              <w:t>+6,8 %</w:t>
            </w:r>
          </w:p>
        </w:tc>
        <w:tc>
          <w:tcPr>
            <w:tcW w:w="1276" w:type="dxa"/>
            <w:gridSpan w:val="2"/>
            <w:vAlign w:val="center"/>
            <w:hideMark/>
          </w:tcPr>
          <w:p w14:paraId="7BDD5C55" w14:textId="77777777" w:rsidR="00995D2C" w:rsidRPr="00DD7742" w:rsidRDefault="00995D2C" w:rsidP="00995D2C">
            <w:pPr>
              <w:jc w:val="center"/>
            </w:pPr>
            <w:r w:rsidRPr="00DD7742">
              <w:t>3,6 %</w:t>
            </w:r>
          </w:p>
        </w:tc>
        <w:tc>
          <w:tcPr>
            <w:tcW w:w="1273" w:type="dxa"/>
            <w:vAlign w:val="center"/>
            <w:hideMark/>
          </w:tcPr>
          <w:p w14:paraId="762C1380" w14:textId="77777777" w:rsidR="00995D2C" w:rsidRPr="008A4778" w:rsidRDefault="00995D2C" w:rsidP="00995D2C">
            <w:pPr>
              <w:jc w:val="center"/>
            </w:pPr>
            <w:r w:rsidRPr="00DD7742">
              <w:t>+ 6,4 %</w:t>
            </w:r>
          </w:p>
        </w:tc>
      </w:tr>
      <w:tr w:rsidR="00995D2C" w:rsidRPr="00DD7742" w14:paraId="35227616" w14:textId="77777777" w:rsidTr="00995D2C">
        <w:trPr>
          <w:trHeight w:val="576"/>
        </w:trPr>
        <w:tc>
          <w:tcPr>
            <w:tcW w:w="2263" w:type="dxa"/>
            <w:vAlign w:val="center"/>
            <w:hideMark/>
          </w:tcPr>
          <w:p w14:paraId="394C0ECC" w14:textId="77777777" w:rsidR="00995D2C" w:rsidRPr="00DD7742" w:rsidRDefault="00995D2C" w:rsidP="00995D2C">
            <w:r w:rsidRPr="00DD7742">
              <w:t>Povprečno število dni vodnega primanjkljaja**</w:t>
            </w:r>
          </w:p>
        </w:tc>
        <w:tc>
          <w:tcPr>
            <w:tcW w:w="1701" w:type="dxa"/>
            <w:noWrap/>
            <w:vAlign w:val="center"/>
            <w:hideMark/>
          </w:tcPr>
          <w:p w14:paraId="35E08060" w14:textId="77777777" w:rsidR="00995D2C" w:rsidRPr="00DD7742" w:rsidRDefault="00995D2C" w:rsidP="00995D2C">
            <w:pPr>
              <w:jc w:val="center"/>
              <w:rPr>
                <w:lang w:val="it-IT"/>
              </w:rPr>
            </w:pPr>
            <w:r w:rsidRPr="00DD7742">
              <w:t>65 dni/leto, od tega 35 dni poleti</w:t>
            </w:r>
          </w:p>
        </w:tc>
        <w:tc>
          <w:tcPr>
            <w:tcW w:w="1276" w:type="dxa"/>
            <w:gridSpan w:val="2"/>
            <w:vAlign w:val="center"/>
            <w:hideMark/>
          </w:tcPr>
          <w:p w14:paraId="00A9BBAB" w14:textId="77777777" w:rsidR="00995D2C" w:rsidRPr="00DD7742" w:rsidRDefault="00995D2C" w:rsidP="00995D2C">
            <w:pPr>
              <w:jc w:val="center"/>
              <w:rPr>
                <w:sz w:val="20"/>
                <w:szCs w:val="20"/>
              </w:rPr>
            </w:pPr>
            <w:r w:rsidRPr="00DD7742">
              <w:t>+ 4 dni večinoma jeseni</w:t>
            </w:r>
          </w:p>
        </w:tc>
        <w:tc>
          <w:tcPr>
            <w:tcW w:w="1276" w:type="dxa"/>
            <w:gridSpan w:val="2"/>
            <w:vAlign w:val="center"/>
            <w:hideMark/>
          </w:tcPr>
          <w:p w14:paraId="0A914BF7" w14:textId="77777777" w:rsidR="00995D2C" w:rsidRPr="00DD7742" w:rsidRDefault="00995D2C" w:rsidP="00995D2C">
            <w:pPr>
              <w:jc w:val="center"/>
            </w:pPr>
            <w:r w:rsidRPr="00DD7742">
              <w:t>+ 12 dni večinoma poleti in jeseni</w:t>
            </w:r>
          </w:p>
        </w:tc>
        <w:tc>
          <w:tcPr>
            <w:tcW w:w="1276" w:type="dxa"/>
            <w:gridSpan w:val="2"/>
            <w:vAlign w:val="center"/>
            <w:hideMark/>
          </w:tcPr>
          <w:p w14:paraId="031C0918" w14:textId="77777777" w:rsidR="00995D2C" w:rsidRPr="00DD7742" w:rsidRDefault="00995D2C" w:rsidP="00995D2C">
            <w:pPr>
              <w:jc w:val="center"/>
            </w:pPr>
            <w:r w:rsidRPr="00DD7742">
              <w:t>+ 6 dni večinoma poleti in jeseni</w:t>
            </w:r>
          </w:p>
        </w:tc>
        <w:tc>
          <w:tcPr>
            <w:tcW w:w="1273" w:type="dxa"/>
            <w:vAlign w:val="center"/>
            <w:hideMark/>
          </w:tcPr>
          <w:p w14:paraId="65958BD6" w14:textId="77777777" w:rsidR="00995D2C" w:rsidRPr="00DD7742" w:rsidRDefault="00995D2C" w:rsidP="00995D2C">
            <w:pPr>
              <w:jc w:val="center"/>
            </w:pPr>
            <w:r w:rsidRPr="00DD7742">
              <w:t>+ 1 dni večinoma jeseni</w:t>
            </w:r>
          </w:p>
        </w:tc>
      </w:tr>
      <w:tr w:rsidR="00995D2C" w:rsidRPr="008A4778" w14:paraId="1BBE6EA2" w14:textId="77777777" w:rsidTr="00995D2C">
        <w:trPr>
          <w:trHeight w:val="288"/>
        </w:trPr>
        <w:tc>
          <w:tcPr>
            <w:tcW w:w="2263" w:type="dxa"/>
            <w:noWrap/>
            <w:vAlign w:val="center"/>
            <w:hideMark/>
          </w:tcPr>
          <w:p w14:paraId="0618FAEB" w14:textId="77777777" w:rsidR="00995D2C" w:rsidRPr="008A4778" w:rsidRDefault="00995D2C" w:rsidP="00995D2C">
            <w:r w:rsidRPr="008A4778">
              <w:t>Veter</w:t>
            </w:r>
          </w:p>
        </w:tc>
        <w:tc>
          <w:tcPr>
            <w:tcW w:w="1701" w:type="dxa"/>
            <w:noWrap/>
            <w:vAlign w:val="center"/>
            <w:hideMark/>
          </w:tcPr>
          <w:p w14:paraId="075EC372" w14:textId="77777777" w:rsidR="00995D2C" w:rsidRPr="008A4778" w:rsidRDefault="00995D2C" w:rsidP="00995D2C">
            <w:pPr>
              <w:jc w:val="center"/>
            </w:pPr>
            <w:r w:rsidRPr="008A4778">
              <w:t>2,</w:t>
            </w:r>
            <w:r>
              <w:t>8</w:t>
            </w:r>
            <w:r w:rsidRPr="008A4778">
              <w:t> m/s</w:t>
            </w:r>
          </w:p>
        </w:tc>
        <w:tc>
          <w:tcPr>
            <w:tcW w:w="5101" w:type="dxa"/>
            <w:gridSpan w:val="7"/>
            <w:noWrap/>
            <w:vAlign w:val="center"/>
            <w:hideMark/>
          </w:tcPr>
          <w:p w14:paraId="597C971F" w14:textId="77777777" w:rsidR="00995D2C" w:rsidRPr="008A4778" w:rsidRDefault="00995D2C" w:rsidP="00995D2C">
            <w:pPr>
              <w:jc w:val="center"/>
            </w:pPr>
            <w:r w:rsidRPr="008A4778">
              <w:t>negotovosti velike, razpon možnih odstopanj pa velik</w:t>
            </w:r>
          </w:p>
        </w:tc>
      </w:tr>
      <w:tr w:rsidR="00995D2C" w:rsidRPr="008A4778" w14:paraId="3565B6E7" w14:textId="77777777" w:rsidTr="00995D2C">
        <w:trPr>
          <w:trHeight w:val="288"/>
        </w:trPr>
        <w:tc>
          <w:tcPr>
            <w:tcW w:w="2263" w:type="dxa"/>
            <w:noWrap/>
            <w:vAlign w:val="center"/>
            <w:hideMark/>
          </w:tcPr>
          <w:p w14:paraId="73A705AE" w14:textId="77777777" w:rsidR="00995D2C" w:rsidRPr="008A4778" w:rsidRDefault="00995D2C" w:rsidP="00995D2C">
            <w:r w:rsidRPr="008A4778">
              <w:t>Trajanje sončnega obsevanja</w:t>
            </w:r>
          </w:p>
        </w:tc>
        <w:tc>
          <w:tcPr>
            <w:tcW w:w="1701" w:type="dxa"/>
            <w:noWrap/>
            <w:vAlign w:val="center"/>
            <w:hideMark/>
          </w:tcPr>
          <w:p w14:paraId="6991D354" w14:textId="77777777" w:rsidR="00995D2C" w:rsidRPr="008A4778" w:rsidRDefault="00995D2C" w:rsidP="00995D2C">
            <w:pPr>
              <w:jc w:val="center"/>
            </w:pPr>
            <w:r w:rsidRPr="008A4778">
              <w:t>okvirno 2.200 ur</w:t>
            </w:r>
          </w:p>
        </w:tc>
        <w:tc>
          <w:tcPr>
            <w:tcW w:w="5101" w:type="dxa"/>
            <w:gridSpan w:val="7"/>
            <w:vAlign w:val="center"/>
            <w:hideMark/>
          </w:tcPr>
          <w:p w14:paraId="1A6525BE" w14:textId="77777777" w:rsidR="00995D2C" w:rsidRPr="008A4778" w:rsidRDefault="00995D2C" w:rsidP="00995D2C">
            <w:pPr>
              <w:jc w:val="center"/>
            </w:pPr>
            <w:r w:rsidRPr="008A4778">
              <w:t>na letni ravni ni izrazitejših sprememb, povečanje poleti in jeseni in zmanjšanje pozimi</w:t>
            </w:r>
          </w:p>
        </w:tc>
      </w:tr>
      <w:tr w:rsidR="00995D2C" w:rsidRPr="008A4778" w14:paraId="4AF3BFCB" w14:textId="77777777" w:rsidTr="00995D2C">
        <w:trPr>
          <w:trHeight w:val="288"/>
        </w:trPr>
        <w:tc>
          <w:tcPr>
            <w:tcW w:w="2263" w:type="dxa"/>
            <w:noWrap/>
            <w:vAlign w:val="center"/>
          </w:tcPr>
          <w:p w14:paraId="1A267D55" w14:textId="77777777" w:rsidR="00995D2C" w:rsidRPr="008A4778" w:rsidRDefault="00995D2C" w:rsidP="00995D2C">
            <w:r w:rsidRPr="008A4778">
              <w:t>Dolžina kurilne sezone</w:t>
            </w:r>
          </w:p>
        </w:tc>
        <w:tc>
          <w:tcPr>
            <w:tcW w:w="1701" w:type="dxa"/>
            <w:noWrap/>
            <w:vAlign w:val="center"/>
          </w:tcPr>
          <w:p w14:paraId="51A2EF4F" w14:textId="77777777" w:rsidR="00995D2C" w:rsidRDefault="00995D2C" w:rsidP="00995D2C">
            <w:pPr>
              <w:jc w:val="center"/>
            </w:pPr>
            <w:r w:rsidRPr="008A4778">
              <w:t>Povprečno 244 dni</w:t>
            </w:r>
            <w:r>
              <w:t xml:space="preserve"> </w:t>
            </w:r>
          </w:p>
          <w:p w14:paraId="72C383D6" w14:textId="77777777" w:rsidR="00995D2C" w:rsidRPr="008A4778" w:rsidRDefault="00995D2C" w:rsidP="00995D2C">
            <w:pPr>
              <w:jc w:val="center"/>
            </w:pPr>
            <w:r>
              <w:t>(na območju mesta 217 dni)</w:t>
            </w:r>
          </w:p>
        </w:tc>
        <w:tc>
          <w:tcPr>
            <w:tcW w:w="1227" w:type="dxa"/>
            <w:noWrap/>
            <w:vAlign w:val="center"/>
          </w:tcPr>
          <w:p w14:paraId="51A59649" w14:textId="77777777" w:rsidR="00995D2C" w:rsidRPr="008A4778" w:rsidRDefault="00995D2C" w:rsidP="00995D2C">
            <w:pPr>
              <w:jc w:val="center"/>
            </w:pPr>
            <w:r w:rsidRPr="008A4778">
              <w:t>-8 dni</w:t>
            </w:r>
          </w:p>
        </w:tc>
        <w:tc>
          <w:tcPr>
            <w:tcW w:w="1290" w:type="dxa"/>
            <w:gridSpan w:val="2"/>
            <w:vAlign w:val="center"/>
          </w:tcPr>
          <w:p w14:paraId="58835DF0" w14:textId="77777777" w:rsidR="00995D2C" w:rsidRPr="008A4778" w:rsidRDefault="00995D2C" w:rsidP="00995D2C">
            <w:pPr>
              <w:jc w:val="center"/>
            </w:pPr>
            <w:r w:rsidRPr="008A4778">
              <w:t>-18 dni</w:t>
            </w:r>
          </w:p>
        </w:tc>
        <w:tc>
          <w:tcPr>
            <w:tcW w:w="1290" w:type="dxa"/>
            <w:gridSpan w:val="2"/>
            <w:vAlign w:val="center"/>
          </w:tcPr>
          <w:p w14:paraId="42B79DD9" w14:textId="77777777" w:rsidR="00995D2C" w:rsidRPr="008A4778" w:rsidRDefault="00995D2C" w:rsidP="00995D2C">
            <w:pPr>
              <w:jc w:val="center"/>
            </w:pPr>
            <w:r w:rsidRPr="008A4778">
              <w:t>-12 dni</w:t>
            </w:r>
          </w:p>
        </w:tc>
        <w:tc>
          <w:tcPr>
            <w:tcW w:w="1294" w:type="dxa"/>
            <w:gridSpan w:val="2"/>
            <w:vAlign w:val="center"/>
          </w:tcPr>
          <w:p w14:paraId="192F699F" w14:textId="77777777" w:rsidR="00995D2C" w:rsidRPr="008A4778" w:rsidRDefault="00995D2C" w:rsidP="00995D2C">
            <w:pPr>
              <w:jc w:val="center"/>
            </w:pPr>
            <w:r w:rsidRPr="008A4778">
              <w:t>-26 dni</w:t>
            </w:r>
          </w:p>
        </w:tc>
      </w:tr>
    </w:tbl>
    <w:p w14:paraId="0411B015" w14:textId="77777777" w:rsidR="00995D2C" w:rsidRPr="008A4778" w:rsidRDefault="00995D2C" w:rsidP="00995D2C">
      <w:pPr>
        <w:spacing w:after="0" w:line="240" w:lineRule="auto"/>
        <w:rPr>
          <w:rFonts w:cstheme="minorHAnsi"/>
          <w:sz w:val="18"/>
          <w:szCs w:val="18"/>
        </w:rPr>
      </w:pPr>
      <w:r w:rsidRPr="008A4778">
        <w:rPr>
          <w:sz w:val="18"/>
          <w:szCs w:val="18"/>
        </w:rPr>
        <w:t>*</w:t>
      </w:r>
      <w:r w:rsidRPr="008A4778">
        <w:t xml:space="preserve"> </w:t>
      </w:r>
      <w:r w:rsidRPr="008A4778">
        <w:rPr>
          <w:rFonts w:cstheme="minorHAnsi"/>
          <w:sz w:val="18"/>
          <w:szCs w:val="18"/>
        </w:rPr>
        <w:t>Za padavine so si podnebni scenariji zelo različni oziroma kažejo veliko negotovost, ki se s časovno oddaljenostjo stopnjuje.</w:t>
      </w:r>
    </w:p>
    <w:p w14:paraId="359CC73B" w14:textId="77777777" w:rsidR="00995D2C" w:rsidRPr="008A4778" w:rsidRDefault="00995D2C" w:rsidP="00995D2C">
      <w:pPr>
        <w:spacing w:after="0" w:line="240" w:lineRule="auto"/>
        <w:rPr>
          <w:rFonts w:cstheme="minorHAnsi"/>
          <w:sz w:val="18"/>
          <w:szCs w:val="18"/>
        </w:rPr>
      </w:pPr>
      <w:r w:rsidRPr="008A4778">
        <w:rPr>
          <w:rFonts w:cstheme="minorHAnsi"/>
          <w:sz w:val="18"/>
          <w:szCs w:val="18"/>
        </w:rPr>
        <w:t>**Spremembe so negotove.</w:t>
      </w:r>
    </w:p>
    <w:p w14:paraId="5A9405B6" w14:textId="77777777" w:rsidR="00995D2C" w:rsidRPr="008A4778" w:rsidRDefault="00995D2C" w:rsidP="00995D2C">
      <w:pPr>
        <w:spacing w:after="0" w:line="240" w:lineRule="auto"/>
      </w:pPr>
    </w:p>
    <w:p w14:paraId="7BAC0ACE" w14:textId="72F36998" w:rsidR="00995D2C" w:rsidRPr="008A4778" w:rsidRDefault="00995D2C" w:rsidP="00995D2C">
      <w:r w:rsidRPr="008A4778">
        <w:t>V referenčnem obdobju 1981—2010 se je povprečna temperatura zraka v občini dvigovala s trendom +0,3</w:t>
      </w:r>
      <w:r>
        <w:t>2</w:t>
      </w:r>
      <w:r w:rsidRPr="008A4778">
        <w:t xml:space="preserve"> °C/desetletje (+1,0 °C v 30-letnem obdobju), pri povprečnih količinah padavin pa zaznamo trend zmanjšanja za </w:t>
      </w:r>
      <w:r>
        <w:t>3</w:t>
      </w:r>
      <w:r w:rsidRPr="008A4778">
        <w:t>,</w:t>
      </w:r>
      <w:r>
        <w:t>0</w:t>
      </w:r>
      <w:r w:rsidRPr="008A4778">
        <w:t xml:space="preserve"> %/desetletje (</w:t>
      </w:r>
      <w:r>
        <w:t xml:space="preserve">kar predstavlja </w:t>
      </w:r>
      <w:r w:rsidRPr="008A4778">
        <w:t>-</w:t>
      </w:r>
      <w:r>
        <w:t>9</w:t>
      </w:r>
      <w:r w:rsidRPr="008A4778">
        <w:t>%</w:t>
      </w:r>
      <w:r>
        <w:t xml:space="preserve"> </w:t>
      </w:r>
      <w:r w:rsidR="00FF2E41">
        <w:t>oziroma</w:t>
      </w:r>
      <w:r>
        <w:t xml:space="preserve"> </w:t>
      </w:r>
      <w:r w:rsidRPr="008A4778">
        <w:t xml:space="preserve">zmanjšanje za približno 160 mm v 30-letnem obdobju). </w:t>
      </w:r>
    </w:p>
    <w:p w14:paraId="12276C10" w14:textId="77777777" w:rsidR="00995D2C" w:rsidRPr="008A4778" w:rsidRDefault="00995D2C" w:rsidP="00995D2C">
      <w:r w:rsidRPr="008A4778">
        <w:t xml:space="preserve">Naraščanje temperature zraka je pričakovati tudi v prihodnosti. V obeh primerih projekcije </w:t>
      </w:r>
      <w:r w:rsidRPr="008B2A13">
        <w:t>RCP4.5 in RCP8.5 kažejo, da se bo najbolj segrelo pozimi, poleti in jeseni, le nekoliko manj spomladi.</w:t>
      </w:r>
      <w:r w:rsidRPr="008B2A13" w:rsidDel="008F1E92">
        <w:t xml:space="preserve"> </w:t>
      </w:r>
      <w:r w:rsidRPr="008B2A13">
        <w:t>Več in daljši bodo tudi vročinski valovi, ravno tako pa bo več tudi izjemnih padavin.</w:t>
      </w:r>
      <w:r w:rsidRPr="008A4778">
        <w:t xml:space="preserve"> </w:t>
      </w:r>
      <w:r w:rsidRPr="008B2A13">
        <w:t xml:space="preserve">Padavine so skozi leto neenakomerno razporejene, zato je večje spremembe zaznati na sezonski ravni, ker se na letni ravni sezonska nihanja izničijo, saj projekcije kažejo, da se bo v zimskem obdobju količina padavin povečala, poleti pa zmanjšala. Zaradi višjih temperatur bo pozimi manj snežnih padavin </w:t>
      </w:r>
      <w:r w:rsidRPr="008B2A13">
        <w:lastRenderedPageBreak/>
        <w:t>in več dežja, tudi število dni s snežno odejo bo</w:t>
      </w:r>
      <w:r w:rsidRPr="008A4778">
        <w:t xml:space="preserve"> manjše. Poleti pa bo število dni vodnega primanjkljaja večje, kar bo pripeljalo do poletnih suš.</w:t>
      </w:r>
    </w:p>
    <w:p w14:paraId="518DE7EB" w14:textId="453A4E89" w:rsidR="00B849B5" w:rsidRPr="00E87FAD" w:rsidRDefault="00B849B5" w:rsidP="00CE43D7">
      <w:pPr>
        <w:pStyle w:val="Naslov2"/>
      </w:pPr>
      <w:bookmarkStart w:id="6" w:name="_Toc97026720"/>
      <w:r w:rsidRPr="00E87FAD">
        <w:t xml:space="preserve">Metodologija ranljivosti </w:t>
      </w:r>
      <w:r w:rsidR="00D622F5">
        <w:t xml:space="preserve">in </w:t>
      </w:r>
      <w:r w:rsidR="00D622F5" w:rsidRPr="00E87FAD">
        <w:t xml:space="preserve">tveganja </w:t>
      </w:r>
      <w:r w:rsidR="00D622F5">
        <w:t>zaradi</w:t>
      </w:r>
      <w:r w:rsidRPr="00E87FAD">
        <w:t xml:space="preserve"> podnebn</w:t>
      </w:r>
      <w:r w:rsidR="005635BD">
        <w:t xml:space="preserve">ih </w:t>
      </w:r>
      <w:r w:rsidRPr="00E87FAD">
        <w:t>sprememb</w:t>
      </w:r>
      <w:bookmarkEnd w:id="4"/>
      <w:bookmarkEnd w:id="6"/>
    </w:p>
    <w:p w14:paraId="4094595A" w14:textId="4DE42A5F" w:rsidR="00995D2C" w:rsidRPr="00E87FAD" w:rsidRDefault="00995D2C" w:rsidP="00995D2C">
      <w:r w:rsidRPr="00722220">
        <w:t>Na podlagi stanja naravnega in socialnega okolja, izpostavljenosti sektorja podnebju in podnebnim spremembam, občutljivosti sektorja na podnebne spremembe, potencialnega vpliva in sposobnosti prilagajanja okolja, je podana ocena ranljivosti in posledično tveganje za posamezen obravnavni sektor (več v Poglavju 5). Metodologije določanja tveganja in ranljivosti imajo tudi določene specifike glede na obravnavani sektor (vodni viri,</w:t>
      </w:r>
      <w:r>
        <w:t xml:space="preserve"> vodovod,</w:t>
      </w:r>
      <w:r w:rsidRPr="00722220">
        <w:t xml:space="preserve"> poplavna varnost, kmetijstvo, gozdarstvo, zdravstvo in turizem).</w:t>
      </w:r>
    </w:p>
    <w:p w14:paraId="4649051B" w14:textId="77777777" w:rsidR="00FC3CA1" w:rsidRDefault="00FC3CA1" w:rsidP="00C3001F"/>
    <w:p w14:paraId="51E3C332" w14:textId="2DD19F1D" w:rsidR="00F973DA" w:rsidRDefault="00F973DA" w:rsidP="00CE43D7">
      <w:pPr>
        <w:pStyle w:val="Naslov2"/>
      </w:pPr>
      <w:bookmarkStart w:id="7" w:name="_Toc97026721"/>
      <w:r>
        <w:t>Sektor kmetijstvo</w:t>
      </w:r>
      <w:bookmarkEnd w:id="7"/>
    </w:p>
    <w:p w14:paraId="4B0AA9D9" w14:textId="77777777" w:rsidR="00766373" w:rsidRPr="006733E4" w:rsidRDefault="00766373" w:rsidP="00766373">
      <w:pPr>
        <w:rPr>
          <w:color w:val="FF0000"/>
        </w:rPr>
      </w:pPr>
      <w:r w:rsidRPr="00FA2AC5">
        <w:t>Za zagotavljanje prehranske varnosti, biotske pestrosti ter dobrega izgleda kulturne in naravne krajine v Mestni občini Nova Gorica je blaženje podnebnih sprememb in prilagajanje nanje nujno. V občini je bilo leta 2018 skoraj 4100 ha kmetijskih površin v uporabi, obseg se le rahlo povečuje. Za določanje izpostavljenosti</w:t>
      </w:r>
      <w:r>
        <w:t xml:space="preserve"> kmetijstva </w:t>
      </w:r>
      <w:r w:rsidRPr="00B47D54">
        <w:t>podnebju (IKP) smo uporabili klimatološke modelske podatke o stanju v referenčnem obdobju 1981—2010, ki</w:t>
      </w:r>
      <w:r w:rsidRPr="00FA2AC5">
        <w:t xml:space="preserve"> so nam bili na voljo (ARSO) tudi v projekcijah prihodnjega podnebja, da z njimi opredelimo pričakovano tveganje. Kazalnik občutljivosti</w:t>
      </w:r>
      <w:r>
        <w:t xml:space="preserve"> kmetijstva na </w:t>
      </w:r>
      <w:r w:rsidRPr="00B47D54">
        <w:t>podnebje (OKP)</w:t>
      </w:r>
      <w:r w:rsidRPr="00FA2AC5">
        <w:t xml:space="preserve"> je sestavljen iz </w:t>
      </w:r>
      <w:proofErr w:type="spellStart"/>
      <w:r w:rsidRPr="00FA2AC5">
        <w:t>podkazalnikov</w:t>
      </w:r>
      <w:proofErr w:type="spellEnd"/>
      <w:r w:rsidRPr="00FA2AC5">
        <w:t xml:space="preserve"> ogroženost zaradi naravnih pogojev, spremembe v kmetijstvu in starostna struktura prebivalstva; kazalnik sposobnosti prilagajanja </w:t>
      </w:r>
      <w:r>
        <w:t xml:space="preserve">kmetijstva </w:t>
      </w:r>
      <w:r w:rsidRPr="00B47D54">
        <w:t>podnebju (PKP) pa iz</w:t>
      </w:r>
      <w:r w:rsidRPr="00FA2AC5">
        <w:t xml:space="preserve"> </w:t>
      </w:r>
      <w:proofErr w:type="spellStart"/>
      <w:r w:rsidRPr="00FA2AC5">
        <w:t>podkazalnikov</w:t>
      </w:r>
      <w:proofErr w:type="spellEnd"/>
      <w:r w:rsidRPr="00FA2AC5">
        <w:t xml:space="preserve"> prihodek, trajnostno gospodarjenje in naravni viri. Vse spremenljivke smo standardizirali. Celotno oceno ranljivosti smo razdelili na pet kazalnikov ranljivosti: 'toplotna obremenitev in vročinski stres', 'suša – zaloge vode', 'rastna doba', 'neurja – poplave' in 'veter'. Za vsak kazalnik ranljivosti smo s pomočjo matrike določili, katere spremenljivke IKP in OKP so zanj najpomembnejše ter izračunali potencialni vpliv kot povprečje standardiziranih vrednosti izbranih spremenljivk. Nato smo</w:t>
      </w:r>
      <w:r>
        <w:t xml:space="preserve"> zanj</w:t>
      </w:r>
      <w:r w:rsidRPr="00FA2AC5">
        <w:t xml:space="preserve"> izbrali še primerne spremenljivke PKP in izračunali njihovo povprečje. Kazalnik ranljivosti je določen kot povprečje pripadajočega potencialnega vpliva in sposobnosti prilagajanja, povprečje vseh petih kazalnikov ranljivosti pa določa skupno ranljivost kmetijstva. </w:t>
      </w:r>
    </w:p>
    <w:p w14:paraId="7322C791" w14:textId="77777777" w:rsidR="00766373" w:rsidRPr="009F3C7F" w:rsidRDefault="00766373" w:rsidP="00766373">
      <w:r w:rsidRPr="002A366C">
        <w:t xml:space="preserve">Območje Mestne občine Nova Gorica je najbolj izpostavljeno vetru in pomanjkanju zalog vode zaradi majhnih količin snega ter ekstremom v obe smeri – sušam in </w:t>
      </w:r>
      <w:r>
        <w:t>zastajanju vode</w:t>
      </w:r>
      <w:r w:rsidRPr="002A366C">
        <w:t xml:space="preserve">. Sledijo praktično vse ostale spremenljivke z zmerno izpostavljenostjo. Po scenarijih podnebnih sprememb pričakujemo predvsem veliko večjo izpostavljenost zaradi višjih poletnih temperatur, kar </w:t>
      </w:r>
      <w:r>
        <w:t xml:space="preserve">močno </w:t>
      </w:r>
      <w:r w:rsidRPr="002A366C">
        <w:t xml:space="preserve">stopnjuje toplotno obremenitev in poleg večjega pomanjkanja padavin ter slabše razporeditve tudi suše. Občina je najbolj občutljiva zaradi kmetijskih površin na območjih z omejenimi možnostmi za kmetijstvo, povprečne starosti članov in nosilca kmetijskih gospodarstev ter območij z nizko proizvodno sposobnostjo. Sposobnost prilagajanja podnebnim spremembam je v povprečju majhna, najbolj zaradi </w:t>
      </w:r>
      <w:r>
        <w:t>regijsko zelo majhnega d</w:t>
      </w:r>
      <w:r w:rsidRPr="002A366C">
        <w:rPr>
          <w:bCs/>
        </w:rPr>
        <w:t>elež</w:t>
      </w:r>
      <w:r>
        <w:rPr>
          <w:bCs/>
        </w:rPr>
        <w:t>a</w:t>
      </w:r>
      <w:r w:rsidRPr="002A366C">
        <w:rPr>
          <w:bCs/>
        </w:rPr>
        <w:t xml:space="preserve"> povprečnih letnih investicij za varstvo okolja v povprečnem letnem bruto domačem proizvodu</w:t>
      </w:r>
      <w:r>
        <w:rPr>
          <w:bCs/>
        </w:rPr>
        <w:t xml:space="preserve">, majhnega deleža kmetijskih gospodarstev z </w:t>
      </w:r>
      <w:r>
        <w:t>ekološkim kmetovanjem ali</w:t>
      </w:r>
      <w:r w:rsidRPr="002A366C">
        <w:t xml:space="preserve"> z dopolnilnimi dejavnostmi </w:t>
      </w:r>
      <w:r>
        <w:t>ter majhnega</w:t>
      </w:r>
      <w:r w:rsidRPr="002A366C">
        <w:t xml:space="preserve"> deleža kmetijskih zemljišč z namakalnimi sistemi. </w:t>
      </w:r>
      <w:r w:rsidRPr="009F3C7F">
        <w:t xml:space="preserve">Ranljivost na podnebne spremembe je v referenčnem in prvem obdobju projekcij (2011—2040) po obeh scenarijih podnebnih sprememb zmerna za kazalnika rastna doba in neurja – poplave. Velika je ranljivost za sušo – zaloge vode in veter. Le pri kazalniku toplotna </w:t>
      </w:r>
      <w:r w:rsidRPr="009F3C7F">
        <w:lastRenderedPageBreak/>
        <w:t>obremenitev in vročinski stres se prvo obdobje razlikuje od referenčnega – v referenčnem je ocenjena ranljivost zmerna, v prvem obdobju pa velika. Skupna ocena ranljivosti za sektor kmetijstvo je ocenjena na veliko. V drugem obdobju (2041—2070) bo pri kazalniku ranljivosti toplotna obremenitev in vročinski stres po obeh scenarijih potencialni vpliv velik (prej zmeren). Skupna ranljivost sektorja bo še naprej velika</w:t>
      </w:r>
      <w:r>
        <w:t xml:space="preserve"> in </w:t>
      </w:r>
      <w:r w:rsidRPr="009F3C7F">
        <w:t xml:space="preserve">ocenjena na 4, prav tako tudi tveganje. Zavedati se moramo, da so številčne ocene lahko zavajajoče z vidika enake ocene, a da je tudi razpon znotraj </w:t>
      </w:r>
      <w:r>
        <w:t xml:space="preserve">ene </w:t>
      </w:r>
      <w:r w:rsidRPr="009F3C7F">
        <w:t xml:space="preserve">ocene velik in se zato ranljivost vseeno povečuje. Občina mora postati izredno dejavna pri ukrepih blaženja in predvsem prilagajanja. </w:t>
      </w:r>
    </w:p>
    <w:p w14:paraId="184EE86F" w14:textId="77777777" w:rsidR="00766373" w:rsidRPr="000F4E69" w:rsidRDefault="00766373" w:rsidP="00766373">
      <w:r w:rsidRPr="009F3C7F">
        <w:t xml:space="preserve">Integracija lokalnega znanja je bila dosežena s pomočjo posvetovanja z deležniki. Kmetijska svetovalna služba opozarja na težave </w:t>
      </w:r>
      <w:r w:rsidRPr="00B47D54">
        <w:t xml:space="preserve">zaradi </w:t>
      </w:r>
      <w:r w:rsidRPr="00745EAC">
        <w:t>pomanjkanj</w:t>
      </w:r>
      <w:r w:rsidRPr="00B47D54">
        <w:t>a vode in po drugi strani zastajanja vode na kmetijskih zemljiščih ob intenzivnih padavinskih dogodkih</w:t>
      </w:r>
      <w:r w:rsidRPr="009F3C7F">
        <w:t xml:space="preserve">. Za namakanje je potrebno urediti zadrževalnik </w:t>
      </w:r>
      <w:proofErr w:type="spellStart"/>
      <w:r w:rsidRPr="009F3C7F">
        <w:t>Vogršček</w:t>
      </w:r>
      <w:proofErr w:type="spellEnd"/>
      <w:r w:rsidRPr="009F3C7F">
        <w:t xml:space="preserve">, potrebujejo še druge vodne vire. Težave povzročajo še vetrna erozija in tujerodne invazivne vrste. Ob velikem pomenu lokalne samooskrbe je nujna ureditev organiziranega odkupa. Na podlagi zakonodajnega okvira je bil določen prioritetni nabor ukrepov glede na pomembna področja ukrepanja (PPU), med njimi: </w:t>
      </w:r>
      <w:r w:rsidRPr="000F4E69">
        <w:t xml:space="preserve">ureditev namakalnih sistemov in zajetja </w:t>
      </w:r>
      <w:proofErr w:type="spellStart"/>
      <w:r w:rsidRPr="000F4E69">
        <w:t>Vogršček</w:t>
      </w:r>
      <w:proofErr w:type="spellEnd"/>
      <w:r w:rsidRPr="000F4E69">
        <w:t xml:space="preserve"> (skupno urejanje vodnih pravic in prioritet), agrotehnični ukrepi za odpravo zastajanja vode, povečevanje deleža pridelave v pokritih površinah, investicije v protitočne mreže, uvajanje protivetrnih zaščit in zaščit pred divjadjo, izobraževanje, prioritetna lokalna oskrba, spremembe sortimenta, spodbujanje ekološkega kmetovanja, mladih prevzemnikov in dopolnilnih dejavnosti.</w:t>
      </w:r>
    </w:p>
    <w:p w14:paraId="2637AD63" w14:textId="08FBD835" w:rsidR="00766373" w:rsidRDefault="00766373" w:rsidP="00766373">
      <w:pPr>
        <w:spacing w:after="0"/>
        <w:jc w:val="left"/>
        <w:rPr>
          <w:rFonts w:asciiTheme="minorHAnsi" w:eastAsia="Trebuchet MS" w:hAnsiTheme="minorHAnsi" w:cstheme="minorHAnsi"/>
          <w:i/>
          <w:iCs/>
          <w:color w:val="44546A" w:themeColor="text2"/>
          <w:sz w:val="18"/>
          <w:szCs w:val="18"/>
          <w:lang w:eastAsia="sl-SI"/>
        </w:rPr>
      </w:pPr>
      <w:bookmarkStart w:id="8" w:name="_Toc44657090"/>
      <w:bookmarkStart w:id="9" w:name="_Toc97026944"/>
      <w:r w:rsidRPr="00A95764">
        <w:rPr>
          <w:rFonts w:asciiTheme="minorHAnsi" w:eastAsia="Trebuchet MS" w:hAnsiTheme="minorHAnsi" w:cstheme="minorHAnsi"/>
          <w:i/>
          <w:iCs/>
          <w:color w:val="44546A" w:themeColor="text2"/>
          <w:sz w:val="18"/>
          <w:szCs w:val="18"/>
          <w:lang w:eastAsia="sl-SI"/>
        </w:rPr>
        <w:t xml:space="preserve">Preglednica </w:t>
      </w:r>
      <w:r w:rsidR="00976D80">
        <w:rPr>
          <w:rFonts w:asciiTheme="minorHAnsi" w:eastAsia="Trebuchet MS" w:hAnsiTheme="minorHAnsi" w:cstheme="minorHAnsi"/>
          <w:i/>
          <w:iCs/>
          <w:color w:val="44546A" w:themeColor="text2"/>
          <w:sz w:val="18"/>
          <w:szCs w:val="18"/>
          <w:lang w:eastAsia="sl-SI"/>
        </w:rPr>
        <w:fldChar w:fldCharType="begin"/>
      </w:r>
      <w:r w:rsidR="00976D80">
        <w:rPr>
          <w:rFonts w:asciiTheme="minorHAnsi" w:eastAsia="Trebuchet MS" w:hAnsiTheme="minorHAnsi" w:cstheme="minorHAnsi"/>
          <w:i/>
          <w:iCs/>
          <w:color w:val="44546A" w:themeColor="text2"/>
          <w:sz w:val="18"/>
          <w:szCs w:val="18"/>
          <w:lang w:eastAsia="sl-SI"/>
        </w:rPr>
        <w:instrText xml:space="preserve"> STYLEREF 1 \s </w:instrText>
      </w:r>
      <w:r w:rsidR="00976D80">
        <w:rPr>
          <w:rFonts w:asciiTheme="minorHAnsi" w:eastAsia="Trebuchet MS" w:hAnsiTheme="minorHAnsi" w:cstheme="minorHAnsi"/>
          <w:i/>
          <w:iCs/>
          <w:color w:val="44546A" w:themeColor="text2"/>
          <w:sz w:val="18"/>
          <w:szCs w:val="18"/>
          <w:lang w:eastAsia="sl-SI"/>
        </w:rPr>
        <w:fldChar w:fldCharType="separate"/>
      </w:r>
      <w:r w:rsidR="00976D80">
        <w:rPr>
          <w:rFonts w:asciiTheme="minorHAnsi" w:eastAsia="Trebuchet MS" w:hAnsiTheme="minorHAnsi" w:cstheme="minorHAnsi"/>
          <w:i/>
          <w:iCs/>
          <w:noProof/>
          <w:color w:val="44546A" w:themeColor="text2"/>
          <w:sz w:val="18"/>
          <w:szCs w:val="18"/>
          <w:lang w:eastAsia="sl-SI"/>
        </w:rPr>
        <w:t>1</w:t>
      </w:r>
      <w:r w:rsidR="00976D80">
        <w:rPr>
          <w:rFonts w:asciiTheme="minorHAnsi" w:eastAsia="Trebuchet MS" w:hAnsiTheme="minorHAnsi" w:cstheme="minorHAnsi"/>
          <w:i/>
          <w:iCs/>
          <w:color w:val="44546A" w:themeColor="text2"/>
          <w:sz w:val="18"/>
          <w:szCs w:val="18"/>
          <w:lang w:eastAsia="sl-SI"/>
        </w:rPr>
        <w:fldChar w:fldCharType="end"/>
      </w:r>
      <w:r w:rsidR="00976D80">
        <w:rPr>
          <w:rFonts w:asciiTheme="minorHAnsi" w:eastAsia="Trebuchet MS" w:hAnsiTheme="minorHAnsi" w:cstheme="minorHAnsi"/>
          <w:i/>
          <w:iCs/>
          <w:color w:val="44546A" w:themeColor="text2"/>
          <w:sz w:val="18"/>
          <w:szCs w:val="18"/>
          <w:lang w:eastAsia="sl-SI"/>
        </w:rPr>
        <w:t>.</w:t>
      </w:r>
      <w:r w:rsidR="00976D80">
        <w:rPr>
          <w:rFonts w:asciiTheme="minorHAnsi" w:eastAsia="Trebuchet MS" w:hAnsiTheme="minorHAnsi" w:cstheme="minorHAnsi"/>
          <w:i/>
          <w:iCs/>
          <w:color w:val="44546A" w:themeColor="text2"/>
          <w:sz w:val="18"/>
          <w:szCs w:val="18"/>
          <w:lang w:eastAsia="sl-SI"/>
        </w:rPr>
        <w:fldChar w:fldCharType="begin"/>
      </w:r>
      <w:r w:rsidR="00976D80">
        <w:rPr>
          <w:rFonts w:asciiTheme="minorHAnsi" w:eastAsia="Trebuchet MS" w:hAnsiTheme="minorHAnsi" w:cstheme="minorHAnsi"/>
          <w:i/>
          <w:iCs/>
          <w:color w:val="44546A" w:themeColor="text2"/>
          <w:sz w:val="18"/>
          <w:szCs w:val="18"/>
          <w:lang w:eastAsia="sl-SI"/>
        </w:rPr>
        <w:instrText xml:space="preserve"> SEQ Preglednica \* ARABIC \s 1 </w:instrText>
      </w:r>
      <w:r w:rsidR="00976D80">
        <w:rPr>
          <w:rFonts w:asciiTheme="minorHAnsi" w:eastAsia="Trebuchet MS" w:hAnsiTheme="minorHAnsi" w:cstheme="minorHAnsi"/>
          <w:i/>
          <w:iCs/>
          <w:color w:val="44546A" w:themeColor="text2"/>
          <w:sz w:val="18"/>
          <w:szCs w:val="18"/>
          <w:lang w:eastAsia="sl-SI"/>
        </w:rPr>
        <w:fldChar w:fldCharType="separate"/>
      </w:r>
      <w:r w:rsidR="00976D80">
        <w:rPr>
          <w:rFonts w:asciiTheme="minorHAnsi" w:eastAsia="Trebuchet MS" w:hAnsiTheme="minorHAnsi" w:cstheme="minorHAnsi"/>
          <w:i/>
          <w:iCs/>
          <w:noProof/>
          <w:color w:val="44546A" w:themeColor="text2"/>
          <w:sz w:val="18"/>
          <w:szCs w:val="18"/>
          <w:lang w:eastAsia="sl-SI"/>
        </w:rPr>
        <w:t>2</w:t>
      </w:r>
      <w:r w:rsidR="00976D80">
        <w:rPr>
          <w:rFonts w:asciiTheme="minorHAnsi" w:eastAsia="Trebuchet MS" w:hAnsiTheme="minorHAnsi" w:cstheme="minorHAnsi"/>
          <w:i/>
          <w:iCs/>
          <w:color w:val="44546A" w:themeColor="text2"/>
          <w:sz w:val="18"/>
          <w:szCs w:val="18"/>
          <w:lang w:eastAsia="sl-SI"/>
        </w:rPr>
        <w:fldChar w:fldCharType="end"/>
      </w:r>
      <w:r w:rsidRPr="00A95764">
        <w:rPr>
          <w:rFonts w:asciiTheme="minorHAnsi" w:eastAsia="Trebuchet MS" w:hAnsiTheme="minorHAnsi" w:cstheme="minorHAnsi"/>
          <w:i/>
          <w:iCs/>
          <w:color w:val="44546A" w:themeColor="text2"/>
          <w:sz w:val="18"/>
          <w:szCs w:val="18"/>
          <w:lang w:eastAsia="sl-SI"/>
        </w:rPr>
        <w:t xml:space="preserve">: Ranljivost kmetijstva, sestavljena iz </w:t>
      </w:r>
      <w:r w:rsidRPr="007C7123">
        <w:rPr>
          <w:rFonts w:asciiTheme="minorHAnsi" w:eastAsia="Trebuchet MS" w:hAnsiTheme="minorHAnsi" w:cstheme="minorHAnsi"/>
          <w:i/>
          <w:iCs/>
          <w:color w:val="44546A" w:themeColor="text2"/>
          <w:sz w:val="18"/>
          <w:szCs w:val="18"/>
          <w:lang w:eastAsia="sl-SI"/>
        </w:rPr>
        <w:t>pet</w:t>
      </w:r>
      <w:r w:rsidRPr="00A95764">
        <w:rPr>
          <w:rFonts w:asciiTheme="minorHAnsi" w:eastAsia="Trebuchet MS" w:hAnsiTheme="minorHAnsi" w:cstheme="minorHAnsi"/>
          <w:i/>
          <w:iCs/>
          <w:color w:val="44546A" w:themeColor="text2"/>
          <w:sz w:val="18"/>
          <w:szCs w:val="18"/>
          <w:lang w:eastAsia="sl-SI"/>
        </w:rPr>
        <w:t>ih kazalnikov ranljivosti, s pripadajočimi potencialnimi vplivi in sposobnostjo prilagajanja po scenarij</w:t>
      </w:r>
      <w:r>
        <w:rPr>
          <w:rFonts w:asciiTheme="minorHAnsi" w:eastAsia="Trebuchet MS" w:hAnsiTheme="minorHAnsi" w:cstheme="minorHAnsi"/>
          <w:i/>
          <w:iCs/>
          <w:color w:val="44546A" w:themeColor="text2"/>
          <w:sz w:val="18"/>
          <w:szCs w:val="18"/>
          <w:lang w:eastAsia="sl-SI"/>
        </w:rPr>
        <w:t>ih</w:t>
      </w:r>
      <w:r w:rsidRPr="00A95764">
        <w:rPr>
          <w:rFonts w:asciiTheme="minorHAnsi" w:eastAsia="Trebuchet MS" w:hAnsiTheme="minorHAnsi" w:cstheme="minorHAnsi"/>
          <w:i/>
          <w:iCs/>
          <w:color w:val="44546A" w:themeColor="text2"/>
          <w:sz w:val="18"/>
          <w:szCs w:val="18"/>
          <w:lang w:eastAsia="sl-SI"/>
        </w:rPr>
        <w:t xml:space="preserve"> </w:t>
      </w:r>
      <w:r>
        <w:rPr>
          <w:rFonts w:asciiTheme="minorHAnsi" w:eastAsia="Trebuchet MS" w:hAnsiTheme="minorHAnsi" w:cstheme="minorHAnsi"/>
          <w:i/>
          <w:iCs/>
          <w:color w:val="44546A" w:themeColor="text2"/>
          <w:sz w:val="18"/>
          <w:szCs w:val="18"/>
          <w:lang w:eastAsia="sl-SI"/>
        </w:rPr>
        <w:t xml:space="preserve">RCP4.5 in </w:t>
      </w:r>
      <w:r w:rsidRPr="00A95764">
        <w:rPr>
          <w:rFonts w:asciiTheme="minorHAnsi" w:eastAsia="Trebuchet MS" w:hAnsiTheme="minorHAnsi" w:cstheme="minorHAnsi"/>
          <w:i/>
          <w:iCs/>
          <w:color w:val="44546A" w:themeColor="text2"/>
          <w:sz w:val="18"/>
          <w:szCs w:val="18"/>
          <w:lang w:eastAsia="sl-SI"/>
        </w:rPr>
        <w:t>RCP8.5 v obdob</w:t>
      </w:r>
      <w:r>
        <w:rPr>
          <w:rFonts w:asciiTheme="minorHAnsi" w:eastAsia="Trebuchet MS" w:hAnsiTheme="minorHAnsi" w:cstheme="minorHAnsi"/>
          <w:i/>
          <w:iCs/>
          <w:color w:val="44546A" w:themeColor="text2"/>
          <w:sz w:val="18"/>
          <w:szCs w:val="18"/>
          <w:lang w:eastAsia="sl-SI"/>
        </w:rPr>
        <w:t>ju</w:t>
      </w:r>
      <w:r w:rsidRPr="00A95764">
        <w:rPr>
          <w:rFonts w:asciiTheme="minorHAnsi" w:eastAsia="Trebuchet MS" w:hAnsiTheme="minorHAnsi" w:cstheme="minorHAnsi"/>
          <w:i/>
          <w:iCs/>
          <w:color w:val="44546A" w:themeColor="text2"/>
          <w:sz w:val="18"/>
          <w:szCs w:val="18"/>
          <w:lang w:eastAsia="sl-SI"/>
        </w:rPr>
        <w:t xml:space="preserve"> 2041–2070 ter </w:t>
      </w:r>
      <w:r>
        <w:rPr>
          <w:rFonts w:asciiTheme="minorHAnsi" w:eastAsia="Trebuchet MS" w:hAnsiTheme="minorHAnsi" w:cstheme="minorHAnsi"/>
          <w:i/>
          <w:iCs/>
          <w:color w:val="44546A" w:themeColor="text2"/>
          <w:sz w:val="18"/>
          <w:szCs w:val="18"/>
          <w:lang w:eastAsia="sl-SI"/>
        </w:rPr>
        <w:t xml:space="preserve">pripadajoča </w:t>
      </w:r>
      <w:r w:rsidRPr="00A95764">
        <w:rPr>
          <w:rFonts w:asciiTheme="minorHAnsi" w:eastAsia="Trebuchet MS" w:hAnsiTheme="minorHAnsi" w:cstheme="minorHAnsi"/>
          <w:i/>
          <w:iCs/>
          <w:color w:val="44546A" w:themeColor="text2"/>
          <w:sz w:val="18"/>
          <w:szCs w:val="18"/>
          <w:lang w:eastAsia="sl-SI"/>
        </w:rPr>
        <w:t>ocena tveganja.</w:t>
      </w:r>
      <w:bookmarkEnd w:id="8"/>
      <w:bookmarkEnd w:id="9"/>
    </w:p>
    <w:p w14:paraId="4103783F" w14:textId="77777777" w:rsidR="00766373" w:rsidRDefault="00766373" w:rsidP="00766373">
      <w:pPr>
        <w:spacing w:after="0"/>
        <w:jc w:val="center"/>
        <w:rPr>
          <w:rFonts w:asciiTheme="minorHAnsi" w:eastAsia="Trebuchet MS" w:hAnsiTheme="minorHAnsi" w:cstheme="minorHAnsi"/>
          <w:i/>
          <w:iCs/>
          <w:color w:val="44546A" w:themeColor="text2"/>
          <w:sz w:val="18"/>
          <w:szCs w:val="18"/>
          <w:lang w:eastAsia="sl-SI"/>
        </w:rPr>
      </w:pPr>
      <w:r>
        <w:rPr>
          <w:rFonts w:asciiTheme="minorHAnsi" w:eastAsia="Trebuchet MS" w:hAnsiTheme="minorHAnsi" w:cstheme="minorHAnsi"/>
          <w:i/>
          <w:iCs/>
          <w:noProof/>
          <w:color w:val="44546A" w:themeColor="text2"/>
          <w:sz w:val="18"/>
          <w:szCs w:val="18"/>
          <w:lang w:eastAsia="sl-SI"/>
        </w:rPr>
        <w:drawing>
          <wp:inline distT="0" distB="0" distL="0" distR="0" wp14:anchorId="3827F455" wp14:editId="6FD5218A">
            <wp:extent cx="4694769" cy="3079750"/>
            <wp:effectExtent l="0" t="0" r="0" b="6350"/>
            <wp:docPr id="898580700" name="Picture 898580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00398" cy="3083443"/>
                    </a:xfrm>
                    <a:prstGeom prst="rect">
                      <a:avLst/>
                    </a:prstGeom>
                    <a:noFill/>
                  </pic:spPr>
                </pic:pic>
              </a:graphicData>
            </a:graphic>
          </wp:inline>
        </w:drawing>
      </w:r>
    </w:p>
    <w:p w14:paraId="3D28D517" w14:textId="77777777" w:rsidR="00766373" w:rsidRDefault="00766373" w:rsidP="00766373">
      <w:pPr>
        <w:spacing w:after="0"/>
        <w:jc w:val="left"/>
        <w:rPr>
          <w:rFonts w:asciiTheme="minorHAnsi" w:eastAsia="Trebuchet MS" w:hAnsiTheme="minorHAnsi" w:cstheme="minorHAnsi"/>
          <w:i/>
          <w:iCs/>
          <w:color w:val="44546A" w:themeColor="text2"/>
          <w:sz w:val="18"/>
          <w:szCs w:val="18"/>
          <w:lang w:eastAsia="sl-SI"/>
        </w:rPr>
      </w:pPr>
    </w:p>
    <w:p w14:paraId="6283A2C7" w14:textId="77777777" w:rsidR="00766373" w:rsidRDefault="00766373" w:rsidP="00766373">
      <w:pPr>
        <w:spacing w:after="200" w:line="240" w:lineRule="auto"/>
        <w:jc w:val="center"/>
        <w:rPr>
          <w:rFonts w:asciiTheme="minorHAnsi" w:hAnsiTheme="minorHAnsi"/>
          <w:i/>
          <w:iCs/>
          <w:color w:val="44546A" w:themeColor="text2"/>
          <w:sz w:val="18"/>
          <w:szCs w:val="18"/>
        </w:rPr>
      </w:pPr>
      <w:bookmarkStart w:id="10" w:name="_Toc44657008"/>
      <w:r>
        <w:rPr>
          <w:rFonts w:asciiTheme="minorHAnsi" w:hAnsiTheme="minorHAnsi"/>
          <w:i/>
          <w:iCs/>
          <w:noProof/>
          <w:color w:val="44546A" w:themeColor="text2"/>
          <w:sz w:val="18"/>
          <w:szCs w:val="18"/>
          <w:lang w:eastAsia="sl-SI"/>
        </w:rPr>
        <w:lastRenderedPageBreak/>
        <w:drawing>
          <wp:inline distT="0" distB="0" distL="0" distR="0" wp14:anchorId="5E74A1F8" wp14:editId="3B76843B">
            <wp:extent cx="2238676" cy="1829394"/>
            <wp:effectExtent l="0" t="0" r="0" b="0"/>
            <wp:docPr id="898580701" name="Picture 89858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05363" cy="1883889"/>
                    </a:xfrm>
                    <a:prstGeom prst="rect">
                      <a:avLst/>
                    </a:prstGeom>
                    <a:noFill/>
                  </pic:spPr>
                </pic:pic>
              </a:graphicData>
            </a:graphic>
          </wp:inline>
        </w:drawing>
      </w:r>
      <w:r>
        <w:rPr>
          <w:rFonts w:asciiTheme="minorHAnsi" w:hAnsiTheme="minorHAnsi"/>
          <w:i/>
          <w:iCs/>
          <w:noProof/>
          <w:color w:val="44546A" w:themeColor="text2"/>
          <w:sz w:val="18"/>
          <w:szCs w:val="18"/>
          <w:lang w:eastAsia="sl-SI"/>
        </w:rPr>
        <w:drawing>
          <wp:inline distT="0" distB="0" distL="0" distR="0" wp14:anchorId="4CBB9CCE" wp14:editId="547B6EB7">
            <wp:extent cx="2258060" cy="1823845"/>
            <wp:effectExtent l="0" t="0" r="8890" b="5080"/>
            <wp:docPr id="898580702" name="Picture 898580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43120" cy="1892549"/>
                    </a:xfrm>
                    <a:prstGeom prst="rect">
                      <a:avLst/>
                    </a:prstGeom>
                    <a:noFill/>
                  </pic:spPr>
                </pic:pic>
              </a:graphicData>
            </a:graphic>
          </wp:inline>
        </w:drawing>
      </w:r>
    </w:p>
    <w:p w14:paraId="5215EBB9" w14:textId="5132F4CF" w:rsidR="00C3001F" w:rsidRDefault="00766373" w:rsidP="00766373">
      <w:pPr>
        <w:rPr>
          <w:rFonts w:asciiTheme="minorHAnsi" w:hAnsiTheme="minorHAnsi"/>
          <w:i/>
          <w:iCs/>
          <w:color w:val="44546A" w:themeColor="text2"/>
          <w:sz w:val="18"/>
          <w:szCs w:val="18"/>
        </w:rPr>
      </w:pPr>
      <w:bookmarkStart w:id="11" w:name="_Toc97026830"/>
      <w:r w:rsidRPr="00A95764">
        <w:rPr>
          <w:rFonts w:asciiTheme="minorHAnsi" w:hAnsiTheme="minorHAnsi"/>
          <w:i/>
          <w:iCs/>
          <w:color w:val="44546A" w:themeColor="text2"/>
          <w:sz w:val="18"/>
          <w:szCs w:val="18"/>
        </w:rPr>
        <w:t xml:space="preserve">Slika </w:t>
      </w:r>
      <w:r w:rsidR="008334B2">
        <w:rPr>
          <w:rFonts w:asciiTheme="minorHAnsi" w:hAnsiTheme="minorHAnsi"/>
          <w:i/>
          <w:iCs/>
          <w:color w:val="44546A" w:themeColor="text2"/>
          <w:sz w:val="18"/>
          <w:szCs w:val="18"/>
        </w:rPr>
        <w:fldChar w:fldCharType="begin"/>
      </w:r>
      <w:r w:rsidR="008334B2">
        <w:rPr>
          <w:rFonts w:asciiTheme="minorHAnsi" w:hAnsiTheme="minorHAnsi"/>
          <w:i/>
          <w:iCs/>
          <w:color w:val="44546A" w:themeColor="text2"/>
          <w:sz w:val="18"/>
          <w:szCs w:val="18"/>
        </w:rPr>
        <w:instrText xml:space="preserve"> STYLEREF 1 \s </w:instrText>
      </w:r>
      <w:r w:rsidR="008334B2">
        <w:rPr>
          <w:rFonts w:asciiTheme="minorHAnsi" w:hAnsiTheme="minorHAnsi"/>
          <w:i/>
          <w:iCs/>
          <w:color w:val="44546A" w:themeColor="text2"/>
          <w:sz w:val="18"/>
          <w:szCs w:val="18"/>
        </w:rPr>
        <w:fldChar w:fldCharType="separate"/>
      </w:r>
      <w:r w:rsidR="008334B2">
        <w:rPr>
          <w:rFonts w:asciiTheme="minorHAnsi" w:hAnsiTheme="minorHAnsi"/>
          <w:i/>
          <w:iCs/>
          <w:noProof/>
          <w:color w:val="44546A" w:themeColor="text2"/>
          <w:sz w:val="18"/>
          <w:szCs w:val="18"/>
        </w:rPr>
        <w:t>1</w:t>
      </w:r>
      <w:r w:rsidR="008334B2">
        <w:rPr>
          <w:rFonts w:asciiTheme="minorHAnsi" w:hAnsiTheme="minorHAnsi"/>
          <w:i/>
          <w:iCs/>
          <w:color w:val="44546A" w:themeColor="text2"/>
          <w:sz w:val="18"/>
          <w:szCs w:val="18"/>
        </w:rPr>
        <w:fldChar w:fldCharType="end"/>
      </w:r>
      <w:r w:rsidR="008334B2">
        <w:rPr>
          <w:rFonts w:asciiTheme="minorHAnsi" w:hAnsiTheme="minorHAnsi"/>
          <w:i/>
          <w:iCs/>
          <w:color w:val="44546A" w:themeColor="text2"/>
          <w:sz w:val="18"/>
          <w:szCs w:val="18"/>
        </w:rPr>
        <w:t>.</w:t>
      </w:r>
      <w:r w:rsidR="008334B2">
        <w:rPr>
          <w:rFonts w:asciiTheme="minorHAnsi" w:hAnsiTheme="minorHAnsi"/>
          <w:i/>
          <w:iCs/>
          <w:color w:val="44546A" w:themeColor="text2"/>
          <w:sz w:val="18"/>
          <w:szCs w:val="18"/>
        </w:rPr>
        <w:fldChar w:fldCharType="begin"/>
      </w:r>
      <w:r w:rsidR="008334B2">
        <w:rPr>
          <w:rFonts w:asciiTheme="minorHAnsi" w:hAnsiTheme="minorHAnsi"/>
          <w:i/>
          <w:iCs/>
          <w:color w:val="44546A" w:themeColor="text2"/>
          <w:sz w:val="18"/>
          <w:szCs w:val="18"/>
        </w:rPr>
        <w:instrText xml:space="preserve"> SEQ Slika \* ARABIC \s 1 </w:instrText>
      </w:r>
      <w:r w:rsidR="008334B2">
        <w:rPr>
          <w:rFonts w:asciiTheme="minorHAnsi" w:hAnsiTheme="minorHAnsi"/>
          <w:i/>
          <w:iCs/>
          <w:color w:val="44546A" w:themeColor="text2"/>
          <w:sz w:val="18"/>
          <w:szCs w:val="18"/>
        </w:rPr>
        <w:fldChar w:fldCharType="separate"/>
      </w:r>
      <w:r w:rsidR="008334B2">
        <w:rPr>
          <w:rFonts w:asciiTheme="minorHAnsi" w:hAnsiTheme="minorHAnsi"/>
          <w:i/>
          <w:iCs/>
          <w:noProof/>
          <w:color w:val="44546A" w:themeColor="text2"/>
          <w:sz w:val="18"/>
          <w:szCs w:val="18"/>
        </w:rPr>
        <w:t>1</w:t>
      </w:r>
      <w:r w:rsidR="008334B2">
        <w:rPr>
          <w:rFonts w:asciiTheme="minorHAnsi" w:hAnsiTheme="minorHAnsi"/>
          <w:i/>
          <w:iCs/>
          <w:color w:val="44546A" w:themeColor="text2"/>
          <w:sz w:val="18"/>
          <w:szCs w:val="18"/>
        </w:rPr>
        <w:fldChar w:fldCharType="end"/>
      </w:r>
      <w:r w:rsidRPr="00A95764">
        <w:rPr>
          <w:rFonts w:asciiTheme="minorHAnsi" w:hAnsiTheme="minorHAnsi"/>
          <w:i/>
          <w:iCs/>
          <w:color w:val="44546A" w:themeColor="text2"/>
          <w:sz w:val="18"/>
          <w:szCs w:val="18"/>
        </w:rPr>
        <w:t xml:space="preserve">: Prikaz ocen potencialnih vplivov za </w:t>
      </w:r>
      <w:r>
        <w:rPr>
          <w:rFonts w:asciiTheme="minorHAnsi" w:hAnsiTheme="minorHAnsi"/>
          <w:i/>
          <w:iCs/>
          <w:color w:val="44546A" w:themeColor="text2"/>
          <w:sz w:val="18"/>
          <w:szCs w:val="18"/>
        </w:rPr>
        <w:t>pet</w:t>
      </w:r>
      <w:r w:rsidRPr="00A95764">
        <w:rPr>
          <w:rFonts w:asciiTheme="minorHAnsi" w:hAnsiTheme="minorHAnsi"/>
          <w:i/>
          <w:iCs/>
          <w:color w:val="44546A" w:themeColor="text2"/>
          <w:sz w:val="18"/>
          <w:szCs w:val="18"/>
        </w:rPr>
        <w:t xml:space="preserve"> kazalnik</w:t>
      </w:r>
      <w:r>
        <w:rPr>
          <w:rFonts w:asciiTheme="minorHAnsi" w:hAnsiTheme="minorHAnsi"/>
          <w:i/>
          <w:iCs/>
          <w:color w:val="44546A" w:themeColor="text2"/>
          <w:sz w:val="18"/>
          <w:szCs w:val="18"/>
        </w:rPr>
        <w:t>ov</w:t>
      </w:r>
      <w:r w:rsidRPr="00A95764">
        <w:rPr>
          <w:rFonts w:asciiTheme="minorHAnsi" w:hAnsiTheme="minorHAnsi"/>
          <w:i/>
          <w:iCs/>
          <w:color w:val="44546A" w:themeColor="text2"/>
          <w:sz w:val="18"/>
          <w:szCs w:val="18"/>
        </w:rPr>
        <w:t xml:space="preserve"> ranljivosti v kmetijstvu v referenčnem obdobju </w:t>
      </w:r>
      <w:r>
        <w:rPr>
          <w:rFonts w:asciiTheme="minorHAnsi" w:hAnsiTheme="minorHAnsi"/>
          <w:i/>
          <w:iCs/>
          <w:color w:val="44546A" w:themeColor="text2"/>
          <w:sz w:val="18"/>
          <w:szCs w:val="18"/>
        </w:rPr>
        <w:t xml:space="preserve">ter za obe obdobji po scenarijih RCP4.5 in RCP8.5 </w:t>
      </w:r>
      <w:r w:rsidRPr="00A95764">
        <w:rPr>
          <w:rFonts w:asciiTheme="minorHAnsi" w:hAnsiTheme="minorHAnsi"/>
          <w:i/>
          <w:iCs/>
          <w:color w:val="44546A" w:themeColor="text2"/>
          <w:sz w:val="18"/>
          <w:szCs w:val="18"/>
        </w:rPr>
        <w:t>(levo) ter kazalnikov ranljivosti kmetijstva na podnebje (desno)</w:t>
      </w:r>
      <w:r>
        <w:rPr>
          <w:rFonts w:asciiTheme="minorHAnsi" w:hAnsiTheme="minorHAnsi"/>
          <w:i/>
          <w:iCs/>
          <w:color w:val="44546A" w:themeColor="text2"/>
          <w:sz w:val="18"/>
          <w:szCs w:val="18"/>
        </w:rPr>
        <w:t>(</w:t>
      </w:r>
      <w:r w:rsidRPr="00340CD4">
        <w:rPr>
          <w:rFonts w:asciiTheme="minorHAnsi" w:hAnsiTheme="minorHAnsi"/>
          <w:i/>
          <w:iCs/>
          <w:color w:val="44546A" w:themeColor="text2"/>
          <w:sz w:val="18"/>
          <w:szCs w:val="18"/>
        </w:rPr>
        <w:t>*le ocena ranljivosti za kazalnik 'toplotna obremenitev in vročinski stres' je v referenčnem obdobju 3 in v prvem obdobju po obeh scenarijih 4 – glej</w:t>
      </w:r>
      <w:r w:rsidR="00C87B9D">
        <w:rPr>
          <w:rFonts w:asciiTheme="minorHAnsi" w:hAnsiTheme="minorHAnsi"/>
          <w:i/>
          <w:iCs/>
          <w:color w:val="44546A" w:themeColor="text2"/>
          <w:sz w:val="18"/>
          <w:szCs w:val="18"/>
        </w:rPr>
        <w:t xml:space="preserve"> </w:t>
      </w:r>
      <w:r w:rsidR="00C87B9D">
        <w:rPr>
          <w:rFonts w:asciiTheme="minorHAnsi" w:hAnsiTheme="minorHAnsi"/>
          <w:i/>
          <w:iCs/>
          <w:color w:val="44546A" w:themeColor="text2"/>
          <w:sz w:val="18"/>
          <w:szCs w:val="18"/>
        </w:rPr>
        <w:fldChar w:fldCharType="begin"/>
      </w:r>
      <w:r w:rsidR="00C87B9D">
        <w:rPr>
          <w:rFonts w:asciiTheme="minorHAnsi" w:hAnsiTheme="minorHAnsi"/>
          <w:i/>
          <w:iCs/>
          <w:color w:val="44546A" w:themeColor="text2"/>
          <w:sz w:val="18"/>
          <w:szCs w:val="18"/>
        </w:rPr>
        <w:instrText xml:space="preserve"> REF _Ref74577012 \h  \* MERGEFORMAT </w:instrText>
      </w:r>
      <w:r w:rsidR="00C87B9D">
        <w:rPr>
          <w:rFonts w:asciiTheme="minorHAnsi" w:hAnsiTheme="minorHAnsi"/>
          <w:i/>
          <w:iCs/>
          <w:color w:val="44546A" w:themeColor="text2"/>
          <w:sz w:val="18"/>
          <w:szCs w:val="18"/>
        </w:rPr>
      </w:r>
      <w:r w:rsidR="00C87B9D">
        <w:rPr>
          <w:rFonts w:asciiTheme="minorHAnsi" w:hAnsiTheme="minorHAnsi"/>
          <w:i/>
          <w:iCs/>
          <w:color w:val="44546A" w:themeColor="text2"/>
          <w:sz w:val="18"/>
          <w:szCs w:val="18"/>
        </w:rPr>
        <w:fldChar w:fldCharType="separate"/>
      </w:r>
      <w:r w:rsidR="004700D5" w:rsidRPr="004700D5">
        <w:rPr>
          <w:rFonts w:asciiTheme="minorHAnsi" w:hAnsiTheme="minorHAnsi"/>
          <w:i/>
          <w:iCs/>
          <w:color w:val="44546A" w:themeColor="text2"/>
          <w:sz w:val="18"/>
          <w:szCs w:val="18"/>
        </w:rPr>
        <w:t>Preglednica 6.11</w:t>
      </w:r>
      <w:r w:rsidR="00C87B9D">
        <w:rPr>
          <w:rFonts w:asciiTheme="minorHAnsi" w:hAnsiTheme="minorHAnsi"/>
          <w:i/>
          <w:iCs/>
          <w:color w:val="44546A" w:themeColor="text2"/>
          <w:sz w:val="18"/>
          <w:szCs w:val="18"/>
        </w:rPr>
        <w:fldChar w:fldCharType="end"/>
      </w:r>
      <w:r w:rsidRPr="00340CD4">
        <w:rPr>
          <w:rFonts w:asciiTheme="minorHAnsi" w:hAnsiTheme="minorHAnsi"/>
          <w:i/>
          <w:iCs/>
          <w:color w:val="44546A" w:themeColor="text2"/>
          <w:sz w:val="18"/>
          <w:szCs w:val="18"/>
        </w:rPr>
        <w:t>)</w:t>
      </w:r>
      <w:r w:rsidRPr="00A95764">
        <w:rPr>
          <w:rFonts w:asciiTheme="minorHAnsi" w:hAnsiTheme="minorHAnsi"/>
          <w:i/>
          <w:iCs/>
          <w:color w:val="44546A" w:themeColor="text2"/>
          <w:sz w:val="18"/>
          <w:szCs w:val="18"/>
        </w:rPr>
        <w:t>.</w:t>
      </w:r>
      <w:bookmarkEnd w:id="10"/>
      <w:bookmarkEnd w:id="11"/>
    </w:p>
    <w:p w14:paraId="4C6959D0" w14:textId="77777777" w:rsidR="00545A37" w:rsidRDefault="00545A37" w:rsidP="00545A37"/>
    <w:p w14:paraId="5FACF736" w14:textId="6D33910D" w:rsidR="00F973DA" w:rsidRDefault="00F973DA" w:rsidP="00CE43D7">
      <w:pPr>
        <w:pStyle w:val="Naslov2"/>
      </w:pPr>
      <w:bookmarkStart w:id="12" w:name="_Toc97026722"/>
      <w:r>
        <w:t>Sektor gozdarstvo</w:t>
      </w:r>
      <w:bookmarkEnd w:id="12"/>
    </w:p>
    <w:p w14:paraId="2B1A18BE" w14:textId="77777777" w:rsidR="00545A37" w:rsidRPr="00E82552" w:rsidRDefault="00545A37" w:rsidP="00545A37">
      <w:pPr>
        <w:rPr>
          <w:rFonts w:eastAsia="Trebuchet MS" w:cs="Trebuchet MS"/>
        </w:rPr>
      </w:pPr>
      <w:r w:rsidRPr="00E82552">
        <w:rPr>
          <w:lang w:eastAsia="sl-SI"/>
        </w:rPr>
        <w:t xml:space="preserve">Ocena tveganja na podnebne spremembe </w:t>
      </w:r>
      <w:r w:rsidRPr="00E82552">
        <w:rPr>
          <w:rFonts w:eastAsia="Calibri"/>
          <w:lang w:eastAsia="sl-SI"/>
        </w:rPr>
        <w:t>za sektor gozdarstvo v Mestni občini Nova Gorica</w:t>
      </w:r>
      <w:r w:rsidRPr="00E82552">
        <w:rPr>
          <w:lang w:eastAsia="sl-SI"/>
        </w:rPr>
        <w:t xml:space="preserve"> vključuje analizo obstoječega stanja gozdarstva in oceno potencialnih vplivov podnebnih sprememb na sektor glede na naravno okolje in družbeno okolje. Metodologija v največji možni meri sledi metodologiji iz Konvencije županov za podnebne spremembe in energijo, 2. del, upoštevajoč razpoložljive podatke glede na predstavljene in pričakovane scenarije podnebnih sprememb v Sloveniji in na območju Mestne občine Nova Gorica. </w:t>
      </w:r>
      <w:r w:rsidRPr="00E82552">
        <w:rPr>
          <w:rFonts w:eastAsia="Trebuchet MS" w:cs="Trebuchet MS"/>
        </w:rPr>
        <w:t xml:space="preserve">Ranljivost gozdarstva v Mestni občini Nova Gorica na podnebne spremembe je v tej analizi ocenjena s kvalitativno metodo, t. j. z ekspertno oceno vpliva podnebnih sprememb in sposobnosti za prilagajanje podnebnim spremembam. </w:t>
      </w:r>
    </w:p>
    <w:p w14:paraId="23340552" w14:textId="77777777" w:rsidR="00545A37" w:rsidRPr="00E82552" w:rsidRDefault="00545A37" w:rsidP="00545A37">
      <w:pPr>
        <w:rPr>
          <w:rFonts w:eastAsia="Trebuchet MS" w:cs="Trebuchet MS"/>
          <w:highlight w:val="yellow"/>
        </w:rPr>
      </w:pPr>
      <w:r w:rsidRPr="00E82552">
        <w:rPr>
          <w:rFonts w:eastAsia="Trebuchet MS" w:cs="Trebuchet MS"/>
        </w:rPr>
        <w:t xml:space="preserve">V Mestni občini Nova Gorica je bilo v letu 2019 19.429 ha gozdov, kar predstavlja 69 % površine občine. </w:t>
      </w:r>
      <w:r w:rsidRPr="00E82552">
        <w:rPr>
          <w:rFonts w:eastAsia="Arial" w:cs="Arial"/>
        </w:rPr>
        <w:t>Prevladujejo dinarski jelovo-bukovi gozdovi (</w:t>
      </w:r>
      <w:proofErr w:type="spellStart"/>
      <w:r w:rsidRPr="00E82552">
        <w:rPr>
          <w:rFonts w:eastAsia="Arial" w:cs="Arial"/>
          <w:i/>
          <w:iCs/>
        </w:rPr>
        <w:t>Omphalodo-Fagetum</w:t>
      </w:r>
      <w:proofErr w:type="spellEnd"/>
      <w:r w:rsidRPr="00E82552">
        <w:rPr>
          <w:rFonts w:eastAsia="Arial" w:cs="Arial"/>
        </w:rPr>
        <w:t>)</w:t>
      </w:r>
      <w:r w:rsidRPr="00E82552">
        <w:rPr>
          <w:rFonts w:eastAsia="Trebuchet MS" w:cs="Trebuchet MS"/>
        </w:rPr>
        <w:t xml:space="preserve"> ter drugotni gozdovi črnega gabra in jesenske vilovine (</w:t>
      </w:r>
      <w:proofErr w:type="spellStart"/>
      <w:r w:rsidRPr="00E82552">
        <w:rPr>
          <w:rFonts w:eastAsia="Trebuchet MS" w:cs="Trebuchet MS"/>
          <w:i/>
          <w:iCs/>
        </w:rPr>
        <w:t>Seslerio</w:t>
      </w:r>
      <w:proofErr w:type="spellEnd"/>
      <w:r w:rsidRPr="00E82552">
        <w:rPr>
          <w:rFonts w:eastAsia="Trebuchet MS" w:cs="Trebuchet MS"/>
          <w:i/>
          <w:iCs/>
        </w:rPr>
        <w:t xml:space="preserve"> </w:t>
      </w:r>
      <w:proofErr w:type="spellStart"/>
      <w:r w:rsidRPr="00E82552">
        <w:rPr>
          <w:rFonts w:eastAsia="Trebuchet MS" w:cs="Trebuchet MS"/>
          <w:i/>
          <w:iCs/>
        </w:rPr>
        <w:t>autumnalis-Ostryetum</w:t>
      </w:r>
      <w:proofErr w:type="spellEnd"/>
      <w:r w:rsidRPr="00E82552">
        <w:rPr>
          <w:rFonts w:eastAsia="Trebuchet MS" w:cs="Trebuchet MS"/>
        </w:rPr>
        <w:t xml:space="preserve">), ki vsak zase predstavljajo 21 % vseh gozdov v občini. Lesna zaloga gozdov znaša </w:t>
      </w:r>
      <w:r w:rsidRPr="00E82552">
        <w:rPr>
          <w:rFonts w:eastAsia="Arial" w:cs="Arial"/>
        </w:rPr>
        <w:t>251 m</w:t>
      </w:r>
      <w:r w:rsidRPr="00E82552">
        <w:rPr>
          <w:rFonts w:eastAsia="Arial" w:cs="Arial"/>
          <w:vertAlign w:val="superscript"/>
        </w:rPr>
        <w:t>3</w:t>
      </w:r>
      <w:r w:rsidRPr="00E82552">
        <w:rPr>
          <w:rFonts w:eastAsia="Arial" w:cs="Arial"/>
        </w:rPr>
        <w:t xml:space="preserve"> ha</w:t>
      </w:r>
      <w:r w:rsidRPr="00E82552">
        <w:rPr>
          <w:rFonts w:eastAsia="Arial" w:cs="Arial"/>
          <w:vertAlign w:val="superscript"/>
        </w:rPr>
        <w:t>-1</w:t>
      </w:r>
      <w:r w:rsidRPr="00E82552">
        <w:rPr>
          <w:rFonts w:eastAsia="Trebuchet MS" w:cs="Trebuchet MS"/>
        </w:rPr>
        <w:t>, letni prirastek pa 6,7 m</w:t>
      </w:r>
      <w:r w:rsidRPr="00E82552">
        <w:rPr>
          <w:rFonts w:eastAsia="Trebuchet MS" w:cs="Trebuchet MS"/>
          <w:vertAlign w:val="superscript"/>
        </w:rPr>
        <w:t>3</w:t>
      </w:r>
      <w:r w:rsidRPr="00E82552">
        <w:rPr>
          <w:rFonts w:eastAsia="Trebuchet MS" w:cs="Trebuchet MS"/>
        </w:rPr>
        <w:t xml:space="preserve"> ha</w:t>
      </w:r>
      <w:r w:rsidRPr="00E82552">
        <w:rPr>
          <w:rFonts w:eastAsia="Trebuchet MS" w:cs="Trebuchet MS"/>
          <w:vertAlign w:val="superscript"/>
        </w:rPr>
        <w:t>-1</w:t>
      </w:r>
      <w:r w:rsidRPr="00E82552">
        <w:rPr>
          <w:rFonts w:eastAsia="Trebuchet MS" w:cs="Trebuchet MS"/>
        </w:rPr>
        <w:t xml:space="preserve">. Zasebni gozdovi v Mestni občini Nova Gorica obsegajo 68 % gozdov, 27 % gozdov je v državni lasti, 5 % gozdov pa je v lasti lokalnih skupnosti. </w:t>
      </w:r>
    </w:p>
    <w:p w14:paraId="1DBCDB88" w14:textId="77777777" w:rsidR="00545A37" w:rsidRPr="00E82552" w:rsidRDefault="00545A37" w:rsidP="00545A37">
      <w:pPr>
        <w:rPr>
          <w:rFonts w:eastAsia="Trebuchet MS" w:cs="Trebuchet MS"/>
        </w:rPr>
      </w:pPr>
      <w:r w:rsidRPr="00E82552">
        <w:rPr>
          <w:rFonts w:eastAsia="Trebuchet MS" w:cs="Trebuchet MS"/>
        </w:rPr>
        <w:t xml:space="preserve">Na današnje stanje gozdov je močno vplival žledolom </w:t>
      </w:r>
      <w:r>
        <w:rPr>
          <w:rFonts w:eastAsia="Trebuchet MS" w:cs="Trebuchet MS"/>
        </w:rPr>
        <w:t>v</w:t>
      </w:r>
      <w:r w:rsidRPr="00E82552">
        <w:rPr>
          <w:rFonts w:eastAsia="Trebuchet MS" w:cs="Trebuchet MS"/>
        </w:rPr>
        <w:t xml:space="preserve"> let</w:t>
      </w:r>
      <w:r>
        <w:rPr>
          <w:rFonts w:eastAsia="Trebuchet MS" w:cs="Trebuchet MS"/>
        </w:rPr>
        <w:t>u</w:t>
      </w:r>
      <w:r w:rsidRPr="00E82552">
        <w:rPr>
          <w:rFonts w:eastAsia="Trebuchet MS" w:cs="Trebuchet MS"/>
        </w:rPr>
        <w:t xml:space="preserve"> 2014 ter gradacije podlubnikov </w:t>
      </w:r>
      <w:r>
        <w:rPr>
          <w:rFonts w:eastAsia="Trebuchet MS" w:cs="Trebuchet MS"/>
        </w:rPr>
        <w:t>v</w:t>
      </w:r>
      <w:r w:rsidRPr="00E82552">
        <w:rPr>
          <w:rFonts w:eastAsia="Trebuchet MS" w:cs="Trebuchet MS"/>
        </w:rPr>
        <w:t xml:space="preserve"> leti</w:t>
      </w:r>
      <w:r>
        <w:rPr>
          <w:rFonts w:eastAsia="Trebuchet MS" w:cs="Trebuchet MS"/>
        </w:rPr>
        <w:t>h od</w:t>
      </w:r>
      <w:r w:rsidRPr="00E82552">
        <w:rPr>
          <w:rFonts w:eastAsia="Trebuchet MS" w:cs="Trebuchet MS"/>
        </w:rPr>
        <w:t xml:space="preserve"> 2015 </w:t>
      </w:r>
      <w:r>
        <w:rPr>
          <w:rFonts w:eastAsia="Trebuchet MS" w:cs="Trebuchet MS"/>
        </w:rPr>
        <w:t>do</w:t>
      </w:r>
      <w:r w:rsidRPr="00E82552">
        <w:rPr>
          <w:rFonts w:eastAsia="Trebuchet MS" w:cs="Trebuchet MS"/>
        </w:rPr>
        <w:t xml:space="preserve"> 2017, ki sta korenito posegla v zgradbo gozda ter v veliki meri narekovala gospodarjenje z gozdovi v občini. Tudi viharni veter je pomemben dejavnik pri poškodovanju gozdov: večji vetrolom je gozdove prizadel leta 2015. Posek dreves se je v preteklem desetletju močno povečal, predvsem pri iglavcih. Poleg gradacije podlubnikov je na intenziteto poseka vplivalo tudi intenzivno pomlajevanja ostarelih, tržno zanimivih ter deloma tudi obolelih borovih sestojev, ki prehajajo v sestoje toploljubnih listavcev.</w:t>
      </w:r>
    </w:p>
    <w:p w14:paraId="713EA17B" w14:textId="77777777" w:rsidR="00545A37" w:rsidRPr="00E82552" w:rsidRDefault="00545A37" w:rsidP="00545A37">
      <w:r w:rsidRPr="00E82552">
        <w:rPr>
          <w:rFonts w:eastAsia="Trebuchet MS" w:cs="Trebuchet MS"/>
        </w:rPr>
        <w:t xml:space="preserve">Na ekonomiko gospodarjenja z gozdovi v Mestni občini Nova Gorica imajo največji vpliv neugodna debelinska struktura lesa, slaba tehnična kvaliteta ter posledično nizka prodajna cena lesa in ponekod slaba odprtost gozdov, ki vpliva na visoke stroške spravila. Slaba kvaliteta lesa v gozdovih je rezultat panjevske tradicije gospodarjenja in skromnih rastišč, večkratnih žledolomov in snegolomov na manjših površinah v preteklosti kot tudi prevladujočega drobnega zasebnega </w:t>
      </w:r>
      <w:r w:rsidRPr="00E82552">
        <w:rPr>
          <w:rFonts w:eastAsia="Trebuchet MS" w:cs="Trebuchet MS"/>
        </w:rPr>
        <w:lastRenderedPageBreak/>
        <w:t>lastništva in pomanjkanja načrtnega gospodarjenja z gozdovi. Po žledolomu v letu 2014 in kasnejših napadih podlubnikov se je odprtost gozdov s prometnicami povečala.</w:t>
      </w:r>
    </w:p>
    <w:p w14:paraId="0AC5EAEA" w14:textId="77777777" w:rsidR="00545A37" w:rsidRPr="00E82552" w:rsidRDefault="00545A37" w:rsidP="00545A37">
      <w:r w:rsidRPr="00E82552">
        <w:rPr>
          <w:rFonts w:eastAsia="Trebuchet MS" w:cs="Trebuchet MS"/>
        </w:rPr>
        <w:t xml:space="preserve">Gozdovi v Mestni občini Nova Gorica zagotavljajo poleg lesno-proizvodne funkcije tudi ekološke funkcije, med katerimi so najpomembnejše varovalna, hidrološka, klimatska in funkcija ohranjanja biotske raznovrstnosti, ter socialne, zlasti zaščitna, rekreacijska in turistična funkcija. Natura 2000 območja v Mestni občini Nova Gorica obsegajo 14.804,5 ha, kar predstavlja 53 % površine celotne občine. Na teh območjih je pomembno ohranjanje biotske pestrosti, kar narekuje prilagojene gozdnogospodarske ukrepe in ostale posege v gozd in gozdni prostor. </w:t>
      </w:r>
      <w:r w:rsidRPr="00D821AA">
        <w:rPr>
          <w:rFonts w:eastAsia="Trebuchet MS" w:cs="Trebuchet MS"/>
        </w:rPr>
        <w:t>Med zavarovanimi območji v občini je 9 naravnih spomenikov, en naravni rezervat in en spomenik oblikovane narave</w:t>
      </w:r>
      <w:r>
        <w:rPr>
          <w:rFonts w:eastAsia="Trebuchet MS" w:cs="Trebuchet MS"/>
        </w:rPr>
        <w:t xml:space="preserve"> ter del </w:t>
      </w:r>
      <w:r w:rsidRPr="00B32C4C">
        <w:t xml:space="preserve">krajinskega parka Južni obronki Trnovskega gozda ter </w:t>
      </w:r>
      <w:r>
        <w:t xml:space="preserve">del </w:t>
      </w:r>
      <w:r w:rsidRPr="00B32C4C">
        <w:t>krajinskega parka Zgornja Idrijca</w:t>
      </w:r>
      <w:r w:rsidRPr="00B32C4C">
        <w:rPr>
          <w:rFonts w:eastAsia="Trebuchet MS" w:cs="Trebuchet MS"/>
        </w:rPr>
        <w:t>.</w:t>
      </w:r>
    </w:p>
    <w:p w14:paraId="65D1D6F7" w14:textId="77777777" w:rsidR="00545A37" w:rsidRPr="00E82552" w:rsidRDefault="00545A37" w:rsidP="00545A37">
      <w:r w:rsidRPr="00E82552">
        <w:rPr>
          <w:rFonts w:eastAsia="Trebuchet MS" w:cs="Trebuchet MS"/>
        </w:rPr>
        <w:t>Glavni dejavniki naravnega okolja, ki zaradi vpliva podnebnih sprememb ogrožajo gozdove v Mestni občini Nova Gorica, so:</w:t>
      </w:r>
    </w:p>
    <w:p w14:paraId="3E30B844" w14:textId="77777777" w:rsidR="00545A37" w:rsidRPr="00E82552" w:rsidRDefault="00545A37" w:rsidP="00545A37">
      <w:r w:rsidRPr="00561E39">
        <w:rPr>
          <w:b/>
          <w:bCs/>
        </w:rPr>
        <w:t>Žled</w:t>
      </w:r>
      <w:r w:rsidRPr="00E82552">
        <w:t xml:space="preserve"> </w:t>
      </w:r>
      <w:r>
        <w:t>–</w:t>
      </w:r>
      <w:r w:rsidRPr="00E82552">
        <w:t xml:space="preserve"> </w:t>
      </w:r>
      <w:r>
        <w:t>gozdovi v občini so</w:t>
      </w:r>
      <w:r w:rsidRPr="00E82552">
        <w:t xml:space="preserve"> zelo ogrožen</w:t>
      </w:r>
      <w:r>
        <w:t>i</w:t>
      </w:r>
      <w:r w:rsidRPr="00E82552">
        <w:t xml:space="preserve"> zaradi žleda, saj je kar 40 % </w:t>
      </w:r>
      <w:r>
        <w:t>občine</w:t>
      </w:r>
      <w:r w:rsidRPr="00E82552">
        <w:t xml:space="preserve"> v najvišjem razredu ogroženosti, kjer se žled pojavlja na eno do dve leti in povzroči večjo škodo. Na 22 % površine se žled pojavlja pogosto in v povprečju na 3 leta povzroči tudi škodo. Na 28 % površine MONG se žled pojavlja enkrat na 10 let. Poškodovanost zaradi žleda povzroča zmanjšano vrednost lesa in povzroči negativne ekonomske posledice za gozdarstvo in lastnike prizadetih gozdov. Posredno se zaradi žleda povečuje tudi dovzetnost gozdnega drevja za različne bolezni in škodljivce.</w:t>
      </w:r>
    </w:p>
    <w:p w14:paraId="6E19F02D" w14:textId="77777777" w:rsidR="00545A37" w:rsidRPr="00E82552" w:rsidRDefault="00545A37" w:rsidP="00545A37">
      <w:r w:rsidRPr="00561E39">
        <w:rPr>
          <w:b/>
          <w:bCs/>
        </w:rPr>
        <w:t>Veter</w:t>
      </w:r>
      <w:r w:rsidRPr="00E82552">
        <w:t xml:space="preserve"> - značilna vetrova v </w:t>
      </w:r>
      <w:r>
        <w:t>občini</w:t>
      </w:r>
      <w:r w:rsidRPr="00E82552">
        <w:t xml:space="preserve"> sta burja in jugo, ki predstavljata problem predvsem v gozdovih na Banjški in Trnovski planoti. Medtem ko burja najpogosteje ruva le posamično drevje, južni vetrovi uničujejo in podirajo cele sestoje.</w:t>
      </w:r>
    </w:p>
    <w:p w14:paraId="741FE8A1" w14:textId="77777777" w:rsidR="00545A37" w:rsidRPr="00E82552" w:rsidRDefault="00545A37" w:rsidP="00545A37">
      <w:r w:rsidRPr="00561E39">
        <w:rPr>
          <w:b/>
          <w:bCs/>
        </w:rPr>
        <w:t>Zemeljski plazovi</w:t>
      </w:r>
      <w:r w:rsidRPr="00E82552">
        <w:t xml:space="preserve"> – v občini je registriranih 150 plazov. Območja z večjo verjetnostjo nastopanja plazenja so pod narivom Trnovskega gozda in v južnem delu občine, kjer so prisotne flišne kamenine.</w:t>
      </w:r>
    </w:p>
    <w:p w14:paraId="072C531D" w14:textId="77777777" w:rsidR="00545A37" w:rsidRPr="00E82552" w:rsidRDefault="00545A37" w:rsidP="00545A37">
      <w:r w:rsidRPr="00561E39">
        <w:rPr>
          <w:b/>
          <w:bCs/>
        </w:rPr>
        <w:t>Gozdni požari</w:t>
      </w:r>
      <w:r w:rsidRPr="00E82552">
        <w:t xml:space="preserve"> – v občin</w:t>
      </w:r>
      <w:r>
        <w:t>i</w:t>
      </w:r>
      <w:r w:rsidRPr="00E82552">
        <w:t xml:space="preserve"> je 40 % gozdov z zelo veliko in veliko požarno ogroženostjo, 58 % pa s srednjo. Zaradi sušnih rastišč so najbolj ogroženi gozdovi toploljubnih listavcev na apnencih. </w:t>
      </w:r>
    </w:p>
    <w:p w14:paraId="4A7D454B" w14:textId="77777777" w:rsidR="00545A37" w:rsidRPr="00E82552" w:rsidRDefault="00545A37" w:rsidP="00545A37">
      <w:r w:rsidRPr="00561E39">
        <w:rPr>
          <w:b/>
          <w:bCs/>
        </w:rPr>
        <w:t>Ogroženost navadne smreke in črnega bora zaradi bolezni in škodljivcev</w:t>
      </w:r>
      <w:r w:rsidRPr="00E82552">
        <w:t xml:space="preserve"> - sanitarna sečnje zaradi podlubnikov je eden izmed pomembnejših dejavnikov v gozdovih Trnovske in Banjške planote. Namnožitve podlubnikov na smreki se pojavljajo zlasti v bukovih gozdovih, ki sta jih prizadela žled in veter, posledic pa ni bilo mogoče hitro in učinkovito sanirati. Sestoji črnega bora s staranjem postajajo vse bolj občutljivi na abiotske in biotske stresne dejavnike. Podnebne spremembe razgradnjo borovih sestojev še pospešujejo, naravno pa se ne obnavljajo.</w:t>
      </w:r>
    </w:p>
    <w:p w14:paraId="42D82C35" w14:textId="77777777" w:rsidR="00545A37" w:rsidRPr="00E82552" w:rsidRDefault="00545A37" w:rsidP="00545A37">
      <w:r w:rsidRPr="00561E39">
        <w:rPr>
          <w:b/>
          <w:bCs/>
        </w:rPr>
        <w:t>Ogroženost listavcev zaradi bolezni in škodljivcev</w:t>
      </w:r>
      <w:r w:rsidRPr="00E82552">
        <w:t xml:space="preserve"> - v občini so poglaviten vzrok za širjenje bolezni in škodljivcev vedno pogostejša in dlje trajajoča sušna obdobja, kar se odraža v slabi vitalnosti dreves. Med listavci so še posebej ogroženi domači kostanj, črni gaber in hrasti na </w:t>
      </w:r>
      <w:proofErr w:type="spellStart"/>
      <w:r w:rsidRPr="00E82552">
        <w:t>sušnejših</w:t>
      </w:r>
      <w:proofErr w:type="spellEnd"/>
      <w:r w:rsidRPr="00E82552">
        <w:t xml:space="preserve"> rastiščih. Kot kažejo izkušnje v Evropi in pri nas, se z ekstremnimi vremenskimi pojavi (predvsem s sušo in vročino) lahko pojavijo obsežne in močne poškodbe navadne bukve.</w:t>
      </w:r>
    </w:p>
    <w:p w14:paraId="7A24BE8C" w14:textId="77777777" w:rsidR="00545A37" w:rsidRPr="00E82552" w:rsidRDefault="00545A37" w:rsidP="00545A37">
      <w:r w:rsidRPr="00561E39">
        <w:rPr>
          <w:b/>
          <w:bCs/>
        </w:rPr>
        <w:t>Invazivne tujerodne vrste  (ITV)</w:t>
      </w:r>
      <w:r>
        <w:t xml:space="preserve"> </w:t>
      </w:r>
      <w:r w:rsidRPr="00E82552">
        <w:t xml:space="preserve">- v sistemu </w:t>
      </w:r>
      <w:proofErr w:type="spellStart"/>
      <w:r w:rsidRPr="00E82552">
        <w:t>Invazivke</w:t>
      </w:r>
      <w:proofErr w:type="spellEnd"/>
      <w:r w:rsidRPr="00E82552">
        <w:t xml:space="preserve"> (</w:t>
      </w:r>
      <w:r w:rsidRPr="00E82552">
        <w:rPr>
          <w:rStyle w:val="Hiperpovezava"/>
          <w:rFonts w:eastAsia="Trebuchet MS" w:cs="Trebuchet MS"/>
        </w:rPr>
        <w:t>www.invazivke.si</w:t>
      </w:r>
      <w:r w:rsidRPr="00E82552">
        <w:t>) je bilo v občini zabeleženo 24 različnih najdb. Najpogostejša ITV je bil kostanjev rak (</w:t>
      </w:r>
      <w:proofErr w:type="spellStart"/>
      <w:r w:rsidRPr="00E82552">
        <w:rPr>
          <w:i/>
          <w:iCs/>
          <w:color w:val="000000" w:themeColor="text1"/>
        </w:rPr>
        <w:t>Cryphonectria</w:t>
      </w:r>
      <w:proofErr w:type="spellEnd"/>
      <w:r w:rsidRPr="00E82552">
        <w:rPr>
          <w:i/>
          <w:iCs/>
          <w:color w:val="000000" w:themeColor="text1"/>
        </w:rPr>
        <w:t xml:space="preserve"> </w:t>
      </w:r>
      <w:proofErr w:type="spellStart"/>
      <w:r w:rsidRPr="00E82552">
        <w:rPr>
          <w:i/>
          <w:iCs/>
          <w:color w:val="000000" w:themeColor="text1"/>
        </w:rPr>
        <w:t>parasitica</w:t>
      </w:r>
      <w:proofErr w:type="spellEnd"/>
      <w:r w:rsidRPr="00E82552">
        <w:t xml:space="preserve">). Pogosto je bil zabeležen jesenov ožig ter holandska brestova bolezen. Med pogostejšimi ITV v </w:t>
      </w:r>
      <w:r w:rsidRPr="00E82552">
        <w:lastRenderedPageBreak/>
        <w:t xml:space="preserve">Mestni občini Nova Gorica pa sta bili tudi rastlini </w:t>
      </w:r>
      <w:proofErr w:type="spellStart"/>
      <w:r w:rsidRPr="00E82552">
        <w:rPr>
          <w:i/>
          <w:iCs/>
          <w:color w:val="000000" w:themeColor="text1"/>
        </w:rPr>
        <w:t>Amorpha</w:t>
      </w:r>
      <w:proofErr w:type="spellEnd"/>
      <w:r w:rsidRPr="00E82552">
        <w:rPr>
          <w:i/>
          <w:iCs/>
          <w:color w:val="000000" w:themeColor="text1"/>
        </w:rPr>
        <w:t xml:space="preserve"> </w:t>
      </w:r>
      <w:proofErr w:type="spellStart"/>
      <w:r w:rsidRPr="00E82552">
        <w:rPr>
          <w:i/>
          <w:iCs/>
          <w:color w:val="000000" w:themeColor="text1"/>
        </w:rPr>
        <w:t>fruticosa</w:t>
      </w:r>
      <w:proofErr w:type="spellEnd"/>
      <w:r w:rsidRPr="00E82552">
        <w:rPr>
          <w:color w:val="000000" w:themeColor="text1"/>
        </w:rPr>
        <w:t xml:space="preserve"> (</w:t>
      </w:r>
      <w:r w:rsidRPr="00E82552">
        <w:t xml:space="preserve">navadna amorfa) in </w:t>
      </w:r>
      <w:proofErr w:type="spellStart"/>
      <w:r w:rsidRPr="00E82552">
        <w:rPr>
          <w:i/>
          <w:iCs/>
          <w:color w:val="000000" w:themeColor="text1"/>
        </w:rPr>
        <w:t>Rubus</w:t>
      </w:r>
      <w:proofErr w:type="spellEnd"/>
      <w:r w:rsidRPr="00E82552">
        <w:rPr>
          <w:i/>
          <w:iCs/>
          <w:color w:val="000000" w:themeColor="text1"/>
        </w:rPr>
        <w:t xml:space="preserve"> </w:t>
      </w:r>
      <w:proofErr w:type="spellStart"/>
      <w:r w:rsidRPr="00E82552">
        <w:rPr>
          <w:i/>
          <w:iCs/>
          <w:color w:val="000000" w:themeColor="text1"/>
        </w:rPr>
        <w:t>phoenicolasius</w:t>
      </w:r>
      <w:proofErr w:type="spellEnd"/>
      <w:r w:rsidRPr="00E82552">
        <w:t xml:space="preserve"> (rdečeščetinava robida).</w:t>
      </w:r>
    </w:p>
    <w:p w14:paraId="6EAF0422" w14:textId="77777777" w:rsidR="00545A37" w:rsidRPr="00E82552" w:rsidRDefault="00545A37" w:rsidP="00545A37">
      <w:r w:rsidRPr="00E82552">
        <w:t>Kot najpomembnejše dejavnike za potencialne vplive podnebnih sprememb na sektor gozdarstvo v občini z vidika družbenega okolja smo določili:</w:t>
      </w:r>
    </w:p>
    <w:p w14:paraId="4B3E6F2E" w14:textId="021DCEE2" w:rsidR="00545A37" w:rsidRPr="00E82552" w:rsidRDefault="00545A37" w:rsidP="00545A37">
      <w:r w:rsidRPr="005F0114">
        <w:rPr>
          <w:b/>
          <w:bCs/>
        </w:rPr>
        <w:t>Število izvajalcev del v gozdarstvu</w:t>
      </w:r>
      <w:r w:rsidRPr="00E82552">
        <w:t xml:space="preserve"> - Po podatkih spletnega informacijskega sistema </w:t>
      </w:r>
      <w:proofErr w:type="spellStart"/>
      <w:r w:rsidRPr="00E82552">
        <w:t>MojGozdar</w:t>
      </w:r>
      <w:proofErr w:type="spellEnd"/>
      <w:r w:rsidRPr="00E82552">
        <w:t xml:space="preserve"> (</w:t>
      </w:r>
      <w:hyperlink r:id="rId25">
        <w:r w:rsidRPr="00E82552">
          <w:rPr>
            <w:rStyle w:val="Hiperpovezava"/>
            <w:color w:val="0563C1"/>
          </w:rPr>
          <w:t>https://www.mojgozdar.si/</w:t>
        </w:r>
      </w:hyperlink>
      <w:r w:rsidRPr="00E82552">
        <w:t>) je v občini 12 izvajalcev del v gozdarstvu. Prevladujejo samostojni podjetniki (7) ter družbe z omejeno odgovornostjo (3). Število zaposlenih v gozdarstvu je v letih od 1995 do 2013 nihalo, po žledu v letu 2014 pa je število zaposlenih v gozdarstvu naraslo, vendar predvsem »neplačana delovna sila« (kmetje, ki imajo gozd, ter samostojni podjetniki).</w:t>
      </w:r>
    </w:p>
    <w:p w14:paraId="353C2808" w14:textId="77777777" w:rsidR="00545A37" w:rsidRPr="00E82552" w:rsidRDefault="00545A37" w:rsidP="00545A37">
      <w:r w:rsidRPr="005F0114">
        <w:rPr>
          <w:b/>
          <w:bCs/>
        </w:rPr>
        <w:t>Količine in potencial lesa in gozdov</w:t>
      </w:r>
      <w:r w:rsidRPr="00E82552">
        <w:t xml:space="preserve"> - v občini je izkoriščenega 63 % teoretičnega tržnega potenciala lesa slabše kakovosti, pri čemer je izkoriščenost večja za les iglavcev (87 %) kot les listavcev (60 %). Izkoriščenost tržnega potenciala hlodov listavcev je 69 %.</w:t>
      </w:r>
    </w:p>
    <w:p w14:paraId="5FD87918" w14:textId="0825AEFB" w:rsidR="00545A37" w:rsidRDefault="00545A37" w:rsidP="00545A37">
      <w:r w:rsidRPr="00E82552">
        <w:t>Ranljivost sektorja gozdarstvo v Mestni občini Nova Gorica v referenčnem obdobju 1981 – 2010 smo ocenili z zmerno (3) (</w:t>
      </w:r>
      <w:r>
        <w:fldChar w:fldCharType="begin"/>
      </w:r>
      <w:r>
        <w:instrText xml:space="preserve"> REF _Ref74903541 \h </w:instrText>
      </w:r>
      <w:r>
        <w:fldChar w:fldCharType="separate"/>
      </w:r>
      <w:r w:rsidR="004700D5">
        <w:t xml:space="preserve">Preglednica </w:t>
      </w:r>
      <w:r w:rsidR="004700D5">
        <w:rPr>
          <w:noProof/>
        </w:rPr>
        <w:t>1</w:t>
      </w:r>
      <w:r w:rsidR="004700D5">
        <w:t>.</w:t>
      </w:r>
      <w:r w:rsidR="004700D5">
        <w:rPr>
          <w:noProof/>
        </w:rPr>
        <w:t>3</w:t>
      </w:r>
      <w:r>
        <w:fldChar w:fldCharType="end"/>
      </w:r>
      <w:r w:rsidRPr="00E82552">
        <w:t xml:space="preserve">). </w:t>
      </w:r>
    </w:p>
    <w:p w14:paraId="04281368" w14:textId="22341504" w:rsidR="00545A37" w:rsidRPr="00E82552" w:rsidRDefault="00545A37" w:rsidP="00545A37">
      <w:pPr>
        <w:pStyle w:val="Napis"/>
        <w:rPr>
          <w:rFonts w:eastAsia="Trebuchet MS" w:cs="Trebuchet MS"/>
        </w:rPr>
      </w:pPr>
      <w:bookmarkStart w:id="13" w:name="_Ref74903541"/>
      <w:bookmarkStart w:id="14" w:name="_Toc97026945"/>
      <w:r>
        <w:t xml:space="preserve">Preglednica </w:t>
      </w:r>
      <w:r w:rsidR="00976D80">
        <w:fldChar w:fldCharType="begin"/>
      </w:r>
      <w:r w:rsidR="00976D80">
        <w:instrText xml:space="preserve"> STYLEREF 1 \s </w:instrText>
      </w:r>
      <w:r w:rsidR="00976D80">
        <w:fldChar w:fldCharType="separate"/>
      </w:r>
      <w:r w:rsidR="00976D80">
        <w:rPr>
          <w:noProof/>
        </w:rPr>
        <w:t>1</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3</w:t>
      </w:r>
      <w:r w:rsidR="00976D80">
        <w:fldChar w:fldCharType="end"/>
      </w:r>
      <w:bookmarkEnd w:id="13"/>
      <w:r w:rsidRPr="00112752">
        <w:t xml:space="preserve">: </w:t>
      </w:r>
      <w:r>
        <w:t xml:space="preserve">: </w:t>
      </w:r>
      <w:r w:rsidRPr="00E82552">
        <w:rPr>
          <w:rFonts w:ascii="Trebuchet MS" w:eastAsia="Trebuchet MS" w:hAnsi="Trebuchet MS" w:cs="Trebuchet MS"/>
        </w:rPr>
        <w:t>Ocena ranljivosti sektorja gozdarstvo v Mestni občini Nova Gorica, sestavljena iz devetih kazalnikov (sedmih kazalnikov za naravno okolje ter dveh kazalnikov za družbeno okolje), s pripadajočimi potencialnimi vplivi in sposobnostjo prilagajanja, po scenarijih RCP4.5 in RCP8.5 v drugem obdobju (2041–2070) ter ocena tveganja</w:t>
      </w:r>
      <w:r>
        <w:rPr>
          <w:rFonts w:ascii="Trebuchet MS" w:eastAsia="Trebuchet MS" w:hAnsi="Trebuchet MS" w:cs="Trebuchet MS"/>
        </w:rPr>
        <w:t>.</w:t>
      </w:r>
      <w:bookmarkEnd w:id="14"/>
    </w:p>
    <w:tbl>
      <w:tblPr>
        <w:tblW w:w="966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56"/>
        <w:gridCol w:w="1939"/>
        <w:gridCol w:w="1408"/>
        <w:gridCol w:w="1373"/>
        <w:gridCol w:w="1061"/>
        <w:gridCol w:w="1057"/>
        <w:gridCol w:w="1023"/>
        <w:gridCol w:w="1049"/>
      </w:tblGrid>
      <w:tr w:rsidR="00545A37" w:rsidRPr="00E82552" w14:paraId="5DD3A282" w14:textId="77777777" w:rsidTr="00FF0031">
        <w:trPr>
          <w:trHeight w:val="290"/>
        </w:trPr>
        <w:tc>
          <w:tcPr>
            <w:tcW w:w="756" w:type="dxa"/>
          </w:tcPr>
          <w:p w14:paraId="0EAA84C8"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Segment sektorja</w:t>
            </w:r>
          </w:p>
        </w:tc>
        <w:tc>
          <w:tcPr>
            <w:tcW w:w="0" w:type="auto"/>
          </w:tcPr>
          <w:p w14:paraId="3EB4B82F"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Kazalnik ranljivosti</w:t>
            </w:r>
          </w:p>
        </w:tc>
        <w:tc>
          <w:tcPr>
            <w:tcW w:w="0" w:type="auto"/>
            <w:vAlign w:val="center"/>
          </w:tcPr>
          <w:p w14:paraId="360AC083"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Ocena potencialnega vpliva</w:t>
            </w:r>
          </w:p>
        </w:tc>
        <w:tc>
          <w:tcPr>
            <w:tcW w:w="0" w:type="auto"/>
            <w:vAlign w:val="center"/>
          </w:tcPr>
          <w:p w14:paraId="55882879"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Ocena sposobnosti prilagajanja</w:t>
            </w:r>
          </w:p>
        </w:tc>
        <w:tc>
          <w:tcPr>
            <w:tcW w:w="0" w:type="auto"/>
            <w:vAlign w:val="center"/>
          </w:tcPr>
          <w:p w14:paraId="63857D5A"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Ranljivost</w:t>
            </w:r>
          </w:p>
        </w:tc>
        <w:tc>
          <w:tcPr>
            <w:tcW w:w="0" w:type="auto"/>
            <w:vAlign w:val="center"/>
          </w:tcPr>
          <w:p w14:paraId="1326C5E8"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Skupna ocena za sektor</w:t>
            </w:r>
          </w:p>
        </w:tc>
        <w:tc>
          <w:tcPr>
            <w:tcW w:w="0" w:type="auto"/>
            <w:vAlign w:val="center"/>
          </w:tcPr>
          <w:p w14:paraId="51831173"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Tveganje</w:t>
            </w:r>
          </w:p>
        </w:tc>
        <w:tc>
          <w:tcPr>
            <w:tcW w:w="0" w:type="auto"/>
            <w:vAlign w:val="center"/>
          </w:tcPr>
          <w:p w14:paraId="2C413D26"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Skupna ocena tveganja</w:t>
            </w:r>
          </w:p>
        </w:tc>
      </w:tr>
      <w:tr w:rsidR="00545A37" w:rsidRPr="00E82552" w14:paraId="064032A1" w14:textId="77777777" w:rsidTr="00FF0031">
        <w:trPr>
          <w:trHeight w:val="290"/>
        </w:trPr>
        <w:tc>
          <w:tcPr>
            <w:tcW w:w="756" w:type="dxa"/>
          </w:tcPr>
          <w:p w14:paraId="1B0E4EEA"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c>
          <w:tcPr>
            <w:tcW w:w="0" w:type="auto"/>
          </w:tcPr>
          <w:p w14:paraId="0EF619E3"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c>
          <w:tcPr>
            <w:tcW w:w="0" w:type="auto"/>
            <w:vAlign w:val="center"/>
          </w:tcPr>
          <w:p w14:paraId="124BD9C2"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številčna ocena (1-5)</w:t>
            </w:r>
          </w:p>
        </w:tc>
        <w:tc>
          <w:tcPr>
            <w:tcW w:w="0" w:type="auto"/>
            <w:vAlign w:val="center"/>
          </w:tcPr>
          <w:p w14:paraId="02ED951D"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številčna ocena (1-5)</w:t>
            </w:r>
          </w:p>
        </w:tc>
        <w:tc>
          <w:tcPr>
            <w:tcW w:w="0" w:type="auto"/>
            <w:vAlign w:val="center"/>
          </w:tcPr>
          <w:p w14:paraId="6F7E1E66"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številčna ocena (1-5)</w:t>
            </w:r>
          </w:p>
        </w:tc>
        <w:tc>
          <w:tcPr>
            <w:tcW w:w="0" w:type="auto"/>
            <w:vAlign w:val="center"/>
          </w:tcPr>
          <w:p w14:paraId="546116FB"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številčna ocena (1-5)</w:t>
            </w:r>
          </w:p>
        </w:tc>
        <w:tc>
          <w:tcPr>
            <w:tcW w:w="0" w:type="auto"/>
            <w:vAlign w:val="center"/>
          </w:tcPr>
          <w:p w14:paraId="2BBB898E"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številčna ocena (1-5)</w:t>
            </w:r>
          </w:p>
        </w:tc>
        <w:tc>
          <w:tcPr>
            <w:tcW w:w="0" w:type="auto"/>
            <w:vAlign w:val="center"/>
          </w:tcPr>
          <w:p w14:paraId="5498D56A"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številčna ocena (1-5)</w:t>
            </w:r>
          </w:p>
        </w:tc>
      </w:tr>
      <w:tr w:rsidR="00545A37" w:rsidRPr="00E82552" w14:paraId="2B435827" w14:textId="77777777" w:rsidTr="00545A37">
        <w:trPr>
          <w:cantSplit/>
          <w:trHeight w:val="156"/>
        </w:trPr>
        <w:tc>
          <w:tcPr>
            <w:tcW w:w="756" w:type="dxa"/>
            <w:vMerge w:val="restart"/>
            <w:textDirection w:val="btLr"/>
          </w:tcPr>
          <w:p w14:paraId="67E30C46" w14:textId="77777777" w:rsidR="00545A37" w:rsidRPr="00E82552" w:rsidRDefault="00545A37" w:rsidP="00FF0031">
            <w:pPr>
              <w:autoSpaceDE w:val="0"/>
              <w:autoSpaceDN w:val="0"/>
              <w:adjustRightInd w:val="0"/>
              <w:spacing w:after="0" w:line="240" w:lineRule="auto"/>
              <w:ind w:left="113" w:right="113"/>
              <w:jc w:val="center"/>
              <w:rPr>
                <w:rFonts w:cs="Calibri"/>
                <w:color w:val="000000"/>
                <w:sz w:val="16"/>
                <w:szCs w:val="16"/>
              </w:rPr>
            </w:pPr>
            <w:r w:rsidRPr="00E82552">
              <w:rPr>
                <w:rFonts w:cs="Calibri"/>
                <w:color w:val="000000"/>
                <w:sz w:val="16"/>
                <w:szCs w:val="16"/>
              </w:rPr>
              <w:t>Naravno okolje</w:t>
            </w:r>
          </w:p>
        </w:tc>
        <w:tc>
          <w:tcPr>
            <w:tcW w:w="0" w:type="auto"/>
          </w:tcPr>
          <w:p w14:paraId="0C5AC5B4" w14:textId="77777777" w:rsidR="00545A37" w:rsidRPr="00E82552" w:rsidRDefault="00545A37" w:rsidP="00FF0031">
            <w:pPr>
              <w:autoSpaceDE w:val="0"/>
              <w:autoSpaceDN w:val="0"/>
              <w:adjustRightInd w:val="0"/>
              <w:spacing w:after="0" w:line="240" w:lineRule="auto"/>
              <w:rPr>
                <w:rFonts w:cs="Calibri"/>
                <w:color w:val="000000"/>
                <w:sz w:val="16"/>
                <w:szCs w:val="16"/>
              </w:rPr>
            </w:pPr>
            <w:r w:rsidRPr="00E82552">
              <w:rPr>
                <w:rFonts w:cs="Calibri"/>
                <w:color w:val="000000"/>
                <w:sz w:val="16"/>
                <w:szCs w:val="16"/>
              </w:rPr>
              <w:t xml:space="preserve">Žled </w:t>
            </w:r>
          </w:p>
        </w:tc>
        <w:tc>
          <w:tcPr>
            <w:tcW w:w="0" w:type="auto"/>
            <w:shd w:val="solid" w:color="FFFF00" w:fill="auto"/>
            <w:vAlign w:val="center"/>
          </w:tcPr>
          <w:p w14:paraId="115F4FED"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3</w:t>
            </w:r>
          </w:p>
        </w:tc>
        <w:tc>
          <w:tcPr>
            <w:tcW w:w="0" w:type="auto"/>
            <w:shd w:val="solid" w:color="FFFF00" w:fill="auto"/>
            <w:vAlign w:val="center"/>
          </w:tcPr>
          <w:p w14:paraId="108A0028"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3</w:t>
            </w:r>
          </w:p>
        </w:tc>
        <w:tc>
          <w:tcPr>
            <w:tcW w:w="0" w:type="auto"/>
            <w:shd w:val="solid" w:color="FFFF00" w:fill="auto"/>
            <w:vAlign w:val="center"/>
          </w:tcPr>
          <w:p w14:paraId="1934B5D5"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3</w:t>
            </w:r>
          </w:p>
        </w:tc>
        <w:tc>
          <w:tcPr>
            <w:tcW w:w="0" w:type="auto"/>
            <w:vMerge w:val="restart"/>
            <w:shd w:val="solid" w:color="FFCC00" w:fill="auto"/>
            <w:vAlign w:val="center"/>
          </w:tcPr>
          <w:p w14:paraId="163061CE" w14:textId="77777777" w:rsidR="00545A37" w:rsidRPr="00E82552" w:rsidRDefault="00545A37" w:rsidP="00545A37">
            <w:pPr>
              <w:autoSpaceDE w:val="0"/>
              <w:autoSpaceDN w:val="0"/>
              <w:adjustRightInd w:val="0"/>
              <w:spacing w:after="0" w:line="240" w:lineRule="auto"/>
              <w:jc w:val="center"/>
              <w:rPr>
                <w:rFonts w:cs="Calibri"/>
                <w:color w:val="000000"/>
                <w:sz w:val="16"/>
                <w:szCs w:val="16"/>
              </w:rPr>
            </w:pPr>
            <w:r w:rsidRPr="00E82552">
              <w:rPr>
                <w:rFonts w:cs="Calibri"/>
                <w:sz w:val="16"/>
                <w:szCs w:val="16"/>
              </w:rPr>
              <w:t>4</w:t>
            </w:r>
          </w:p>
        </w:tc>
        <w:tc>
          <w:tcPr>
            <w:tcW w:w="0" w:type="auto"/>
            <w:shd w:val="clear" w:color="auto" w:fill="FFFF00"/>
            <w:vAlign w:val="center"/>
          </w:tcPr>
          <w:p w14:paraId="5924E2DE" w14:textId="77777777" w:rsidR="00545A37" w:rsidRPr="00E82552" w:rsidRDefault="00545A37" w:rsidP="00FF0031">
            <w:pPr>
              <w:autoSpaceDE w:val="0"/>
              <w:autoSpaceDN w:val="0"/>
              <w:adjustRightInd w:val="0"/>
              <w:spacing w:after="0" w:line="240" w:lineRule="auto"/>
              <w:jc w:val="center"/>
              <w:rPr>
                <w:rFonts w:cs="Trebuchet MS"/>
                <w:color w:val="000000"/>
                <w:sz w:val="16"/>
                <w:szCs w:val="16"/>
              </w:rPr>
            </w:pPr>
            <w:r w:rsidRPr="00E82552">
              <w:rPr>
                <w:rFonts w:cs="Calibri"/>
                <w:color w:val="000000"/>
                <w:sz w:val="16"/>
                <w:szCs w:val="16"/>
              </w:rPr>
              <w:t>3</w:t>
            </w:r>
          </w:p>
        </w:tc>
        <w:tc>
          <w:tcPr>
            <w:tcW w:w="0" w:type="auto"/>
            <w:vMerge w:val="restart"/>
            <w:shd w:val="solid" w:color="FFCC00" w:fill="auto"/>
            <w:vAlign w:val="center"/>
          </w:tcPr>
          <w:p w14:paraId="77203FFA" w14:textId="77777777" w:rsidR="00545A37" w:rsidRPr="00E82552" w:rsidRDefault="00545A37" w:rsidP="00545A37">
            <w:pPr>
              <w:autoSpaceDE w:val="0"/>
              <w:autoSpaceDN w:val="0"/>
              <w:adjustRightInd w:val="0"/>
              <w:spacing w:after="0" w:line="240" w:lineRule="auto"/>
              <w:jc w:val="center"/>
              <w:rPr>
                <w:rFonts w:cs="Calibri"/>
                <w:color w:val="000000"/>
                <w:sz w:val="16"/>
                <w:szCs w:val="16"/>
              </w:rPr>
            </w:pPr>
            <w:r w:rsidRPr="00E82552">
              <w:rPr>
                <w:rFonts w:cs="Calibri"/>
                <w:sz w:val="16"/>
                <w:szCs w:val="16"/>
              </w:rPr>
              <w:t>4</w:t>
            </w:r>
          </w:p>
        </w:tc>
      </w:tr>
      <w:tr w:rsidR="00545A37" w:rsidRPr="00E82552" w14:paraId="3479AD51" w14:textId="77777777" w:rsidTr="00FF0031">
        <w:trPr>
          <w:trHeight w:val="103"/>
        </w:trPr>
        <w:tc>
          <w:tcPr>
            <w:tcW w:w="756" w:type="dxa"/>
            <w:vMerge/>
          </w:tcPr>
          <w:p w14:paraId="51998D3C"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c>
          <w:tcPr>
            <w:tcW w:w="0" w:type="auto"/>
          </w:tcPr>
          <w:p w14:paraId="0ACC1210" w14:textId="77777777" w:rsidR="00545A37" w:rsidRPr="00E82552" w:rsidRDefault="00545A37" w:rsidP="00FF0031">
            <w:pPr>
              <w:autoSpaceDE w:val="0"/>
              <w:autoSpaceDN w:val="0"/>
              <w:adjustRightInd w:val="0"/>
              <w:spacing w:after="0" w:line="240" w:lineRule="auto"/>
              <w:rPr>
                <w:rFonts w:cs="Calibri"/>
                <w:color w:val="000000"/>
                <w:sz w:val="16"/>
                <w:szCs w:val="16"/>
              </w:rPr>
            </w:pPr>
            <w:r w:rsidRPr="00E82552">
              <w:rPr>
                <w:rFonts w:cs="Calibri"/>
                <w:color w:val="000000"/>
                <w:sz w:val="16"/>
                <w:szCs w:val="16"/>
              </w:rPr>
              <w:t>Veter</w:t>
            </w:r>
          </w:p>
        </w:tc>
        <w:tc>
          <w:tcPr>
            <w:tcW w:w="0" w:type="auto"/>
            <w:shd w:val="solid" w:color="FFCC00" w:fill="auto"/>
            <w:vAlign w:val="center"/>
          </w:tcPr>
          <w:p w14:paraId="51DDAC6E"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4-5</w:t>
            </w:r>
          </w:p>
        </w:tc>
        <w:tc>
          <w:tcPr>
            <w:tcW w:w="0" w:type="auto"/>
            <w:shd w:val="solid" w:color="FFCC00" w:fill="auto"/>
            <w:vAlign w:val="center"/>
          </w:tcPr>
          <w:p w14:paraId="402CCFC7"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4-5</w:t>
            </w:r>
          </w:p>
        </w:tc>
        <w:tc>
          <w:tcPr>
            <w:tcW w:w="0" w:type="auto"/>
            <w:shd w:val="clear" w:color="auto" w:fill="FF3F00"/>
            <w:vAlign w:val="center"/>
          </w:tcPr>
          <w:p w14:paraId="122BDAA4"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5</w:t>
            </w:r>
          </w:p>
        </w:tc>
        <w:tc>
          <w:tcPr>
            <w:tcW w:w="0" w:type="auto"/>
            <w:vMerge/>
            <w:shd w:val="solid" w:color="FFCC00" w:fill="auto"/>
            <w:vAlign w:val="center"/>
          </w:tcPr>
          <w:p w14:paraId="376F74C9"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c>
          <w:tcPr>
            <w:tcW w:w="0" w:type="auto"/>
            <w:shd w:val="clear" w:color="auto" w:fill="FF3F00"/>
            <w:vAlign w:val="center"/>
          </w:tcPr>
          <w:p w14:paraId="49E00721" w14:textId="77777777" w:rsidR="00545A37" w:rsidRPr="00E82552" w:rsidRDefault="00545A37" w:rsidP="00FF0031">
            <w:pPr>
              <w:autoSpaceDE w:val="0"/>
              <w:autoSpaceDN w:val="0"/>
              <w:adjustRightInd w:val="0"/>
              <w:spacing w:after="0" w:line="240" w:lineRule="auto"/>
              <w:jc w:val="center"/>
              <w:rPr>
                <w:rFonts w:cs="Trebuchet MS"/>
                <w:color w:val="000000"/>
                <w:sz w:val="16"/>
                <w:szCs w:val="16"/>
              </w:rPr>
            </w:pPr>
            <w:r w:rsidRPr="00E82552">
              <w:rPr>
                <w:rFonts w:cs="Calibri"/>
                <w:color w:val="000000"/>
                <w:sz w:val="16"/>
                <w:szCs w:val="16"/>
              </w:rPr>
              <w:t>5</w:t>
            </w:r>
          </w:p>
        </w:tc>
        <w:tc>
          <w:tcPr>
            <w:tcW w:w="0" w:type="auto"/>
            <w:vMerge/>
            <w:shd w:val="solid" w:color="FFCC00" w:fill="auto"/>
            <w:vAlign w:val="center"/>
          </w:tcPr>
          <w:p w14:paraId="327E5B19"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r>
      <w:tr w:rsidR="00545A37" w:rsidRPr="00E82552" w14:paraId="532EF524" w14:textId="77777777" w:rsidTr="00FF0031">
        <w:trPr>
          <w:trHeight w:val="176"/>
        </w:trPr>
        <w:tc>
          <w:tcPr>
            <w:tcW w:w="756" w:type="dxa"/>
            <w:vMerge/>
          </w:tcPr>
          <w:p w14:paraId="3AFAD118"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c>
          <w:tcPr>
            <w:tcW w:w="0" w:type="auto"/>
          </w:tcPr>
          <w:p w14:paraId="4334694C" w14:textId="77777777" w:rsidR="00545A37" w:rsidRPr="00E82552" w:rsidRDefault="00545A37" w:rsidP="00FF0031">
            <w:pPr>
              <w:autoSpaceDE w:val="0"/>
              <w:autoSpaceDN w:val="0"/>
              <w:adjustRightInd w:val="0"/>
              <w:spacing w:after="0" w:line="240" w:lineRule="auto"/>
              <w:rPr>
                <w:rFonts w:cs="Calibri"/>
                <w:color w:val="000000"/>
                <w:sz w:val="16"/>
                <w:szCs w:val="16"/>
              </w:rPr>
            </w:pPr>
            <w:r w:rsidRPr="00E82552">
              <w:rPr>
                <w:rFonts w:cs="Calibri"/>
                <w:color w:val="000000"/>
                <w:sz w:val="16"/>
                <w:szCs w:val="16"/>
              </w:rPr>
              <w:t>Zemeljski plazovi</w:t>
            </w:r>
          </w:p>
        </w:tc>
        <w:tc>
          <w:tcPr>
            <w:tcW w:w="0" w:type="auto"/>
            <w:shd w:val="solid" w:color="FFFF00" w:fill="auto"/>
            <w:vAlign w:val="center"/>
          </w:tcPr>
          <w:p w14:paraId="4CB871CF"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3-4</w:t>
            </w:r>
          </w:p>
        </w:tc>
        <w:tc>
          <w:tcPr>
            <w:tcW w:w="0" w:type="auto"/>
            <w:shd w:val="solid" w:color="FFFF00" w:fill="auto"/>
            <w:vAlign w:val="center"/>
          </w:tcPr>
          <w:p w14:paraId="5AF2ECF0"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3-4</w:t>
            </w:r>
          </w:p>
        </w:tc>
        <w:tc>
          <w:tcPr>
            <w:tcW w:w="0" w:type="auto"/>
            <w:shd w:val="solid" w:color="FFCC00" w:fill="auto"/>
            <w:vAlign w:val="center"/>
          </w:tcPr>
          <w:p w14:paraId="34788BC1"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4</w:t>
            </w:r>
          </w:p>
        </w:tc>
        <w:tc>
          <w:tcPr>
            <w:tcW w:w="0" w:type="auto"/>
            <w:vMerge/>
            <w:shd w:val="solid" w:color="FFCC00" w:fill="auto"/>
            <w:vAlign w:val="center"/>
          </w:tcPr>
          <w:p w14:paraId="0F96396B"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c>
          <w:tcPr>
            <w:tcW w:w="0" w:type="auto"/>
            <w:shd w:val="clear" w:color="auto" w:fill="FFC000"/>
            <w:vAlign w:val="center"/>
          </w:tcPr>
          <w:p w14:paraId="11256A3B"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4</w:t>
            </w:r>
          </w:p>
        </w:tc>
        <w:tc>
          <w:tcPr>
            <w:tcW w:w="0" w:type="auto"/>
            <w:vMerge/>
            <w:shd w:val="solid" w:color="FFCC00" w:fill="auto"/>
            <w:vAlign w:val="center"/>
          </w:tcPr>
          <w:p w14:paraId="6369214A"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r>
      <w:tr w:rsidR="00545A37" w:rsidRPr="00E82552" w14:paraId="2E6B4111" w14:textId="77777777" w:rsidTr="00FF0031">
        <w:trPr>
          <w:trHeight w:val="123"/>
        </w:trPr>
        <w:tc>
          <w:tcPr>
            <w:tcW w:w="756" w:type="dxa"/>
            <w:vMerge/>
          </w:tcPr>
          <w:p w14:paraId="4B7F3713"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c>
          <w:tcPr>
            <w:tcW w:w="0" w:type="auto"/>
          </w:tcPr>
          <w:p w14:paraId="6A70BB4D" w14:textId="77777777" w:rsidR="00545A37" w:rsidRPr="00E82552" w:rsidRDefault="00545A37" w:rsidP="00FF0031">
            <w:pPr>
              <w:autoSpaceDE w:val="0"/>
              <w:autoSpaceDN w:val="0"/>
              <w:adjustRightInd w:val="0"/>
              <w:spacing w:after="0" w:line="240" w:lineRule="auto"/>
              <w:rPr>
                <w:rFonts w:cs="Calibri"/>
                <w:color w:val="000000"/>
                <w:sz w:val="16"/>
                <w:szCs w:val="16"/>
              </w:rPr>
            </w:pPr>
            <w:r w:rsidRPr="00E82552">
              <w:rPr>
                <w:rFonts w:cs="Calibri"/>
                <w:color w:val="000000"/>
                <w:sz w:val="16"/>
                <w:szCs w:val="16"/>
              </w:rPr>
              <w:t>Gozdni požar</w:t>
            </w:r>
          </w:p>
        </w:tc>
        <w:tc>
          <w:tcPr>
            <w:tcW w:w="0" w:type="auto"/>
            <w:shd w:val="solid" w:color="FFCC00" w:fill="auto"/>
            <w:vAlign w:val="center"/>
          </w:tcPr>
          <w:p w14:paraId="01CE6C4B"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4</w:t>
            </w:r>
          </w:p>
        </w:tc>
        <w:tc>
          <w:tcPr>
            <w:tcW w:w="0" w:type="auto"/>
            <w:shd w:val="solid" w:color="FFCC00" w:fill="auto"/>
            <w:vAlign w:val="center"/>
          </w:tcPr>
          <w:p w14:paraId="671D1B43"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4</w:t>
            </w:r>
          </w:p>
        </w:tc>
        <w:tc>
          <w:tcPr>
            <w:tcW w:w="0" w:type="auto"/>
            <w:shd w:val="solid" w:color="FFCC00" w:fill="auto"/>
            <w:vAlign w:val="center"/>
          </w:tcPr>
          <w:p w14:paraId="62ABC503"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4</w:t>
            </w:r>
          </w:p>
        </w:tc>
        <w:tc>
          <w:tcPr>
            <w:tcW w:w="0" w:type="auto"/>
            <w:vMerge/>
            <w:shd w:val="solid" w:color="FFCC00" w:fill="auto"/>
            <w:vAlign w:val="center"/>
          </w:tcPr>
          <w:p w14:paraId="72B1F59A"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c>
          <w:tcPr>
            <w:tcW w:w="0" w:type="auto"/>
            <w:shd w:val="clear" w:color="auto" w:fill="FFC000"/>
            <w:vAlign w:val="center"/>
          </w:tcPr>
          <w:p w14:paraId="30281C44"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4-5</w:t>
            </w:r>
          </w:p>
        </w:tc>
        <w:tc>
          <w:tcPr>
            <w:tcW w:w="0" w:type="auto"/>
            <w:vMerge/>
            <w:shd w:val="solid" w:color="FFCC00" w:fill="auto"/>
            <w:vAlign w:val="center"/>
          </w:tcPr>
          <w:p w14:paraId="0DD13858"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r>
      <w:tr w:rsidR="00545A37" w:rsidRPr="00E82552" w14:paraId="0DDD4334" w14:textId="77777777" w:rsidTr="00FF0031">
        <w:trPr>
          <w:trHeight w:val="63"/>
        </w:trPr>
        <w:tc>
          <w:tcPr>
            <w:tcW w:w="756" w:type="dxa"/>
            <w:vMerge/>
          </w:tcPr>
          <w:p w14:paraId="63ABEC62"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c>
          <w:tcPr>
            <w:tcW w:w="0" w:type="auto"/>
          </w:tcPr>
          <w:p w14:paraId="5598692E" w14:textId="77777777" w:rsidR="00545A37" w:rsidRPr="00E82552" w:rsidRDefault="00545A37" w:rsidP="00FF0031">
            <w:pPr>
              <w:autoSpaceDE w:val="0"/>
              <w:autoSpaceDN w:val="0"/>
              <w:adjustRightInd w:val="0"/>
              <w:spacing w:after="0" w:line="240" w:lineRule="auto"/>
              <w:rPr>
                <w:rFonts w:cs="Calibri"/>
                <w:color w:val="000000"/>
                <w:sz w:val="16"/>
                <w:szCs w:val="16"/>
              </w:rPr>
            </w:pPr>
            <w:r w:rsidRPr="00E82552">
              <w:rPr>
                <w:rFonts w:cs="Calibri"/>
                <w:color w:val="000000"/>
                <w:sz w:val="16"/>
                <w:szCs w:val="16"/>
              </w:rPr>
              <w:t>Ogroženost smreke in črnega bora zaradi bolezni in škodljivcev</w:t>
            </w:r>
          </w:p>
        </w:tc>
        <w:tc>
          <w:tcPr>
            <w:tcW w:w="0" w:type="auto"/>
            <w:shd w:val="solid" w:color="FFCC00" w:fill="auto"/>
            <w:vAlign w:val="center"/>
          </w:tcPr>
          <w:p w14:paraId="5307F409"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4-5</w:t>
            </w:r>
          </w:p>
        </w:tc>
        <w:tc>
          <w:tcPr>
            <w:tcW w:w="0" w:type="auto"/>
            <w:shd w:val="solid" w:color="FFCC00" w:fill="auto"/>
            <w:vAlign w:val="center"/>
          </w:tcPr>
          <w:p w14:paraId="7329CD71"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4-5</w:t>
            </w:r>
          </w:p>
        </w:tc>
        <w:tc>
          <w:tcPr>
            <w:tcW w:w="0" w:type="auto"/>
            <w:shd w:val="clear" w:color="auto" w:fill="FF3F00"/>
            <w:vAlign w:val="center"/>
          </w:tcPr>
          <w:p w14:paraId="25BB4F87"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5</w:t>
            </w:r>
          </w:p>
        </w:tc>
        <w:tc>
          <w:tcPr>
            <w:tcW w:w="0" w:type="auto"/>
            <w:vMerge/>
            <w:shd w:val="solid" w:color="FFCC00" w:fill="auto"/>
            <w:vAlign w:val="center"/>
          </w:tcPr>
          <w:p w14:paraId="1DE6C20A"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c>
          <w:tcPr>
            <w:tcW w:w="0" w:type="auto"/>
            <w:shd w:val="solid" w:color="FF0000" w:fill="auto"/>
            <w:vAlign w:val="center"/>
          </w:tcPr>
          <w:p w14:paraId="38AEC4DD"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5</w:t>
            </w:r>
          </w:p>
        </w:tc>
        <w:tc>
          <w:tcPr>
            <w:tcW w:w="0" w:type="auto"/>
            <w:vMerge/>
            <w:shd w:val="solid" w:color="FFCC00" w:fill="auto"/>
            <w:vAlign w:val="center"/>
          </w:tcPr>
          <w:p w14:paraId="23C313D9"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r>
      <w:tr w:rsidR="00545A37" w:rsidRPr="00E82552" w14:paraId="40961E1F" w14:textId="77777777" w:rsidTr="00FF0031">
        <w:trPr>
          <w:trHeight w:val="239"/>
        </w:trPr>
        <w:tc>
          <w:tcPr>
            <w:tcW w:w="756" w:type="dxa"/>
            <w:vMerge/>
          </w:tcPr>
          <w:p w14:paraId="7C67CD6C"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c>
          <w:tcPr>
            <w:tcW w:w="0" w:type="auto"/>
          </w:tcPr>
          <w:p w14:paraId="35409688" w14:textId="77777777" w:rsidR="00545A37" w:rsidRPr="00E82552" w:rsidRDefault="00545A37" w:rsidP="00FF0031">
            <w:pPr>
              <w:autoSpaceDE w:val="0"/>
              <w:autoSpaceDN w:val="0"/>
              <w:adjustRightInd w:val="0"/>
              <w:spacing w:after="0" w:line="240" w:lineRule="auto"/>
              <w:rPr>
                <w:rFonts w:cs="Calibri"/>
                <w:color w:val="000000"/>
                <w:sz w:val="16"/>
                <w:szCs w:val="16"/>
              </w:rPr>
            </w:pPr>
            <w:r w:rsidRPr="00E82552">
              <w:rPr>
                <w:rFonts w:cs="Calibri"/>
                <w:color w:val="000000"/>
                <w:sz w:val="16"/>
                <w:szCs w:val="16"/>
              </w:rPr>
              <w:t>Ogroženost listavcev zaradi bolezni in škodljivcev</w:t>
            </w:r>
          </w:p>
        </w:tc>
        <w:tc>
          <w:tcPr>
            <w:tcW w:w="0" w:type="auto"/>
            <w:shd w:val="clear" w:color="auto" w:fill="FFFF00"/>
            <w:vAlign w:val="center"/>
          </w:tcPr>
          <w:p w14:paraId="09DBA146"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3</w:t>
            </w:r>
          </w:p>
        </w:tc>
        <w:tc>
          <w:tcPr>
            <w:tcW w:w="0" w:type="auto"/>
            <w:shd w:val="clear" w:color="auto" w:fill="FFFF00"/>
            <w:vAlign w:val="center"/>
          </w:tcPr>
          <w:p w14:paraId="49C6A0F1"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3</w:t>
            </w:r>
          </w:p>
        </w:tc>
        <w:tc>
          <w:tcPr>
            <w:tcW w:w="0" w:type="auto"/>
            <w:shd w:val="clear" w:color="auto" w:fill="FFFF00"/>
            <w:vAlign w:val="center"/>
          </w:tcPr>
          <w:p w14:paraId="64192553"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3</w:t>
            </w:r>
          </w:p>
        </w:tc>
        <w:tc>
          <w:tcPr>
            <w:tcW w:w="0" w:type="auto"/>
            <w:vMerge/>
            <w:shd w:val="solid" w:color="FFCC00" w:fill="auto"/>
            <w:vAlign w:val="center"/>
          </w:tcPr>
          <w:p w14:paraId="33B9D0F2"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c>
          <w:tcPr>
            <w:tcW w:w="0" w:type="auto"/>
            <w:shd w:val="clear" w:color="auto" w:fill="FFFF00"/>
            <w:vAlign w:val="center"/>
          </w:tcPr>
          <w:p w14:paraId="7A91AE0D"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3-4</w:t>
            </w:r>
          </w:p>
        </w:tc>
        <w:tc>
          <w:tcPr>
            <w:tcW w:w="0" w:type="auto"/>
            <w:vMerge/>
            <w:shd w:val="solid" w:color="FFCC00" w:fill="auto"/>
            <w:vAlign w:val="center"/>
          </w:tcPr>
          <w:p w14:paraId="41CF1645"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r>
      <w:tr w:rsidR="00545A37" w:rsidRPr="00E82552" w14:paraId="5CF2118A" w14:textId="77777777" w:rsidTr="00FF0031">
        <w:trPr>
          <w:trHeight w:val="272"/>
        </w:trPr>
        <w:tc>
          <w:tcPr>
            <w:tcW w:w="756" w:type="dxa"/>
            <w:vMerge/>
          </w:tcPr>
          <w:p w14:paraId="5A0E68EC"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c>
          <w:tcPr>
            <w:tcW w:w="0" w:type="auto"/>
          </w:tcPr>
          <w:p w14:paraId="75DC0185" w14:textId="77777777" w:rsidR="00545A37" w:rsidRPr="00E82552" w:rsidRDefault="00545A37" w:rsidP="00FF0031">
            <w:pPr>
              <w:autoSpaceDE w:val="0"/>
              <w:autoSpaceDN w:val="0"/>
              <w:adjustRightInd w:val="0"/>
              <w:spacing w:after="0" w:line="240" w:lineRule="auto"/>
              <w:rPr>
                <w:rFonts w:cs="Calibri"/>
                <w:color w:val="000000"/>
                <w:sz w:val="16"/>
                <w:szCs w:val="16"/>
              </w:rPr>
            </w:pPr>
            <w:r w:rsidRPr="00E82552">
              <w:rPr>
                <w:rFonts w:cs="Calibri"/>
                <w:color w:val="000000"/>
                <w:sz w:val="16"/>
                <w:szCs w:val="16"/>
              </w:rPr>
              <w:t>Invazivne tujerodne vrste (ITV)</w:t>
            </w:r>
          </w:p>
        </w:tc>
        <w:tc>
          <w:tcPr>
            <w:tcW w:w="0" w:type="auto"/>
            <w:shd w:val="clear" w:color="auto" w:fill="FFFF00"/>
            <w:vAlign w:val="center"/>
          </w:tcPr>
          <w:p w14:paraId="143338B7"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3-4</w:t>
            </w:r>
          </w:p>
        </w:tc>
        <w:tc>
          <w:tcPr>
            <w:tcW w:w="0" w:type="auto"/>
            <w:shd w:val="clear" w:color="auto" w:fill="FFFF00"/>
            <w:vAlign w:val="center"/>
          </w:tcPr>
          <w:p w14:paraId="0C137F74"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3-4</w:t>
            </w:r>
          </w:p>
        </w:tc>
        <w:tc>
          <w:tcPr>
            <w:tcW w:w="0" w:type="auto"/>
            <w:shd w:val="solid" w:color="FFCC00" w:fill="auto"/>
            <w:vAlign w:val="center"/>
          </w:tcPr>
          <w:p w14:paraId="630D36BE"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4</w:t>
            </w:r>
          </w:p>
        </w:tc>
        <w:tc>
          <w:tcPr>
            <w:tcW w:w="0" w:type="auto"/>
            <w:vMerge/>
            <w:shd w:val="solid" w:color="FFCC00" w:fill="auto"/>
            <w:vAlign w:val="center"/>
          </w:tcPr>
          <w:p w14:paraId="0CF9FA4F"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c>
          <w:tcPr>
            <w:tcW w:w="0" w:type="auto"/>
            <w:shd w:val="solid" w:color="FFCC00" w:fill="auto"/>
            <w:vAlign w:val="center"/>
          </w:tcPr>
          <w:p w14:paraId="6D044FA9"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4</w:t>
            </w:r>
          </w:p>
        </w:tc>
        <w:tc>
          <w:tcPr>
            <w:tcW w:w="0" w:type="auto"/>
            <w:vMerge/>
            <w:shd w:val="solid" w:color="FFCC00" w:fill="auto"/>
            <w:vAlign w:val="center"/>
          </w:tcPr>
          <w:p w14:paraId="5970F19E"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r>
      <w:tr w:rsidR="00545A37" w:rsidRPr="00E82552" w14:paraId="62CCAD58" w14:textId="77777777" w:rsidTr="00FF0031">
        <w:trPr>
          <w:cantSplit/>
          <w:trHeight w:val="418"/>
        </w:trPr>
        <w:tc>
          <w:tcPr>
            <w:tcW w:w="756" w:type="dxa"/>
            <w:vMerge w:val="restart"/>
            <w:textDirection w:val="btLr"/>
          </w:tcPr>
          <w:p w14:paraId="4D97BE7D" w14:textId="77777777" w:rsidR="00545A37" w:rsidRPr="00E82552" w:rsidRDefault="00545A37" w:rsidP="00FF0031">
            <w:pPr>
              <w:autoSpaceDE w:val="0"/>
              <w:autoSpaceDN w:val="0"/>
              <w:adjustRightInd w:val="0"/>
              <w:spacing w:after="0" w:line="240" w:lineRule="auto"/>
              <w:ind w:left="113" w:right="113"/>
              <w:jc w:val="center"/>
              <w:rPr>
                <w:rFonts w:cs="Calibri"/>
                <w:color w:val="000000"/>
                <w:sz w:val="16"/>
                <w:szCs w:val="16"/>
              </w:rPr>
            </w:pPr>
            <w:r w:rsidRPr="00E82552">
              <w:rPr>
                <w:rFonts w:cs="Calibri"/>
                <w:color w:val="000000"/>
                <w:sz w:val="16"/>
                <w:szCs w:val="16"/>
              </w:rPr>
              <w:t>Družbeno okolje</w:t>
            </w:r>
          </w:p>
        </w:tc>
        <w:tc>
          <w:tcPr>
            <w:tcW w:w="0" w:type="auto"/>
          </w:tcPr>
          <w:p w14:paraId="517395B4" w14:textId="77777777" w:rsidR="00545A37" w:rsidRPr="00E82552" w:rsidRDefault="00545A37" w:rsidP="00FF0031">
            <w:pPr>
              <w:autoSpaceDE w:val="0"/>
              <w:autoSpaceDN w:val="0"/>
              <w:adjustRightInd w:val="0"/>
              <w:spacing w:after="0" w:line="240" w:lineRule="auto"/>
              <w:rPr>
                <w:rFonts w:cs="Calibri"/>
                <w:color w:val="000000"/>
                <w:sz w:val="16"/>
                <w:szCs w:val="16"/>
              </w:rPr>
            </w:pPr>
            <w:r w:rsidRPr="00E82552">
              <w:rPr>
                <w:rFonts w:cs="Calibri"/>
                <w:color w:val="000000"/>
                <w:sz w:val="16"/>
                <w:szCs w:val="16"/>
              </w:rPr>
              <w:t>Število izvajalcev del v gozdarstvu</w:t>
            </w:r>
          </w:p>
        </w:tc>
        <w:tc>
          <w:tcPr>
            <w:tcW w:w="0" w:type="auto"/>
            <w:shd w:val="solid" w:color="FFFF00" w:fill="auto"/>
            <w:vAlign w:val="center"/>
          </w:tcPr>
          <w:p w14:paraId="5A43017E"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3</w:t>
            </w:r>
          </w:p>
        </w:tc>
        <w:tc>
          <w:tcPr>
            <w:tcW w:w="0" w:type="auto"/>
            <w:shd w:val="solid" w:color="FFFF00" w:fill="auto"/>
            <w:vAlign w:val="center"/>
          </w:tcPr>
          <w:p w14:paraId="579D1637"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3</w:t>
            </w:r>
          </w:p>
        </w:tc>
        <w:tc>
          <w:tcPr>
            <w:tcW w:w="0" w:type="auto"/>
            <w:shd w:val="clear" w:color="auto" w:fill="FFFF00"/>
            <w:vAlign w:val="center"/>
          </w:tcPr>
          <w:p w14:paraId="406A14D9"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3</w:t>
            </w:r>
          </w:p>
        </w:tc>
        <w:tc>
          <w:tcPr>
            <w:tcW w:w="0" w:type="auto"/>
            <w:vMerge/>
            <w:shd w:val="solid" w:color="FFCC00" w:fill="auto"/>
            <w:vAlign w:val="center"/>
          </w:tcPr>
          <w:p w14:paraId="40AE8CA4"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c>
          <w:tcPr>
            <w:tcW w:w="0" w:type="auto"/>
            <w:shd w:val="clear" w:color="auto" w:fill="FFFF00"/>
            <w:vAlign w:val="center"/>
          </w:tcPr>
          <w:p w14:paraId="0356582F"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3</w:t>
            </w:r>
          </w:p>
        </w:tc>
        <w:tc>
          <w:tcPr>
            <w:tcW w:w="0" w:type="auto"/>
            <w:vMerge/>
            <w:shd w:val="solid" w:color="FFCC00" w:fill="auto"/>
            <w:vAlign w:val="center"/>
          </w:tcPr>
          <w:p w14:paraId="2281A611"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r>
      <w:tr w:rsidR="00545A37" w:rsidRPr="00E82552" w14:paraId="22B68452" w14:textId="77777777" w:rsidTr="00FF0031">
        <w:trPr>
          <w:trHeight w:val="551"/>
        </w:trPr>
        <w:tc>
          <w:tcPr>
            <w:tcW w:w="756" w:type="dxa"/>
            <w:vMerge/>
          </w:tcPr>
          <w:p w14:paraId="6122FAA2"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c>
          <w:tcPr>
            <w:tcW w:w="0" w:type="auto"/>
          </w:tcPr>
          <w:p w14:paraId="15F607C0" w14:textId="77777777" w:rsidR="00545A37" w:rsidRPr="00E82552" w:rsidRDefault="00545A37" w:rsidP="00FF0031">
            <w:pPr>
              <w:autoSpaceDE w:val="0"/>
              <w:autoSpaceDN w:val="0"/>
              <w:adjustRightInd w:val="0"/>
              <w:spacing w:after="0" w:line="240" w:lineRule="auto"/>
              <w:rPr>
                <w:rFonts w:cs="Calibri"/>
                <w:color w:val="000000"/>
                <w:sz w:val="16"/>
                <w:szCs w:val="16"/>
              </w:rPr>
            </w:pPr>
            <w:r w:rsidRPr="00E82552">
              <w:rPr>
                <w:rFonts w:cs="Calibri"/>
                <w:color w:val="000000"/>
                <w:sz w:val="16"/>
                <w:szCs w:val="16"/>
              </w:rPr>
              <w:t>Količine in potencial lesa in gozdov</w:t>
            </w:r>
          </w:p>
        </w:tc>
        <w:tc>
          <w:tcPr>
            <w:tcW w:w="0" w:type="auto"/>
            <w:shd w:val="solid" w:color="FFFF00" w:fill="auto"/>
            <w:vAlign w:val="center"/>
          </w:tcPr>
          <w:p w14:paraId="1A93FDA2"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3</w:t>
            </w:r>
          </w:p>
        </w:tc>
        <w:tc>
          <w:tcPr>
            <w:tcW w:w="0" w:type="auto"/>
            <w:shd w:val="solid" w:color="FFFF00" w:fill="auto"/>
            <w:vAlign w:val="center"/>
          </w:tcPr>
          <w:p w14:paraId="3A760220"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3</w:t>
            </w:r>
          </w:p>
        </w:tc>
        <w:tc>
          <w:tcPr>
            <w:tcW w:w="0" w:type="auto"/>
            <w:shd w:val="clear" w:color="auto" w:fill="FFFF00"/>
            <w:vAlign w:val="center"/>
          </w:tcPr>
          <w:p w14:paraId="5C3C4A08"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3</w:t>
            </w:r>
          </w:p>
        </w:tc>
        <w:tc>
          <w:tcPr>
            <w:tcW w:w="0" w:type="auto"/>
            <w:vMerge/>
            <w:shd w:val="solid" w:color="FFCC00" w:fill="auto"/>
            <w:vAlign w:val="center"/>
          </w:tcPr>
          <w:p w14:paraId="0FF10EE5"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p>
        </w:tc>
        <w:tc>
          <w:tcPr>
            <w:tcW w:w="0" w:type="auto"/>
            <w:shd w:val="clear" w:color="auto" w:fill="FFFF00"/>
            <w:vAlign w:val="center"/>
          </w:tcPr>
          <w:p w14:paraId="2DD50F94" w14:textId="77777777" w:rsidR="00545A37" w:rsidRPr="00E82552" w:rsidRDefault="00545A37" w:rsidP="00FF0031">
            <w:pPr>
              <w:autoSpaceDE w:val="0"/>
              <w:autoSpaceDN w:val="0"/>
              <w:adjustRightInd w:val="0"/>
              <w:spacing w:after="0" w:line="240" w:lineRule="auto"/>
              <w:jc w:val="center"/>
              <w:rPr>
                <w:rFonts w:cs="Calibri"/>
                <w:color w:val="000000"/>
                <w:sz w:val="16"/>
                <w:szCs w:val="16"/>
              </w:rPr>
            </w:pPr>
            <w:r w:rsidRPr="00E82552">
              <w:rPr>
                <w:rFonts w:cs="Calibri"/>
                <w:color w:val="000000"/>
                <w:sz w:val="16"/>
                <w:szCs w:val="16"/>
              </w:rPr>
              <w:t>3</w:t>
            </w:r>
          </w:p>
        </w:tc>
        <w:tc>
          <w:tcPr>
            <w:tcW w:w="0" w:type="auto"/>
            <w:vMerge/>
            <w:shd w:val="solid" w:color="FFCC00" w:fill="auto"/>
            <w:vAlign w:val="center"/>
          </w:tcPr>
          <w:p w14:paraId="61C376EE" w14:textId="77777777" w:rsidR="00545A37" w:rsidRPr="00E82552" w:rsidRDefault="00545A37" w:rsidP="00FF0031">
            <w:pPr>
              <w:keepNext/>
              <w:autoSpaceDE w:val="0"/>
              <w:autoSpaceDN w:val="0"/>
              <w:adjustRightInd w:val="0"/>
              <w:spacing w:after="0" w:line="240" w:lineRule="auto"/>
              <w:jc w:val="center"/>
              <w:rPr>
                <w:rFonts w:cs="Calibri"/>
                <w:color w:val="000000"/>
                <w:sz w:val="16"/>
                <w:szCs w:val="16"/>
              </w:rPr>
            </w:pPr>
          </w:p>
        </w:tc>
      </w:tr>
    </w:tbl>
    <w:p w14:paraId="26ED5EB2" w14:textId="77777777" w:rsidR="00545A37" w:rsidRPr="00E82552" w:rsidRDefault="00545A37" w:rsidP="00545A37">
      <w:pPr>
        <w:spacing w:line="257" w:lineRule="auto"/>
        <w:rPr>
          <w:rFonts w:eastAsia="Trebuchet MS" w:cs="Trebuchet MS"/>
        </w:rPr>
      </w:pPr>
      <w:r w:rsidRPr="00E82552">
        <w:rPr>
          <w:rFonts w:eastAsia="Trebuchet MS" w:cs="Trebuchet MS"/>
        </w:rPr>
        <w:t xml:space="preserve">V prihodnosti pričakujemo, da se bo ranljivost </w:t>
      </w:r>
      <w:r>
        <w:rPr>
          <w:rFonts w:eastAsia="Trebuchet MS" w:cs="Trebuchet MS"/>
        </w:rPr>
        <w:t xml:space="preserve">gozdarstva </w:t>
      </w:r>
      <w:r w:rsidRPr="00E82552">
        <w:rPr>
          <w:rFonts w:eastAsia="Trebuchet MS" w:cs="Trebuchet MS"/>
        </w:rPr>
        <w:t>v skladu z napovedanimi vplivi podnebnih sprememb povečala. V obdobju 2041 – 2070 je ranljivost ocenjena z veliko (4). Tveganje za sektor gozdarstva v Mestni občini Nova Gorica je posledično ocenjeno za veliko (4).</w:t>
      </w:r>
    </w:p>
    <w:p w14:paraId="15610496" w14:textId="77777777" w:rsidR="00545A37" w:rsidRDefault="00545A37" w:rsidP="00545A37">
      <w:pPr>
        <w:keepNext/>
        <w:spacing w:line="257" w:lineRule="auto"/>
        <w:jc w:val="center"/>
      </w:pPr>
      <w:r>
        <w:rPr>
          <w:noProof/>
          <w:lang w:eastAsia="sl-SI"/>
        </w:rPr>
        <w:lastRenderedPageBreak/>
        <w:drawing>
          <wp:inline distT="0" distB="0" distL="0" distR="0" wp14:anchorId="7451D7C2" wp14:editId="02CF15B5">
            <wp:extent cx="2560320" cy="2404146"/>
            <wp:effectExtent l="0" t="0" r="0" b="0"/>
            <wp:docPr id="16" name="Picture 1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radar chart&#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60320" cy="2404146"/>
                    </a:xfrm>
                    <a:prstGeom prst="rect">
                      <a:avLst/>
                    </a:prstGeom>
                    <a:noFill/>
                  </pic:spPr>
                </pic:pic>
              </a:graphicData>
            </a:graphic>
          </wp:inline>
        </w:drawing>
      </w:r>
    </w:p>
    <w:p w14:paraId="7B568B28" w14:textId="21F8457B" w:rsidR="00545A37" w:rsidRPr="00545A37" w:rsidRDefault="00545A37" w:rsidP="00545A37">
      <w:pPr>
        <w:pStyle w:val="Napis"/>
        <w:jc w:val="left"/>
        <w:rPr>
          <w:highlight w:val="yellow"/>
        </w:rPr>
      </w:pPr>
      <w:bookmarkStart w:id="15" w:name="_Toc97026831"/>
      <w:r>
        <w:t xml:space="preserve">Slika </w:t>
      </w:r>
      <w:r w:rsidR="008334B2">
        <w:fldChar w:fldCharType="begin"/>
      </w:r>
      <w:r w:rsidR="008334B2">
        <w:instrText xml:space="preserve"> STYLEREF 1 \s </w:instrText>
      </w:r>
      <w:r w:rsidR="008334B2">
        <w:fldChar w:fldCharType="separate"/>
      </w:r>
      <w:r w:rsidR="008334B2">
        <w:rPr>
          <w:noProof/>
        </w:rPr>
        <w:t>1</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2</w:t>
      </w:r>
      <w:r w:rsidR="008334B2">
        <w:fldChar w:fldCharType="end"/>
      </w:r>
      <w:r w:rsidRPr="00077351">
        <w:t xml:space="preserve">: </w:t>
      </w:r>
      <w:r w:rsidRPr="0049363D">
        <w:t>Prikaz ocen potencialnih vplivov podnebnih sprememb za devet kazalnikov s pripadajočimi potencialnimi vplivi in sposobnostjo prilagajanja sektorja gozdarstvo v Mestni občini Nova Gorica po scenarijih RCP4.5 in RCP8.5 v drugem obdobju (2041–2070)</w:t>
      </w:r>
      <w:bookmarkEnd w:id="15"/>
    </w:p>
    <w:p w14:paraId="331629E4" w14:textId="77EF4901" w:rsidR="00545A37" w:rsidRPr="00E82552" w:rsidRDefault="00545A37" w:rsidP="00545A37">
      <w:r w:rsidRPr="00E82552">
        <w:t xml:space="preserve">Predlagani ukrepi za prilagajanje gozdarstva in s tem zmanjšanje negativnih vplivov podnebnih sprememb se osredotočajo na zmanjševanje občutljivosti naravnega in družbenega okolja na podnebne spremembe in večanje njihove prilagoditvene sposobnosti. Pomembna področja ukrepanja zajemajo: ohranjanje stabilnega deleža gozdnatosti v kmetijski krajini in ohranjanje kmetijskih površin pred zaraščanjem; v sodelovanju z lokalno skupnostjo spodbujati, svetovati in usmerjati vzpostavitev </w:t>
      </w:r>
      <w:proofErr w:type="spellStart"/>
      <w:r w:rsidRPr="00E82552">
        <w:t>vetro</w:t>
      </w:r>
      <w:proofErr w:type="spellEnd"/>
      <w:r w:rsidRPr="00E82552">
        <w:t xml:space="preserve">-zaščitnih pasov in </w:t>
      </w:r>
      <w:proofErr w:type="spellStart"/>
      <w:r w:rsidRPr="00E82552">
        <w:t>omejkov</w:t>
      </w:r>
      <w:proofErr w:type="spellEnd"/>
      <w:r w:rsidRPr="00E82552">
        <w:t xml:space="preserve"> znotraj pretežno kmetijske krajine; v sodelovanju z lokalno skupnostjo spodbujati, svetovati in usmerjati ohranjanje in povečanje dostopnih površin mestnih gozdov ter povezovanje z zelenimi površinami na robovih naselij in v zaledju v »zeleni sistem« s poudarkom na rekreaciji in turizmu; vzpostavitev javne službe za upravljanje z gozdovi v lasti MONG v sodelovanju z Zavodom za gozdove Slovenije v smislu »dobrega gospodarja«; </w:t>
      </w:r>
      <w:r w:rsidRPr="00856496">
        <w:t>izboljšanje strukture gozdov (večja pestrost avtohtonih drevesnih vrst, bolj uravnoteženo razmerje razvojnih faz, idr.) z namenom krepitve odpornosti gozdov na mehanske poškodbe ter bolezni in škodljivce; ozaveščanje prebivalstva o nevarnostih vnašanja invazivnih tujerodnih vrst (ITV) ter vzpostavitev sistema hitrega ukrepanja pri vdoru novih ITV</w:t>
      </w:r>
      <w:r>
        <w:t xml:space="preserve">; </w:t>
      </w:r>
      <w:r w:rsidRPr="00E82552">
        <w:t xml:space="preserve">načrtovanje in izvajanje proti-erozijskih ukrepov v gozdovih za zmanjševanje erozijske ogroženosti infrastrukture ter preprečevanje proženja zemeljskih plazov; načrtovanje in izvajanje ukrepov za zmanjšanje požarne ogroženosti ter </w:t>
      </w:r>
      <w:r w:rsidRPr="00856496">
        <w:t>usmerjanje drevesne sestave k požarno bolj odpornim oblikam</w:t>
      </w:r>
      <w:r w:rsidRPr="00E82552">
        <w:t xml:space="preserve">; povezovanje lastnikov ali koncentracija gozdnih posesti za bolj učinkovito gospodarjenje z gozdovi ter boljše obvladovanje podnebnih tveganj, povezanih z gozdovi; </w:t>
      </w:r>
      <w:r w:rsidRPr="00856496">
        <w:t>spodbujanje lastnikov gozdov k sečnji, izvajanju gojitvenih del, predvsem nege mladega gozda ter vlaganju v gozdove</w:t>
      </w:r>
      <w:r>
        <w:t xml:space="preserve">; </w:t>
      </w:r>
      <w:r w:rsidRPr="00E82552">
        <w:t>ozaveščanje in usposabljanje zasebnih lastnikov gozdov ter izvajalcev gozdnih del za bolj učinkovito in varno delo ter gospodarjenje z gozdom; povečanje sredstev in kadrov za izvajanje javne gozdarske službe; izboljšanje stanja gozdarske in lesno-predelovalne industrije v Sloveniji in v regiji – manjša razdrobljenost, povezovanje, posodobitev tehnologije, večja konkurenčnost, usmeritev v vrednostno proizvodnjo, izboljšati trženje gozdnih proizvodov; ozaveščanje in spodbujanje prebivalstva, javnih ustanov in investitorjev za večjo rabo lesne biomase kot OVE.</w:t>
      </w:r>
    </w:p>
    <w:p w14:paraId="156F1F48" w14:textId="0F9AC7C4" w:rsidR="0013327D" w:rsidRDefault="0013327D">
      <w:pPr>
        <w:jc w:val="left"/>
        <w:rPr>
          <w:highlight w:val="yellow"/>
        </w:rPr>
      </w:pPr>
      <w:r>
        <w:rPr>
          <w:highlight w:val="yellow"/>
        </w:rPr>
        <w:br w:type="page"/>
      </w:r>
    </w:p>
    <w:p w14:paraId="5954157B" w14:textId="1A1424CC" w:rsidR="00F973DA" w:rsidRDefault="00F973DA" w:rsidP="00CE43D7">
      <w:pPr>
        <w:pStyle w:val="Naslov2"/>
      </w:pPr>
      <w:bookmarkStart w:id="16" w:name="_Toc97026723"/>
      <w:r>
        <w:lastRenderedPageBreak/>
        <w:t xml:space="preserve">Sektor </w:t>
      </w:r>
      <w:r w:rsidR="00F25B4F">
        <w:t>zdravstvo</w:t>
      </w:r>
      <w:bookmarkEnd w:id="16"/>
    </w:p>
    <w:p w14:paraId="1103D335" w14:textId="77777777" w:rsidR="0053259D" w:rsidRDefault="0053259D" w:rsidP="0053259D">
      <w:pPr>
        <w:rPr>
          <w:lang w:eastAsia="sl-SI"/>
        </w:rPr>
      </w:pPr>
      <w:r>
        <w:rPr>
          <w:lang w:eastAsia="sl-SI"/>
        </w:rPr>
        <w:t xml:space="preserve">Ocena ranljivosti zdravstvenega sektorja upošteva potencialne vplive podnebnih sprememb in sposobnosti prilagajanja sektorja. Pri oceni ranljivosti so bili uporabljeni kazalniki, ki prikazujejo zdravstveno stanje prebivalcev, dejavnike iz okolja, demografsko sliko in sistem zdravstvenega varstva (v preglednicah so poimenovani segmenti sektorja). Za oceno obstoječega stanja sektorja na področju opisanih segmentov so bile vrednosti izbranih kazalnikov primerjane s povprečnimi vrednostmi za Slovenijo. Pri interpretaciji ocene tveganja je bila ocena podana na predpostavki, da se ukrepi za prilagajanje podnebnim spremembam ne izvajajo. Za pripravo ocene so bili uporabljeni podatki naslednjih inštitucij: Nacionalni inštitutu za javno zdravje, Agencija RS za okolje, Statistični urad RS, Mestna občina Nova Gorica, Zdravstveni dom Osnovno varstvo Nova Gorica , letna poročila Vodovoda in MOP o kopalnih vodah. </w:t>
      </w:r>
    </w:p>
    <w:p w14:paraId="5ACA41D6" w14:textId="77777777" w:rsidR="0053259D" w:rsidRDefault="0053259D" w:rsidP="0053259D">
      <w:pPr>
        <w:rPr>
          <w:lang w:eastAsia="sl-SI"/>
        </w:rPr>
      </w:pPr>
      <w:r>
        <w:rPr>
          <w:lang w:eastAsia="sl-SI"/>
        </w:rPr>
        <w:t xml:space="preserve">Za </w:t>
      </w:r>
      <w:r>
        <w:rPr>
          <w:b/>
          <w:lang w:eastAsia="sl-SI"/>
        </w:rPr>
        <w:t>oceno sedanjega stanja</w:t>
      </w:r>
      <w:r>
        <w:rPr>
          <w:lang w:eastAsia="sl-SI"/>
        </w:rPr>
        <w:t xml:space="preserve"> so bili izbrani določeni kazalniki, ki so bili porazdeljeni v štiri segmente: zdravstveno stanje prebivalcev,  naravno okolje, demografska slika in socialno-ekonomsko stanje.</w:t>
      </w:r>
    </w:p>
    <w:p w14:paraId="1C4CA7AE" w14:textId="77777777" w:rsidR="0053259D" w:rsidRDefault="0053259D" w:rsidP="0053259D">
      <w:pPr>
        <w:rPr>
          <w:lang w:eastAsia="sl-SI"/>
        </w:rPr>
      </w:pPr>
      <w:r>
        <w:rPr>
          <w:lang w:eastAsia="sl-SI"/>
        </w:rPr>
        <w:t xml:space="preserve">Ocena zdravstvenega stanja prebivalcev je bila osredotočena na ranljive skupine prebivalstva, ki so bolj dovzetne za vplive podnebnih sprememb (bolniki s srčno-žilnimi obolenji, obolenji dihal, sladkorno boleznijo, duševnimi motnjami ter starejši). Poleg tega je bila izvedena ocena mikrobiološke kakovosti pitne vode (MKB) in obolevnosti za klopnim </w:t>
      </w:r>
      <w:proofErr w:type="spellStart"/>
      <w:r>
        <w:rPr>
          <w:lang w:eastAsia="sl-SI"/>
        </w:rPr>
        <w:t>meningoencefalitisom</w:t>
      </w:r>
      <w:proofErr w:type="spellEnd"/>
      <w:r>
        <w:rPr>
          <w:lang w:eastAsia="sl-SI"/>
        </w:rPr>
        <w:t xml:space="preserve"> (KME) in </w:t>
      </w:r>
      <w:proofErr w:type="spellStart"/>
      <w:r>
        <w:rPr>
          <w:lang w:eastAsia="sl-SI"/>
        </w:rPr>
        <w:t>Lymsko</w:t>
      </w:r>
      <w:proofErr w:type="spellEnd"/>
      <w:r>
        <w:rPr>
          <w:lang w:eastAsia="sl-SI"/>
        </w:rPr>
        <w:t xml:space="preserve"> boreliozo v občini. Ocenjeno je bilo tudi socialno-ekonomsko stanje prebivalcev kot pomemben dejavnik pri sposobnosti prilagajanja na podnebne spremembe (Slika 6.19). </w:t>
      </w:r>
    </w:p>
    <w:p w14:paraId="43C97821" w14:textId="77777777" w:rsidR="0053259D" w:rsidRDefault="0053259D" w:rsidP="0053259D">
      <w:r>
        <w:rPr>
          <w:lang w:eastAsia="sl-SI"/>
        </w:rPr>
        <w:t xml:space="preserve">Kazalnike smo razdelili na tiste, katerih </w:t>
      </w:r>
      <w:r>
        <w:t xml:space="preserve">večja vrednost prikazuje negativni učinek oz. kaže na možno višjo občutljivost na podnebne spremembe ter nižjo sposobnost prilagajanja in tiste, katerih večja vrednost prikazuje pozitivni/zaščiten učinek glede vplivov podnebnih sprememb in kažejo dejavnike, ki višajo sposobnost prilagajanja. </w:t>
      </w:r>
    </w:p>
    <w:p w14:paraId="2312737D" w14:textId="77777777" w:rsidR="0053259D" w:rsidRDefault="0053259D" w:rsidP="0053259D">
      <w:pPr>
        <w:rPr>
          <w:rFonts w:eastAsia="Times New Roman" w:cs="Times New Roman"/>
        </w:rPr>
      </w:pPr>
      <w:r>
        <w:rPr>
          <w:lang w:eastAsia="sl-SI"/>
        </w:rPr>
        <w:t xml:space="preserve">Pri kazalnikih, katerih večja vrednost ima negativni učinek, najbolj izstopa </w:t>
      </w:r>
      <w:proofErr w:type="spellStart"/>
      <w:r>
        <w:rPr>
          <w:lang w:eastAsia="sl-SI"/>
        </w:rPr>
        <w:t>Lymska</w:t>
      </w:r>
      <w:proofErr w:type="spellEnd"/>
      <w:r>
        <w:rPr>
          <w:lang w:eastAsia="sl-SI"/>
        </w:rPr>
        <w:t xml:space="preserve"> borelioza (primeri- stopnja), vrednost indeksa staranja, delež prebivalcev starih 65 let in več in stopnja tveganja revščine. Izstopa tudi </w:t>
      </w:r>
      <w:r w:rsidRPr="00520747">
        <w:rPr>
          <w:lang w:eastAsia="sl-SI"/>
        </w:rPr>
        <w:t xml:space="preserve">kazalnik </w:t>
      </w:r>
      <w:r>
        <w:rPr>
          <w:lang w:eastAsia="sl-SI"/>
        </w:rPr>
        <w:t xml:space="preserve">Astma pri otrocih in mladostnikih (0-19 let), za katerega pa zaradi majhnega vzorca opazovanih oseb in možnosti ponavljajočih se poslabšanj pri isti osebi predpostavljamo, da ta podatek ni alarmanten. Je pa pomemben v zvezi s podnebnimi spremembami, ker so sprejemi otrok v bolnišnico zaradi astme lahko povezani s povišanimi koncentracijami ozona. </w:t>
      </w:r>
      <w:proofErr w:type="spellStart"/>
      <w:r>
        <w:rPr>
          <w:lang w:eastAsia="sl-SI"/>
        </w:rPr>
        <w:t>Lymska</w:t>
      </w:r>
      <w:proofErr w:type="spellEnd"/>
      <w:r>
        <w:rPr>
          <w:lang w:eastAsia="sl-SI"/>
        </w:rPr>
        <w:t xml:space="preserve"> borelioza (povprečno </w:t>
      </w:r>
      <w:r>
        <w:rPr>
          <w:rFonts w:cs="Calibri"/>
          <w:bCs/>
        </w:rPr>
        <w:t xml:space="preserve">število prijavljenih primerov </w:t>
      </w:r>
      <w:proofErr w:type="spellStart"/>
      <w:r>
        <w:rPr>
          <w:rFonts w:cs="Calibri"/>
          <w:bCs/>
        </w:rPr>
        <w:t>Lymske</w:t>
      </w:r>
      <w:proofErr w:type="spellEnd"/>
      <w:r>
        <w:rPr>
          <w:rFonts w:cs="Calibri"/>
          <w:bCs/>
        </w:rPr>
        <w:t xml:space="preserve"> borelioze/100 000 prebivalcev v letih 2015-2019) je eden od kazalnikov vektorskih bolezni na katere verjetno vplivajo podnebne spremembe.  Povprečno število prijavljenih primerov </w:t>
      </w:r>
      <w:proofErr w:type="spellStart"/>
      <w:r>
        <w:rPr>
          <w:rFonts w:cs="Calibri"/>
          <w:bCs/>
        </w:rPr>
        <w:t>Lymske</w:t>
      </w:r>
      <w:proofErr w:type="spellEnd"/>
      <w:r>
        <w:rPr>
          <w:rFonts w:cs="Calibri"/>
          <w:bCs/>
        </w:rPr>
        <w:t xml:space="preserve"> borelioze/100 000 prebivalcev v letih 2015-2019 je v Mestni občini Nova Gorica višje kot je povprečje za Slovenijo (podatki NIJZ).  </w:t>
      </w:r>
      <w:r>
        <w:rPr>
          <w:lang w:eastAsia="sl-SI"/>
        </w:rPr>
        <w:t>Bolezen je razširjena po celi Sloveniji, največja obolevnost je v goriški statistični regiji  sledita pomurska in gorenjska statistična regija (podatki 2015-2018)</w:t>
      </w:r>
      <w:r>
        <w:rPr>
          <w:rFonts w:cs="Calibri"/>
          <w:bCs/>
        </w:rPr>
        <w:t xml:space="preserve">. </w:t>
      </w:r>
      <w:r>
        <w:rPr>
          <w:rFonts w:eastAsia="Times New Roman" w:cs="Times New Roman"/>
        </w:rPr>
        <w:t xml:space="preserve">Ker cepiva proti </w:t>
      </w:r>
      <w:proofErr w:type="spellStart"/>
      <w:r>
        <w:rPr>
          <w:rFonts w:eastAsia="Times New Roman" w:cs="Times New Roman"/>
        </w:rPr>
        <w:t>Lymski</w:t>
      </w:r>
      <w:proofErr w:type="spellEnd"/>
      <w:r>
        <w:rPr>
          <w:rFonts w:eastAsia="Times New Roman" w:cs="Times New Roman"/>
        </w:rPr>
        <w:t xml:space="preserve"> boreliozi za zdaj ni na voljo, je za preprečevanje bolezni najučinkovitejša zaščita pred vbodom klopa s primernimi oblačili in </w:t>
      </w:r>
      <w:proofErr w:type="spellStart"/>
      <w:r>
        <w:rPr>
          <w:rFonts w:eastAsia="Times New Roman" w:cs="Times New Roman"/>
        </w:rPr>
        <w:t>repelenti</w:t>
      </w:r>
      <w:proofErr w:type="spellEnd"/>
      <w:r>
        <w:rPr>
          <w:rFonts w:eastAsia="Times New Roman" w:cs="Times New Roman"/>
        </w:rPr>
        <w:t>, s pregledovanjem kože in takojšnjim odstranjevanjem klopov (NIJZ).</w:t>
      </w:r>
    </w:p>
    <w:p w14:paraId="19A0E57A" w14:textId="77777777" w:rsidR="0053259D" w:rsidRDefault="0053259D" w:rsidP="0053259D">
      <w:r>
        <w:rPr>
          <w:lang w:eastAsia="sl-SI"/>
        </w:rPr>
        <w:t>Pri kazalnikih, katerih večja vrednost ima pozitivni - zaščitni učinek, najbolj izstopa pomoč na domu, sledijo mikrobiološka kakovost pitne vode in stopnja delovne aktivnosti.</w:t>
      </w:r>
    </w:p>
    <w:p w14:paraId="4C90491E" w14:textId="77777777" w:rsidR="0053259D" w:rsidRDefault="0053259D" w:rsidP="0053259D">
      <w:pPr>
        <w:spacing w:line="256" w:lineRule="auto"/>
      </w:pPr>
      <w:r>
        <w:rPr>
          <w:lang w:eastAsia="sl-SI"/>
        </w:rPr>
        <w:lastRenderedPageBreak/>
        <w:t xml:space="preserve">Kazalnik Pomoč na domu ima v Mestni občini Nova Gorica višjo vrednost od povprečja Slovenije, kar kaže na večji delež starejših, ki potrebujejo pomoč na domu, a tudi večjo dostopnost pomoči na domu.  Večja dostopnost do pomoči na domu je tudi posledica nižje cene pomoči na domu, saj Mestna občina Nova Gorica zagotavlja višje sofinanciranje cene pomoči, kot to določa zakonodaja. Med mestnimi občinami je cena pomoči na domu v Mestni občini Nova Gorica med najnižjimi. Mestna občina Nova Gorica si prizadeva za konstanten razvoj in širitev storitve pomoči na domu. </w:t>
      </w:r>
    </w:p>
    <w:p w14:paraId="5651EEE5" w14:textId="77777777" w:rsidR="0053259D" w:rsidRDefault="0053259D" w:rsidP="0053259D">
      <w:pPr>
        <w:rPr>
          <w:color w:val="000000"/>
        </w:rPr>
      </w:pPr>
      <w:r>
        <w:rPr>
          <w:lang w:eastAsia="sl-SI"/>
        </w:rPr>
        <w:t xml:space="preserve">Za oceno učinkov obremenitve s toploto je bila načrtovana analiza števila hospitalizacij in umrlih v času vročinskih valov v primerjavi s časom izven vročinskih valov v dveh desetletjih obdobju 1999-2018 (v toplejšem delu leta od maja do septembra) v Sloveniji in UE Nova Gorica. </w:t>
      </w:r>
    </w:p>
    <w:p w14:paraId="2046AFB8" w14:textId="77777777" w:rsidR="0053259D" w:rsidRDefault="0053259D" w:rsidP="0053259D">
      <w:r>
        <w:t xml:space="preserve">Rezultati analize za upravno enoto Nova Gorica so pokazali, da se je v prvem desetletju (1999-2008) pokazala </w:t>
      </w:r>
      <w:proofErr w:type="spellStart"/>
      <w:r>
        <w:t>protektivna</w:t>
      </w:r>
      <w:proofErr w:type="spellEnd"/>
      <w:r>
        <w:t xml:space="preserve"> povezanost med vročinskimi valovi in številom hospitalizacij zaradi skoraj vseh opazovanih vzrokov bolezni (vsi vzroki, srčno-žilna obolenja, obolenja dihal). Izstopajo pa skupina starejših od 74 let, kjer pri hospitalizacijah zaradi bolezni srca in ožilja nismo ugotovili statistično značilne povezanosti  ter  moški, z boleznimi dihal in starejši od 19 let z boleznimi dihal, kjer tudi nismo ugotovili statistično značilne povezanosti.</w:t>
      </w:r>
    </w:p>
    <w:p w14:paraId="52CFE83B" w14:textId="77777777" w:rsidR="0053259D" w:rsidRDefault="0053259D" w:rsidP="0053259D">
      <w:r>
        <w:t xml:space="preserve">Tudi za drugo desetletje (2009-2018) je analiza pokazala </w:t>
      </w:r>
      <w:proofErr w:type="spellStart"/>
      <w:r>
        <w:t>protektivno</w:t>
      </w:r>
      <w:proofErr w:type="spellEnd"/>
      <w:r>
        <w:t xml:space="preserve"> povezanost med vročinskimi valovi in številom hospitalizacij zaradi vseh opazovanih vzrokov. V tem obdobju statistično značilne povezanosti ni bilo v skupinah starih 75 let in več ter pri moških, hospitaliziranih zaradi bolezni dihal, ter v skupini starih 75 let in več, hospitaliziranih zaradi bolezni srca in ožilja.</w:t>
      </w:r>
    </w:p>
    <w:p w14:paraId="0D0CF6BA" w14:textId="77777777" w:rsidR="0053259D" w:rsidRDefault="0053259D" w:rsidP="0053259D">
      <w:r>
        <w:t>Zaradi majhnega števila prebivalcev UE in majhnega števila opazovanih dogodkov (umrlih oseb) na dan analiz o številu umrlih v vročinskih valovih za Mestno občino Nova Gorica nismo izvedli.</w:t>
      </w:r>
    </w:p>
    <w:p w14:paraId="45620880" w14:textId="77777777" w:rsidR="0053259D" w:rsidRDefault="0053259D" w:rsidP="0053259D">
      <w:r>
        <w:rPr>
          <w:rFonts w:eastAsia="Calibri" w:cs="Times New Roman"/>
          <w:lang w:eastAsia="sl-SI"/>
        </w:rPr>
        <w:t xml:space="preserve">V Mestni občini </w:t>
      </w:r>
      <w:r w:rsidRPr="00520747">
        <w:rPr>
          <w:rFonts w:eastAsia="Calibri" w:cs="Times New Roman"/>
          <w:lang w:eastAsia="sl-SI"/>
        </w:rPr>
        <w:t>Nova Gorica</w:t>
      </w:r>
      <w:r>
        <w:rPr>
          <w:rFonts w:eastAsia="Calibri" w:cs="Times New Roman"/>
          <w:lang w:eastAsia="sl-SI"/>
        </w:rPr>
        <w:t xml:space="preserve"> je ena zdravstvena ustanova </w:t>
      </w:r>
      <w:r>
        <w:rPr>
          <w:lang w:eastAsia="sl-SI"/>
        </w:rPr>
        <w:t xml:space="preserve">- Zdravstveni dom osnovno varstvo Nova Gorica (v nadaljevanju ZD), ki deluje na 27 lokacijah. V ZD je kadrovska in prostorska stiska, ki jo rešujejo v času povečanih obremenitev (kot je sedaj ob pojavu COVID-19) s pomočjo dodatnih, začasnih prostorov (kontejnerske idr. rešitve). Imajo načrt ukrepanja in delovanja ob množičnih nesrečah. </w:t>
      </w:r>
    </w:p>
    <w:p w14:paraId="5CECE28D" w14:textId="384622AE" w:rsidR="0053259D" w:rsidRDefault="0053259D" w:rsidP="0053259D">
      <w:pPr>
        <w:rPr>
          <w:lang w:eastAsia="sl-SI"/>
        </w:rPr>
      </w:pPr>
      <w:r>
        <w:rPr>
          <w:b/>
          <w:lang w:eastAsia="sl-SI"/>
        </w:rPr>
        <w:t>Potencialni vplivi podnebnih sprememb</w:t>
      </w:r>
      <w:r>
        <w:rPr>
          <w:lang w:eastAsia="sl-SI"/>
        </w:rPr>
        <w:t xml:space="preserve"> so posledica dveh dejavnikov: izpostavljenosti prebivalstva in njegove občutljivosti (</w:t>
      </w:r>
      <w:r w:rsidR="00B8520F">
        <w:rPr>
          <w:lang w:eastAsia="sl-SI"/>
        </w:rPr>
        <w:fldChar w:fldCharType="begin"/>
      </w:r>
      <w:r w:rsidR="00B8520F">
        <w:rPr>
          <w:lang w:eastAsia="sl-SI"/>
        </w:rPr>
        <w:instrText xml:space="preserve"> REF _Ref74910545 \h </w:instrText>
      </w:r>
      <w:r w:rsidR="00B8520F">
        <w:rPr>
          <w:lang w:eastAsia="sl-SI"/>
        </w:rPr>
      </w:r>
      <w:r w:rsidR="00B8520F">
        <w:rPr>
          <w:lang w:eastAsia="sl-SI"/>
        </w:rPr>
        <w:fldChar w:fldCharType="separate"/>
      </w:r>
      <w:r w:rsidR="004700D5">
        <w:t xml:space="preserve">Preglednica </w:t>
      </w:r>
      <w:r w:rsidR="004700D5">
        <w:rPr>
          <w:noProof/>
        </w:rPr>
        <w:t>6</w:t>
      </w:r>
      <w:r w:rsidR="004700D5">
        <w:t>.</w:t>
      </w:r>
      <w:r w:rsidR="004700D5">
        <w:rPr>
          <w:noProof/>
        </w:rPr>
        <w:t>21</w:t>
      </w:r>
      <w:r w:rsidR="00B8520F">
        <w:rPr>
          <w:lang w:eastAsia="sl-SI"/>
        </w:rPr>
        <w:fldChar w:fldCharType="end"/>
      </w:r>
      <w:r>
        <w:rPr>
          <w:lang w:eastAsia="sl-SI"/>
        </w:rPr>
        <w:t>).</w:t>
      </w:r>
    </w:p>
    <w:p w14:paraId="06BC2314" w14:textId="77777777" w:rsidR="0053259D" w:rsidRDefault="0053259D" w:rsidP="0053259D">
      <w:pPr>
        <w:rPr>
          <w:lang w:eastAsia="sl-SI"/>
        </w:rPr>
      </w:pPr>
      <w:r>
        <w:rPr>
          <w:lang w:eastAsia="sl-SI"/>
        </w:rPr>
        <w:t>Pri identifikaciji izpostavljenosti so bili analizirani dejavniki, ki vplivajo na zdravje in posledično na zdravstvo ter izhajajo iz trenutnega stanja podnebja in iz pričakovanih podnebnih sprememb po podnebnem scenariju RCP 4.5. Tako je bila pregledana izpostavljenost toploti, izjemnim padavinam, ozonu, nekaterim prenašalcem mikroorganizmov – klopom (to  smo prikazali posredno: preko števila prijavljenih primerov nekaterih bolezni, ki jih prenašajo klopi), izpostavljenost škodljivim vplivom preko pitne in kopalne vode ter prisotnost ranljivih skupin prebivalcev. Glede na podnebne scenarije se bo izpostavljenost vsem zgoraj naštetim dejavnikom večala. Demografska slika kaže na staranje prebivalstva, kar pomeni porast ranljive skupine. Rastoča ranljiva skupina starejših prebivalcev in predvidene večje obremenitve iz okolja lahko povečajo obremenitev zdravstvenega sistema in ogrozijo infrastrukturo zdravstva.</w:t>
      </w:r>
    </w:p>
    <w:p w14:paraId="7A9A604C" w14:textId="77777777" w:rsidR="0053259D" w:rsidRDefault="0053259D" w:rsidP="0053259D">
      <w:pPr>
        <w:rPr>
          <w:lang w:eastAsia="sl-SI"/>
        </w:rPr>
      </w:pPr>
      <w:r>
        <w:rPr>
          <w:lang w:eastAsia="sl-SI"/>
        </w:rPr>
        <w:t xml:space="preserve">Na </w:t>
      </w:r>
      <w:r>
        <w:rPr>
          <w:b/>
          <w:lang w:eastAsia="sl-SI"/>
        </w:rPr>
        <w:t>sposobnost prilagajanja</w:t>
      </w:r>
      <w:r>
        <w:rPr>
          <w:lang w:eastAsia="sl-SI"/>
        </w:rPr>
        <w:t xml:space="preserve"> pomembno vplivajo socialno-ekonomski dejavniki. Po podatkih SURS sta bili v Mestni občini Nova Gorica letu 2018 stopnja tveganja revščine in stopnja tveganja </w:t>
      </w:r>
      <w:r>
        <w:rPr>
          <w:lang w:eastAsia="sl-SI"/>
        </w:rPr>
        <w:lastRenderedPageBreak/>
        <w:t xml:space="preserve">socialne izključenosti nad slovenskim povprečjem; povprečna mesečna plača na osebo, zaposleno pri pravnih osebah, pa enaka slovenskemu povprečju. </w:t>
      </w:r>
    </w:p>
    <w:p w14:paraId="0F6D3FFE" w14:textId="77777777" w:rsidR="0053259D" w:rsidRDefault="0053259D" w:rsidP="0053259D">
      <w:pPr>
        <w:rPr>
          <w:rFonts w:cs="Calibri"/>
        </w:rPr>
      </w:pPr>
      <w:r>
        <w:rPr>
          <w:lang w:eastAsia="sl-SI"/>
        </w:rPr>
        <w:t>Sposobnost prilagajanja zdravstvenega doma je odvisna tudi od finančnih sredstev. Kadrovska in prostorska stiska to sposobnost slabita.</w:t>
      </w:r>
    </w:p>
    <w:p w14:paraId="6D3CBAD4" w14:textId="17DEFCD5" w:rsidR="0053259D" w:rsidRDefault="0053259D" w:rsidP="0053259D">
      <w:pPr>
        <w:rPr>
          <w:lang w:eastAsia="sl-SI"/>
        </w:rPr>
      </w:pPr>
      <w:r>
        <w:rPr>
          <w:b/>
          <w:lang w:eastAsia="sl-SI"/>
        </w:rPr>
        <w:t>Ocena ranljivosti sektorja zdravstva</w:t>
      </w:r>
      <w:r>
        <w:rPr>
          <w:lang w:eastAsia="sl-SI"/>
        </w:rPr>
        <w:t xml:space="preserve"> temelji na sintezi dejavnikov potencialnih vplivov ter sposobnosti prilagajanja in je bila določena kvantitativno. Skupna ocena ranljivosti je v sedanjem obdobju zmerna in je predstavljena</w:t>
      </w:r>
      <w:r w:rsidR="00B8520F">
        <w:rPr>
          <w:lang w:eastAsia="sl-SI"/>
        </w:rPr>
        <w:t xml:space="preserve"> </w:t>
      </w:r>
      <w:r w:rsidR="00B8520F">
        <w:rPr>
          <w:lang w:eastAsia="sl-SI"/>
        </w:rPr>
        <w:fldChar w:fldCharType="begin"/>
      </w:r>
      <w:r w:rsidR="00B8520F">
        <w:rPr>
          <w:lang w:eastAsia="sl-SI"/>
        </w:rPr>
        <w:instrText xml:space="preserve"> REF _Ref74911329 \h </w:instrText>
      </w:r>
      <w:r w:rsidR="00B8520F">
        <w:rPr>
          <w:lang w:eastAsia="sl-SI"/>
        </w:rPr>
      </w:r>
      <w:r w:rsidR="00B8520F">
        <w:rPr>
          <w:lang w:eastAsia="sl-SI"/>
        </w:rPr>
        <w:fldChar w:fldCharType="separate"/>
      </w:r>
      <w:r w:rsidR="004700D5">
        <w:t xml:space="preserve">Preglednica </w:t>
      </w:r>
      <w:r w:rsidR="004700D5">
        <w:rPr>
          <w:noProof/>
        </w:rPr>
        <w:t>6</w:t>
      </w:r>
      <w:r w:rsidR="004700D5">
        <w:t>.</w:t>
      </w:r>
      <w:r w:rsidR="004700D5">
        <w:rPr>
          <w:noProof/>
        </w:rPr>
        <w:t>22</w:t>
      </w:r>
      <w:r w:rsidR="00B8520F">
        <w:rPr>
          <w:lang w:eastAsia="sl-SI"/>
        </w:rPr>
        <w:fldChar w:fldCharType="end"/>
      </w:r>
      <w:r>
        <w:rPr>
          <w:lang w:eastAsia="sl-SI"/>
        </w:rPr>
        <w:t xml:space="preserve">. </w:t>
      </w:r>
    </w:p>
    <w:p w14:paraId="4DD842C3" w14:textId="77777777" w:rsidR="0053259D" w:rsidRDefault="0053259D" w:rsidP="0053259D">
      <w:pPr>
        <w:rPr>
          <w:lang w:eastAsia="sl-SI"/>
        </w:rPr>
      </w:pPr>
      <w:r>
        <w:rPr>
          <w:lang w:eastAsia="sl-SI"/>
        </w:rPr>
        <w:t xml:space="preserve">Ocena tveganja je podana kot sprememba ranljivosti na podnebne spremembe v prihodnosti glede na ranljivost v sedanjem času. Upoštevane so tudi spremembe izpostavljenosti in občutljivosti sektorja ter spremembe sposobnosti prilagajanja. Ocena je podana na predpostavki, da se ukrepi za prilagajanje podnebnim spremembam ne izvajajo. </w:t>
      </w:r>
    </w:p>
    <w:p w14:paraId="7C861478" w14:textId="77777777" w:rsidR="0053259D" w:rsidRDefault="0053259D" w:rsidP="0053259D">
      <w:pPr>
        <w:rPr>
          <w:lang w:eastAsia="sl-SI"/>
        </w:rPr>
      </w:pPr>
      <w:r>
        <w:rPr>
          <w:lang w:eastAsia="sl-SI"/>
        </w:rPr>
        <w:t xml:space="preserve">Projekcije kažejo, da se bo v obdobju 2041-2070 prebivalstvo še bolj postaralo in razmere v okolju dodatno zaostrile, posebej v primeru pesimističnega scenarija RCP 8.5, zato je ocenjena ranljivost v obdobju 2041-2070 višja kot v prejšnjem tridesetletnem obdobju. </w:t>
      </w:r>
    </w:p>
    <w:p w14:paraId="3ECC336F" w14:textId="77777777" w:rsidR="0053259D" w:rsidRDefault="0053259D" w:rsidP="0053259D">
      <w:pPr>
        <w:rPr>
          <w:lang w:eastAsia="sl-SI"/>
        </w:rPr>
      </w:pPr>
      <w:r>
        <w:rPr>
          <w:b/>
          <w:lang w:eastAsia="sl-SI"/>
        </w:rPr>
        <w:t>Skupna ocena ranljivosti v prihodnosti</w:t>
      </w:r>
      <w:r>
        <w:rPr>
          <w:lang w:eastAsia="sl-SI"/>
        </w:rPr>
        <w:t xml:space="preserve"> je: velika ranljivost (4); glede na napovedi sprememb v okolju in demografskih sprememb se bo višala</w:t>
      </w:r>
      <w:r w:rsidRPr="00520747">
        <w:rPr>
          <w:lang w:eastAsia="sl-SI"/>
        </w:rPr>
        <w:t>,</w:t>
      </w:r>
      <w:r>
        <w:rPr>
          <w:lang w:eastAsia="sl-SI"/>
        </w:rPr>
        <w:t xml:space="preserve"> zato je skupna ocena tveganja: veliko tveganje (4). </w:t>
      </w:r>
    </w:p>
    <w:p w14:paraId="65E93F7F" w14:textId="77777777" w:rsidR="00B8520F" w:rsidRDefault="0053259D" w:rsidP="00B8520F">
      <w:pPr>
        <w:keepNext/>
        <w:jc w:val="center"/>
      </w:pPr>
      <w:r>
        <w:rPr>
          <w:noProof/>
          <w:lang w:eastAsia="sl-SI"/>
        </w:rPr>
        <w:drawing>
          <wp:inline distT="0" distB="0" distL="0" distR="0" wp14:anchorId="0B5043EA" wp14:editId="3D682C11">
            <wp:extent cx="3942715" cy="3041944"/>
            <wp:effectExtent l="0" t="0" r="635" b="6350"/>
            <wp:docPr id="5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lika 12"/>
                    <pic:cNvPicPr>
                      <a:picLocks noChangeAspect="1" noChangeArrowheads="1"/>
                    </pic:cNvPicPr>
                  </pic:nvPicPr>
                  <pic:blipFill rotWithShape="1">
                    <a:blip r:embed="rId27">
                      <a:extLst>
                        <a:ext uri="{28A0092B-C50C-407E-A947-70E740481C1C}">
                          <a14:useLocalDpi xmlns:a14="http://schemas.microsoft.com/office/drawing/2010/main" val="0"/>
                        </a:ext>
                      </a:extLst>
                    </a:blip>
                    <a:srcRect l="1663" t="1541"/>
                    <a:stretch/>
                  </pic:blipFill>
                  <pic:spPr bwMode="auto">
                    <a:xfrm>
                      <a:off x="0" y="0"/>
                      <a:ext cx="3943467" cy="3042524"/>
                    </a:xfrm>
                    <a:prstGeom prst="rect">
                      <a:avLst/>
                    </a:prstGeom>
                    <a:noFill/>
                    <a:ln>
                      <a:noFill/>
                    </a:ln>
                    <a:extLst>
                      <a:ext uri="{53640926-AAD7-44D8-BBD7-CCE9431645EC}">
                        <a14:shadowObscured xmlns:a14="http://schemas.microsoft.com/office/drawing/2010/main"/>
                      </a:ext>
                    </a:extLst>
                  </pic:spPr>
                </pic:pic>
              </a:graphicData>
            </a:graphic>
          </wp:inline>
        </w:drawing>
      </w:r>
    </w:p>
    <w:p w14:paraId="3ADDFC45" w14:textId="32B620FD" w:rsidR="0053259D" w:rsidRDefault="00B8520F" w:rsidP="00B8520F">
      <w:pPr>
        <w:pStyle w:val="Napis"/>
        <w:jc w:val="left"/>
      </w:pPr>
      <w:bookmarkStart w:id="17" w:name="_Toc97026832"/>
      <w:r>
        <w:t xml:space="preserve">Slika </w:t>
      </w:r>
      <w:r w:rsidR="008334B2">
        <w:fldChar w:fldCharType="begin"/>
      </w:r>
      <w:r w:rsidR="008334B2">
        <w:instrText xml:space="preserve"> STYLEREF 1 \s </w:instrText>
      </w:r>
      <w:r w:rsidR="008334B2">
        <w:fldChar w:fldCharType="separate"/>
      </w:r>
      <w:r w:rsidR="008334B2">
        <w:rPr>
          <w:noProof/>
        </w:rPr>
        <w:t>1</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3</w:t>
      </w:r>
      <w:r w:rsidR="008334B2">
        <w:fldChar w:fldCharType="end"/>
      </w:r>
      <w:r w:rsidRPr="009A4282">
        <w:t>: Prikaz ocene ranljivosti zdravstva v Mestni občini Nova Gorica na podnebne spremembe v referenčnem obdobju in prihodnosti</w:t>
      </w:r>
      <w:bookmarkEnd w:id="17"/>
    </w:p>
    <w:p w14:paraId="78F1530F" w14:textId="13BF6DF5" w:rsidR="00B8520F" w:rsidRDefault="00B8520F" w:rsidP="00B8520F">
      <w:pPr>
        <w:pStyle w:val="Napis"/>
        <w:keepNext/>
        <w:jc w:val="left"/>
      </w:pPr>
      <w:bookmarkStart w:id="18" w:name="_Toc97026946"/>
      <w:r>
        <w:lastRenderedPageBreak/>
        <w:t xml:space="preserve">Preglednica </w:t>
      </w:r>
      <w:r w:rsidR="00976D80">
        <w:fldChar w:fldCharType="begin"/>
      </w:r>
      <w:r w:rsidR="00976D80">
        <w:instrText xml:space="preserve"> STYLEREF 1 \s </w:instrText>
      </w:r>
      <w:r w:rsidR="00976D80">
        <w:fldChar w:fldCharType="separate"/>
      </w:r>
      <w:r w:rsidR="00976D80">
        <w:rPr>
          <w:noProof/>
        </w:rPr>
        <w:t>1</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4</w:t>
      </w:r>
      <w:r w:rsidR="00976D80">
        <w:fldChar w:fldCharType="end"/>
      </w:r>
      <w:r w:rsidRPr="00F27096">
        <w:t>: Ocena ranljivosti zdravstva sestavljen iz štirih segmentov sektorja in kazalnikov ranljivosti ter potencialni vplivi in sposobnost prilagajanja, stanje v prihodnosti</w:t>
      </w:r>
      <w:bookmarkEnd w:id="18"/>
    </w:p>
    <w:p w14:paraId="7123BFD3" w14:textId="159053FE" w:rsidR="0053259D" w:rsidRDefault="0053259D" w:rsidP="0053259D">
      <w:pPr>
        <w:jc w:val="left"/>
      </w:pPr>
      <w:r w:rsidRPr="000D2E9E">
        <w:rPr>
          <w:noProof/>
          <w:lang w:eastAsia="sl-SI"/>
        </w:rPr>
        <w:drawing>
          <wp:inline distT="0" distB="0" distL="0" distR="0" wp14:anchorId="7CF3DF57" wp14:editId="4B8CEBE4">
            <wp:extent cx="7024783" cy="5150865"/>
            <wp:effectExtent l="3492" t="0" r="8573" b="8572"/>
            <wp:docPr id="1802182980"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182980" name="Slika 2"/>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rot="16200000">
                      <a:off x="0" y="0"/>
                      <a:ext cx="7030224" cy="5154854"/>
                    </a:xfrm>
                    <a:prstGeom prst="rect">
                      <a:avLst/>
                    </a:prstGeom>
                    <a:noFill/>
                    <a:ln>
                      <a:noFill/>
                    </a:ln>
                  </pic:spPr>
                </pic:pic>
              </a:graphicData>
            </a:graphic>
          </wp:inline>
        </w:drawing>
      </w:r>
    </w:p>
    <w:p w14:paraId="532D48D7" w14:textId="77777777" w:rsidR="0053259D" w:rsidRDefault="0053259D" w:rsidP="0053259D">
      <w:r>
        <w:rPr>
          <w:rStyle w:val="fontstyle01"/>
          <w:rFonts w:ascii="Trebuchet MS" w:hAnsi="Trebuchet MS" w:cstheme="minorHAnsi"/>
          <w:b/>
          <w:sz w:val="22"/>
          <w:szCs w:val="22"/>
        </w:rPr>
        <w:t>Predlagani ukrepi</w:t>
      </w:r>
      <w:r>
        <w:rPr>
          <w:rStyle w:val="fontstyle01"/>
          <w:rFonts w:ascii="Trebuchet MS" w:hAnsi="Trebuchet MS" w:cstheme="minorHAnsi"/>
          <w:sz w:val="22"/>
          <w:szCs w:val="22"/>
        </w:rPr>
        <w:t xml:space="preserve"> za prilagajanje podnebnim spremembam so odziv na napovedi o spremembah v okolju in demografsko sliko ter na ugotovljeno stanje. Nekateri ukrepi se </w:t>
      </w:r>
      <w:r>
        <w:rPr>
          <w:rStyle w:val="fontstyle01"/>
          <w:rFonts w:ascii="Trebuchet MS" w:hAnsi="Trebuchet MS" w:cstheme="minorHAnsi" w:hint="eastAsia"/>
          <w:sz w:val="22"/>
          <w:szCs w:val="22"/>
        </w:rPr>
        <w:t>ž</w:t>
      </w:r>
      <w:r>
        <w:rPr>
          <w:rStyle w:val="fontstyle01"/>
          <w:rFonts w:ascii="Trebuchet MS" w:hAnsi="Trebuchet MS" w:cstheme="minorHAnsi"/>
          <w:sz w:val="22"/>
          <w:szCs w:val="22"/>
        </w:rPr>
        <w:t xml:space="preserve">e izvajajo. Predlagani </w:t>
      </w:r>
      <w:r>
        <w:rPr>
          <w:rStyle w:val="fontstyle01"/>
          <w:rFonts w:ascii="Trebuchet MS" w:hAnsi="Trebuchet MS" w:cstheme="minorHAnsi"/>
          <w:sz w:val="22"/>
          <w:szCs w:val="22"/>
        </w:rPr>
        <w:lastRenderedPageBreak/>
        <w:t>ukrepi so: identifikacija in ugotovitev mo</w:t>
      </w:r>
      <w:r>
        <w:rPr>
          <w:rStyle w:val="fontstyle01"/>
          <w:rFonts w:ascii="Trebuchet MS" w:hAnsi="Trebuchet MS" w:cstheme="minorHAnsi" w:hint="eastAsia"/>
          <w:sz w:val="22"/>
          <w:szCs w:val="22"/>
        </w:rPr>
        <w:t>ž</w:t>
      </w:r>
      <w:r>
        <w:rPr>
          <w:rStyle w:val="fontstyle01"/>
          <w:rFonts w:ascii="Trebuchet MS" w:hAnsi="Trebuchet MS" w:cstheme="minorHAnsi"/>
          <w:sz w:val="22"/>
          <w:szCs w:val="22"/>
        </w:rPr>
        <w:t>nosti uporabe javnih zgradb, ki so hlajene, ustrezno prezra</w:t>
      </w:r>
      <w:r>
        <w:rPr>
          <w:rStyle w:val="fontstyle01"/>
          <w:rFonts w:ascii="Trebuchet MS" w:hAnsi="Trebuchet MS" w:cstheme="minorHAnsi" w:hint="eastAsia"/>
          <w:sz w:val="22"/>
          <w:szCs w:val="22"/>
        </w:rPr>
        <w:t>č</w:t>
      </w:r>
      <w:r>
        <w:rPr>
          <w:rStyle w:val="fontstyle01"/>
          <w:rFonts w:ascii="Trebuchet MS" w:hAnsi="Trebuchet MS" w:cstheme="minorHAnsi"/>
          <w:sz w:val="22"/>
          <w:szCs w:val="22"/>
        </w:rPr>
        <w:t>ene in/ali varne pred vplivi drugih ekstremnih vremenskih razmer;</w:t>
      </w:r>
      <w:r>
        <w:rPr>
          <w:rFonts w:eastAsia="Times New Roman" w:cs="Times New Roman"/>
          <w:bCs/>
        </w:rPr>
        <w:t xml:space="preserve"> </w:t>
      </w:r>
      <w:r>
        <w:rPr>
          <w:rStyle w:val="fontstyle01"/>
          <w:rFonts w:ascii="Trebuchet MS" w:hAnsi="Trebuchet MS" w:cs="Calibri"/>
          <w:sz w:val="22"/>
          <w:szCs w:val="22"/>
        </w:rPr>
        <w:t>manj</w:t>
      </w:r>
      <w:r>
        <w:rPr>
          <w:rStyle w:val="fontstyle01"/>
          <w:rFonts w:ascii="Trebuchet MS" w:hAnsi="Trebuchet MS" w:cs="Calibri" w:hint="eastAsia"/>
          <w:sz w:val="22"/>
          <w:szCs w:val="22"/>
        </w:rPr>
        <w:t>š</w:t>
      </w:r>
      <w:r>
        <w:rPr>
          <w:rStyle w:val="fontstyle01"/>
          <w:rFonts w:ascii="Trebuchet MS" w:hAnsi="Trebuchet MS" w:cs="Calibri"/>
          <w:sz w:val="22"/>
          <w:szCs w:val="22"/>
        </w:rPr>
        <w:t>anje obremenitve s toploto in promocija aktivnega transporta; n</w:t>
      </w:r>
      <w:r>
        <w:rPr>
          <w:rStyle w:val="fontstyle01"/>
          <w:rFonts w:ascii="Trebuchet MS" w:hAnsi="Trebuchet MS" w:cstheme="minorHAnsi"/>
          <w:sz w:val="22"/>
          <w:szCs w:val="22"/>
        </w:rPr>
        <w:t xml:space="preserve">amestitev </w:t>
      </w:r>
      <w:proofErr w:type="spellStart"/>
      <w:r>
        <w:rPr>
          <w:rStyle w:val="fontstyle01"/>
          <w:rFonts w:ascii="Trebuchet MS" w:hAnsi="Trebuchet MS" w:cstheme="minorHAnsi"/>
          <w:sz w:val="22"/>
          <w:szCs w:val="22"/>
        </w:rPr>
        <w:t>pitnikov</w:t>
      </w:r>
      <w:proofErr w:type="spellEnd"/>
      <w:r>
        <w:rPr>
          <w:rStyle w:val="fontstyle01"/>
          <w:rFonts w:ascii="Trebuchet MS" w:hAnsi="Trebuchet MS" w:cstheme="minorHAnsi"/>
          <w:sz w:val="22"/>
          <w:szCs w:val="22"/>
        </w:rPr>
        <w:t xml:space="preserve"> in ozave</w:t>
      </w:r>
      <w:r>
        <w:rPr>
          <w:rStyle w:val="fontstyle01"/>
          <w:rFonts w:ascii="Trebuchet MS" w:hAnsi="Trebuchet MS" w:cstheme="minorHAnsi" w:hint="eastAsia"/>
          <w:sz w:val="22"/>
          <w:szCs w:val="22"/>
        </w:rPr>
        <w:t>šč</w:t>
      </w:r>
      <w:r>
        <w:rPr>
          <w:rStyle w:val="fontstyle01"/>
          <w:rFonts w:ascii="Trebuchet MS" w:hAnsi="Trebuchet MS" w:cstheme="minorHAnsi"/>
          <w:sz w:val="22"/>
          <w:szCs w:val="22"/>
        </w:rPr>
        <w:t>anje o zadostnem u</w:t>
      </w:r>
      <w:r>
        <w:rPr>
          <w:rStyle w:val="fontstyle01"/>
          <w:rFonts w:ascii="Trebuchet MS" w:hAnsi="Trebuchet MS" w:cstheme="minorHAnsi" w:hint="eastAsia"/>
          <w:sz w:val="22"/>
          <w:szCs w:val="22"/>
        </w:rPr>
        <w:t>ž</w:t>
      </w:r>
      <w:r>
        <w:rPr>
          <w:rStyle w:val="fontstyle01"/>
          <w:rFonts w:ascii="Trebuchet MS" w:hAnsi="Trebuchet MS" w:cstheme="minorHAnsi"/>
          <w:sz w:val="22"/>
          <w:szCs w:val="22"/>
        </w:rPr>
        <w:t>ivanju teko</w:t>
      </w:r>
      <w:r>
        <w:rPr>
          <w:rStyle w:val="fontstyle01"/>
          <w:rFonts w:ascii="Trebuchet MS" w:hAnsi="Trebuchet MS" w:cstheme="minorHAnsi" w:hint="eastAsia"/>
          <w:sz w:val="22"/>
          <w:szCs w:val="22"/>
        </w:rPr>
        <w:t>č</w:t>
      </w:r>
      <w:r>
        <w:rPr>
          <w:rStyle w:val="fontstyle01"/>
          <w:rFonts w:ascii="Trebuchet MS" w:hAnsi="Trebuchet MS" w:cstheme="minorHAnsi"/>
          <w:sz w:val="22"/>
          <w:szCs w:val="22"/>
        </w:rPr>
        <w:t>in; ureditev dostopa do vodnih povr</w:t>
      </w:r>
      <w:r>
        <w:rPr>
          <w:rStyle w:val="fontstyle01"/>
          <w:rFonts w:ascii="Trebuchet MS" w:hAnsi="Trebuchet MS" w:cstheme="minorHAnsi" w:hint="eastAsia"/>
          <w:sz w:val="22"/>
          <w:szCs w:val="22"/>
        </w:rPr>
        <w:t>š</w:t>
      </w:r>
      <w:r>
        <w:rPr>
          <w:rStyle w:val="fontstyle01"/>
          <w:rFonts w:ascii="Trebuchet MS" w:hAnsi="Trebuchet MS" w:cstheme="minorHAnsi"/>
          <w:sz w:val="22"/>
          <w:szCs w:val="22"/>
        </w:rPr>
        <w:t>in in spremljanje kakovosti povr</w:t>
      </w:r>
      <w:r>
        <w:rPr>
          <w:rStyle w:val="fontstyle01"/>
          <w:rFonts w:ascii="Trebuchet MS" w:hAnsi="Trebuchet MS" w:cstheme="minorHAnsi" w:hint="eastAsia"/>
          <w:sz w:val="22"/>
          <w:szCs w:val="22"/>
        </w:rPr>
        <w:t>š</w:t>
      </w:r>
      <w:r>
        <w:rPr>
          <w:rStyle w:val="fontstyle01"/>
          <w:rFonts w:ascii="Trebuchet MS" w:hAnsi="Trebuchet MS" w:cstheme="minorHAnsi"/>
          <w:sz w:val="22"/>
          <w:szCs w:val="22"/>
        </w:rPr>
        <w:t>inskih voda na mestih, kjer ni uradnega nadzora, se pa tam tradicionalno kopa ve</w:t>
      </w:r>
      <w:r>
        <w:rPr>
          <w:rStyle w:val="fontstyle01"/>
          <w:rFonts w:ascii="Trebuchet MS" w:hAnsi="Trebuchet MS" w:cstheme="minorHAnsi" w:hint="eastAsia"/>
          <w:sz w:val="22"/>
          <w:szCs w:val="22"/>
        </w:rPr>
        <w:t>č</w:t>
      </w:r>
      <w:r>
        <w:rPr>
          <w:rStyle w:val="fontstyle01"/>
          <w:rFonts w:ascii="Trebuchet MS" w:hAnsi="Trebuchet MS" w:cstheme="minorHAnsi"/>
          <w:sz w:val="22"/>
          <w:szCs w:val="22"/>
        </w:rPr>
        <w:t xml:space="preserve">je </w:t>
      </w:r>
      <w:r>
        <w:rPr>
          <w:rStyle w:val="fontstyle01"/>
          <w:rFonts w:ascii="Trebuchet MS" w:hAnsi="Trebuchet MS" w:cstheme="minorHAnsi" w:hint="eastAsia"/>
          <w:sz w:val="22"/>
          <w:szCs w:val="22"/>
        </w:rPr>
        <w:t>š</w:t>
      </w:r>
      <w:r>
        <w:rPr>
          <w:rStyle w:val="fontstyle01"/>
          <w:rFonts w:ascii="Trebuchet MS" w:hAnsi="Trebuchet MS" w:cstheme="minorHAnsi"/>
          <w:sz w:val="22"/>
          <w:szCs w:val="22"/>
        </w:rPr>
        <w:t>tevilo ljudi; spodbujanje in vedno znova opozarjanje na prepre</w:t>
      </w:r>
      <w:r>
        <w:rPr>
          <w:rStyle w:val="fontstyle01"/>
          <w:rFonts w:ascii="Trebuchet MS" w:hAnsi="Trebuchet MS" w:cstheme="minorHAnsi" w:hint="eastAsia"/>
          <w:sz w:val="22"/>
          <w:szCs w:val="22"/>
        </w:rPr>
        <w:t>č</w:t>
      </w:r>
      <w:r>
        <w:rPr>
          <w:rStyle w:val="fontstyle01"/>
          <w:rFonts w:ascii="Trebuchet MS" w:hAnsi="Trebuchet MS" w:cstheme="minorHAnsi"/>
          <w:sz w:val="22"/>
          <w:szCs w:val="22"/>
        </w:rPr>
        <w:t>evanje razmno</w:t>
      </w:r>
      <w:r>
        <w:rPr>
          <w:rStyle w:val="fontstyle01"/>
          <w:rFonts w:ascii="Trebuchet MS" w:hAnsi="Trebuchet MS" w:cstheme="minorHAnsi" w:hint="eastAsia"/>
          <w:sz w:val="22"/>
          <w:szCs w:val="22"/>
        </w:rPr>
        <w:t>ž</w:t>
      </w:r>
      <w:r>
        <w:rPr>
          <w:rStyle w:val="fontstyle01"/>
          <w:rFonts w:ascii="Trebuchet MS" w:hAnsi="Trebuchet MS" w:cstheme="minorHAnsi"/>
          <w:sz w:val="22"/>
          <w:szCs w:val="22"/>
        </w:rPr>
        <w:t>evanja komarjev in za</w:t>
      </w:r>
      <w:r>
        <w:rPr>
          <w:rStyle w:val="fontstyle01"/>
          <w:rFonts w:ascii="Trebuchet MS" w:hAnsi="Trebuchet MS" w:cstheme="minorHAnsi" w:hint="eastAsia"/>
          <w:sz w:val="22"/>
          <w:szCs w:val="22"/>
        </w:rPr>
        <w:t>šč</w:t>
      </w:r>
      <w:r>
        <w:rPr>
          <w:rStyle w:val="fontstyle01"/>
          <w:rFonts w:ascii="Trebuchet MS" w:hAnsi="Trebuchet MS" w:cstheme="minorHAnsi"/>
          <w:sz w:val="22"/>
          <w:szCs w:val="22"/>
        </w:rPr>
        <w:t>ito pred klopi in komarji; prepre</w:t>
      </w:r>
      <w:r>
        <w:rPr>
          <w:rStyle w:val="fontstyle01"/>
          <w:rFonts w:ascii="Trebuchet MS" w:hAnsi="Trebuchet MS" w:cstheme="minorHAnsi" w:hint="eastAsia"/>
          <w:sz w:val="22"/>
          <w:szCs w:val="22"/>
        </w:rPr>
        <w:t>č</w:t>
      </w:r>
      <w:r>
        <w:rPr>
          <w:rStyle w:val="fontstyle01"/>
          <w:rFonts w:ascii="Trebuchet MS" w:hAnsi="Trebuchet MS" w:cstheme="minorHAnsi"/>
          <w:sz w:val="22"/>
          <w:szCs w:val="22"/>
        </w:rPr>
        <w:t>evanje raka ko</w:t>
      </w:r>
      <w:r>
        <w:rPr>
          <w:rStyle w:val="fontstyle01"/>
          <w:rFonts w:ascii="Trebuchet MS" w:hAnsi="Trebuchet MS" w:cstheme="minorHAnsi" w:hint="eastAsia"/>
          <w:sz w:val="22"/>
          <w:szCs w:val="22"/>
        </w:rPr>
        <w:t>ž</w:t>
      </w:r>
      <w:r>
        <w:rPr>
          <w:rStyle w:val="fontstyle01"/>
          <w:rFonts w:ascii="Trebuchet MS" w:hAnsi="Trebuchet MS" w:cstheme="minorHAnsi"/>
          <w:sz w:val="22"/>
          <w:szCs w:val="22"/>
        </w:rPr>
        <w:t xml:space="preserve">e (z manjšanjem izpostavljenosti UV žarkom) ter </w:t>
      </w:r>
      <w:r>
        <w:rPr>
          <w:rStyle w:val="fontstyle01"/>
          <w:rFonts w:ascii="Trebuchet MS" w:hAnsi="Trebuchet MS" w:cstheme="minorHAnsi" w:hint="eastAsia"/>
          <w:sz w:val="22"/>
          <w:szCs w:val="22"/>
        </w:rPr>
        <w:t>š</w:t>
      </w:r>
      <w:r>
        <w:rPr>
          <w:rStyle w:val="fontstyle01"/>
          <w:rFonts w:ascii="Trebuchet MS" w:hAnsi="Trebuchet MS" w:cstheme="minorHAnsi"/>
          <w:sz w:val="22"/>
          <w:szCs w:val="22"/>
        </w:rPr>
        <w:t>irjenje poznavanja sistemov za zgodnje opozarjanje</w:t>
      </w:r>
      <w:r>
        <w:rPr>
          <w:rFonts w:eastAsia="Times New Roman" w:cs="Times New Roman"/>
          <w:bCs/>
        </w:rPr>
        <w:t xml:space="preserve"> in ukrepov</w:t>
      </w:r>
      <w:r>
        <w:rPr>
          <w:rStyle w:val="fontstyle01"/>
          <w:rFonts w:ascii="Trebuchet MS" w:hAnsi="Trebuchet MS" w:cstheme="minorHAnsi"/>
          <w:sz w:val="22"/>
          <w:szCs w:val="22"/>
        </w:rPr>
        <w:t>. Zavedamo se, da z</w:t>
      </w:r>
      <w:r>
        <w:rPr>
          <w:rFonts w:eastAsia="Times New Roman" w:cs="Times New Roman"/>
        </w:rPr>
        <w:t xml:space="preserve"> dejavnostmi s katerimi skrbimo za zdravje, vplivamo tudi na okolje. Žal so posledice tega tudi negativni vplivi na zdravje</w:t>
      </w:r>
      <w:r>
        <w:rPr>
          <w:rStyle w:val="fontstyle01"/>
          <w:rFonts w:ascii="Trebuchet MS" w:hAnsi="Trebuchet MS" w:cstheme="minorHAnsi"/>
          <w:sz w:val="22"/>
          <w:szCs w:val="22"/>
        </w:rPr>
        <w:t>, zato ne smemo pozabiti tudi na mo</w:t>
      </w:r>
      <w:r>
        <w:rPr>
          <w:rStyle w:val="fontstyle01"/>
          <w:rFonts w:ascii="Trebuchet MS" w:hAnsi="Trebuchet MS" w:cstheme="minorHAnsi" w:hint="eastAsia"/>
          <w:sz w:val="22"/>
          <w:szCs w:val="22"/>
        </w:rPr>
        <w:t>ž</w:t>
      </w:r>
      <w:r>
        <w:rPr>
          <w:rStyle w:val="fontstyle01"/>
          <w:rFonts w:ascii="Trebuchet MS" w:hAnsi="Trebuchet MS" w:cstheme="minorHAnsi"/>
          <w:sz w:val="22"/>
          <w:szCs w:val="22"/>
        </w:rPr>
        <w:t>ne ukrepe za bla</w:t>
      </w:r>
      <w:r>
        <w:rPr>
          <w:rStyle w:val="fontstyle01"/>
          <w:rFonts w:ascii="Trebuchet MS" w:hAnsi="Trebuchet MS" w:cstheme="minorHAnsi" w:hint="eastAsia"/>
          <w:sz w:val="22"/>
          <w:szCs w:val="22"/>
        </w:rPr>
        <w:t>ž</w:t>
      </w:r>
      <w:r>
        <w:rPr>
          <w:rStyle w:val="fontstyle01"/>
          <w:rFonts w:ascii="Trebuchet MS" w:hAnsi="Trebuchet MS" w:cstheme="minorHAnsi"/>
          <w:sz w:val="22"/>
          <w:szCs w:val="22"/>
        </w:rPr>
        <w:t xml:space="preserve">enje podnebnih sprememb v zdravstvu. </w:t>
      </w:r>
      <w:r>
        <w:rPr>
          <w:rFonts w:eastAsia="Times New Roman" w:cs="Times New Roman"/>
        </w:rPr>
        <w:t xml:space="preserve">Na voljo je več različnih ukrepov kot so npr.: zelena javna naročila, energetska sanacija, zelene strehe, električni avtomobili, </w:t>
      </w:r>
      <w:proofErr w:type="spellStart"/>
      <w:r>
        <w:rPr>
          <w:rFonts w:eastAsia="Times New Roman" w:cs="Times New Roman"/>
        </w:rPr>
        <w:t>telemedicina</w:t>
      </w:r>
      <w:proofErr w:type="spellEnd"/>
      <w:r>
        <w:rPr>
          <w:rFonts w:eastAsia="Times New Roman" w:cs="Times New Roman"/>
        </w:rPr>
        <w:t>…</w:t>
      </w:r>
    </w:p>
    <w:p w14:paraId="003AB80E" w14:textId="16568931" w:rsidR="00FF36BE" w:rsidRDefault="00FF36BE">
      <w:pPr>
        <w:jc w:val="left"/>
      </w:pPr>
      <w:r>
        <w:br w:type="page"/>
      </w:r>
    </w:p>
    <w:p w14:paraId="2AEAC221" w14:textId="03BF580F" w:rsidR="00F973DA" w:rsidRDefault="00F973DA" w:rsidP="00CE43D7">
      <w:pPr>
        <w:pStyle w:val="Naslov2"/>
      </w:pPr>
      <w:bookmarkStart w:id="19" w:name="_Toc97026724"/>
      <w:r>
        <w:lastRenderedPageBreak/>
        <w:t>Sektor turizem</w:t>
      </w:r>
      <w:bookmarkEnd w:id="19"/>
    </w:p>
    <w:p w14:paraId="03A5F2D2" w14:textId="77777777" w:rsidR="00EB37F9" w:rsidRDefault="00EB37F9" w:rsidP="00EB37F9">
      <w:pPr>
        <w:rPr>
          <w:shd w:val="clear" w:color="auto" w:fill="FFFFFF"/>
        </w:rPr>
      </w:pPr>
      <w:r>
        <w:rPr>
          <w:shd w:val="clear" w:color="auto" w:fill="FFFFFF"/>
        </w:rPr>
        <w:t xml:space="preserve">Zaledno submediteransko podnebje, za katerega so značilna precej vroča poletja, mile zime in sorazmerno dobra namočenost, je v občini Nova Gorica soustvarilo pogoje za razvoj turizma, ki v svojo ponudbo polega igralništva in kulturno-zgodovinskih znamenitosti vključuje tudi naravno dediščino, aktivnosti v naravi, vinski turizem in avtohtono kulinariko. </w:t>
      </w:r>
    </w:p>
    <w:p w14:paraId="10610535" w14:textId="77777777" w:rsidR="00EB37F9" w:rsidRDefault="00EB37F9" w:rsidP="00EB37F9">
      <w:r>
        <w:rPr>
          <w:shd w:val="clear" w:color="auto" w:fill="FFFFFF"/>
        </w:rPr>
        <w:t xml:space="preserve">Za analizo ranljivosti in oceno tveganja zaradi podnebnih sprememb za turizem v občini Nova Gorica je pomembno dejstvo, da pomemben del turistične ponudbe (igralniški turizem) ni </w:t>
      </w:r>
      <w:r>
        <w:t>neposredno odvisen od vremena oz. podnebja. Podnebnim spremembam so v večji meri izpostavljene turistične dejavnosti na prostem (športno-rekreativne aktivnosti, spoznavanje kulturne dediščine na prostem, opazovanje narave, prireditve) in infrastruktura na prostem, v veliki meri tudi gastronomska ponudba in turizem na podeželju. Ker vremenski pogoji vplivajo na človekovo ugodje, infrastrukturo, stanje naravnega okolja in kmetijsko pridelavo,</w:t>
      </w:r>
      <w:r w:rsidRPr="00E824E2">
        <w:t xml:space="preserve"> </w:t>
      </w:r>
      <w:r>
        <w:t>bodo pričakovano povišanje temperatur in spremenjeni padavinski vzorci v prihodnosti neposredno vplivali na slednji segment turizma v destinaciji v vseh letnih časih. Posredno je podnebnim razmeram izpostavljen novogoriški turizem kot celota, saj se predvideva, da bodo te povsod po svetu vplivale na konkurenčnost destinacij in povzročile pomembne spremembe turističnih tokov.</w:t>
      </w:r>
    </w:p>
    <w:p w14:paraId="75118E74" w14:textId="77777777" w:rsidR="00EB37F9" w:rsidRPr="004E05B9" w:rsidRDefault="00EB37F9" w:rsidP="00EB37F9">
      <w:pPr>
        <w:rPr>
          <w:rFonts w:eastAsia="Calibri" w:cs="Arial"/>
          <w:lang w:eastAsia="sl-SI"/>
        </w:rPr>
      </w:pPr>
      <w:r w:rsidRPr="00487A04">
        <w:rPr>
          <w:rFonts w:cstheme="minorHAnsi"/>
        </w:rPr>
        <w:t xml:space="preserve">Ranljivost turizma v občini </w:t>
      </w:r>
      <w:r>
        <w:rPr>
          <w:rFonts w:cstheme="minorHAnsi"/>
        </w:rPr>
        <w:t>Nova Gorica</w:t>
      </w:r>
      <w:r w:rsidRPr="00487A04">
        <w:rPr>
          <w:rFonts w:cstheme="minorHAnsi"/>
        </w:rPr>
        <w:t xml:space="preserve"> zaradi podnebnih spremembe je v tej analizi ocenjena s kvalitativno metodo, t. j. z ekspertno oceno vpliva podnebnih sprememb na turizem in sposobnosti občine za prilagajanje podnebnim spremembam. Vpliv se nanaša na izpostavljenost sektorja trenutnemu in pričakovanemu prihodnjemu stanja podnebja v destinaciji ter občutljivost fizičnega in socialnega okolja, pri čemer so bili za določanje izpostavljenosti uporabljeni klimatološki modelski podatki o stanju podnebja v referenčnem obdobju 1981</w:t>
      </w:r>
      <w:r w:rsidRPr="00487A04">
        <w:t>—</w:t>
      </w:r>
      <w:r w:rsidRPr="00487A04">
        <w:rPr>
          <w:rFonts w:cstheme="minorHAnsi"/>
        </w:rPr>
        <w:t>2010 ter projekcije podnebja v bližnji prihodnosti (2011</w:t>
      </w:r>
      <w:r w:rsidRPr="00487A04">
        <w:t>—</w:t>
      </w:r>
      <w:r w:rsidRPr="00487A04">
        <w:rPr>
          <w:rFonts w:cstheme="minorHAnsi"/>
        </w:rPr>
        <w:t>2040) in sredi stoletja (2041</w:t>
      </w:r>
      <w:r w:rsidRPr="00487A04">
        <w:t>—</w:t>
      </w:r>
      <w:r w:rsidRPr="00487A04">
        <w:rPr>
          <w:rFonts w:cstheme="minorHAnsi"/>
        </w:rPr>
        <w:t>2070) za zmerno optimistični (RCP4.5) in pesimistični (RCP8.5) scenarij izpustov toplogrednih plinov.</w:t>
      </w:r>
    </w:p>
    <w:p w14:paraId="3D92EDEE" w14:textId="77777777" w:rsidR="00EB37F9" w:rsidRPr="001C12B0" w:rsidRDefault="00EB37F9" w:rsidP="00EB37F9">
      <w:pPr>
        <w:rPr>
          <w:rFonts w:cstheme="minorHAnsi"/>
        </w:rPr>
      </w:pPr>
      <w:r w:rsidRPr="001C12B0">
        <w:rPr>
          <w:rFonts w:cstheme="minorHAnsi"/>
        </w:rPr>
        <w:t xml:space="preserve">V prihodnosti je pričakovano povečanje izpostavljenosti destinacije predvsem zaradi povišanja temperature zraka. Poletja v destinaciji so </w:t>
      </w:r>
      <w:r>
        <w:rPr>
          <w:rFonts w:cstheme="minorHAnsi"/>
        </w:rPr>
        <w:t>že v</w:t>
      </w:r>
      <w:r w:rsidRPr="001C12B0">
        <w:rPr>
          <w:rFonts w:cstheme="minorHAnsi"/>
        </w:rPr>
        <w:t xml:space="preserve"> referenčnem obdobju </w:t>
      </w:r>
      <w:r>
        <w:rPr>
          <w:rFonts w:cstheme="minorHAnsi"/>
        </w:rPr>
        <w:t>vroča</w:t>
      </w:r>
      <w:r w:rsidRPr="001C12B0">
        <w:rPr>
          <w:rFonts w:cstheme="minorHAnsi"/>
        </w:rPr>
        <w:t xml:space="preserve">. V prihodnosti </w:t>
      </w:r>
      <w:r>
        <w:rPr>
          <w:rFonts w:cstheme="minorHAnsi"/>
        </w:rPr>
        <w:t>bodo</w:t>
      </w:r>
      <w:r w:rsidRPr="001C12B0">
        <w:rPr>
          <w:rFonts w:cstheme="minorHAnsi"/>
        </w:rPr>
        <w:t xml:space="preserve"> vročinski valovi </w:t>
      </w:r>
      <w:r>
        <w:rPr>
          <w:rFonts w:cstheme="minorHAnsi"/>
        </w:rPr>
        <w:t xml:space="preserve">še pogostejši, močnejši in </w:t>
      </w:r>
      <w:r w:rsidRPr="001C12B0">
        <w:rPr>
          <w:rFonts w:cstheme="minorHAnsi"/>
        </w:rPr>
        <w:t xml:space="preserve">daljši, kar bo </w:t>
      </w:r>
      <w:r>
        <w:rPr>
          <w:rFonts w:cstheme="minorHAnsi"/>
        </w:rPr>
        <w:t>zmanjšalo</w:t>
      </w:r>
      <w:r w:rsidRPr="001C12B0">
        <w:rPr>
          <w:rFonts w:cstheme="minorHAnsi"/>
        </w:rPr>
        <w:t xml:space="preserve"> privlačnost obstoječe poletne turistične ponudbe povezane z aktivnostmi na prostem.</w:t>
      </w:r>
      <w:r>
        <w:rPr>
          <w:rFonts w:cstheme="minorHAnsi"/>
        </w:rPr>
        <w:t xml:space="preserve"> Poletni vročini je posebej izpostavljen turizem v mestu Nova Gorica.</w:t>
      </w:r>
      <w:r w:rsidRPr="001C12B0">
        <w:rPr>
          <w:rFonts w:cstheme="minorHAnsi"/>
        </w:rPr>
        <w:t xml:space="preserve"> Stopnjeval se bo vročinski stres na delovnem mestu za zaposlene v turizmu, kar bo </w:t>
      </w:r>
      <w:r>
        <w:rPr>
          <w:rFonts w:cstheme="minorHAnsi"/>
        </w:rPr>
        <w:t xml:space="preserve">lahko </w:t>
      </w:r>
      <w:r w:rsidRPr="001C12B0">
        <w:rPr>
          <w:rFonts w:cstheme="minorHAnsi"/>
        </w:rPr>
        <w:t xml:space="preserve">negativno vplivalo na privlačnost poklicev v turizmu. Povečevale se bodo tudi potrebe po hlajenju v stavbah in s tem stroški turističnih ponudnikov. </w:t>
      </w:r>
      <w:r>
        <w:rPr>
          <w:rFonts w:cstheme="minorHAnsi"/>
        </w:rPr>
        <w:t>Temperaturni p</w:t>
      </w:r>
      <w:r w:rsidRPr="001C12B0">
        <w:rPr>
          <w:rFonts w:cstheme="minorHAnsi"/>
        </w:rPr>
        <w:t>ogoji za aktivnosti na prostem spomladi</w:t>
      </w:r>
      <w:r>
        <w:rPr>
          <w:rFonts w:cstheme="minorHAnsi"/>
        </w:rPr>
        <w:t xml:space="preserve">, </w:t>
      </w:r>
      <w:r w:rsidRPr="001C12B0">
        <w:rPr>
          <w:rFonts w:cstheme="minorHAnsi"/>
        </w:rPr>
        <w:t xml:space="preserve">jeseni </w:t>
      </w:r>
      <w:r>
        <w:rPr>
          <w:rFonts w:cstheme="minorHAnsi"/>
        </w:rPr>
        <w:t xml:space="preserve">in pozimi pa </w:t>
      </w:r>
      <w:r w:rsidRPr="001C12B0">
        <w:rPr>
          <w:rFonts w:cstheme="minorHAnsi"/>
        </w:rPr>
        <w:t>se bodo zaradi segrevanja v prihodnosti izboljšali.</w:t>
      </w:r>
    </w:p>
    <w:p w14:paraId="48BE8B9E" w14:textId="77777777" w:rsidR="00EB37F9" w:rsidRDefault="00EB37F9" w:rsidP="00EB37F9">
      <w:pPr>
        <w:rPr>
          <w:rFonts w:cstheme="minorHAnsi"/>
        </w:rPr>
      </w:pPr>
      <w:r w:rsidRPr="001C12B0">
        <w:rPr>
          <w:rFonts w:cstheme="minorHAnsi"/>
        </w:rPr>
        <w:t>Višje temperature</w:t>
      </w:r>
      <w:r>
        <w:rPr>
          <w:rFonts w:cstheme="minorHAnsi"/>
        </w:rPr>
        <w:t xml:space="preserve"> in </w:t>
      </w:r>
      <w:r w:rsidRPr="001C12B0">
        <w:rPr>
          <w:rFonts w:cstheme="minorHAnsi"/>
        </w:rPr>
        <w:t>spremenjeni padavinski vzorci bodo v prihodnosti lahko poslabšali stanje naravnega okolja, ki je pomemben dejavnik turistične ponudbe v destinaciji, vplivali pa bodo tudi na pogoje za lokalno kmetijsko pridelavo</w:t>
      </w:r>
      <w:r w:rsidRPr="00E15586">
        <w:rPr>
          <w:rFonts w:cstheme="minorHAnsi"/>
        </w:rPr>
        <w:t xml:space="preserve"> </w:t>
      </w:r>
      <w:r>
        <w:rPr>
          <w:rFonts w:cstheme="minorHAnsi"/>
        </w:rPr>
        <w:t xml:space="preserve">in s tem na </w:t>
      </w:r>
      <w:r w:rsidRPr="001C12B0">
        <w:rPr>
          <w:rFonts w:cstheme="minorHAnsi"/>
        </w:rPr>
        <w:t>gastronomsk</w:t>
      </w:r>
      <w:r>
        <w:rPr>
          <w:rFonts w:cstheme="minorHAnsi"/>
        </w:rPr>
        <w:t>o</w:t>
      </w:r>
      <w:r w:rsidRPr="001C12B0">
        <w:rPr>
          <w:rFonts w:cstheme="minorHAnsi"/>
        </w:rPr>
        <w:t xml:space="preserve"> ponudb</w:t>
      </w:r>
      <w:r>
        <w:rPr>
          <w:rFonts w:cstheme="minorHAnsi"/>
        </w:rPr>
        <w:t>o, pri čemer je najbolj izpostavljen vinski turizem</w:t>
      </w:r>
      <w:r w:rsidRPr="001C12B0">
        <w:rPr>
          <w:rFonts w:cstheme="minorHAnsi"/>
        </w:rPr>
        <w:t xml:space="preserve">. </w:t>
      </w:r>
    </w:p>
    <w:p w14:paraId="50FF032A" w14:textId="77777777" w:rsidR="00EB37F9" w:rsidRDefault="00EB37F9" w:rsidP="00EB37F9">
      <w:pPr>
        <w:rPr>
          <w:rFonts w:cstheme="minorHAnsi"/>
        </w:rPr>
      </w:pPr>
      <w:r w:rsidRPr="008709EB">
        <w:rPr>
          <w:rFonts w:cstheme="minorHAnsi"/>
        </w:rPr>
        <w:t xml:space="preserve">Turizem v občini </w:t>
      </w:r>
      <w:r>
        <w:rPr>
          <w:rFonts w:cstheme="minorHAnsi"/>
        </w:rPr>
        <w:t>Nova Gorica</w:t>
      </w:r>
      <w:r w:rsidRPr="008709EB">
        <w:rPr>
          <w:rFonts w:cstheme="minorHAnsi"/>
        </w:rPr>
        <w:t xml:space="preserve"> se bo v prihodnosti </w:t>
      </w:r>
      <w:r>
        <w:rPr>
          <w:rFonts w:cstheme="minorHAnsi"/>
        </w:rPr>
        <w:t xml:space="preserve">zaradi regionalnega segrevanja lahko tudi </w:t>
      </w:r>
      <w:r w:rsidRPr="008709EB">
        <w:rPr>
          <w:rFonts w:cstheme="minorHAnsi"/>
        </w:rPr>
        <w:t>soočil s povečano konkurenco</w:t>
      </w:r>
      <w:r>
        <w:rPr>
          <w:rFonts w:cstheme="minorHAnsi"/>
        </w:rPr>
        <w:t xml:space="preserve"> novih poletnih destinacij v severnejših delih Evrope, d</w:t>
      </w:r>
      <w:r w:rsidRPr="008709EB">
        <w:rPr>
          <w:rFonts w:cstheme="minorHAnsi"/>
        </w:rPr>
        <w:t xml:space="preserve">estinacij, ki </w:t>
      </w:r>
      <w:r>
        <w:rPr>
          <w:rFonts w:cstheme="minorHAnsi"/>
        </w:rPr>
        <w:t xml:space="preserve">bodo poletno sezono podaljševale v pomlad in jesen, in destinacij, ki bodo razvijale ponudbo aktivnosti na prostem v vseh letnih časih in </w:t>
      </w:r>
      <w:r w:rsidRPr="008709EB">
        <w:rPr>
          <w:rFonts w:cstheme="minorHAnsi"/>
        </w:rPr>
        <w:t xml:space="preserve">se </w:t>
      </w:r>
      <w:r>
        <w:rPr>
          <w:rFonts w:cstheme="minorHAnsi"/>
        </w:rPr>
        <w:t xml:space="preserve">bodo </w:t>
      </w:r>
      <w:r w:rsidRPr="008709EB">
        <w:rPr>
          <w:rFonts w:cstheme="minorHAnsi"/>
        </w:rPr>
        <w:t xml:space="preserve">tržile kot </w:t>
      </w:r>
      <w:r>
        <w:rPr>
          <w:rFonts w:cstheme="minorHAnsi"/>
        </w:rPr>
        <w:t>celoletne destinacije</w:t>
      </w:r>
      <w:r w:rsidRPr="008709EB">
        <w:rPr>
          <w:rFonts w:cstheme="minorHAnsi"/>
        </w:rPr>
        <w:t>.</w:t>
      </w:r>
    </w:p>
    <w:p w14:paraId="62294922" w14:textId="500D5E75" w:rsidR="00EB37F9" w:rsidRPr="0025667C" w:rsidRDefault="005E7A42" w:rsidP="00EB37F9">
      <w:pPr>
        <w:rPr>
          <w:rFonts w:asciiTheme="minorHAnsi" w:hAnsiTheme="minorHAnsi"/>
          <w:shd w:val="clear" w:color="auto" w:fill="FFFFFF"/>
        </w:rPr>
      </w:pPr>
      <w:r>
        <w:rPr>
          <w:shd w:val="clear" w:color="auto" w:fill="FFFFFF"/>
        </w:rPr>
        <w:lastRenderedPageBreak/>
        <w:t>Mestna o</w:t>
      </w:r>
      <w:r w:rsidR="00EB37F9" w:rsidRPr="0025667C">
        <w:rPr>
          <w:shd w:val="clear" w:color="auto" w:fill="FFFFFF"/>
        </w:rPr>
        <w:t xml:space="preserve">bčina </w:t>
      </w:r>
      <w:r w:rsidR="00EB37F9">
        <w:rPr>
          <w:shd w:val="clear" w:color="auto" w:fill="FFFFFF"/>
        </w:rPr>
        <w:t>Nova Gorica</w:t>
      </w:r>
      <w:r w:rsidR="00EB37F9" w:rsidRPr="0025667C">
        <w:rPr>
          <w:shd w:val="clear" w:color="auto" w:fill="FFFFFF"/>
        </w:rPr>
        <w:t xml:space="preserve"> ima kot turistična destinacija v referenčnem obdobju zadostno sposobnost prilagajanja podnebnim spremembam. </w:t>
      </w:r>
      <w:r w:rsidR="00EB37F9">
        <w:rPr>
          <w:shd w:val="clear" w:color="auto" w:fill="FFFFFF"/>
        </w:rPr>
        <w:t>K temu prispeva</w:t>
      </w:r>
      <w:r w:rsidR="00EB37F9" w:rsidRPr="0025667C">
        <w:rPr>
          <w:shd w:val="clear" w:color="auto" w:fill="FFFFFF"/>
        </w:rPr>
        <w:t xml:space="preserve"> </w:t>
      </w:r>
      <w:r w:rsidR="00EB37F9">
        <w:rPr>
          <w:shd w:val="clear" w:color="auto" w:fill="FFFFFF"/>
        </w:rPr>
        <w:t xml:space="preserve">raznolikost turistične ponudbe, </w:t>
      </w:r>
      <w:r w:rsidR="00EB37F9" w:rsidRPr="0025667C">
        <w:rPr>
          <w:shd w:val="clear" w:color="auto" w:fill="FFFFFF"/>
        </w:rPr>
        <w:t>ekonomsk</w:t>
      </w:r>
      <w:r w:rsidR="00EB37F9">
        <w:rPr>
          <w:shd w:val="clear" w:color="auto" w:fill="FFFFFF"/>
        </w:rPr>
        <w:t>a</w:t>
      </w:r>
      <w:r w:rsidR="00EB37F9" w:rsidRPr="0025667C">
        <w:rPr>
          <w:shd w:val="clear" w:color="auto" w:fill="FFFFFF"/>
        </w:rPr>
        <w:t xml:space="preserve"> trdnost </w:t>
      </w:r>
      <w:r w:rsidR="00EB37F9">
        <w:rPr>
          <w:shd w:val="clear" w:color="auto" w:fill="FFFFFF"/>
        </w:rPr>
        <w:t xml:space="preserve">lokalne skupnosti </w:t>
      </w:r>
      <w:r w:rsidR="00EB37F9" w:rsidRPr="0025667C">
        <w:rPr>
          <w:shd w:val="clear" w:color="auto" w:fill="FFFFFF"/>
        </w:rPr>
        <w:t>ter institucionaln</w:t>
      </w:r>
      <w:r w:rsidR="00EB37F9">
        <w:rPr>
          <w:shd w:val="clear" w:color="auto" w:fill="FFFFFF"/>
        </w:rPr>
        <w:t>a</w:t>
      </w:r>
      <w:r w:rsidR="00EB37F9" w:rsidRPr="0025667C">
        <w:rPr>
          <w:shd w:val="clear" w:color="auto" w:fill="FFFFFF"/>
        </w:rPr>
        <w:t xml:space="preserve"> organiziranost</w:t>
      </w:r>
      <w:r w:rsidR="00EB37F9">
        <w:rPr>
          <w:shd w:val="clear" w:color="auto" w:fill="FFFFFF"/>
        </w:rPr>
        <w:t xml:space="preserve"> na področju turizma</w:t>
      </w:r>
      <w:r w:rsidR="00EB37F9" w:rsidRPr="0025667C">
        <w:rPr>
          <w:shd w:val="clear" w:color="auto" w:fill="FFFFFF"/>
        </w:rPr>
        <w:t>, pa tudi velik</w:t>
      </w:r>
      <w:r w:rsidR="00EB37F9">
        <w:rPr>
          <w:shd w:val="clear" w:color="auto" w:fill="FFFFFF"/>
        </w:rPr>
        <w:t>a</w:t>
      </w:r>
      <w:r w:rsidR="00EB37F9" w:rsidRPr="0025667C">
        <w:rPr>
          <w:shd w:val="clear" w:color="auto" w:fill="FFFFFF"/>
        </w:rPr>
        <w:t xml:space="preserve"> biotsk</w:t>
      </w:r>
      <w:r w:rsidR="00EB37F9">
        <w:rPr>
          <w:shd w:val="clear" w:color="auto" w:fill="FFFFFF"/>
        </w:rPr>
        <w:t>a</w:t>
      </w:r>
      <w:r w:rsidR="00EB37F9" w:rsidRPr="0025667C">
        <w:rPr>
          <w:shd w:val="clear" w:color="auto" w:fill="FFFFFF"/>
        </w:rPr>
        <w:t xml:space="preserve"> </w:t>
      </w:r>
      <w:r w:rsidR="00EB37F9">
        <w:rPr>
          <w:shd w:val="clear" w:color="auto" w:fill="FFFFFF"/>
        </w:rPr>
        <w:t>raznovr</w:t>
      </w:r>
      <w:r w:rsidR="00EB37F9" w:rsidRPr="0025667C">
        <w:rPr>
          <w:shd w:val="clear" w:color="auto" w:fill="FFFFFF"/>
        </w:rPr>
        <w:t>st</w:t>
      </w:r>
      <w:r w:rsidR="00EB37F9">
        <w:rPr>
          <w:shd w:val="clear" w:color="auto" w:fill="FFFFFF"/>
        </w:rPr>
        <w:t xml:space="preserve">nost, </w:t>
      </w:r>
      <w:r w:rsidR="00EB37F9" w:rsidRPr="0025667C">
        <w:rPr>
          <w:shd w:val="clear" w:color="auto" w:fill="FFFFFF"/>
        </w:rPr>
        <w:t>vzpostavljen</w:t>
      </w:r>
      <w:r w:rsidR="00EB37F9">
        <w:rPr>
          <w:shd w:val="clear" w:color="auto" w:fill="FFFFFF"/>
        </w:rPr>
        <w:t>a</w:t>
      </w:r>
      <w:r w:rsidR="00EB37F9" w:rsidRPr="0025667C">
        <w:rPr>
          <w:shd w:val="clear" w:color="auto" w:fill="FFFFFF"/>
        </w:rPr>
        <w:t xml:space="preserve"> območj</w:t>
      </w:r>
      <w:r w:rsidR="00EB37F9">
        <w:rPr>
          <w:shd w:val="clear" w:color="auto" w:fill="FFFFFF"/>
        </w:rPr>
        <w:t>a</w:t>
      </w:r>
      <w:r w:rsidR="00EB37F9" w:rsidRPr="0025667C">
        <w:rPr>
          <w:shd w:val="clear" w:color="auto" w:fill="FFFFFF"/>
        </w:rPr>
        <w:t xml:space="preserve"> varovane narave </w:t>
      </w:r>
      <w:r w:rsidR="00EB37F9">
        <w:rPr>
          <w:shd w:val="clear" w:color="auto" w:fill="FFFFFF"/>
        </w:rPr>
        <w:t xml:space="preserve">in zelena infrastruktura na območju mesta Nova Gorica. </w:t>
      </w:r>
      <w:r w:rsidR="00EB37F9" w:rsidRPr="0025667C">
        <w:t xml:space="preserve">Sposobnost prilagajanja na ravni manjših turističnih ponudnikov je ocenjena kot manjša, destinacijo tudi še čaka delo na področju spodbujanja zasebne podjetniške iniciative. V destinaciji je tudi še neizkoriščen potencial </w:t>
      </w:r>
      <w:r w:rsidR="00EB37F9">
        <w:t xml:space="preserve">za </w:t>
      </w:r>
      <w:r w:rsidR="00EB37F9" w:rsidRPr="0025667C">
        <w:t>razvoj turizma na podeželju</w:t>
      </w:r>
      <w:r w:rsidR="00EB37F9">
        <w:t xml:space="preserve">, </w:t>
      </w:r>
      <w:r w:rsidR="00EB37F9" w:rsidRPr="0025667C">
        <w:t xml:space="preserve">v hladnejših </w:t>
      </w:r>
      <w:proofErr w:type="spellStart"/>
      <w:r w:rsidR="00EB37F9" w:rsidRPr="0025667C">
        <w:t>višjeležečih</w:t>
      </w:r>
      <w:proofErr w:type="spellEnd"/>
      <w:r w:rsidR="00EB37F9" w:rsidRPr="0025667C">
        <w:t xml:space="preserve"> območjih</w:t>
      </w:r>
      <w:r w:rsidR="00EB37F9">
        <w:t xml:space="preserve"> ter ob vodnih virih, ki bi se lahko aktiviral ob povečanem turističnem obisku</w:t>
      </w:r>
      <w:r w:rsidR="00EB37F9" w:rsidRPr="0025667C">
        <w:t xml:space="preserve">. </w:t>
      </w:r>
    </w:p>
    <w:p w14:paraId="64E78640" w14:textId="77777777" w:rsidR="00EB37F9" w:rsidRPr="0025667C" w:rsidRDefault="00EB37F9" w:rsidP="00EB37F9">
      <w:pPr>
        <w:rPr>
          <w:rFonts w:cstheme="minorHAnsi"/>
        </w:rPr>
      </w:pPr>
      <w:r w:rsidRPr="0025667C">
        <w:rPr>
          <w:rFonts w:cstheme="minorHAnsi"/>
        </w:rPr>
        <w:t xml:space="preserve">Ocena ranljivosti turističnega sektorja zaradi podnebnih sprememb je sestavljena iz petih kazalnikov ranljivosti: (1) konkurenčnost v odnosu z drugimi turističnimi destinacijami v Sloveniji in Evropi, (2) izvedljivost in privlačnost turističnih produktov, (3) ranljivost turistične infrastrukture, (4) ugodje in varnost obiskovalcev ter (5) družbenogospodarska </w:t>
      </w:r>
      <w:proofErr w:type="spellStart"/>
      <w:r w:rsidRPr="0025667C">
        <w:rPr>
          <w:rFonts w:cstheme="minorHAnsi"/>
        </w:rPr>
        <w:t>trajnostnost</w:t>
      </w:r>
      <w:proofErr w:type="spellEnd"/>
      <w:r w:rsidRPr="0025667C">
        <w:rPr>
          <w:rFonts w:cstheme="minorHAnsi"/>
        </w:rPr>
        <w:t xml:space="preserve"> turizma. Ranljivost turizma v občini </w:t>
      </w:r>
      <w:r>
        <w:rPr>
          <w:rFonts w:cstheme="minorHAnsi"/>
        </w:rPr>
        <w:t>Nova Gorica</w:t>
      </w:r>
      <w:r w:rsidRPr="0025667C">
        <w:rPr>
          <w:rFonts w:cstheme="minorHAnsi"/>
        </w:rPr>
        <w:t xml:space="preserve"> zaradi podnebnih sprememb v referenčnem obdobju 1981—2010 je ocenjena kot zmerna (3). </w:t>
      </w:r>
      <w:r w:rsidRPr="0025667C">
        <w:rPr>
          <w:lang w:eastAsia="sl-SI"/>
        </w:rPr>
        <w:t xml:space="preserve">Razlog za to je v </w:t>
      </w:r>
      <w:r>
        <w:rPr>
          <w:lang w:eastAsia="sl-SI"/>
        </w:rPr>
        <w:t>pomembnem</w:t>
      </w:r>
      <w:r w:rsidRPr="0025667C">
        <w:rPr>
          <w:lang w:eastAsia="sl-SI"/>
        </w:rPr>
        <w:t xml:space="preserve"> delu turistične ponudbe, ki ni neposredno izpostavljena vremenu oz. podnebju (</w:t>
      </w:r>
      <w:r>
        <w:rPr>
          <w:lang w:eastAsia="sl-SI"/>
        </w:rPr>
        <w:t>igralniški</w:t>
      </w:r>
      <w:r w:rsidRPr="0025667C">
        <w:rPr>
          <w:lang w:eastAsia="sl-SI"/>
        </w:rPr>
        <w:t xml:space="preserve"> turizem), sposobnosti lokalne skupnosti za prilagajanje podnebnim spremembam, pa tudi v zaenkrat majhnem do zmernem vplivu, ki ga imajo podnebne spremembe na turizem v destinaciji. </w:t>
      </w:r>
    </w:p>
    <w:p w14:paraId="21162A7B" w14:textId="75B2B9C0" w:rsidR="00EB37F9" w:rsidRDefault="00EB37F9" w:rsidP="00EB37F9">
      <w:pPr>
        <w:rPr>
          <w:rFonts w:cstheme="minorHAnsi"/>
        </w:rPr>
      </w:pPr>
      <w:r w:rsidRPr="0025667C">
        <w:rPr>
          <w:rFonts w:cstheme="minorHAnsi"/>
        </w:rPr>
        <w:t>V prihodnosti se bo povečevala ranljivosti poletne turistične ponudbe zaradi poletne vročine, podnebne spremembe bodo lahko poslabšale stanje naravnega okolja</w:t>
      </w:r>
      <w:r>
        <w:rPr>
          <w:rFonts w:cstheme="minorHAnsi"/>
        </w:rPr>
        <w:t xml:space="preserve"> in ogrozile pridelavo avtohtonih sort vina</w:t>
      </w:r>
      <w:r w:rsidRPr="0025667C">
        <w:rPr>
          <w:rFonts w:cstheme="minorHAnsi"/>
        </w:rPr>
        <w:t>.</w:t>
      </w:r>
      <w:r>
        <w:rPr>
          <w:rFonts w:cstheme="minorHAnsi"/>
        </w:rPr>
        <w:t xml:space="preserve"> </w:t>
      </w:r>
      <w:r w:rsidRPr="0025667C">
        <w:rPr>
          <w:rFonts w:cstheme="minorHAnsi"/>
        </w:rPr>
        <w:t xml:space="preserve">K </w:t>
      </w:r>
      <w:r>
        <w:rPr>
          <w:rFonts w:cstheme="minorHAnsi"/>
        </w:rPr>
        <w:t>povečanju ranljivosti destinacije pa poleg tega</w:t>
      </w:r>
      <w:r w:rsidRPr="0025667C">
        <w:rPr>
          <w:rFonts w:cstheme="minorHAnsi"/>
        </w:rPr>
        <w:t xml:space="preserve"> prispeva </w:t>
      </w:r>
      <w:r>
        <w:rPr>
          <w:rFonts w:cstheme="minorHAnsi"/>
        </w:rPr>
        <w:t>zaenkrat omejena</w:t>
      </w:r>
      <w:r w:rsidRPr="0025667C">
        <w:rPr>
          <w:rFonts w:cstheme="minorHAnsi"/>
        </w:rPr>
        <w:t xml:space="preserve"> zasebn</w:t>
      </w:r>
      <w:r>
        <w:rPr>
          <w:rFonts w:cstheme="minorHAnsi"/>
        </w:rPr>
        <w:t>a</w:t>
      </w:r>
      <w:r w:rsidRPr="0025667C">
        <w:rPr>
          <w:rFonts w:cstheme="minorHAnsi"/>
        </w:rPr>
        <w:t xml:space="preserve"> </w:t>
      </w:r>
      <w:r>
        <w:rPr>
          <w:rFonts w:cstheme="minorHAnsi"/>
        </w:rPr>
        <w:t xml:space="preserve">podjetniška </w:t>
      </w:r>
      <w:r w:rsidRPr="0025667C">
        <w:rPr>
          <w:rFonts w:cstheme="minorHAnsi"/>
        </w:rPr>
        <w:t>iniciativ</w:t>
      </w:r>
      <w:r>
        <w:rPr>
          <w:rFonts w:cstheme="minorHAnsi"/>
        </w:rPr>
        <w:t>a na področju turizma</w:t>
      </w:r>
      <w:r w:rsidRPr="0025667C">
        <w:rPr>
          <w:rFonts w:cstheme="minorHAnsi"/>
        </w:rPr>
        <w:t>, ki lahko omeji zmožnost destinacije, da bi v polnosti izkoristila koristi, ki jih bodo prinesle podnebne spremembe (npr. izboljšanje pogojev za aktivnosti na prostem spomladi</w:t>
      </w:r>
      <w:r>
        <w:rPr>
          <w:rFonts w:cstheme="minorHAnsi"/>
        </w:rPr>
        <w:t xml:space="preserve">, </w:t>
      </w:r>
      <w:r w:rsidRPr="0025667C">
        <w:rPr>
          <w:rFonts w:cstheme="minorHAnsi"/>
        </w:rPr>
        <w:t>jeseni</w:t>
      </w:r>
      <w:r>
        <w:rPr>
          <w:rFonts w:cstheme="minorHAnsi"/>
        </w:rPr>
        <w:t xml:space="preserve"> in pozimi</w:t>
      </w:r>
      <w:r w:rsidRPr="0025667C">
        <w:rPr>
          <w:rFonts w:cstheme="minorHAnsi"/>
        </w:rPr>
        <w:t>).</w:t>
      </w:r>
      <w:r>
        <w:rPr>
          <w:rFonts w:cstheme="minorHAnsi"/>
        </w:rPr>
        <w:t xml:space="preserve"> </w:t>
      </w:r>
      <w:r w:rsidRPr="0025667C">
        <w:rPr>
          <w:rFonts w:cstheme="minorHAnsi"/>
        </w:rPr>
        <w:t xml:space="preserve">Tveganje, da bo ranljivost turizma v občini </w:t>
      </w:r>
      <w:r>
        <w:rPr>
          <w:rFonts w:cstheme="minorHAnsi"/>
        </w:rPr>
        <w:t>Nova Gorica</w:t>
      </w:r>
      <w:r w:rsidRPr="0025667C">
        <w:rPr>
          <w:rFonts w:cstheme="minorHAnsi"/>
        </w:rPr>
        <w:t xml:space="preserve"> v prihodnosti zaradi podnebnih sprememb (znatno) večja kot v referenčnem obdobju oz. da bo velika, je za obdobje 2011—2040 za oba scenarija podnebnih sprememb ocenjeno kot zmerno</w:t>
      </w:r>
      <w:r>
        <w:rPr>
          <w:rFonts w:cstheme="minorHAnsi"/>
        </w:rPr>
        <w:t xml:space="preserve"> do veliko</w:t>
      </w:r>
      <w:r w:rsidRPr="0025667C">
        <w:rPr>
          <w:rFonts w:cstheme="minorHAnsi"/>
        </w:rPr>
        <w:t xml:space="preserve"> (3</w:t>
      </w:r>
      <w:r>
        <w:rPr>
          <w:rFonts w:cstheme="minorHAnsi"/>
        </w:rPr>
        <w:t>―4</w:t>
      </w:r>
      <w:r w:rsidRPr="0025667C">
        <w:rPr>
          <w:rFonts w:cstheme="minorHAnsi"/>
        </w:rPr>
        <w:t xml:space="preserve">), v obdobju 2041—2070 pa kot veliko (4).  </w:t>
      </w:r>
    </w:p>
    <w:p w14:paraId="4A764839" w14:textId="77777777" w:rsidR="00EB37F9" w:rsidRDefault="00EB37F9" w:rsidP="00EB37F9">
      <w:pPr>
        <w:keepNext/>
        <w:jc w:val="center"/>
      </w:pPr>
      <w:r w:rsidRPr="003D69FD">
        <w:rPr>
          <w:noProof/>
          <w:lang w:eastAsia="sl-SI"/>
        </w:rPr>
        <w:drawing>
          <wp:inline distT="0" distB="0" distL="0" distR="0" wp14:anchorId="520A6600" wp14:editId="18B9D825">
            <wp:extent cx="2814955" cy="2280974"/>
            <wp:effectExtent l="0" t="0" r="4445" b="5080"/>
            <wp:docPr id="1802182986"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276" t="1341" r="1724" b="1254"/>
                    <a:stretch/>
                  </pic:blipFill>
                  <pic:spPr bwMode="auto">
                    <a:xfrm>
                      <a:off x="0" y="0"/>
                      <a:ext cx="3036053" cy="2460131"/>
                    </a:xfrm>
                    <a:prstGeom prst="rect">
                      <a:avLst/>
                    </a:prstGeom>
                    <a:ln w="6350"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68735E" w14:textId="17E17A91" w:rsidR="00EB37F9" w:rsidRPr="00CC4922" w:rsidRDefault="00EB37F9" w:rsidP="00EB37F9">
      <w:pPr>
        <w:pStyle w:val="Napis"/>
        <w:rPr>
          <w:rFonts w:cstheme="minorHAnsi"/>
        </w:rPr>
      </w:pPr>
      <w:bookmarkStart w:id="20" w:name="_Toc97026833"/>
      <w:r>
        <w:t xml:space="preserve">Slika </w:t>
      </w:r>
      <w:r w:rsidR="008334B2">
        <w:fldChar w:fldCharType="begin"/>
      </w:r>
      <w:r w:rsidR="008334B2">
        <w:instrText xml:space="preserve"> STYLEREF 1 \s </w:instrText>
      </w:r>
      <w:r w:rsidR="008334B2">
        <w:fldChar w:fldCharType="separate"/>
      </w:r>
      <w:r w:rsidR="008334B2">
        <w:rPr>
          <w:noProof/>
        </w:rPr>
        <w:t>1</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4</w:t>
      </w:r>
      <w:r w:rsidR="008334B2">
        <w:fldChar w:fldCharType="end"/>
      </w:r>
      <w:r w:rsidRPr="008C0F6A">
        <w:t>: Ocena ranljivosti turizma v občini Nova Gorica v referenčnem obdobju 1981–2010 ter v obdobjih 2011–2040 in 2041–2070 po obeh scenarijih izpustov toplogrednih plinov</w:t>
      </w:r>
      <w:bookmarkEnd w:id="20"/>
    </w:p>
    <w:p w14:paraId="6D2A6DDE" w14:textId="48C8F837" w:rsidR="00EB37F9" w:rsidRPr="00A120AD" w:rsidRDefault="00EB37F9" w:rsidP="00EB37F9">
      <w:pPr>
        <w:spacing w:after="0"/>
        <w:rPr>
          <w:rFonts w:eastAsia="Trebuchet MS" w:cs="Trebuchet MS"/>
          <w:i/>
          <w:iCs/>
          <w:color w:val="44546A" w:themeColor="text2"/>
          <w:sz w:val="18"/>
          <w:szCs w:val="18"/>
          <w:lang w:eastAsia="sl-SI"/>
        </w:rPr>
      </w:pPr>
      <w:bookmarkStart w:id="21" w:name="_Toc97026947"/>
      <w:r>
        <w:rPr>
          <w:rFonts w:eastAsia="Trebuchet MS" w:cs="Trebuchet MS"/>
          <w:i/>
          <w:iCs/>
          <w:color w:val="44546A" w:themeColor="text2"/>
          <w:sz w:val="18"/>
          <w:szCs w:val="18"/>
          <w:lang w:eastAsia="sl-SI"/>
        </w:rPr>
        <w:lastRenderedPageBreak/>
        <w:t xml:space="preserve">Preglednica </w:t>
      </w:r>
      <w:r w:rsidR="00976D80">
        <w:rPr>
          <w:rFonts w:eastAsia="Trebuchet MS" w:cs="Trebuchet MS"/>
          <w:i/>
          <w:iCs/>
          <w:color w:val="44546A" w:themeColor="text2"/>
          <w:sz w:val="18"/>
          <w:szCs w:val="18"/>
          <w:lang w:eastAsia="sl-SI"/>
        </w:rPr>
        <w:fldChar w:fldCharType="begin"/>
      </w:r>
      <w:r w:rsidR="00976D80">
        <w:rPr>
          <w:rFonts w:eastAsia="Trebuchet MS" w:cs="Trebuchet MS"/>
          <w:i/>
          <w:iCs/>
          <w:color w:val="44546A" w:themeColor="text2"/>
          <w:sz w:val="18"/>
          <w:szCs w:val="18"/>
          <w:lang w:eastAsia="sl-SI"/>
        </w:rPr>
        <w:instrText xml:space="preserve"> STYLEREF 1 \s </w:instrText>
      </w:r>
      <w:r w:rsidR="00976D80">
        <w:rPr>
          <w:rFonts w:eastAsia="Trebuchet MS" w:cs="Trebuchet MS"/>
          <w:i/>
          <w:iCs/>
          <w:color w:val="44546A" w:themeColor="text2"/>
          <w:sz w:val="18"/>
          <w:szCs w:val="18"/>
          <w:lang w:eastAsia="sl-SI"/>
        </w:rPr>
        <w:fldChar w:fldCharType="separate"/>
      </w:r>
      <w:r w:rsidR="00976D80">
        <w:rPr>
          <w:rFonts w:eastAsia="Trebuchet MS" w:cs="Trebuchet MS"/>
          <w:i/>
          <w:iCs/>
          <w:noProof/>
          <w:color w:val="44546A" w:themeColor="text2"/>
          <w:sz w:val="18"/>
          <w:szCs w:val="18"/>
          <w:lang w:eastAsia="sl-SI"/>
        </w:rPr>
        <w:t>1</w:t>
      </w:r>
      <w:r w:rsidR="00976D80">
        <w:rPr>
          <w:rFonts w:eastAsia="Trebuchet MS" w:cs="Trebuchet MS"/>
          <w:i/>
          <w:iCs/>
          <w:color w:val="44546A" w:themeColor="text2"/>
          <w:sz w:val="18"/>
          <w:szCs w:val="18"/>
          <w:lang w:eastAsia="sl-SI"/>
        </w:rPr>
        <w:fldChar w:fldCharType="end"/>
      </w:r>
      <w:r w:rsidR="00976D80">
        <w:rPr>
          <w:rFonts w:eastAsia="Trebuchet MS" w:cs="Trebuchet MS"/>
          <w:i/>
          <w:iCs/>
          <w:color w:val="44546A" w:themeColor="text2"/>
          <w:sz w:val="18"/>
          <w:szCs w:val="18"/>
          <w:lang w:eastAsia="sl-SI"/>
        </w:rPr>
        <w:t>.</w:t>
      </w:r>
      <w:r w:rsidR="00976D80">
        <w:rPr>
          <w:rFonts w:eastAsia="Trebuchet MS" w:cs="Trebuchet MS"/>
          <w:i/>
          <w:iCs/>
          <w:color w:val="44546A" w:themeColor="text2"/>
          <w:sz w:val="18"/>
          <w:szCs w:val="18"/>
          <w:lang w:eastAsia="sl-SI"/>
        </w:rPr>
        <w:fldChar w:fldCharType="begin"/>
      </w:r>
      <w:r w:rsidR="00976D80">
        <w:rPr>
          <w:rFonts w:eastAsia="Trebuchet MS" w:cs="Trebuchet MS"/>
          <w:i/>
          <w:iCs/>
          <w:color w:val="44546A" w:themeColor="text2"/>
          <w:sz w:val="18"/>
          <w:szCs w:val="18"/>
          <w:lang w:eastAsia="sl-SI"/>
        </w:rPr>
        <w:instrText xml:space="preserve"> SEQ Preglednica \* ARABIC \s 1 </w:instrText>
      </w:r>
      <w:r w:rsidR="00976D80">
        <w:rPr>
          <w:rFonts w:eastAsia="Trebuchet MS" w:cs="Trebuchet MS"/>
          <w:i/>
          <w:iCs/>
          <w:color w:val="44546A" w:themeColor="text2"/>
          <w:sz w:val="18"/>
          <w:szCs w:val="18"/>
          <w:lang w:eastAsia="sl-SI"/>
        </w:rPr>
        <w:fldChar w:fldCharType="separate"/>
      </w:r>
      <w:r w:rsidR="00976D80">
        <w:rPr>
          <w:rFonts w:eastAsia="Trebuchet MS" w:cs="Trebuchet MS"/>
          <w:i/>
          <w:iCs/>
          <w:noProof/>
          <w:color w:val="44546A" w:themeColor="text2"/>
          <w:sz w:val="18"/>
          <w:szCs w:val="18"/>
          <w:lang w:eastAsia="sl-SI"/>
        </w:rPr>
        <w:t>5</w:t>
      </w:r>
      <w:r w:rsidR="00976D80">
        <w:rPr>
          <w:rFonts w:eastAsia="Trebuchet MS" w:cs="Trebuchet MS"/>
          <w:i/>
          <w:iCs/>
          <w:color w:val="44546A" w:themeColor="text2"/>
          <w:sz w:val="18"/>
          <w:szCs w:val="18"/>
          <w:lang w:eastAsia="sl-SI"/>
        </w:rPr>
        <w:fldChar w:fldCharType="end"/>
      </w:r>
      <w:r>
        <w:rPr>
          <w:rFonts w:eastAsia="Trebuchet MS" w:cs="Trebuchet MS"/>
          <w:i/>
          <w:iCs/>
          <w:color w:val="44546A" w:themeColor="text2"/>
          <w:sz w:val="18"/>
          <w:szCs w:val="18"/>
          <w:lang w:eastAsia="sl-SI"/>
        </w:rPr>
        <w:t xml:space="preserve">: Ranljivost sektorja turizma, sestavljena iz petih kazalnikov ranljivosti, s pripadajočimi potencialnimi vplivi in oceno sposobnosti prilagajanja ter ocena tveganja zaradi podnebnih sprememb v obdobju </w:t>
      </w:r>
      <w:r w:rsidRPr="00013A43">
        <w:rPr>
          <w:rFonts w:eastAsia="Trebuchet MS" w:cs="Trebuchet MS"/>
          <w:i/>
          <w:iCs/>
          <w:color w:val="44546A" w:themeColor="text2"/>
          <w:sz w:val="18"/>
          <w:szCs w:val="18"/>
          <w:lang w:eastAsia="sl-SI"/>
        </w:rPr>
        <w:t>20</w:t>
      </w:r>
      <w:r>
        <w:rPr>
          <w:rFonts w:eastAsia="Trebuchet MS" w:cs="Trebuchet MS"/>
          <w:i/>
          <w:iCs/>
          <w:color w:val="44546A" w:themeColor="text2"/>
          <w:sz w:val="18"/>
          <w:szCs w:val="18"/>
          <w:lang w:eastAsia="sl-SI"/>
        </w:rPr>
        <w:t>1</w:t>
      </w:r>
      <w:r w:rsidRPr="00013A43">
        <w:rPr>
          <w:rFonts w:eastAsia="Trebuchet MS" w:cs="Trebuchet MS"/>
          <w:i/>
          <w:iCs/>
          <w:color w:val="44546A" w:themeColor="text2"/>
          <w:sz w:val="18"/>
          <w:szCs w:val="18"/>
          <w:lang w:eastAsia="sl-SI"/>
        </w:rPr>
        <w:t>1—20</w:t>
      </w:r>
      <w:r>
        <w:rPr>
          <w:rFonts w:eastAsia="Trebuchet MS" w:cs="Trebuchet MS"/>
          <w:i/>
          <w:iCs/>
          <w:color w:val="44546A" w:themeColor="text2"/>
          <w:sz w:val="18"/>
          <w:szCs w:val="18"/>
          <w:lang w:eastAsia="sl-SI"/>
        </w:rPr>
        <w:t>4</w:t>
      </w:r>
      <w:r w:rsidRPr="00013A43">
        <w:rPr>
          <w:rFonts w:eastAsia="Trebuchet MS" w:cs="Trebuchet MS"/>
          <w:i/>
          <w:iCs/>
          <w:color w:val="44546A" w:themeColor="text2"/>
          <w:sz w:val="18"/>
          <w:szCs w:val="18"/>
          <w:lang w:eastAsia="sl-SI"/>
        </w:rPr>
        <w:t>0</w:t>
      </w:r>
      <w:r>
        <w:rPr>
          <w:rFonts w:eastAsia="Trebuchet MS" w:cs="Trebuchet MS"/>
          <w:i/>
          <w:iCs/>
          <w:color w:val="44546A" w:themeColor="text2"/>
          <w:sz w:val="18"/>
          <w:szCs w:val="18"/>
          <w:lang w:eastAsia="sl-SI"/>
        </w:rPr>
        <w:t>.</w:t>
      </w:r>
      <w:bookmarkEnd w:id="21"/>
    </w:p>
    <w:p w14:paraId="0FC5D191" w14:textId="77777777" w:rsidR="00EB37F9" w:rsidRDefault="00EB37F9" w:rsidP="00EB37F9">
      <w:pPr>
        <w:rPr>
          <w:rFonts w:cstheme="minorHAnsi"/>
        </w:rPr>
      </w:pPr>
      <w:r w:rsidRPr="008D6F33">
        <w:rPr>
          <w:rFonts w:cstheme="minorHAnsi"/>
          <w:noProof/>
          <w:lang w:eastAsia="sl-SI"/>
        </w:rPr>
        <w:drawing>
          <wp:inline distT="0" distB="0" distL="0" distR="0" wp14:anchorId="09A287FA" wp14:editId="3B4742EF">
            <wp:extent cx="5759450" cy="3423920"/>
            <wp:effectExtent l="0" t="0" r="0" b="508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9450" cy="3423920"/>
                    </a:xfrm>
                    <a:prstGeom prst="rect">
                      <a:avLst/>
                    </a:prstGeom>
                  </pic:spPr>
                </pic:pic>
              </a:graphicData>
            </a:graphic>
          </wp:inline>
        </w:drawing>
      </w:r>
    </w:p>
    <w:p w14:paraId="33055B27" w14:textId="16C299E4" w:rsidR="00EB37F9" w:rsidRPr="00A120AD" w:rsidRDefault="00EB37F9" w:rsidP="00EB37F9">
      <w:pPr>
        <w:spacing w:after="0"/>
        <w:rPr>
          <w:rFonts w:eastAsia="Trebuchet MS" w:cs="Trebuchet MS"/>
          <w:i/>
          <w:iCs/>
          <w:color w:val="44546A" w:themeColor="text2"/>
          <w:sz w:val="18"/>
          <w:szCs w:val="18"/>
          <w:lang w:eastAsia="sl-SI"/>
        </w:rPr>
      </w:pPr>
      <w:bookmarkStart w:id="22" w:name="_Toc44657092"/>
      <w:bookmarkStart w:id="23" w:name="_Toc97026948"/>
      <w:r>
        <w:rPr>
          <w:rFonts w:eastAsia="Trebuchet MS" w:cs="Trebuchet MS"/>
          <w:i/>
          <w:iCs/>
          <w:color w:val="44546A" w:themeColor="text2"/>
          <w:sz w:val="18"/>
          <w:szCs w:val="18"/>
          <w:lang w:eastAsia="sl-SI"/>
        </w:rPr>
        <w:t xml:space="preserve">Preglednica </w:t>
      </w:r>
      <w:r w:rsidR="00976D80">
        <w:rPr>
          <w:rFonts w:eastAsia="Trebuchet MS" w:cs="Trebuchet MS"/>
          <w:i/>
          <w:iCs/>
          <w:color w:val="44546A" w:themeColor="text2"/>
          <w:sz w:val="18"/>
          <w:szCs w:val="18"/>
          <w:lang w:eastAsia="sl-SI"/>
        </w:rPr>
        <w:fldChar w:fldCharType="begin"/>
      </w:r>
      <w:r w:rsidR="00976D80">
        <w:rPr>
          <w:rFonts w:eastAsia="Trebuchet MS" w:cs="Trebuchet MS"/>
          <w:i/>
          <w:iCs/>
          <w:color w:val="44546A" w:themeColor="text2"/>
          <w:sz w:val="18"/>
          <w:szCs w:val="18"/>
          <w:lang w:eastAsia="sl-SI"/>
        </w:rPr>
        <w:instrText xml:space="preserve"> STYLEREF 1 \s </w:instrText>
      </w:r>
      <w:r w:rsidR="00976D80">
        <w:rPr>
          <w:rFonts w:eastAsia="Trebuchet MS" w:cs="Trebuchet MS"/>
          <w:i/>
          <w:iCs/>
          <w:color w:val="44546A" w:themeColor="text2"/>
          <w:sz w:val="18"/>
          <w:szCs w:val="18"/>
          <w:lang w:eastAsia="sl-SI"/>
        </w:rPr>
        <w:fldChar w:fldCharType="separate"/>
      </w:r>
      <w:r w:rsidR="00976D80">
        <w:rPr>
          <w:rFonts w:eastAsia="Trebuchet MS" w:cs="Trebuchet MS"/>
          <w:i/>
          <w:iCs/>
          <w:noProof/>
          <w:color w:val="44546A" w:themeColor="text2"/>
          <w:sz w:val="18"/>
          <w:szCs w:val="18"/>
          <w:lang w:eastAsia="sl-SI"/>
        </w:rPr>
        <w:t>1</w:t>
      </w:r>
      <w:r w:rsidR="00976D80">
        <w:rPr>
          <w:rFonts w:eastAsia="Trebuchet MS" w:cs="Trebuchet MS"/>
          <w:i/>
          <w:iCs/>
          <w:color w:val="44546A" w:themeColor="text2"/>
          <w:sz w:val="18"/>
          <w:szCs w:val="18"/>
          <w:lang w:eastAsia="sl-SI"/>
        </w:rPr>
        <w:fldChar w:fldCharType="end"/>
      </w:r>
      <w:r w:rsidR="00976D80">
        <w:rPr>
          <w:rFonts w:eastAsia="Trebuchet MS" w:cs="Trebuchet MS"/>
          <w:i/>
          <w:iCs/>
          <w:color w:val="44546A" w:themeColor="text2"/>
          <w:sz w:val="18"/>
          <w:szCs w:val="18"/>
          <w:lang w:eastAsia="sl-SI"/>
        </w:rPr>
        <w:t>.</w:t>
      </w:r>
      <w:r w:rsidR="00976D80">
        <w:rPr>
          <w:rFonts w:eastAsia="Trebuchet MS" w:cs="Trebuchet MS"/>
          <w:i/>
          <w:iCs/>
          <w:color w:val="44546A" w:themeColor="text2"/>
          <w:sz w:val="18"/>
          <w:szCs w:val="18"/>
          <w:lang w:eastAsia="sl-SI"/>
        </w:rPr>
        <w:fldChar w:fldCharType="begin"/>
      </w:r>
      <w:r w:rsidR="00976D80">
        <w:rPr>
          <w:rFonts w:eastAsia="Trebuchet MS" w:cs="Trebuchet MS"/>
          <w:i/>
          <w:iCs/>
          <w:color w:val="44546A" w:themeColor="text2"/>
          <w:sz w:val="18"/>
          <w:szCs w:val="18"/>
          <w:lang w:eastAsia="sl-SI"/>
        </w:rPr>
        <w:instrText xml:space="preserve"> SEQ Preglednica \* ARABIC \s 1 </w:instrText>
      </w:r>
      <w:r w:rsidR="00976D80">
        <w:rPr>
          <w:rFonts w:eastAsia="Trebuchet MS" w:cs="Trebuchet MS"/>
          <w:i/>
          <w:iCs/>
          <w:color w:val="44546A" w:themeColor="text2"/>
          <w:sz w:val="18"/>
          <w:szCs w:val="18"/>
          <w:lang w:eastAsia="sl-SI"/>
        </w:rPr>
        <w:fldChar w:fldCharType="separate"/>
      </w:r>
      <w:r w:rsidR="00976D80">
        <w:rPr>
          <w:rFonts w:eastAsia="Trebuchet MS" w:cs="Trebuchet MS"/>
          <w:i/>
          <w:iCs/>
          <w:noProof/>
          <w:color w:val="44546A" w:themeColor="text2"/>
          <w:sz w:val="18"/>
          <w:szCs w:val="18"/>
          <w:lang w:eastAsia="sl-SI"/>
        </w:rPr>
        <w:t>6</w:t>
      </w:r>
      <w:r w:rsidR="00976D80">
        <w:rPr>
          <w:rFonts w:eastAsia="Trebuchet MS" w:cs="Trebuchet MS"/>
          <w:i/>
          <w:iCs/>
          <w:color w:val="44546A" w:themeColor="text2"/>
          <w:sz w:val="18"/>
          <w:szCs w:val="18"/>
          <w:lang w:eastAsia="sl-SI"/>
        </w:rPr>
        <w:fldChar w:fldCharType="end"/>
      </w:r>
      <w:r>
        <w:rPr>
          <w:rFonts w:eastAsia="Trebuchet MS" w:cs="Trebuchet MS"/>
          <w:i/>
          <w:iCs/>
          <w:color w:val="44546A" w:themeColor="text2"/>
          <w:sz w:val="18"/>
          <w:szCs w:val="18"/>
          <w:lang w:eastAsia="sl-SI"/>
        </w:rPr>
        <w:t xml:space="preserve">: Ranljivost sektorja turizma, sestavljena iz petih kazalnikov ranljivosti, s pripadajočimi potencialnimi vplivi in oceno sposobnosti prilagajanja ter ocena tveganja zaradi podnebnih sprememb v obdobju </w:t>
      </w:r>
      <w:r w:rsidRPr="00013A43">
        <w:rPr>
          <w:rFonts w:eastAsia="Trebuchet MS" w:cs="Trebuchet MS"/>
          <w:i/>
          <w:iCs/>
          <w:color w:val="44546A" w:themeColor="text2"/>
          <w:sz w:val="18"/>
          <w:szCs w:val="18"/>
          <w:lang w:eastAsia="sl-SI"/>
        </w:rPr>
        <w:t>2041—2070</w:t>
      </w:r>
      <w:r>
        <w:rPr>
          <w:rFonts w:eastAsia="Trebuchet MS" w:cs="Trebuchet MS"/>
          <w:i/>
          <w:iCs/>
          <w:color w:val="44546A" w:themeColor="text2"/>
          <w:sz w:val="18"/>
          <w:szCs w:val="18"/>
          <w:lang w:eastAsia="sl-SI"/>
        </w:rPr>
        <w:t>.</w:t>
      </w:r>
      <w:bookmarkEnd w:id="22"/>
      <w:bookmarkEnd w:id="23"/>
    </w:p>
    <w:p w14:paraId="6F86B8D6" w14:textId="77777777" w:rsidR="00EB37F9" w:rsidRPr="002E1A20" w:rsidRDefault="00EB37F9" w:rsidP="00EB37F9">
      <w:r w:rsidRPr="008D6F33">
        <w:rPr>
          <w:noProof/>
          <w:lang w:eastAsia="sl-SI"/>
        </w:rPr>
        <w:drawing>
          <wp:inline distT="0" distB="0" distL="0" distR="0" wp14:anchorId="37DF9EBF" wp14:editId="18D9C9A6">
            <wp:extent cx="5759450" cy="3609340"/>
            <wp:effectExtent l="0" t="0" r="0" b="0"/>
            <wp:docPr id="1802182987"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9450" cy="3609340"/>
                    </a:xfrm>
                    <a:prstGeom prst="rect">
                      <a:avLst/>
                    </a:prstGeom>
                  </pic:spPr>
                </pic:pic>
              </a:graphicData>
            </a:graphic>
          </wp:inline>
        </w:drawing>
      </w:r>
    </w:p>
    <w:p w14:paraId="213556FA" w14:textId="7E2455B2" w:rsidR="00FF36BE" w:rsidRDefault="00EB37F9" w:rsidP="00EB37F9">
      <w:r w:rsidRPr="00E37370">
        <w:lastRenderedPageBreak/>
        <w:t xml:space="preserve">Predlagani ukrepi, s katerimi lahko občina </w:t>
      </w:r>
      <w:r>
        <w:t>Nova Gorica</w:t>
      </w:r>
      <w:r w:rsidRPr="00E37370">
        <w:t xml:space="preserve"> zmanjša tveganja za turistični sektor zaradi prihodnjih podnebnih sprememb, se osredotočajo na zmanjšanje občutljivosti destinacije na podnebne spremembe in povečanje njene prilagoditvene sposobnosti, kar ji bo omogočilo tudi izkoristiti pozitivne učinke podnebnih sprememb. Pomembna področja ukrepanja zajemajo: informiranje, ozaveščanje in usposabljanje deležnikov turizma v destinaciji </w:t>
      </w:r>
      <w:r>
        <w:t>Nova Gorica</w:t>
      </w:r>
      <w:r w:rsidRPr="00E37370">
        <w:t xml:space="preserve"> (predvsem na področjih podnebnih sprememb in njihovih posledic, racionalne rabe energije ter samooskrbe z energijo iz obnovljivih virov), prilagoditev turistične ponudbe podnebnim spremembam in trženje destinacije ciljnim skupinam, ki so fleksibilne glede časa dopustovanja, pa tudi infrastrukturne ukrepe za omilitev vpliva izjemnih vremenskih dogodkov, </w:t>
      </w:r>
      <w:r w:rsidRPr="008D6F33">
        <w:t xml:space="preserve">spodbujanje energetske sanacije stavb (turističnih namestitev, gostinskih objektov, muzejev itd.) in oskrbe z energijo iz obnovljivih virov, </w:t>
      </w:r>
      <w:r w:rsidRPr="00E37370">
        <w:t>urbanistične in gradbene ukrepe blaženja in prilagajanja podnebnim spremembam, pridobivanje sredstev za ukrepe blaženja in prilagajanja podnebnim spremembam in sodelovanje v partnerskih projektih</w:t>
      </w:r>
      <w:r>
        <w:t>,</w:t>
      </w:r>
      <w:r w:rsidRPr="00E37370">
        <w:t xml:space="preserve"> upravljanje turističnega razvoja v zaščitenih območjih narave</w:t>
      </w:r>
      <w:r>
        <w:t xml:space="preserve"> ter </w:t>
      </w:r>
      <w:r w:rsidRPr="00E37370">
        <w:t>vzpostavitev učinkovitega sistema zgodnjega opozarjanja na ekstremne vremenske dogodke</w:t>
      </w:r>
      <w:r>
        <w:t>.</w:t>
      </w:r>
    </w:p>
    <w:p w14:paraId="52F88E51" w14:textId="77777777" w:rsidR="00EB37F9" w:rsidRDefault="00EB37F9" w:rsidP="00EB37F9"/>
    <w:p w14:paraId="19ACBEC3" w14:textId="0E673C29" w:rsidR="00D4591F" w:rsidRDefault="00D4591F" w:rsidP="00CE43D7">
      <w:pPr>
        <w:pStyle w:val="Naslov2"/>
        <w:rPr>
          <w:rFonts w:eastAsia="Calibri"/>
          <w:lang w:eastAsia="sl-SI"/>
        </w:rPr>
      </w:pPr>
      <w:bookmarkStart w:id="24" w:name="_Toc97026725"/>
      <w:r>
        <w:rPr>
          <w:rFonts w:eastAsia="Calibri"/>
          <w:lang w:eastAsia="sl-SI"/>
        </w:rPr>
        <w:t>Sektor vodni viri</w:t>
      </w:r>
      <w:bookmarkEnd w:id="24"/>
    </w:p>
    <w:p w14:paraId="03523C71" w14:textId="77777777" w:rsidR="003548A1" w:rsidRPr="000A62B8" w:rsidRDefault="003548A1" w:rsidP="003548A1">
      <w:pPr>
        <w:rPr>
          <w:lang w:eastAsia="sl-SI"/>
        </w:rPr>
      </w:pPr>
      <w:r w:rsidRPr="000A62B8">
        <w:rPr>
          <w:lang w:eastAsia="sl-SI"/>
        </w:rPr>
        <w:t>Analiza ranljivosti vodnih virov in tveganja na podnebne spremembe obsega analizo izpostavljenosti površinskih in podzemnih vodnih virov ter virov pitne vode trenutnemu podnebju in podnebnim spremembam ter občutljivost vodnih virov, ki skupaj podata potencialne vplive podnebnih sprememb na vodne vire. Tekom analize je bila opravljena tudi ocena sposobnosti prilagajanja občine in sektorja vodnih virov na podnebne spremembe. Na podlagi potencialnih vplivov in sposobnosti prilagajanja je bila nato podana ocena ranljivosti in tveganja za tri segmente sektorja vodnih virov in sicer: površinske vode, podzemne vode in pitna voda.</w:t>
      </w:r>
    </w:p>
    <w:p w14:paraId="04E5701B" w14:textId="007553A9" w:rsidR="003548A1" w:rsidRPr="002A0488" w:rsidRDefault="003548A1" w:rsidP="003548A1">
      <w:pPr>
        <w:rPr>
          <w:lang w:eastAsia="sl-SI"/>
        </w:rPr>
      </w:pPr>
      <w:r w:rsidRPr="000A62B8">
        <w:rPr>
          <w:lang w:eastAsia="sl-SI"/>
        </w:rPr>
        <w:t>Izpostavljenost je bila ocenjena na podlagi količinskega stanja površinskih in podzemnih vod v referenčnem obdobju (1981</w:t>
      </w:r>
      <w:r w:rsidRPr="000A62B8">
        <w:t>—</w:t>
      </w:r>
      <w:r w:rsidRPr="000A62B8">
        <w:rPr>
          <w:lang w:eastAsia="sl-SI"/>
        </w:rPr>
        <w:t>2010) in v prihodnosti (2011</w:t>
      </w:r>
      <w:r w:rsidRPr="000A62B8">
        <w:t>—</w:t>
      </w:r>
      <w:r w:rsidRPr="000A62B8">
        <w:rPr>
          <w:lang w:eastAsia="sl-SI"/>
        </w:rPr>
        <w:t>2040 ter 2041</w:t>
      </w:r>
      <w:r w:rsidRPr="000A62B8">
        <w:t>—</w:t>
      </w:r>
      <w:r w:rsidRPr="000A62B8">
        <w:rPr>
          <w:lang w:eastAsia="sl-SI"/>
        </w:rPr>
        <w:t xml:space="preserve">2070) na širšem območju Mestne občine </w:t>
      </w:r>
      <w:r w:rsidR="00520747">
        <w:rPr>
          <w:lang w:eastAsia="sl-SI"/>
        </w:rPr>
        <w:t>N</w:t>
      </w:r>
      <w:r w:rsidRPr="000A62B8">
        <w:rPr>
          <w:lang w:eastAsia="sl-SI"/>
        </w:rPr>
        <w:t xml:space="preserve">ova Gorica. </w:t>
      </w:r>
      <w:r>
        <w:rPr>
          <w:lang w:eastAsia="sl-SI"/>
        </w:rPr>
        <w:t xml:space="preserve">Obsega analizo hidrogeoloških podatkov merilnih mest Solkan I na Soči, Dolenje, Zalošče in Miren na Vipavi in </w:t>
      </w:r>
      <w:proofErr w:type="spellStart"/>
      <w:r>
        <w:rPr>
          <w:lang w:eastAsia="sl-SI"/>
        </w:rPr>
        <w:t>Bezovljak</w:t>
      </w:r>
      <w:proofErr w:type="spellEnd"/>
      <w:r>
        <w:rPr>
          <w:lang w:eastAsia="sl-SI"/>
        </w:rPr>
        <w:t xml:space="preserve"> pod zajetjem </w:t>
      </w:r>
      <w:proofErr w:type="spellStart"/>
      <w:r>
        <w:rPr>
          <w:lang w:eastAsia="sl-SI"/>
        </w:rPr>
        <w:t>Vogršček</w:t>
      </w:r>
      <w:proofErr w:type="spellEnd"/>
      <w:r>
        <w:rPr>
          <w:lang w:eastAsia="sl-SI"/>
        </w:rPr>
        <w:t xml:space="preserve"> </w:t>
      </w:r>
      <w:r w:rsidRPr="000A62B8">
        <w:rPr>
          <w:lang w:eastAsia="sl-SI"/>
        </w:rPr>
        <w:t xml:space="preserve">ter analizo rezultatov državnega </w:t>
      </w:r>
      <w:proofErr w:type="spellStart"/>
      <w:r w:rsidRPr="000A62B8">
        <w:rPr>
          <w:lang w:eastAsia="sl-SI"/>
        </w:rPr>
        <w:t>vodnobilančnega</w:t>
      </w:r>
      <w:proofErr w:type="spellEnd"/>
      <w:r w:rsidRPr="000A62B8">
        <w:rPr>
          <w:lang w:eastAsia="sl-SI"/>
        </w:rPr>
        <w:t xml:space="preserve"> modela </w:t>
      </w:r>
      <w:proofErr w:type="spellStart"/>
      <w:r w:rsidRPr="000A62B8">
        <w:rPr>
          <w:lang w:eastAsia="sl-SI"/>
        </w:rPr>
        <w:t>mGROWA</w:t>
      </w:r>
      <w:proofErr w:type="spellEnd"/>
      <w:r w:rsidRPr="000A62B8">
        <w:rPr>
          <w:lang w:eastAsia="sl-SI"/>
        </w:rPr>
        <w:t>-SI. Analiza je vključevala modelske rezultate podnebnih scenarijev RCP4.5 in RCP8.5, med katerima pa ni bilo bistvenih razlik.</w:t>
      </w:r>
    </w:p>
    <w:p w14:paraId="710A6000" w14:textId="77777777" w:rsidR="003548A1" w:rsidRDefault="003548A1" w:rsidP="003548A1">
      <w:pPr>
        <w:rPr>
          <w:lang w:eastAsia="sl-SI"/>
        </w:rPr>
      </w:pPr>
      <w:r>
        <w:rPr>
          <w:lang w:eastAsia="sl-SI"/>
        </w:rPr>
        <w:t xml:space="preserve">Za oceno potencialnih vplivov podnebnih sprememb na vire površinske vode smo primerjali pretoke rek z rabo in scenariji zmanjšane ali povečane količine rabe. Pokazalo se je, da je povečan vodni stres zlasti na reki Vipavi, kjer povprečni letni srednji pretok ne zadostuje za predvidene odvzeme majhnih hidroelektrarn. V poletnih mesecih je vodni stres še toliko večji, saj se voda odvzema tudi za potrebe namakanja. Na reki Soči pretok niha v veliko manjši meri in se povišan vodni stres pojavi le pri nizkih poletnih pretokih. Zajetje </w:t>
      </w:r>
      <w:proofErr w:type="spellStart"/>
      <w:r>
        <w:rPr>
          <w:lang w:eastAsia="sl-SI"/>
        </w:rPr>
        <w:t>Vogršček</w:t>
      </w:r>
      <w:proofErr w:type="spellEnd"/>
      <w:r>
        <w:rPr>
          <w:lang w:eastAsia="sl-SI"/>
        </w:rPr>
        <w:t xml:space="preserve"> ima še neizkoriščen potencial za namakanje, za katerega pa bi bila potrebna podrobnejša študija potreb po vodi. V prihodnosti se pretoki rek ne bodo bistveno spremenili, napovedi kažejo celo na nekoliko povečan povprečni srednji in nizki pretok.</w:t>
      </w:r>
    </w:p>
    <w:p w14:paraId="3611C692" w14:textId="77777777" w:rsidR="003548A1" w:rsidRDefault="003548A1" w:rsidP="003548A1">
      <w:pPr>
        <w:rPr>
          <w:lang w:eastAsia="sl-SI"/>
        </w:rPr>
      </w:pPr>
      <w:r w:rsidRPr="002A0488">
        <w:rPr>
          <w:lang w:eastAsia="sl-SI"/>
        </w:rPr>
        <w:t>Težave pri količinskem stanju površinske vode lahko nastopijo zlasti v poletnih mesecih in daljših obdobjih brez padavin. Podzemna voda je manj podvržena padavinskih dogodkom, vendar se prav tako lahko opazi manjše količine v poletnih mesecih.</w:t>
      </w:r>
      <w:r>
        <w:rPr>
          <w:lang w:eastAsia="sl-SI"/>
        </w:rPr>
        <w:t xml:space="preserve"> Spremembam v količini in razporeditvi </w:t>
      </w:r>
      <w:r>
        <w:rPr>
          <w:lang w:eastAsia="sl-SI"/>
        </w:rPr>
        <w:lastRenderedPageBreak/>
        <w:t>padavin so v večji meri podvrženi kraški viri, katerih zaledja imajo manjšo sposobnost zadrževanja vode.</w:t>
      </w:r>
    </w:p>
    <w:p w14:paraId="62FB8CDA" w14:textId="77777777" w:rsidR="003548A1" w:rsidRPr="000A62B8" w:rsidRDefault="003548A1" w:rsidP="003548A1">
      <w:pPr>
        <w:rPr>
          <w:lang w:eastAsia="sl-SI"/>
        </w:rPr>
      </w:pPr>
      <w:r>
        <w:rPr>
          <w:lang w:eastAsia="sl-SI"/>
        </w:rPr>
        <w:t>Ocena potencialnih vplivov podnebnih sprememb na vire podzemne vode vključuje analizo napajanja podzemne vode po zaledjih vodnih virov (</w:t>
      </w:r>
      <w:proofErr w:type="spellStart"/>
      <w:r>
        <w:rPr>
          <w:lang w:eastAsia="sl-SI"/>
        </w:rPr>
        <w:t>Mrzlek</w:t>
      </w:r>
      <w:proofErr w:type="spellEnd"/>
      <w:r>
        <w:rPr>
          <w:lang w:eastAsia="sl-SI"/>
        </w:rPr>
        <w:t xml:space="preserve">, Vitovlje, Osek, Čepovan) in pregled rabe podzemne vode na podlagi podeljenih vodnih dovoljenj in dejanske rabe za potrebe oskrbe s pitno vodo, ki jo izvaja Vodovod in kanalizacija Nova Gorica </w:t>
      </w:r>
      <w:proofErr w:type="spellStart"/>
      <w:r>
        <w:rPr>
          <w:lang w:eastAsia="sl-SI"/>
        </w:rPr>
        <w:t>d.d</w:t>
      </w:r>
      <w:proofErr w:type="spellEnd"/>
      <w:r>
        <w:rPr>
          <w:lang w:eastAsia="sl-SI"/>
        </w:rPr>
        <w:t>.. Višji vodni stres se pojavi pri virih z manjšim napajalnim zaledjem v poletnih mesecih. Dodatno obremenjevanje vodnih virov (povečana raba za 10 % ali 25 %) poveča vodni stres. Tudi v prihodnosti bodo bolj prizadeta manjša zaledja, čeprav lahko pričakujemo nekoliko povišano letno napajanje podzemne vode.</w:t>
      </w:r>
    </w:p>
    <w:p w14:paraId="675781C7" w14:textId="77777777" w:rsidR="003548A1" w:rsidRPr="004137F4" w:rsidRDefault="003548A1" w:rsidP="003548A1">
      <w:pPr>
        <w:rPr>
          <w:lang w:eastAsia="sl-SI"/>
        </w:rPr>
      </w:pPr>
      <w:r w:rsidRPr="004137F4">
        <w:rPr>
          <w:lang w:eastAsia="sl-SI"/>
        </w:rPr>
        <w:t>Sposobnost prilagajanja je bila ocenjena na podlagi BDP na prebivalca v Goriški statistični regiji, ki je rahlo nad Slovenskim povprečjem, dobre izobraženosti v občini in ozaveščenosti občanov o podnebnih spremembah. Sposobnost prilagajanja vodnih virov namenjenih za oskrbo s pitno vodo je vključevala tudi možnost novega vodnega vira. Sposobnost prilagajanja občine na potencialne vplive podnebnih sprememb je dobra.</w:t>
      </w:r>
    </w:p>
    <w:p w14:paraId="231A8F6E" w14:textId="77777777" w:rsidR="003548A1" w:rsidRPr="004137F4" w:rsidRDefault="003548A1" w:rsidP="003548A1">
      <w:pPr>
        <w:rPr>
          <w:lang w:eastAsia="sl-SI"/>
        </w:rPr>
      </w:pPr>
      <w:r w:rsidRPr="004137F4">
        <w:rPr>
          <w:lang w:eastAsia="sl-SI"/>
        </w:rPr>
        <w:t>Analiza ranljivosti na podlagi potencialnih vplivov v prihodnosti in sposobnosti prilagajanja je pokazala, d</w:t>
      </w:r>
      <w:r>
        <w:rPr>
          <w:lang w:eastAsia="sl-SI"/>
        </w:rPr>
        <w:t>a večjih sprememb v letni razpoložljivosti ne bo, se pa bo povečala potreba po vodi, zlasti za namakanje, zaradi vse pogostejših suš. Prav tako bo manj vode skladiščene v obliki snega, kar vpliva na razpoložljive količine zlasti v pomladnih mesecih. Ranljivost v prihodnosti je tako za vire površinske vode ocenjena na zelo veliko (5), na vire podzemne vode na majhno (2), ker je podzemna voda manj podvržena ekstremnim dogodkom, in vire pitne vode na zmerno (3) , saj so viri pitne vode pogosto kraški viri, ki so bolj podvrženim ekstremnim dogodkom.</w:t>
      </w:r>
    </w:p>
    <w:p w14:paraId="4CFD2429" w14:textId="77777777" w:rsidR="003548A1" w:rsidRPr="00353EC5" w:rsidRDefault="003548A1" w:rsidP="003548A1">
      <w:pPr>
        <w:rPr>
          <w:lang w:eastAsia="sl-SI"/>
        </w:rPr>
      </w:pPr>
      <w:r w:rsidRPr="00353EC5">
        <w:rPr>
          <w:lang w:eastAsia="sl-SI"/>
        </w:rPr>
        <w:t>V prihodnjih obdobjih ni pričakovanega poslabšanja kakovosti površinske ali podzemne vode, zaradi ekstremnih padavin pa lahko pride do na kalnosti in morebitnega mikrobiološkega onesnaženja.</w:t>
      </w:r>
    </w:p>
    <w:p w14:paraId="26611163" w14:textId="77777777" w:rsidR="003548A1" w:rsidRDefault="003548A1" w:rsidP="003548A1">
      <w:pPr>
        <w:rPr>
          <w:lang w:eastAsia="sl-SI"/>
        </w:rPr>
      </w:pPr>
      <w:r w:rsidRPr="00353EC5">
        <w:rPr>
          <w:lang w:eastAsia="sl-SI"/>
        </w:rPr>
        <w:t>Na podlagi analize ranljivosti v referenčnem obdobju in prihodnjih obdobjih je bilo tveganje na podnebne spremembe za vire vode ocenjeno na znatno</w:t>
      </w:r>
      <w:r>
        <w:rPr>
          <w:lang w:eastAsia="sl-SI"/>
        </w:rPr>
        <w:t xml:space="preserve"> (3)</w:t>
      </w:r>
      <w:r w:rsidRPr="00353EC5">
        <w:rPr>
          <w:lang w:eastAsia="sl-SI"/>
        </w:rPr>
        <w:t>. Predlagani so ukrepi za zmanjševanje porabe vode in s tem zmanjšanjem vodnega stresa na vire vode, ukrepi za spodbujanje trajnostne rabe voda (podeljevanje vodnih pravic), vzpostavitev sistema poročanja o dejanskih količinah odvzemov in vzpostavitev novega/rezervnega vodnega vira.</w:t>
      </w:r>
    </w:p>
    <w:p w14:paraId="74E4CA4B" w14:textId="7E348960" w:rsidR="003548A1" w:rsidRDefault="003548A1" w:rsidP="003548A1">
      <w:pPr>
        <w:pStyle w:val="Napis"/>
        <w:keepNext/>
      </w:pPr>
      <w:bookmarkStart w:id="25" w:name="_Toc97026949"/>
      <w:r>
        <w:lastRenderedPageBreak/>
        <w:t xml:space="preserve">Preglednica </w:t>
      </w:r>
      <w:r w:rsidR="00976D80">
        <w:fldChar w:fldCharType="begin"/>
      </w:r>
      <w:r w:rsidR="00976D80">
        <w:instrText xml:space="preserve"> STYLEREF 1 \s </w:instrText>
      </w:r>
      <w:r w:rsidR="00976D80">
        <w:fldChar w:fldCharType="separate"/>
      </w:r>
      <w:r w:rsidR="00976D80">
        <w:rPr>
          <w:noProof/>
        </w:rPr>
        <w:t>1</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7</w:t>
      </w:r>
      <w:r w:rsidR="00976D80">
        <w:fldChar w:fldCharType="end"/>
      </w:r>
      <w:r w:rsidRPr="00152EBF">
        <w:t xml:space="preserve">: Ocena ranljivosti </w:t>
      </w:r>
      <w:r w:rsidR="00BF3995">
        <w:t xml:space="preserve">in tveganja </w:t>
      </w:r>
      <w:r w:rsidRPr="00152EBF">
        <w:t xml:space="preserve">površinskih in podzemnih voda </w:t>
      </w:r>
      <w:r w:rsidR="00CF78FD">
        <w:t>v prihodnosti</w:t>
      </w:r>
      <w:r w:rsidRPr="00152EBF">
        <w:t>.</w:t>
      </w:r>
      <w:bookmarkEnd w:id="25"/>
    </w:p>
    <w:p w14:paraId="08319C74" w14:textId="77777777" w:rsidR="003548A1" w:rsidRPr="00E9100B" w:rsidRDefault="003548A1" w:rsidP="003548A1">
      <w:pPr>
        <w:rPr>
          <w:lang w:eastAsia="sl-SI"/>
        </w:rPr>
      </w:pPr>
      <w:r>
        <w:rPr>
          <w:noProof/>
          <w:lang w:eastAsia="sl-SI"/>
        </w:rPr>
        <w:drawing>
          <wp:inline distT="0" distB="0" distL="0" distR="0" wp14:anchorId="320F29C5" wp14:editId="44D3BB68">
            <wp:extent cx="7638383" cy="4965837"/>
            <wp:effectExtent l="2540" t="0" r="3810" b="3810"/>
            <wp:docPr id="593441281" name="Picture 59344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441281" name="Picture 593441281"/>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bwMode="auto">
                    <a:xfrm rot="16200000">
                      <a:off x="0" y="0"/>
                      <a:ext cx="7644056" cy="4969525"/>
                    </a:xfrm>
                    <a:prstGeom prst="rect">
                      <a:avLst/>
                    </a:prstGeom>
                    <a:noFill/>
                    <a:ln>
                      <a:noFill/>
                    </a:ln>
                  </pic:spPr>
                </pic:pic>
              </a:graphicData>
            </a:graphic>
          </wp:inline>
        </w:drawing>
      </w:r>
    </w:p>
    <w:p w14:paraId="724BD5B2" w14:textId="77777777" w:rsidR="003548A1" w:rsidRPr="001D781F" w:rsidRDefault="003548A1" w:rsidP="003548A1">
      <w:pPr>
        <w:rPr>
          <w:lang w:eastAsia="sl-SI"/>
        </w:rPr>
      </w:pPr>
    </w:p>
    <w:p w14:paraId="6251F969" w14:textId="77777777" w:rsidR="003548A1" w:rsidRDefault="003548A1" w:rsidP="003548A1">
      <w:pPr>
        <w:keepNext/>
        <w:jc w:val="center"/>
      </w:pPr>
      <w:r>
        <w:rPr>
          <w:noProof/>
          <w:lang w:eastAsia="sl-SI"/>
        </w:rPr>
        <w:drawing>
          <wp:inline distT="0" distB="0" distL="0" distR="0" wp14:anchorId="58BEA75A" wp14:editId="1FA39E0B">
            <wp:extent cx="3604437" cy="3155601"/>
            <wp:effectExtent l="0" t="0" r="0"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bwMode="auto">
                    <a:xfrm>
                      <a:off x="0" y="0"/>
                      <a:ext cx="3615589" cy="3165364"/>
                    </a:xfrm>
                    <a:prstGeom prst="rect">
                      <a:avLst/>
                    </a:prstGeom>
                    <a:noFill/>
                    <a:ln>
                      <a:noFill/>
                    </a:ln>
                  </pic:spPr>
                </pic:pic>
              </a:graphicData>
            </a:graphic>
          </wp:inline>
        </w:drawing>
      </w:r>
    </w:p>
    <w:p w14:paraId="7DDA12C6" w14:textId="0B3F014C" w:rsidR="003548A1" w:rsidRPr="006836D9" w:rsidRDefault="003548A1" w:rsidP="003548A1">
      <w:pPr>
        <w:pStyle w:val="Napis"/>
        <w:rPr>
          <w:rFonts w:ascii="Trebuchet MS" w:hAnsi="Trebuchet MS"/>
          <w:noProof/>
        </w:rPr>
      </w:pPr>
      <w:bookmarkStart w:id="26" w:name="_Toc97026834"/>
      <w:r>
        <w:t xml:space="preserve">Slika </w:t>
      </w:r>
      <w:r w:rsidR="008334B2">
        <w:fldChar w:fldCharType="begin"/>
      </w:r>
      <w:r w:rsidR="008334B2">
        <w:instrText xml:space="preserve"> STYLEREF 1 \s </w:instrText>
      </w:r>
      <w:r w:rsidR="008334B2">
        <w:fldChar w:fldCharType="separate"/>
      </w:r>
      <w:r w:rsidR="008334B2">
        <w:rPr>
          <w:noProof/>
        </w:rPr>
        <w:t>1</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5</w:t>
      </w:r>
      <w:r w:rsidR="008334B2">
        <w:fldChar w:fldCharType="end"/>
      </w:r>
      <w:r>
        <w:t xml:space="preserve">: </w:t>
      </w:r>
      <w:r w:rsidRPr="00477711">
        <w:t>Shematski prikaz ocene ranljivosti posameznih</w:t>
      </w:r>
      <w:r>
        <w:t xml:space="preserve"> </w:t>
      </w:r>
      <w:r w:rsidRPr="00477711">
        <w:t>segmentov sektorja vodnih virov v referenčnem obdobju (</w:t>
      </w:r>
      <w:r w:rsidR="00CF78FD">
        <w:t>rumena</w:t>
      </w:r>
      <w:r w:rsidRPr="00477711">
        <w:t>) in v prihodnosti</w:t>
      </w:r>
      <w:r>
        <w:t xml:space="preserve"> </w:t>
      </w:r>
      <w:r w:rsidRPr="00477711">
        <w:t>(</w:t>
      </w:r>
      <w:r w:rsidR="00CF78FD">
        <w:t>črtkasta rdeča</w:t>
      </w:r>
      <w:r w:rsidRPr="00477711">
        <w:t>).</w:t>
      </w:r>
      <w:bookmarkEnd w:id="26"/>
    </w:p>
    <w:p w14:paraId="6C435334" w14:textId="77777777" w:rsidR="003548A1" w:rsidRDefault="003548A1" w:rsidP="003548A1">
      <w:pPr>
        <w:rPr>
          <w:lang w:eastAsia="sl-SI"/>
        </w:rPr>
      </w:pPr>
    </w:p>
    <w:p w14:paraId="3FE90C4F" w14:textId="725CC6CB" w:rsidR="00D0726C" w:rsidRDefault="00D0726C" w:rsidP="00CE43D7">
      <w:pPr>
        <w:pStyle w:val="Naslov2"/>
        <w:rPr>
          <w:rFonts w:eastAsia="Calibri"/>
          <w:lang w:eastAsia="sl-SI"/>
        </w:rPr>
      </w:pPr>
      <w:bookmarkStart w:id="27" w:name="_Toc97026726"/>
      <w:r>
        <w:rPr>
          <w:rFonts w:eastAsia="Calibri"/>
          <w:lang w:eastAsia="sl-SI"/>
        </w:rPr>
        <w:t xml:space="preserve">Sektor </w:t>
      </w:r>
      <w:r w:rsidR="00110A44">
        <w:rPr>
          <w:rFonts w:eastAsia="Calibri"/>
          <w:lang w:eastAsia="sl-SI"/>
        </w:rPr>
        <w:t>vodovodni sistemi</w:t>
      </w:r>
      <w:bookmarkEnd w:id="27"/>
    </w:p>
    <w:p w14:paraId="066A74EC" w14:textId="77777777" w:rsidR="00BF3995" w:rsidRDefault="00BF3995" w:rsidP="00BF3995">
      <w:pPr>
        <w:rPr>
          <w:lang w:eastAsia="sl-SI"/>
        </w:rPr>
      </w:pPr>
      <w:r>
        <w:rPr>
          <w:lang w:eastAsia="sl-SI"/>
        </w:rPr>
        <w:t xml:space="preserve">Analiza ranljivosti vodovodnih sistemov in tveganja na podnebne obsega analizo izpostavljenosti vodovodnih sistemov in funkcijam, ki jih le-ti izvajajo v trenutnemu podnebju in v okviru pričakovanih podnebnih sprememb, kar je odvisno tudi od občutljivosti vodovodnih sistemov. Navedeno skupaj podaja potencialne vplive podnebnih sprememb na delovanje vodovodnih sistemov in njihov ključni indikator – dobavo vode, ki je skladna z vsemi zahtevami po dobavi pitne vode – kontinuiteta dobave, kakovost vode (mikrobiološka, kemijska), temperatura vode, količina in tlak. </w:t>
      </w:r>
    </w:p>
    <w:p w14:paraId="3D144266" w14:textId="77777777" w:rsidR="00BF3995" w:rsidRDefault="00BF3995" w:rsidP="00BF3995">
      <w:pPr>
        <w:rPr>
          <w:lang w:eastAsia="sl-SI"/>
        </w:rPr>
      </w:pPr>
      <w:r>
        <w:rPr>
          <w:lang w:eastAsia="sl-SI"/>
        </w:rPr>
        <w:t xml:space="preserve">Tekom analize je bila opravljena tudi ocena sposobnosti prilagajanja občine in sektorja vodovodnih sistemov na podnebne spremembe. Na podlagi potencialnih vplivov in sposobnosti prilagajanja je bila nato podana ocena ranljivosti in tveganja za segmente sektorja vodovodnih sistemov za vodovodne sisteme Mestne občine Nova Gorica s katerim upravlja </w:t>
      </w:r>
      <w:r w:rsidRPr="00C15D12">
        <w:rPr>
          <w:lang w:eastAsia="sl-SI"/>
        </w:rPr>
        <w:t xml:space="preserve">Vodovodi in kanalizacija Nova Gorica </w:t>
      </w:r>
      <w:proofErr w:type="spellStart"/>
      <w:r w:rsidRPr="00C15D12">
        <w:rPr>
          <w:lang w:eastAsia="sl-SI"/>
        </w:rPr>
        <w:t>d.d</w:t>
      </w:r>
      <w:proofErr w:type="spellEnd"/>
      <w:r w:rsidRPr="00C15D12">
        <w:rPr>
          <w:lang w:eastAsia="sl-SI"/>
        </w:rPr>
        <w:t>.</w:t>
      </w:r>
    </w:p>
    <w:p w14:paraId="4D441387" w14:textId="6F146C43" w:rsidR="00BF3995" w:rsidRDefault="00BF3995" w:rsidP="00BF3995">
      <w:pPr>
        <w:rPr>
          <w:lang w:eastAsia="sl-SI"/>
        </w:rPr>
      </w:pPr>
      <w:r>
        <w:rPr>
          <w:lang w:eastAsia="sl-SI"/>
        </w:rPr>
        <w:t>Izpostavljenost je bila ocenjena na podlagi pregleda stanja vodovodnih sistemov na podlagi poročanih podatkov v javne evidence (IJSVO), pregled dokumentacije (npr. HACCP) in občinskih dokumentov ter zakonodaje, ki opredeljujejo način upravljanja z vodovodnimi sistemi na državnem nivoju in na območju Občine Nova Gorica. Vsebine smo povezovali tudi z referenčnimi projekti iz področja upravljanja z vodovodnimi sistemi in vodnimi viri (DRINKADRIA, WATERLOSS, PROLINE-CE), kakor tudi tekočega projekta MUHA (ADRION).</w:t>
      </w:r>
    </w:p>
    <w:p w14:paraId="791D9957" w14:textId="497A2CC5" w:rsidR="00BF3995" w:rsidRDefault="00BF3995" w:rsidP="00BF3995">
      <w:pPr>
        <w:rPr>
          <w:lang w:eastAsia="sl-SI"/>
        </w:rPr>
      </w:pPr>
      <w:r>
        <w:rPr>
          <w:lang w:eastAsia="sl-SI"/>
        </w:rPr>
        <w:lastRenderedPageBreak/>
        <w:t>Analiza je vključevala modelske rezultate podnebnih scenarijev RCP4.5 in RCP8.5, pri čemer smo se osredotočili na temperaturna stanja in spremljanje temperature v različnih globinah tal.</w:t>
      </w:r>
    </w:p>
    <w:p w14:paraId="7F908AB9" w14:textId="7D8A395A" w:rsidR="00BF3995" w:rsidRDefault="00BF3995" w:rsidP="00BF3995">
      <w:pPr>
        <w:rPr>
          <w:lang w:eastAsia="sl-SI"/>
        </w:rPr>
      </w:pPr>
      <w:r>
        <w:rPr>
          <w:lang w:eastAsia="sl-SI"/>
        </w:rPr>
        <w:t>Na podlagi analize ranljivosti v referenčnem obdobju in prihodnjih obdobjih je bilo tveganje na podnebne spremembe za oskrbo s pitno vodo (vodovodi) ocenjeno na zmerno (3).</w:t>
      </w:r>
    </w:p>
    <w:p w14:paraId="6726DF9A" w14:textId="77777777" w:rsidR="00BF3995" w:rsidRDefault="00BF3995" w:rsidP="00BF3995">
      <w:pPr>
        <w:rPr>
          <w:lang w:eastAsia="sl-SI"/>
        </w:rPr>
      </w:pPr>
      <w:r>
        <w:rPr>
          <w:lang w:eastAsia="sl-SI"/>
        </w:rPr>
        <w:t xml:space="preserve">Predlagani so prioritetni ukrepi za obvladovanje temperatur v vodovodnem sistemu (vročinski valovi) in za spremljanje stabilnosti tal, saj nestabilnost tal (zemeljski plazovi) lahko predstavljajo tveganje za delovanje vodovodnih sistemov. </w:t>
      </w:r>
    </w:p>
    <w:p w14:paraId="595D15A6" w14:textId="0FA218DF" w:rsidR="00BF3995" w:rsidRDefault="00BF3995" w:rsidP="00BF3995">
      <w:pPr>
        <w:rPr>
          <w:lang w:eastAsia="sl-SI"/>
        </w:rPr>
      </w:pPr>
      <w:r>
        <w:rPr>
          <w:lang w:eastAsia="sl-SI"/>
        </w:rPr>
        <w:t>Za ostale elemente vodovodnih sistemov ne pričakujemo posebnih sprememb.</w:t>
      </w:r>
    </w:p>
    <w:p w14:paraId="32F2ED6F" w14:textId="77777777" w:rsidR="00CF78FD" w:rsidRDefault="00CF78FD" w:rsidP="00CF78FD">
      <w:pPr>
        <w:keepNext/>
        <w:jc w:val="center"/>
      </w:pPr>
      <w:r>
        <w:rPr>
          <w:noProof/>
          <w:lang w:eastAsia="sl-SI"/>
        </w:rPr>
        <w:drawing>
          <wp:inline distT="0" distB="0" distL="0" distR="0" wp14:anchorId="4A46CCC3" wp14:editId="4C78CAAD">
            <wp:extent cx="3944679" cy="351411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51751" cy="3520412"/>
                    </a:xfrm>
                    <a:prstGeom prst="rect">
                      <a:avLst/>
                    </a:prstGeom>
                    <a:noFill/>
                    <a:ln>
                      <a:noFill/>
                    </a:ln>
                  </pic:spPr>
                </pic:pic>
              </a:graphicData>
            </a:graphic>
          </wp:inline>
        </w:drawing>
      </w:r>
    </w:p>
    <w:p w14:paraId="58A0DF2E" w14:textId="0B47BD2A" w:rsidR="00CF78FD" w:rsidRDefault="00CF78FD" w:rsidP="00CF78FD">
      <w:pPr>
        <w:pStyle w:val="Napis"/>
        <w:jc w:val="left"/>
        <w:rPr>
          <w:lang w:eastAsia="sl-SI"/>
        </w:rPr>
      </w:pPr>
      <w:bookmarkStart w:id="28" w:name="_Toc97026835"/>
      <w:r>
        <w:t xml:space="preserve">Slika </w:t>
      </w:r>
      <w:r w:rsidR="008334B2">
        <w:fldChar w:fldCharType="begin"/>
      </w:r>
      <w:r w:rsidR="008334B2">
        <w:instrText xml:space="preserve"> STYLEREF 1 \s </w:instrText>
      </w:r>
      <w:r w:rsidR="008334B2">
        <w:fldChar w:fldCharType="separate"/>
      </w:r>
      <w:r w:rsidR="008334B2">
        <w:rPr>
          <w:noProof/>
        </w:rPr>
        <w:t>1</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6</w:t>
      </w:r>
      <w:r w:rsidR="008334B2">
        <w:fldChar w:fldCharType="end"/>
      </w:r>
      <w:r>
        <w:t xml:space="preserve">: </w:t>
      </w:r>
      <w:r w:rsidRPr="00845D04">
        <w:t>Shematski prikaz ocene ranljivosti posameznih segmentov sektorja vodnih virov v referenčnem obdobju (zelena) in v prihodnosti (rumena).</w:t>
      </w:r>
      <w:bookmarkEnd w:id="28"/>
    </w:p>
    <w:p w14:paraId="7B3DCAA8" w14:textId="6F22AEA5" w:rsidR="00110A44" w:rsidRPr="00110A44" w:rsidRDefault="006235CD" w:rsidP="00110A44">
      <w:pPr>
        <w:rPr>
          <w:lang w:eastAsia="sl-SI"/>
        </w:rPr>
      </w:pPr>
      <w:r>
        <w:rPr>
          <w:noProof/>
          <w:lang w:eastAsia="sl-SI"/>
        </w:rPr>
        <w:lastRenderedPageBreak/>
        <w:drawing>
          <wp:anchor distT="0" distB="0" distL="114300" distR="114300" simplePos="0" relativeHeight="252135424" behindDoc="0" locked="0" layoutInCell="1" allowOverlap="1" wp14:anchorId="6A269AE5" wp14:editId="05B2E587">
            <wp:simplePos x="0" y="0"/>
            <wp:positionH relativeFrom="margin">
              <wp:posOffset>-1123950</wp:posOffset>
            </wp:positionH>
            <wp:positionV relativeFrom="paragraph">
              <wp:posOffset>1643380</wp:posOffset>
            </wp:positionV>
            <wp:extent cx="7489190" cy="4697730"/>
            <wp:effectExtent l="5080" t="0" r="2540" b="2540"/>
            <wp:wrapTopAndBottom/>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rot="16200000">
                      <a:off x="0" y="0"/>
                      <a:ext cx="7489190" cy="4697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l-SI"/>
        </w:rPr>
        <mc:AlternateContent>
          <mc:Choice Requires="wps">
            <w:drawing>
              <wp:anchor distT="0" distB="0" distL="114300" distR="114300" simplePos="0" relativeHeight="252137472" behindDoc="0" locked="0" layoutInCell="1" allowOverlap="1" wp14:anchorId="5F34D8B4" wp14:editId="3B1C1255">
                <wp:simplePos x="0" y="0"/>
                <wp:positionH relativeFrom="margin">
                  <wp:align>right</wp:align>
                </wp:positionH>
                <wp:positionV relativeFrom="paragraph">
                  <wp:posOffset>3175</wp:posOffset>
                </wp:positionV>
                <wp:extent cx="6111875" cy="171450"/>
                <wp:effectExtent l="0" t="0" r="3175" b="0"/>
                <wp:wrapTopAndBottom/>
                <wp:docPr id="79" name="Text Box 79"/>
                <wp:cNvGraphicFramePr/>
                <a:graphic xmlns:a="http://schemas.openxmlformats.org/drawingml/2006/main">
                  <a:graphicData uri="http://schemas.microsoft.com/office/word/2010/wordprocessingShape">
                    <wps:wsp>
                      <wps:cNvSpPr txBox="1"/>
                      <wps:spPr>
                        <a:xfrm>
                          <a:off x="0" y="0"/>
                          <a:ext cx="6111875" cy="171450"/>
                        </a:xfrm>
                        <a:prstGeom prst="rect">
                          <a:avLst/>
                        </a:prstGeom>
                        <a:solidFill>
                          <a:prstClr val="white"/>
                        </a:solidFill>
                        <a:ln>
                          <a:noFill/>
                        </a:ln>
                      </wps:spPr>
                      <wps:txbx>
                        <w:txbxContent>
                          <w:p w14:paraId="6D344B4F" w14:textId="590DA504" w:rsidR="00996D54" w:rsidRPr="00142530" w:rsidRDefault="00996D54" w:rsidP="006235CD">
                            <w:pPr>
                              <w:pStyle w:val="Napis"/>
                              <w:rPr>
                                <w:rFonts w:ascii="Trebuchet MS" w:hAnsi="Trebuchet MS"/>
                                <w:noProof/>
                              </w:rPr>
                            </w:pPr>
                            <w:bookmarkStart w:id="29" w:name="_Toc97026950"/>
                            <w:r>
                              <w:t xml:space="preserve">Preglednica </w:t>
                            </w:r>
                            <w:r>
                              <w:fldChar w:fldCharType="begin"/>
                            </w:r>
                            <w:r>
                              <w:instrText xml:space="preserve"> STYLEREF 1 \s </w:instrText>
                            </w:r>
                            <w:r>
                              <w:fldChar w:fldCharType="separate"/>
                            </w:r>
                            <w:r>
                              <w:rPr>
                                <w:noProof/>
                              </w:rPr>
                              <w:t>1</w:t>
                            </w:r>
                            <w:r>
                              <w:fldChar w:fldCharType="end"/>
                            </w:r>
                            <w:r>
                              <w:t>.</w:t>
                            </w:r>
                            <w:r>
                              <w:fldChar w:fldCharType="begin"/>
                            </w:r>
                            <w:r>
                              <w:instrText xml:space="preserve"> SEQ Preglednica \* ARABIC \s 1 </w:instrText>
                            </w:r>
                            <w:r>
                              <w:fldChar w:fldCharType="separate"/>
                            </w:r>
                            <w:r>
                              <w:rPr>
                                <w:noProof/>
                              </w:rPr>
                              <w:t>8</w:t>
                            </w:r>
                            <w:r>
                              <w:fldChar w:fldCharType="end"/>
                            </w:r>
                            <w:r>
                              <w:t xml:space="preserve">: </w:t>
                            </w:r>
                            <w:r w:rsidRPr="00E24F81">
                              <w:t>Ocena ranljivosti in tveganja oskrbe s pitno vodo na podnebne spremembe v prihodnosti.</w:t>
                            </w:r>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34D8B4" id="_x0000_t202" coordsize="21600,21600" o:spt="202" path="m,l,21600r21600,l21600,xe">
                <v:stroke joinstyle="miter"/>
                <v:path gradientshapeok="t" o:connecttype="rect"/>
              </v:shapetype>
              <v:shape id="Text Box 79" o:spid="_x0000_s1026" type="#_x0000_t202" style="position:absolute;left:0;text-align:left;margin-left:430.05pt;margin-top:.25pt;width:481.25pt;height:13.5pt;z-index:252137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" stroked="f">
                <v:textbox inset="0,0,0,0">
                  <w:txbxContent>
                    <w:p w14:paraId="6D344B4F" w14:textId="590DA504" w:rsidR="00996D54" w:rsidRPr="00142530" w:rsidRDefault="00996D54" w:rsidP="006235CD">
                      <w:pPr>
                        <w:pStyle w:val="Napis"/>
                        <w:rPr>
                          <w:rFonts w:ascii="Trebuchet MS" w:hAnsi="Trebuchet MS"/>
                          <w:noProof/>
                        </w:rPr>
                      </w:pPr>
                      <w:bookmarkStart w:id="30" w:name="_Toc97026950"/>
                      <w:r>
                        <w:t xml:space="preserve">Preglednica </w:t>
                      </w:r>
                      <w:r>
                        <w:fldChar w:fldCharType="begin"/>
                      </w:r>
                      <w:r>
                        <w:instrText xml:space="preserve"> STYLEREF 1 \s </w:instrText>
                      </w:r>
                      <w:r>
                        <w:fldChar w:fldCharType="separate"/>
                      </w:r>
                      <w:r>
                        <w:rPr>
                          <w:noProof/>
                        </w:rPr>
                        <w:t>1</w:t>
                      </w:r>
                      <w:r>
                        <w:fldChar w:fldCharType="end"/>
                      </w:r>
                      <w:r>
                        <w:t>.</w:t>
                      </w:r>
                      <w:r>
                        <w:fldChar w:fldCharType="begin"/>
                      </w:r>
                      <w:r>
                        <w:instrText xml:space="preserve"> SEQ Preglednica \* ARABIC \s 1 </w:instrText>
                      </w:r>
                      <w:r>
                        <w:fldChar w:fldCharType="separate"/>
                      </w:r>
                      <w:r>
                        <w:rPr>
                          <w:noProof/>
                        </w:rPr>
                        <w:t>8</w:t>
                      </w:r>
                      <w:r>
                        <w:fldChar w:fldCharType="end"/>
                      </w:r>
                      <w:r>
                        <w:t xml:space="preserve">: </w:t>
                      </w:r>
                      <w:r w:rsidRPr="00E24F81">
                        <w:t>Ocena ranljivosti in tveganja oskrbe s pitno vodo na podnebne spremembe v prihodnosti.</w:t>
                      </w:r>
                      <w:bookmarkEnd w:id="30"/>
                    </w:p>
                  </w:txbxContent>
                </v:textbox>
                <w10:wrap type="topAndBottom" anchorx="margin"/>
              </v:shape>
            </w:pict>
          </mc:Fallback>
        </mc:AlternateContent>
      </w:r>
    </w:p>
    <w:p w14:paraId="4A12C331" w14:textId="26C82F3C" w:rsidR="00110A44" w:rsidRPr="00110A44" w:rsidRDefault="00110A44" w:rsidP="00CE43D7">
      <w:pPr>
        <w:pStyle w:val="Naslov2"/>
        <w:rPr>
          <w:lang w:eastAsia="sl-SI"/>
        </w:rPr>
      </w:pPr>
      <w:bookmarkStart w:id="31" w:name="_Toc97026727"/>
      <w:r>
        <w:rPr>
          <w:lang w:eastAsia="sl-SI"/>
        </w:rPr>
        <w:lastRenderedPageBreak/>
        <w:t>Sektor poplavna varnost</w:t>
      </w:r>
      <w:bookmarkEnd w:id="31"/>
    </w:p>
    <w:p w14:paraId="6F534D60" w14:textId="77777777" w:rsidR="00CF78FD" w:rsidRDefault="00CF78FD" w:rsidP="00CF78FD">
      <w:pPr>
        <w:rPr>
          <w:lang w:eastAsia="sl-SI"/>
        </w:rPr>
      </w:pPr>
      <w:r>
        <w:rPr>
          <w:lang w:eastAsia="sl-SI"/>
        </w:rPr>
        <w:t xml:space="preserve">Analiza ranljivosti območja Mestne občine Nova Gorica na poplave obsega analizo izpostavljenosti poselitve in dejavnosti v trenutnemu podnebju in v okviru pričakovanih podnebnih sprememb. Pri analizi se uporablja metodologija, ki omogoča tudi nadgradnjo v smeri ekonomskega vrednotenja poplavnih škod, ki nadgrajuje metodologije IZVRS 2014 in HUIZINGA 2017. Z navedenima metodama je mogoče nadgrajevati ocene ogroženosti tudi v smeri ekonomske kvantitativne analize - modela </w:t>
      </w:r>
      <w:proofErr w:type="spellStart"/>
      <w:r>
        <w:rPr>
          <w:lang w:eastAsia="sl-SI"/>
        </w:rPr>
        <w:t>monetiranih</w:t>
      </w:r>
      <w:proofErr w:type="spellEnd"/>
      <w:r>
        <w:rPr>
          <w:lang w:eastAsia="sl-SI"/>
        </w:rPr>
        <w:t xml:space="preserve"> poplavnih škod, ki predstavljajo tudi osnovo za pripravo investicijske dokumentacije skladno s slovensko</w:t>
      </w:r>
      <w:r>
        <w:rPr>
          <w:rStyle w:val="Sprotnaopomba-sklic"/>
          <w:lang w:eastAsia="sl-SI"/>
        </w:rPr>
        <w:footnoteReference w:id="1"/>
      </w:r>
      <w:r>
        <w:rPr>
          <w:lang w:eastAsia="sl-SI"/>
        </w:rPr>
        <w:t xml:space="preserve"> in evropsko</w:t>
      </w:r>
      <w:r>
        <w:rPr>
          <w:rStyle w:val="Sprotnaopomba-sklic"/>
          <w:lang w:eastAsia="sl-SI"/>
        </w:rPr>
        <w:footnoteReference w:id="2"/>
      </w:r>
      <w:r>
        <w:rPr>
          <w:lang w:eastAsia="sl-SI"/>
        </w:rPr>
        <w:t xml:space="preserve"> zakonodajo. </w:t>
      </w:r>
    </w:p>
    <w:p w14:paraId="69CC4A9E" w14:textId="77777777" w:rsidR="00CF78FD" w:rsidRDefault="00CF78FD" w:rsidP="00CF78FD">
      <w:pPr>
        <w:rPr>
          <w:lang w:eastAsia="sl-SI"/>
        </w:rPr>
      </w:pPr>
      <w:r>
        <w:rPr>
          <w:lang w:eastAsia="sl-SI"/>
        </w:rPr>
        <w:t xml:space="preserve">Navedeno skupaj podaja potencialne vplive podnebnih sprememb na pričakovane poplavne škode, ki v samem poročilu niso eksplicitno ovrednotene, saj je za njihovo vrednotenje potreben predvsem širši, resolucijsko izdatnejši nabor analiziranih povratnih dob, hkrati pa tudi poglobljena analiza ranljivosti ogroženih objektov in dejavnosti. </w:t>
      </w:r>
    </w:p>
    <w:p w14:paraId="5D577B38" w14:textId="6CB6209E" w:rsidR="00CF78FD" w:rsidRDefault="00CF78FD" w:rsidP="00CF78FD">
      <w:pPr>
        <w:rPr>
          <w:lang w:eastAsia="sl-SI"/>
        </w:rPr>
      </w:pPr>
      <w:r>
        <w:rPr>
          <w:lang w:eastAsia="sl-SI"/>
        </w:rPr>
        <w:t xml:space="preserve">Tekom analize je bila opravljena tudi ocena sposobnosti prilagajanja občine z vidika ciljnega področja – poplavne ogroženosti na podnebne spremembe. Na podlagi potencialnih vplivov in sposobnosti prilagajanja je bila nato podana ocena ranljivosti in tveganja za naslednje </w:t>
      </w:r>
      <w:r w:rsidRPr="00CF493E">
        <w:rPr>
          <w:lang w:eastAsia="sl-SI"/>
        </w:rPr>
        <w:t>segmente</w:t>
      </w:r>
      <w:r>
        <w:rPr>
          <w:lang w:eastAsia="sl-SI"/>
        </w:rPr>
        <w:t xml:space="preserve"> sektorja poplav: fluvialnih poplav, pluvialnih poplav, delovanje in vzdrževanje vodne infrastrukture. Poleg pluvialnih in fluvialnih poplav namreč lahko prepoznamo tudi poplave, ki bi lahko nastale kot posledica neustreznega vzdrževanja vodnih objektov: vodne infrastrukture v javnem interesu ter vodnih objektov in naprav, ki so običajno zgrajeni v okviru posebne rabe vodne in vodnega dobra.</w:t>
      </w:r>
    </w:p>
    <w:p w14:paraId="001EFBCC" w14:textId="77777777" w:rsidR="00CF78FD" w:rsidRDefault="00CF78FD" w:rsidP="00CF78FD">
      <w:pPr>
        <w:rPr>
          <w:lang w:eastAsia="sl-SI"/>
        </w:rPr>
      </w:pPr>
      <w:r>
        <w:rPr>
          <w:lang w:eastAsia="sl-SI"/>
        </w:rPr>
        <w:t xml:space="preserve">Poleg navedenih je izvedena še opredelitev za področje hudourniških izbruhov, </w:t>
      </w:r>
      <w:proofErr w:type="spellStart"/>
      <w:r>
        <w:rPr>
          <w:lang w:eastAsia="sl-SI"/>
        </w:rPr>
        <w:t>drobirskega</w:t>
      </w:r>
      <w:proofErr w:type="spellEnd"/>
      <w:r>
        <w:rPr>
          <w:lang w:eastAsia="sl-SI"/>
        </w:rPr>
        <w:t xml:space="preserve"> toka in erozije. Slednje področje je v zakonodaji sicer naslovljeno, vendar metodološko ni obdelano. </w:t>
      </w:r>
    </w:p>
    <w:p w14:paraId="2E9A2179" w14:textId="77777777" w:rsidR="00D11912" w:rsidRDefault="00D11912" w:rsidP="00EA7194">
      <w:pPr>
        <w:keepNext/>
        <w:jc w:val="center"/>
      </w:pPr>
      <w:r>
        <w:rPr>
          <w:noProof/>
          <w:lang w:eastAsia="sl-SI"/>
        </w:rPr>
        <w:drawing>
          <wp:inline distT="0" distB="0" distL="0" distR="0" wp14:anchorId="4FC4A51F" wp14:editId="3EF819C0">
            <wp:extent cx="4428355" cy="1911276"/>
            <wp:effectExtent l="0" t="0" r="0" b="0"/>
            <wp:docPr id="105"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1344"/>
                    <a:stretch/>
                  </pic:blipFill>
                  <pic:spPr bwMode="auto">
                    <a:xfrm>
                      <a:off x="0" y="0"/>
                      <a:ext cx="4430730" cy="1912301"/>
                    </a:xfrm>
                    <a:prstGeom prst="rect">
                      <a:avLst/>
                    </a:prstGeom>
                    <a:ln>
                      <a:noFill/>
                    </a:ln>
                    <a:extLst>
                      <a:ext uri="{53640926-AAD7-44D8-BBD7-CCE9431645EC}">
                        <a14:shadowObscured xmlns:a14="http://schemas.microsoft.com/office/drawing/2010/main"/>
                      </a:ext>
                    </a:extLst>
                  </pic:spPr>
                </pic:pic>
              </a:graphicData>
            </a:graphic>
          </wp:inline>
        </w:drawing>
      </w:r>
    </w:p>
    <w:p w14:paraId="746CE3C4" w14:textId="31C2414A" w:rsidR="00D11912" w:rsidRDefault="00D11912" w:rsidP="00D11912">
      <w:pPr>
        <w:pStyle w:val="Napis"/>
        <w:rPr>
          <w:lang w:eastAsia="sl-SI"/>
        </w:rPr>
      </w:pPr>
      <w:bookmarkStart w:id="32" w:name="_Toc97026836"/>
      <w:r>
        <w:t xml:space="preserve">Slika </w:t>
      </w:r>
      <w:r w:rsidR="008334B2">
        <w:fldChar w:fldCharType="begin"/>
      </w:r>
      <w:r w:rsidR="008334B2">
        <w:instrText xml:space="preserve"> STYLEREF 1 \s </w:instrText>
      </w:r>
      <w:r w:rsidR="008334B2">
        <w:fldChar w:fldCharType="separate"/>
      </w:r>
      <w:r w:rsidR="008334B2">
        <w:rPr>
          <w:noProof/>
        </w:rPr>
        <w:t>1</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7</w:t>
      </w:r>
      <w:r w:rsidR="008334B2">
        <w:fldChar w:fldCharType="end"/>
      </w:r>
      <w:r>
        <w:t xml:space="preserve">: </w:t>
      </w:r>
      <w:r w:rsidRPr="00897B7B">
        <w:t>Mehanizem nastanka fluvialnih poplav</w:t>
      </w:r>
      <w:bookmarkEnd w:id="32"/>
    </w:p>
    <w:p w14:paraId="4F428108" w14:textId="346FF904" w:rsidR="00CF78FD" w:rsidRDefault="00CF78FD" w:rsidP="00CF78FD">
      <w:pPr>
        <w:rPr>
          <w:lang w:eastAsia="sl-SI"/>
        </w:rPr>
      </w:pPr>
      <w:r>
        <w:rPr>
          <w:lang w:eastAsia="sl-SI"/>
        </w:rPr>
        <w:lastRenderedPageBreak/>
        <w:t>Izpostavljenost je bila ocenjena na podlagi pregleda predhodno izdelanih hidrološko hidravličnih analiz, ki so bile izvedene na območju občine Nova Gorica in podatkov, ki so na razpolago na atlasu voda.</w:t>
      </w:r>
    </w:p>
    <w:p w14:paraId="455CF163" w14:textId="46B0CC6B" w:rsidR="00CF78FD" w:rsidRDefault="00CF78FD" w:rsidP="00CF78FD">
      <w:pPr>
        <w:rPr>
          <w:lang w:eastAsia="sl-SI"/>
        </w:rPr>
      </w:pPr>
      <w:r>
        <w:rPr>
          <w:lang w:eastAsia="sl-SI"/>
        </w:rPr>
        <w:t xml:space="preserve">Na podlagi analize ranljivosti v referenčnem obdobju in prihodnjih obdobjih je bilo tveganje na podnebne spremembe za poplavno ogroženost ocenjeno na </w:t>
      </w:r>
      <w:r w:rsidRPr="00CF493E">
        <w:rPr>
          <w:lang w:eastAsia="sl-SI"/>
        </w:rPr>
        <w:t>zmerno (3).</w:t>
      </w:r>
    </w:p>
    <w:p w14:paraId="2F72AD95" w14:textId="77777777" w:rsidR="00D11912" w:rsidRDefault="00D11912" w:rsidP="00EA7194">
      <w:pPr>
        <w:keepNext/>
        <w:jc w:val="center"/>
      </w:pPr>
      <w:r>
        <w:rPr>
          <w:noProof/>
          <w:lang w:eastAsia="sl-SI"/>
        </w:rPr>
        <w:drawing>
          <wp:inline distT="0" distB="0" distL="0" distR="0" wp14:anchorId="77A6C33F" wp14:editId="4F00B08B">
            <wp:extent cx="4816549" cy="2180390"/>
            <wp:effectExtent l="0" t="0" r="3175" b="0"/>
            <wp:docPr id="106"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3140"/>
                    <a:stretch/>
                  </pic:blipFill>
                  <pic:spPr bwMode="auto">
                    <a:xfrm>
                      <a:off x="0" y="0"/>
                      <a:ext cx="4820617" cy="2182231"/>
                    </a:xfrm>
                    <a:prstGeom prst="rect">
                      <a:avLst/>
                    </a:prstGeom>
                    <a:ln>
                      <a:noFill/>
                    </a:ln>
                    <a:extLst>
                      <a:ext uri="{53640926-AAD7-44D8-BBD7-CCE9431645EC}">
                        <a14:shadowObscured xmlns:a14="http://schemas.microsoft.com/office/drawing/2010/main"/>
                      </a:ext>
                    </a:extLst>
                  </pic:spPr>
                </pic:pic>
              </a:graphicData>
            </a:graphic>
          </wp:inline>
        </w:drawing>
      </w:r>
    </w:p>
    <w:p w14:paraId="003ACD26" w14:textId="317BAD30" w:rsidR="00D11912" w:rsidRDefault="00D11912" w:rsidP="00D11912">
      <w:pPr>
        <w:pStyle w:val="Napis"/>
        <w:rPr>
          <w:lang w:eastAsia="sl-SI"/>
        </w:rPr>
      </w:pPr>
      <w:bookmarkStart w:id="33" w:name="_Toc97026837"/>
      <w:r>
        <w:t xml:space="preserve">Slika </w:t>
      </w:r>
      <w:r w:rsidR="008334B2">
        <w:fldChar w:fldCharType="begin"/>
      </w:r>
      <w:r w:rsidR="008334B2">
        <w:instrText xml:space="preserve"> STYLEREF 1 \s </w:instrText>
      </w:r>
      <w:r w:rsidR="008334B2">
        <w:fldChar w:fldCharType="separate"/>
      </w:r>
      <w:r w:rsidR="008334B2">
        <w:rPr>
          <w:noProof/>
        </w:rPr>
        <w:t>1</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8</w:t>
      </w:r>
      <w:r w:rsidR="008334B2">
        <w:fldChar w:fldCharType="end"/>
      </w:r>
      <w:r>
        <w:t xml:space="preserve">: </w:t>
      </w:r>
      <w:r w:rsidRPr="001D1EDB">
        <w:t>Mehanizem nastanka pluvialnih poplav</w:t>
      </w:r>
      <w:bookmarkEnd w:id="33"/>
    </w:p>
    <w:p w14:paraId="69973954" w14:textId="1D46C31C" w:rsidR="00CF78FD" w:rsidRDefault="00CF78FD" w:rsidP="00CF78FD">
      <w:pPr>
        <w:rPr>
          <w:lang w:eastAsia="sl-SI"/>
        </w:rPr>
      </w:pPr>
      <w:r>
        <w:rPr>
          <w:lang w:eastAsia="sl-SI"/>
        </w:rPr>
        <w:t>Predlagani so prioritetni ukrepi za zmanjšanje poplavne ogroženosti, ki poleg fluvialne poplavne ogroženosti, ki je v splošnem prepoznana kot pomembna prioriteta, usmerjajo naloge občine (v sodelovanju s pristojnostmi države) tudi na področje pluvialnih poplav – poplav na urbaniziranih območjih, kjer je trend pričakovanih sprememb zaradi vplivov podnebnih sprememb verjetno večji kot na področju fluvialnih poplav.</w:t>
      </w:r>
    </w:p>
    <w:p w14:paraId="6332DC82" w14:textId="77777777" w:rsidR="00EA7194" w:rsidRDefault="00EA7194" w:rsidP="00EA7194">
      <w:pPr>
        <w:keepNext/>
        <w:jc w:val="center"/>
      </w:pPr>
      <w:r>
        <w:rPr>
          <w:noProof/>
          <w:lang w:eastAsia="sl-SI"/>
        </w:rPr>
        <w:drawing>
          <wp:inline distT="0" distB="0" distL="0" distR="0" wp14:anchorId="0929D3D6" wp14:editId="68819D82">
            <wp:extent cx="3806456" cy="2972733"/>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6769" cy="2980787"/>
                    </a:xfrm>
                    <a:prstGeom prst="rect">
                      <a:avLst/>
                    </a:prstGeom>
                    <a:noFill/>
                    <a:ln>
                      <a:noFill/>
                    </a:ln>
                  </pic:spPr>
                </pic:pic>
              </a:graphicData>
            </a:graphic>
          </wp:inline>
        </w:drawing>
      </w:r>
    </w:p>
    <w:p w14:paraId="3EB7C557" w14:textId="68774D53" w:rsidR="00EA7194" w:rsidRPr="00EA7194" w:rsidRDefault="00EA7194" w:rsidP="00EA7194">
      <w:pPr>
        <w:pStyle w:val="Napis"/>
        <w:rPr>
          <w:rFonts w:ascii="Trebuchet MS" w:hAnsi="Trebuchet MS"/>
          <w:noProof/>
        </w:rPr>
      </w:pPr>
      <w:bookmarkStart w:id="34" w:name="_Toc97026838"/>
      <w:r>
        <w:t xml:space="preserve">Slika </w:t>
      </w:r>
      <w:r w:rsidR="008334B2">
        <w:fldChar w:fldCharType="begin"/>
      </w:r>
      <w:r w:rsidR="008334B2">
        <w:instrText xml:space="preserve"> STYLEREF 1 \s </w:instrText>
      </w:r>
      <w:r w:rsidR="008334B2">
        <w:fldChar w:fldCharType="separate"/>
      </w:r>
      <w:r w:rsidR="008334B2">
        <w:rPr>
          <w:noProof/>
        </w:rPr>
        <w:t>1</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9</w:t>
      </w:r>
      <w:r w:rsidR="008334B2">
        <w:fldChar w:fldCharType="end"/>
      </w:r>
      <w:r>
        <w:t>:</w:t>
      </w:r>
      <w:r w:rsidRPr="00EA7194">
        <w:t xml:space="preserve"> </w:t>
      </w:r>
      <w:r w:rsidRPr="00477711">
        <w:t>Shematski prikaz ocene ranljivosti posameznih</w:t>
      </w:r>
      <w:r>
        <w:t xml:space="preserve"> </w:t>
      </w:r>
      <w:r w:rsidRPr="00477711">
        <w:t>segmentov sektorja vodnih virov v referenčnem obdobju (</w:t>
      </w:r>
      <w:r>
        <w:t>rumena</w:t>
      </w:r>
      <w:r w:rsidRPr="00477711">
        <w:t>) in v prihodnosti</w:t>
      </w:r>
      <w:r>
        <w:t xml:space="preserve"> </w:t>
      </w:r>
      <w:r w:rsidRPr="00477711">
        <w:t>(</w:t>
      </w:r>
      <w:r>
        <w:t>črtkasta rdeča</w:t>
      </w:r>
      <w:r w:rsidRPr="00477711">
        <w:t>).</w:t>
      </w:r>
      <w:bookmarkEnd w:id="34"/>
    </w:p>
    <w:p w14:paraId="1173F930" w14:textId="79D01B29" w:rsidR="00E73BA7" w:rsidRDefault="00E73BA7" w:rsidP="00E73BA7">
      <w:pPr>
        <w:pStyle w:val="Napis"/>
        <w:keepNext/>
      </w:pPr>
      <w:bookmarkStart w:id="35" w:name="_Toc97026951"/>
      <w:r>
        <w:lastRenderedPageBreak/>
        <w:t xml:space="preserve">Preglednica </w:t>
      </w:r>
      <w:r w:rsidR="00976D80">
        <w:fldChar w:fldCharType="begin"/>
      </w:r>
      <w:r w:rsidR="00976D80">
        <w:instrText xml:space="preserve"> STYLEREF 1 \s </w:instrText>
      </w:r>
      <w:r w:rsidR="00976D80">
        <w:fldChar w:fldCharType="separate"/>
      </w:r>
      <w:r w:rsidR="00976D80">
        <w:rPr>
          <w:noProof/>
        </w:rPr>
        <w:t>1</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9</w:t>
      </w:r>
      <w:r w:rsidR="00976D80">
        <w:fldChar w:fldCharType="end"/>
      </w:r>
      <w:r w:rsidRPr="00BD30D7">
        <w:t>: Ocena ranljivosti in tveganja – poplave na podnebne spremembe v prihodnosti.</w:t>
      </w:r>
      <w:bookmarkEnd w:id="35"/>
    </w:p>
    <w:p w14:paraId="27A9789D" w14:textId="7542C32E" w:rsidR="006B7E34" w:rsidRPr="00EA7194" w:rsidRDefault="00D11912">
      <w:pPr>
        <w:rPr>
          <w:noProof/>
          <w:lang w:eastAsia="sl-SI"/>
        </w:rPr>
      </w:pPr>
      <w:r>
        <w:rPr>
          <w:noProof/>
          <w:lang w:eastAsia="sl-SI"/>
        </w:rPr>
        <w:drawing>
          <wp:inline distT="0" distB="0" distL="0" distR="0" wp14:anchorId="52C3F909" wp14:editId="4F847C56">
            <wp:extent cx="7550954" cy="4116777"/>
            <wp:effectExtent l="2540" t="0" r="0" b="0"/>
            <wp:docPr id="107"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lika 30"/>
                    <pic:cNvPicPr/>
                  </pic:nvPicPr>
                  <pic:blipFill>
                    <a:blip r:embed="rId39">
                      <a:extLst>
                        <a:ext uri="{28A0092B-C50C-407E-A947-70E740481C1C}">
                          <a14:useLocalDpi xmlns:a14="http://schemas.microsoft.com/office/drawing/2010/main" val="0"/>
                        </a:ext>
                      </a:extLst>
                    </a:blip>
                    <a:stretch>
                      <a:fillRect/>
                    </a:stretch>
                  </pic:blipFill>
                  <pic:spPr>
                    <a:xfrm rot="16200000">
                      <a:off x="0" y="0"/>
                      <a:ext cx="7552338" cy="4117532"/>
                    </a:xfrm>
                    <a:prstGeom prst="rect">
                      <a:avLst/>
                    </a:prstGeom>
                  </pic:spPr>
                </pic:pic>
              </a:graphicData>
            </a:graphic>
          </wp:inline>
        </w:drawing>
      </w:r>
      <w:r w:rsidR="006B7E34" w:rsidRPr="00B14994">
        <w:rPr>
          <w:rFonts w:eastAsia="Calibri"/>
          <w:lang w:eastAsia="sl-SI"/>
        </w:rPr>
        <w:br w:type="page"/>
      </w:r>
    </w:p>
    <w:p w14:paraId="558D8E52" w14:textId="77777777" w:rsidR="00DD497A" w:rsidRPr="00B14994" w:rsidRDefault="00DD497A" w:rsidP="00DD497A">
      <w:pPr>
        <w:pStyle w:val="Naslov1"/>
        <w:rPr>
          <w:rFonts w:eastAsia="Calibri"/>
          <w:lang w:eastAsia="sl-SI"/>
        </w:rPr>
      </w:pPr>
      <w:bookmarkStart w:id="36" w:name="_Toc41899970"/>
      <w:bookmarkStart w:id="37" w:name="_Toc41899973"/>
      <w:bookmarkStart w:id="38" w:name="_Toc97026728"/>
      <w:r w:rsidRPr="00B14994">
        <w:rPr>
          <w:rFonts w:eastAsia="Calibri"/>
          <w:lang w:eastAsia="sl-SI"/>
        </w:rPr>
        <w:lastRenderedPageBreak/>
        <w:t>Uvod</w:t>
      </w:r>
      <w:bookmarkEnd w:id="36"/>
      <w:bookmarkEnd w:id="38"/>
    </w:p>
    <w:p w14:paraId="192EFFA1" w14:textId="77777777" w:rsidR="00995D2C" w:rsidRPr="00806B08" w:rsidRDefault="00995D2C" w:rsidP="00995D2C">
      <w:r w:rsidRPr="00DC2017">
        <w:t xml:space="preserve">Podnebne spremembe </w:t>
      </w:r>
      <w:r>
        <w:t xml:space="preserve">se </w:t>
      </w:r>
      <w:r w:rsidRPr="00DC2017">
        <w:t xml:space="preserve">že dogajajo in pomenijo enega največjih svetovnih izzivov našega časa, ki zahteva takojšnje ukrepanje ter sodelovanje med lokalnimi, regionalnimi in nacionalnimi organi z vsega sveta. Lokalni organi so ključni dejavnik pri spodbujanju energetskega prehoda in boju proti podnebnim spremembam na ravni upravljanja, </w:t>
      </w:r>
      <w:r>
        <w:t>saj</w:t>
      </w:r>
      <w:r w:rsidRPr="00DC2017">
        <w:t xml:space="preserve"> je državljanom najbližje. Zato je prav, da lokalne oblasti prevzemajo vodilno vlogo na tem področju in so zgled svojim občanom in drugim oblastem. Čeprav prizadevanja za zmanjšanje emisij že potekajo, je prilagajanje nujen in nepogrešljiv dopolnilni element blažitve podnebnih sprememb. Blažitev podnebnih sprememb in prilagajanje nanje lahko zagotovita številne koristi za okolje, družbo in gospodarstvo. Z njuno skupno obravnavo se odpirajo nove možnosti za spodbujanje trajnostnega lokalnega razvoja. To vključuje oblikovanje vključujočih, energetsko učinkovitih in na podnebne spremembe odpornih skupnosti, izboljšanje kakovosti življenja, spodbujanje naložb in inovacij, krepitev lokalnega gospodarstva in ustvarjanje novih delovnih mest ter krepitev vključevanja in sodelovanja </w:t>
      </w:r>
      <w:r w:rsidRPr="00806B08">
        <w:t>deležnikov.</w:t>
      </w:r>
    </w:p>
    <w:p w14:paraId="3B11861A" w14:textId="77777777" w:rsidR="00995D2C" w:rsidRPr="00806B08" w:rsidRDefault="00995D2C" w:rsidP="00995D2C">
      <w:bookmarkStart w:id="39" w:name="_Hlk54955228"/>
      <w:r>
        <w:t>Mestna občina Nova Gorica</w:t>
      </w:r>
      <w:bookmarkEnd w:id="39"/>
      <w:r w:rsidRPr="00806B08">
        <w:t xml:space="preserve"> je usmerjena v trajnostni in sonaravni razvoj ter varstvo okolja, z izdelavo </w:t>
      </w:r>
      <w:r w:rsidRPr="00806B08">
        <w:rPr>
          <w:b/>
          <w:bCs/>
        </w:rPr>
        <w:t>Akcijskega načrta za trajnostno energijo in podnebne spremembe</w:t>
      </w:r>
      <w:r w:rsidRPr="00806B08">
        <w:t xml:space="preserve"> (angl. </w:t>
      </w:r>
      <w:proofErr w:type="spellStart"/>
      <w:r w:rsidRPr="00806B08">
        <w:t>Sustainable</w:t>
      </w:r>
      <w:proofErr w:type="spellEnd"/>
      <w:r w:rsidRPr="00806B08">
        <w:t xml:space="preserve"> </w:t>
      </w:r>
      <w:proofErr w:type="spellStart"/>
      <w:r w:rsidRPr="00806B08">
        <w:t>energy</w:t>
      </w:r>
      <w:proofErr w:type="spellEnd"/>
      <w:r w:rsidRPr="00806B08">
        <w:t xml:space="preserve"> </w:t>
      </w:r>
      <w:proofErr w:type="spellStart"/>
      <w:r w:rsidRPr="00806B08">
        <w:t>and</w:t>
      </w:r>
      <w:proofErr w:type="spellEnd"/>
      <w:r w:rsidRPr="00806B08">
        <w:t xml:space="preserve"> </w:t>
      </w:r>
      <w:proofErr w:type="spellStart"/>
      <w:r w:rsidRPr="00806B08">
        <w:t>climate</w:t>
      </w:r>
      <w:proofErr w:type="spellEnd"/>
      <w:r w:rsidRPr="00806B08">
        <w:t xml:space="preserve"> </w:t>
      </w:r>
      <w:proofErr w:type="spellStart"/>
      <w:r w:rsidRPr="00806B08">
        <w:t>action</w:t>
      </w:r>
      <w:proofErr w:type="spellEnd"/>
      <w:r w:rsidRPr="00806B08">
        <w:t xml:space="preserve"> plan-SECAP; v nadaljevanju: Akcijski načrt) pa bo pristopila še k pobudi Evropske komisije - »Konvenciji županov za podnebne spremembe in energijo«. Akcijski načrt določa ukrepe in potrebne aktivnosti za doseganje zastavljenih ciljev, in sicer zmanjšanje emisij </w:t>
      </w:r>
      <w:bookmarkStart w:id="40" w:name="OLE_LINK1"/>
      <w:bookmarkStart w:id="41" w:name="OLE_LINK2"/>
      <w:r w:rsidRPr="00806B08">
        <w:t>CO</w:t>
      </w:r>
      <w:r w:rsidRPr="00806B08">
        <w:rPr>
          <w:vertAlign w:val="subscript"/>
        </w:rPr>
        <w:t>2</w:t>
      </w:r>
      <w:bookmarkEnd w:id="40"/>
      <w:bookmarkEnd w:id="41"/>
      <w:r w:rsidRPr="00806B08">
        <w:t xml:space="preserve"> za 40 % do leta 2030 na ozemlju občine ter povečanje sposobnosti prilagajanja podnebnim spremembam. </w:t>
      </w:r>
      <w:r>
        <w:t xml:space="preserve">MO Nova </w:t>
      </w:r>
      <w:proofErr w:type="spellStart"/>
      <w:r>
        <w:t>Goica</w:t>
      </w:r>
      <w:proofErr w:type="spellEnd"/>
      <w:r w:rsidRPr="00806B08">
        <w:t xml:space="preserve"> bo s to zavezo sprejela celostni pristop k obravnavanju blažitve podnebnih sprememb ter prilagajanja nanje.</w:t>
      </w:r>
    </w:p>
    <w:p w14:paraId="2A525948" w14:textId="77777777" w:rsidR="00995D2C" w:rsidRDefault="00995D2C" w:rsidP="00995D2C">
      <w:pPr>
        <w:rPr>
          <w:rFonts w:cs="Calibri"/>
          <w:color w:val="000000"/>
        </w:rPr>
      </w:pPr>
      <w:r w:rsidRPr="00D74649">
        <w:rPr>
          <w:rFonts w:eastAsiaTheme="minorEastAsia"/>
          <w:color w:val="000000" w:themeColor="text1" w:themeShade="BF"/>
          <w:lang w:eastAsia="it-IT"/>
        </w:rPr>
        <w:t>Konvencija županov</w:t>
      </w:r>
      <w:r>
        <w:rPr>
          <w:rFonts w:eastAsiaTheme="minorEastAsia"/>
          <w:b/>
          <w:bCs/>
          <w:color w:val="000000" w:themeColor="text1" w:themeShade="BF"/>
          <w:lang w:eastAsia="it-IT"/>
        </w:rPr>
        <w:t xml:space="preserve"> </w:t>
      </w:r>
      <w:r w:rsidRPr="00DC2017">
        <w:t>za podnebne spremembe in energijo je</w:t>
      </w:r>
      <w:r>
        <w:t xml:space="preserve"> </w:t>
      </w:r>
      <w:r w:rsidRPr="00DC2017">
        <w:t xml:space="preserve">ambiciozna pobuda Evropske komisije, ki združuje evropske župane najbolj pionirskih mest v trajno mrežo in je odgovor mest na globalno segrevanje. S to pobudo Evropske komisije in Odbora regij si predstavniki mest in občin skupaj prizadevajo, da bi spremenili svoje okolje in bolj smotrno uporabljali energijo. Župani podpisniki te konvencije imajo skupno vizijo trajnostne prihodnosti ne glede na velikost svojih občin. Ta skupna vizija vodi dejanja občin pri spopadanju z medsebojno povezanimi izzivi: blažitvijo podnebnih sprememb, prilagajanjem nanje in trajnostno energijo. Cilj je izvesti konkretne dolgoročne ukrepe, s katerimi bo ustvarjeno </w:t>
      </w:r>
      <w:proofErr w:type="spellStart"/>
      <w:r w:rsidRPr="00DC2017">
        <w:t>okoljsko</w:t>
      </w:r>
      <w:proofErr w:type="spellEnd"/>
      <w:r w:rsidRPr="00DC2017">
        <w:t>, družbeno in gospodarsko stabilno okolje za sedanjo in prihodnje generacije.</w:t>
      </w:r>
    </w:p>
    <w:p w14:paraId="3437DDB9" w14:textId="77777777" w:rsidR="00995D2C" w:rsidRPr="00B80346" w:rsidRDefault="00995D2C" w:rsidP="00995D2C">
      <w:pPr>
        <w:spacing w:after="0"/>
        <w:rPr>
          <w:rFonts w:cs="Calibri"/>
          <w:color w:val="000000"/>
        </w:rPr>
      </w:pPr>
      <w:r w:rsidRPr="00B80346">
        <w:rPr>
          <w:rFonts w:cs="Calibri"/>
          <w:color w:val="000000"/>
        </w:rPr>
        <w:t>Podpisniki Konvencije županov navajajo številne razloge za pristop h gibanju, med drugim:</w:t>
      </w:r>
    </w:p>
    <w:p w14:paraId="5E41CF62" w14:textId="77777777" w:rsidR="00995D2C" w:rsidRPr="00970583" w:rsidRDefault="00995D2C" w:rsidP="00995D2C">
      <w:pPr>
        <w:pStyle w:val="Odstavekseznama"/>
        <w:numPr>
          <w:ilvl w:val="0"/>
          <w:numId w:val="7"/>
        </w:numPr>
        <w:rPr>
          <w:rFonts w:ascii="Trebuchet MS" w:hAnsi="Trebuchet MS" w:cs="Calibri"/>
        </w:rPr>
      </w:pPr>
      <w:r w:rsidRPr="00970583">
        <w:rPr>
          <w:rFonts w:ascii="Trebuchet MS" w:hAnsi="Trebuchet MS" w:cs="Calibri"/>
        </w:rPr>
        <w:t>visoka mednarodna prepoznavnost in opaznost akcijskega načrta lokalne oblasti za podnebne spremembe in energijo,</w:t>
      </w:r>
    </w:p>
    <w:p w14:paraId="1DBDBFE4" w14:textId="77777777" w:rsidR="00995D2C" w:rsidRPr="00970583" w:rsidRDefault="00995D2C" w:rsidP="00995D2C">
      <w:pPr>
        <w:pStyle w:val="Odstavekseznama"/>
        <w:numPr>
          <w:ilvl w:val="0"/>
          <w:numId w:val="7"/>
        </w:numPr>
        <w:rPr>
          <w:rFonts w:ascii="Trebuchet MS" w:hAnsi="Trebuchet MS" w:cs="Calibri"/>
        </w:rPr>
      </w:pPr>
      <w:r w:rsidRPr="00970583">
        <w:rPr>
          <w:rFonts w:ascii="Trebuchet MS" w:hAnsi="Trebuchet MS" w:cs="Calibri"/>
        </w:rPr>
        <w:t>priložnost prispevati k oblikovanju podnebne in energetske politike EU,</w:t>
      </w:r>
    </w:p>
    <w:p w14:paraId="137746C7" w14:textId="77777777" w:rsidR="00995D2C" w:rsidRPr="00970583" w:rsidRDefault="00995D2C" w:rsidP="00995D2C">
      <w:pPr>
        <w:pStyle w:val="Odstavekseznama"/>
        <w:numPr>
          <w:ilvl w:val="0"/>
          <w:numId w:val="7"/>
        </w:numPr>
        <w:rPr>
          <w:rFonts w:ascii="Trebuchet MS" w:hAnsi="Trebuchet MS" w:cs="Calibri"/>
        </w:rPr>
      </w:pPr>
      <w:r w:rsidRPr="00970583">
        <w:rPr>
          <w:rFonts w:ascii="Trebuchet MS" w:hAnsi="Trebuchet MS" w:cs="Calibri"/>
        </w:rPr>
        <w:t>verodostojne zaveze s pregledom in spremljanjem napredka,</w:t>
      </w:r>
    </w:p>
    <w:p w14:paraId="61E2F591" w14:textId="77777777" w:rsidR="00995D2C" w:rsidRDefault="00995D2C" w:rsidP="00995D2C">
      <w:pPr>
        <w:pStyle w:val="Odstavekseznama"/>
        <w:numPr>
          <w:ilvl w:val="0"/>
          <w:numId w:val="7"/>
        </w:numPr>
        <w:rPr>
          <w:rFonts w:ascii="Trebuchet MS" w:hAnsi="Trebuchet MS" w:cs="Calibri"/>
        </w:rPr>
      </w:pPr>
      <w:r w:rsidRPr="00970583">
        <w:rPr>
          <w:rFonts w:ascii="Trebuchet MS" w:hAnsi="Trebuchet MS" w:cs="Calibri"/>
        </w:rPr>
        <w:t>boljše finančne priložnosti za lokalne podnebne in energetske projekte,</w:t>
      </w:r>
    </w:p>
    <w:p w14:paraId="5AF39B22" w14:textId="77777777" w:rsidR="00995D2C" w:rsidRPr="00970583" w:rsidRDefault="00995D2C" w:rsidP="00995D2C">
      <w:pPr>
        <w:pStyle w:val="Odstavekseznama"/>
        <w:numPr>
          <w:ilvl w:val="0"/>
          <w:numId w:val="7"/>
        </w:numPr>
        <w:rPr>
          <w:rFonts w:ascii="Trebuchet MS" w:hAnsi="Trebuchet MS" w:cs="Calibri"/>
        </w:rPr>
      </w:pPr>
      <w:r w:rsidRPr="00970583">
        <w:rPr>
          <w:rFonts w:ascii="Trebuchet MS" w:hAnsi="Trebuchet MS" w:cs="Calibri"/>
        </w:rPr>
        <w:t>inovativni načini za mrežno povezovanje, izmenjavo izkušenj in krepitev sposobnosti z rednimi dogodki, tesnim medinstitucionalnim sodelovanjem, spletnimi seminarji ali spletnimi razpravami,</w:t>
      </w:r>
    </w:p>
    <w:p w14:paraId="4E9350ED" w14:textId="77777777" w:rsidR="00995D2C" w:rsidRPr="00970583" w:rsidRDefault="00995D2C" w:rsidP="00995D2C">
      <w:pPr>
        <w:pStyle w:val="Odstavekseznama"/>
        <w:numPr>
          <w:ilvl w:val="0"/>
          <w:numId w:val="7"/>
        </w:numPr>
        <w:rPr>
          <w:rFonts w:ascii="Trebuchet MS" w:hAnsi="Trebuchet MS" w:cs="Calibri"/>
        </w:rPr>
      </w:pPr>
      <w:r w:rsidRPr="00970583">
        <w:rPr>
          <w:rFonts w:ascii="Trebuchet MS" w:hAnsi="Trebuchet MS" w:cs="Calibri"/>
        </w:rPr>
        <w:t>praktična podpora (služba za pomoč), materiali in orodja za usmerjanje,</w:t>
      </w:r>
    </w:p>
    <w:p w14:paraId="04946B51" w14:textId="77777777" w:rsidR="00995D2C" w:rsidRPr="00970583" w:rsidRDefault="00995D2C" w:rsidP="00995D2C">
      <w:pPr>
        <w:pStyle w:val="Odstavekseznama"/>
        <w:numPr>
          <w:ilvl w:val="0"/>
          <w:numId w:val="7"/>
        </w:numPr>
        <w:rPr>
          <w:rFonts w:ascii="Trebuchet MS" w:hAnsi="Trebuchet MS" w:cs="Calibri"/>
        </w:rPr>
      </w:pPr>
      <w:r w:rsidRPr="00970583">
        <w:rPr>
          <w:rFonts w:ascii="Trebuchet MS" w:hAnsi="Trebuchet MS" w:cs="Calibri"/>
        </w:rPr>
        <w:t>hiter dostop do »znanja in izkušenj odličnosti« in spodbujajočih študij primerov,</w:t>
      </w:r>
    </w:p>
    <w:p w14:paraId="4CE5C663" w14:textId="77777777" w:rsidR="00995D2C" w:rsidRPr="00970583" w:rsidRDefault="00995D2C" w:rsidP="00995D2C">
      <w:pPr>
        <w:pStyle w:val="Odstavekseznama"/>
        <w:numPr>
          <w:ilvl w:val="0"/>
          <w:numId w:val="7"/>
        </w:numPr>
        <w:rPr>
          <w:rFonts w:ascii="Trebuchet MS" w:hAnsi="Trebuchet MS" w:cs="Calibri"/>
        </w:rPr>
      </w:pPr>
      <w:r w:rsidRPr="00970583">
        <w:rPr>
          <w:rFonts w:ascii="Trebuchet MS" w:hAnsi="Trebuchet MS" w:cs="Calibri"/>
        </w:rPr>
        <w:lastRenderedPageBreak/>
        <w:t>olajšano samoocenjevanje in sodelovalna izmenjava s skupnim spremljanjem in predlogo poročanja,</w:t>
      </w:r>
    </w:p>
    <w:p w14:paraId="25F89424" w14:textId="77777777" w:rsidR="00995D2C" w:rsidRPr="00970583" w:rsidRDefault="00995D2C" w:rsidP="00995D2C">
      <w:pPr>
        <w:pStyle w:val="Odstavekseznama"/>
        <w:numPr>
          <w:ilvl w:val="0"/>
          <w:numId w:val="7"/>
        </w:numPr>
        <w:rPr>
          <w:rFonts w:ascii="Trebuchet MS" w:hAnsi="Trebuchet MS" w:cs="Calibri"/>
        </w:rPr>
      </w:pPr>
      <w:r w:rsidRPr="00970583">
        <w:rPr>
          <w:rFonts w:ascii="Trebuchet MS" w:hAnsi="Trebuchet MS" w:cs="Calibri"/>
        </w:rPr>
        <w:t>fleksibilni referenčni okvir za ukrepanje, prilagodljiv lokalnim potrebam,</w:t>
      </w:r>
    </w:p>
    <w:p w14:paraId="4C57EA31" w14:textId="77777777" w:rsidR="00995D2C" w:rsidRPr="00FB5F5F" w:rsidRDefault="00995D2C" w:rsidP="00995D2C">
      <w:pPr>
        <w:pStyle w:val="Odstavekseznama"/>
        <w:numPr>
          <w:ilvl w:val="0"/>
          <w:numId w:val="7"/>
        </w:numPr>
        <w:rPr>
          <w:rFonts w:ascii="Trebuchet MS" w:hAnsi="Trebuchet MS" w:cs="Calibri"/>
        </w:rPr>
      </w:pPr>
      <w:r w:rsidRPr="00FB5F5F">
        <w:rPr>
          <w:rFonts w:ascii="Trebuchet MS" w:hAnsi="Trebuchet MS" w:cs="Calibri"/>
        </w:rPr>
        <w:t>okrepljeno sodelovanje in podpora nacionalnih organov.</w:t>
      </w:r>
    </w:p>
    <w:p w14:paraId="63C02DB8" w14:textId="77777777" w:rsidR="00995D2C" w:rsidRPr="00970583" w:rsidRDefault="00995D2C" w:rsidP="00995D2C"/>
    <w:p w14:paraId="5EA6D677" w14:textId="77777777" w:rsidR="00995D2C" w:rsidRDefault="00995D2C" w:rsidP="00995D2C">
      <w:pPr>
        <w:rPr>
          <w:color w:val="000000"/>
        </w:rPr>
      </w:pPr>
      <w:r>
        <w:rPr>
          <w:color w:val="000000"/>
        </w:rPr>
        <w:t>MO Nova Gorica</w:t>
      </w:r>
      <w:r w:rsidRPr="00041665">
        <w:rPr>
          <w:color w:val="000000"/>
        </w:rPr>
        <w:t xml:space="preserve"> kot pilotna občina sodeluje z Goriško lokalno energetsko agencijo </w:t>
      </w:r>
      <w:r>
        <w:rPr>
          <w:color w:val="000000"/>
        </w:rPr>
        <w:t>(</w:t>
      </w:r>
      <w:r w:rsidRPr="00041665">
        <w:rPr>
          <w:color w:val="000000"/>
        </w:rPr>
        <w:t>GOLEA</w:t>
      </w:r>
      <w:r>
        <w:rPr>
          <w:color w:val="000000"/>
        </w:rPr>
        <w:t>)</w:t>
      </w:r>
      <w:r w:rsidRPr="00041665">
        <w:rPr>
          <w:color w:val="000000"/>
        </w:rPr>
        <w:t xml:space="preserve">, ki </w:t>
      </w:r>
      <w:r w:rsidRPr="00D74649">
        <w:rPr>
          <w:color w:val="000000"/>
        </w:rPr>
        <w:t xml:space="preserve">je pridobila EU sredstva </w:t>
      </w:r>
      <w:r>
        <w:rPr>
          <w:color w:val="000000"/>
        </w:rPr>
        <w:t>v okviru</w:t>
      </w:r>
      <w:r w:rsidRPr="00D74649">
        <w:rPr>
          <w:color w:val="000000"/>
        </w:rPr>
        <w:t xml:space="preserve"> Programa </w:t>
      </w:r>
      <w:proofErr w:type="spellStart"/>
      <w:r w:rsidRPr="00D74649">
        <w:rPr>
          <w:color w:val="000000"/>
        </w:rPr>
        <w:t>Interrreg</w:t>
      </w:r>
      <w:proofErr w:type="spellEnd"/>
      <w:r w:rsidRPr="00D74649">
        <w:rPr>
          <w:color w:val="000000"/>
        </w:rPr>
        <w:t xml:space="preserve"> Slovenija – Italija za projekt »SECAP«</w:t>
      </w:r>
      <w:r>
        <w:rPr>
          <w:color w:val="000000"/>
        </w:rPr>
        <w:t>, znotraj katerega se izvaja</w:t>
      </w:r>
      <w:r w:rsidRPr="00D74649">
        <w:rPr>
          <w:color w:val="000000"/>
        </w:rPr>
        <w:t xml:space="preserve"> Akcijski načrt za trajnostno energijo in podnebne spremembe. Konvencija županov sicer ni sofinancirana s strani Evropske komisije, omogoča pa občini in</w:t>
      </w:r>
      <w:r w:rsidRPr="00041665">
        <w:rPr>
          <w:color w:val="000000"/>
        </w:rPr>
        <w:t xml:space="preserve"> energetskim agencijam prednost pri financiranju določenih projektov promocije in ozaveščanja URE in OVE na različnih EU programih.</w:t>
      </w:r>
    </w:p>
    <w:p w14:paraId="417E7F47" w14:textId="77777777" w:rsidR="00995D2C" w:rsidRPr="005E6AEB" w:rsidRDefault="00995D2C" w:rsidP="00995D2C">
      <w:pPr>
        <w:rPr>
          <w:color w:val="000000"/>
        </w:rPr>
      </w:pPr>
      <w:r w:rsidRPr="00574E8E">
        <w:rPr>
          <w:b/>
          <w:bCs/>
          <w:color w:val="000000"/>
        </w:rPr>
        <w:t>Akcijski načrt za trajnostno energijo in podnebne spremembe za</w:t>
      </w:r>
      <w:r>
        <w:rPr>
          <w:b/>
          <w:bCs/>
          <w:color w:val="000000"/>
        </w:rPr>
        <w:t xml:space="preserve"> Mestno</w:t>
      </w:r>
      <w:r w:rsidRPr="00574E8E">
        <w:rPr>
          <w:b/>
          <w:bCs/>
          <w:color w:val="000000"/>
        </w:rPr>
        <w:t xml:space="preserve"> občino </w:t>
      </w:r>
      <w:r>
        <w:rPr>
          <w:b/>
          <w:bCs/>
          <w:color w:val="000000"/>
        </w:rPr>
        <w:t>Nova Gorica</w:t>
      </w:r>
      <w:r w:rsidRPr="00E43B13">
        <w:rPr>
          <w:color w:val="000000"/>
        </w:rPr>
        <w:t xml:space="preserve"> je izdelan na podlagi metodologije v okviru Konvencije županov za podnebne spremembe in energijo, katerega sestavni del sta Osnovna evidenca emisij za analizo rabe energije ter Analiza</w:t>
      </w:r>
      <w:r>
        <w:rPr>
          <w:color w:val="000000"/>
        </w:rPr>
        <w:t xml:space="preserve"> tveganja in ranljivosti na podnebne spremembe. V nadaljevanju dokumenta Analize tveganja in ranljivosti na podnebne spremembe je ločeno obravnavnih šest sektorjev, ki so bili prepoznani kot sektorji z največjim vplivom podnebnih sprememb: vodni viri, poplavna varnost, kmetijstvo, gozdarstvo, zdravstvo in turizem.</w:t>
      </w:r>
    </w:p>
    <w:p w14:paraId="751A7FBA" w14:textId="77777777" w:rsidR="00DD497A" w:rsidRPr="00B14994" w:rsidRDefault="00DD497A" w:rsidP="00DD497A">
      <w:pPr>
        <w:rPr>
          <w:rFonts w:eastAsia="Calibri" w:cstheme="majorBidi"/>
          <w:b/>
          <w:bCs/>
          <w:color w:val="2F5496" w:themeColor="accent1" w:themeShade="BF"/>
          <w:sz w:val="32"/>
          <w:szCs w:val="32"/>
          <w:lang w:eastAsia="sl-SI"/>
        </w:rPr>
      </w:pPr>
      <w:r w:rsidRPr="00B14994">
        <w:rPr>
          <w:rFonts w:eastAsia="Calibri"/>
          <w:lang w:eastAsia="sl-SI"/>
        </w:rPr>
        <w:br w:type="page"/>
      </w:r>
    </w:p>
    <w:p w14:paraId="5A54A406" w14:textId="77777777" w:rsidR="00583FDE" w:rsidRDefault="00583FDE" w:rsidP="00583FDE">
      <w:pPr>
        <w:pStyle w:val="Naslov1"/>
        <w:rPr>
          <w:b w:val="0"/>
          <w:bCs w:val="0"/>
        </w:rPr>
      </w:pPr>
      <w:bookmarkStart w:id="42" w:name="_Toc97026729"/>
      <w:r w:rsidRPr="009C1F88">
        <w:lastRenderedPageBreak/>
        <w:t>Obravnavno</w:t>
      </w:r>
      <w:r>
        <w:t xml:space="preserve"> območje</w:t>
      </w:r>
      <w:bookmarkEnd w:id="37"/>
      <w:bookmarkEnd w:id="42"/>
      <w:r w:rsidRPr="005001D1">
        <w:t xml:space="preserve"> </w:t>
      </w:r>
    </w:p>
    <w:p w14:paraId="7C25640D" w14:textId="77777777" w:rsidR="00583FDE" w:rsidRDefault="00583FDE" w:rsidP="00CE43D7">
      <w:pPr>
        <w:pStyle w:val="Naslov2"/>
      </w:pPr>
      <w:bookmarkStart w:id="43" w:name="_Toc41899974"/>
      <w:bookmarkStart w:id="44" w:name="_Toc97026730"/>
      <w:r>
        <w:t>Opis obravnavanega območja</w:t>
      </w:r>
      <w:bookmarkEnd w:id="43"/>
      <w:bookmarkEnd w:id="44"/>
    </w:p>
    <w:p w14:paraId="5F74552B" w14:textId="77777777" w:rsidR="00995D2C" w:rsidRDefault="00995D2C" w:rsidP="00995D2C">
      <w:pPr>
        <w:rPr>
          <w:color w:val="000000"/>
        </w:rPr>
      </w:pPr>
      <w:bookmarkStart w:id="45" w:name="_Toc41899976"/>
      <w:r w:rsidRPr="001E4382">
        <w:rPr>
          <w:color w:val="000000"/>
        </w:rPr>
        <w:t xml:space="preserve">Mestna občina Nova Gorica leži </w:t>
      </w:r>
      <w:r w:rsidRPr="001E4382">
        <w:t xml:space="preserve">v Goriški statistični regiji in se po številu </w:t>
      </w:r>
      <w:r w:rsidRPr="00907EE8">
        <w:t xml:space="preserve">prebivalcev uvršča med </w:t>
      </w:r>
      <w:r w:rsidRPr="00907EE8">
        <w:rPr>
          <w:color w:val="000000"/>
        </w:rPr>
        <w:t xml:space="preserve">večje slovenske </w:t>
      </w:r>
      <w:r w:rsidRPr="00907EE8">
        <w:t>občine, i</w:t>
      </w:r>
      <w:r w:rsidRPr="00907EE8">
        <w:rPr>
          <w:color w:val="000000"/>
        </w:rPr>
        <w:t>ma mestni status.</w:t>
      </w:r>
      <w:r w:rsidRPr="00907EE8">
        <w:t xml:space="preserve"> Meri 280 km</w:t>
      </w:r>
      <w:r w:rsidRPr="00907EE8">
        <w:rPr>
          <w:vertAlign w:val="superscript"/>
        </w:rPr>
        <w:t>2</w:t>
      </w:r>
      <w:r w:rsidRPr="00907EE8">
        <w:t>, po površini se med slovenskimi občinami uvršča na 10. mesto. V letu 2019 je imela občina 31.799 prebivalcev, ki živijo v 44 naseljenih krajih.</w:t>
      </w:r>
      <w:r>
        <w:t xml:space="preserve"> </w:t>
      </w:r>
      <w:r w:rsidRPr="00907EE8">
        <w:rPr>
          <w:color w:val="000000"/>
        </w:rPr>
        <w:t>Meji na sosednje občine Kanal, Brda, Šempeter-Vrtojba, Renče-Vogrsko, Miren-</w:t>
      </w:r>
      <w:r w:rsidRPr="00DF5C93">
        <w:rPr>
          <w:color w:val="000000"/>
        </w:rPr>
        <w:t>Kostanjevica, Komen, Ajdovščina, Idrija in Tolmin ter z zahodne strani na sosednjo Italijo (Gorica).</w:t>
      </w:r>
      <w:r w:rsidRPr="00DF5C93">
        <w:t xml:space="preserve"> Središče občine je mesto Nova Gorica s približno 13.800 prebivalci, kar je dobra tretjina občanov (Statistični urad RS, 2020).</w:t>
      </w:r>
      <w:r w:rsidRPr="00DF5C93">
        <w:rPr>
          <w:color w:val="000000"/>
        </w:rPr>
        <w:t xml:space="preserve"> Naselje Nova Gorica je gospodarsko, kulturno, upravno in izobraževalno središče občine in širše regije (Goriške statistične regije). </w:t>
      </w:r>
    </w:p>
    <w:p w14:paraId="0CF42964" w14:textId="77777777" w:rsidR="00995D2C" w:rsidRPr="00DF5C93" w:rsidRDefault="00995D2C" w:rsidP="00995D2C">
      <w:pPr>
        <w:rPr>
          <w:color w:val="000000"/>
        </w:rPr>
      </w:pPr>
      <w:r w:rsidRPr="00DF5C93">
        <w:rPr>
          <w:color w:val="000000"/>
        </w:rPr>
        <w:t>Zelo razgibano ozemlje mestne občine se razprostira po različnih naravnih enotah, ki jih povezujejo soške vode. Na skrajnem severozahodu leži hrib Sabotin (609 m). Hriboviti svet se nadaljuje na levi strani Soče z zahodnim delom Visokega krasa, s krajnimi severozahodnimi odrastki mogočnega Dinarskega gorovja, kamor sodita planoti Banjšice in Trnovski gozd, ki ju ločuje suha dolina Čepovanski dol. Na južnem delu se občina povzpne na Kras, pokrajino, od koder je šlo ime kras in z njim znanstveno raziskovanje kraških pojavov v svet. Osrednji del občine predstavlja vinorodna Spodnja Vipavska dolina, nekakšna hrbtenica gospodarstva in poselitve, hriboviti svet je namreč bolj redko naseljen.</w:t>
      </w:r>
    </w:p>
    <w:p w14:paraId="0DE4A1D8" w14:textId="77777777" w:rsidR="00995D2C" w:rsidRPr="00DF5C93" w:rsidRDefault="00995D2C" w:rsidP="00995D2C">
      <w:pPr>
        <w:rPr>
          <w:color w:val="000000"/>
        </w:rPr>
      </w:pPr>
      <w:r w:rsidRPr="00DF5C93">
        <w:rPr>
          <w:color w:val="000000"/>
        </w:rPr>
        <w:t>Velik pomen igra geostrateška in prometna lega Mestne občine Nova Gorica med Padsko nižino na jugozahodu, dolino Soče, ki se na severu zajeda daleč v Alpe, in osrednjo Slovenijo, od koder vodijo poti tudi proti Panonski nižini na severovzhodu.</w:t>
      </w:r>
    </w:p>
    <w:p w14:paraId="17219E02" w14:textId="77777777" w:rsidR="00995D2C" w:rsidRPr="00DF5C93" w:rsidRDefault="00995D2C" w:rsidP="00995D2C">
      <w:pPr>
        <w:rPr>
          <w:color w:val="000000"/>
        </w:rPr>
      </w:pPr>
      <w:r w:rsidRPr="00DF5C93">
        <w:rPr>
          <w:color w:val="000000"/>
        </w:rPr>
        <w:t xml:space="preserve">Med kmetijskimi panogami sta najpomembnejši vinogradništvo in sadjarstvo. Poljedelstvo ne more popolnoma zaživeti zaradi zanj neugodnih podnebnih razmer, ki jih blažijo z različnimi ukrepi. Rednim sušam kljubujejo z namakanjem iz umetnega jezera </w:t>
      </w:r>
      <w:proofErr w:type="spellStart"/>
      <w:r w:rsidRPr="00DF5C93">
        <w:rPr>
          <w:color w:val="000000"/>
        </w:rPr>
        <w:t>Vogršček</w:t>
      </w:r>
      <w:proofErr w:type="spellEnd"/>
      <w:r w:rsidRPr="00DF5C93">
        <w:rPr>
          <w:color w:val="000000"/>
        </w:rPr>
        <w:t>. Zelo pomembno je gozdarstvo na Visokem krasu.</w:t>
      </w:r>
    </w:p>
    <w:p w14:paraId="7FB77196" w14:textId="77777777" w:rsidR="00995D2C" w:rsidRPr="00DF5C93" w:rsidRDefault="00995D2C" w:rsidP="00995D2C">
      <w:pPr>
        <w:rPr>
          <w:color w:val="000000"/>
        </w:rPr>
      </w:pPr>
      <w:r w:rsidRPr="00DF5C93">
        <w:rPr>
          <w:color w:val="000000"/>
        </w:rPr>
        <w:t>Proizvodni obrati so nastali na podlagi izročila lokalnih obrti (apnarstva, opekarstva, zidarstva, kovaštva, žebljarstva, čevljarstva, žagarstva in mizarstva). Po letu 1987 se je število delovnih mest v industriji precej zmanjšalo, povečalo pa se je v storitvenih dejavnostih (turizem, gostinstvo, trgovina, promet, svetovanje in podobno). Lega Mestne občine Nova Gorica ob meji z Republiko Italijo je ugodna za razvoj gospodarstva.</w:t>
      </w:r>
    </w:p>
    <w:p w14:paraId="3B8D96E8" w14:textId="77777777" w:rsidR="00995D2C" w:rsidRDefault="00995D2C" w:rsidP="00995D2C">
      <w:pPr>
        <w:rPr>
          <w:color w:val="000000"/>
        </w:rPr>
      </w:pPr>
      <w:r w:rsidRPr="00F42799">
        <w:rPr>
          <w:color w:val="000000"/>
        </w:rPr>
        <w:t>Gospodarstvo v občini</w:t>
      </w:r>
      <w:r>
        <w:rPr>
          <w:color w:val="000000"/>
        </w:rPr>
        <w:t xml:space="preserve"> Nova Gorica</w:t>
      </w:r>
      <w:r w:rsidRPr="00F42799">
        <w:rPr>
          <w:color w:val="000000"/>
        </w:rPr>
        <w:t xml:space="preserve"> je zelo raznoliko, </w:t>
      </w:r>
      <w:r>
        <w:rPr>
          <w:color w:val="000000"/>
        </w:rPr>
        <w:t>najmočnejše panoge so igralništvo, strokovne, znanstvene in tehnične dejavnosti, trgovina ter gradbeništvo.</w:t>
      </w:r>
    </w:p>
    <w:p w14:paraId="41E30F3C" w14:textId="77777777" w:rsidR="00995D2C" w:rsidRPr="00DF5C93" w:rsidRDefault="00995D2C" w:rsidP="00995D2C">
      <w:pPr>
        <w:rPr>
          <w:color w:val="000000"/>
        </w:rPr>
      </w:pPr>
      <w:r w:rsidRPr="00DF5C93">
        <w:rPr>
          <w:color w:val="000000"/>
        </w:rPr>
        <w:t xml:space="preserve">Družbena infrastruktura je v občini </w:t>
      </w:r>
      <w:r>
        <w:rPr>
          <w:color w:val="000000"/>
        </w:rPr>
        <w:t>dobro</w:t>
      </w:r>
      <w:r w:rsidRPr="00DF5C93">
        <w:rPr>
          <w:color w:val="000000"/>
        </w:rPr>
        <w:t xml:space="preserve"> razvita tako na področju zdravstva, socialnega varstva, izobraževanja, kulture kot športa in rekreacije. Večino družbene infrastrukture je skoncentrirane v naselju </w:t>
      </w:r>
      <w:r>
        <w:rPr>
          <w:color w:val="000000"/>
        </w:rPr>
        <w:t>Nova Gorica z bližnjo okolico</w:t>
      </w:r>
      <w:r w:rsidRPr="00DF5C93">
        <w:rPr>
          <w:color w:val="000000"/>
        </w:rPr>
        <w:t>.</w:t>
      </w:r>
    </w:p>
    <w:p w14:paraId="3ECC392E" w14:textId="77777777" w:rsidR="00995D2C" w:rsidRPr="004708EA" w:rsidRDefault="00995D2C" w:rsidP="00995D2C">
      <w:pPr>
        <w:rPr>
          <w:color w:val="000080"/>
          <w:szCs w:val="20"/>
          <w:highlight w:val="yellow"/>
        </w:rPr>
      </w:pPr>
    </w:p>
    <w:p w14:paraId="3BBA5F05" w14:textId="77777777" w:rsidR="00995D2C" w:rsidRPr="004708EA" w:rsidRDefault="00995D2C" w:rsidP="00995D2C">
      <w:pPr>
        <w:rPr>
          <w:highlight w:val="yellow"/>
        </w:rPr>
      </w:pPr>
    </w:p>
    <w:p w14:paraId="77DC1D54" w14:textId="77777777" w:rsidR="00995D2C" w:rsidRDefault="00995D2C" w:rsidP="00995D2C">
      <w:pPr>
        <w:rPr>
          <w:color w:val="000000"/>
        </w:rPr>
      </w:pPr>
    </w:p>
    <w:p w14:paraId="525E098A" w14:textId="77777777" w:rsidR="00995D2C" w:rsidRDefault="00995D2C" w:rsidP="00900691">
      <w:pPr>
        <w:pStyle w:val="Naslov2"/>
        <w:numPr>
          <w:ilvl w:val="1"/>
          <w:numId w:val="35"/>
        </w:numPr>
      </w:pPr>
      <w:bookmarkStart w:id="46" w:name="_Toc54953801"/>
      <w:bookmarkStart w:id="47" w:name="_Toc97026731"/>
      <w:r w:rsidRPr="00E27537">
        <w:lastRenderedPageBreak/>
        <w:t>Viri</w:t>
      </w:r>
      <w:bookmarkEnd w:id="46"/>
      <w:bookmarkEnd w:id="47"/>
    </w:p>
    <w:p w14:paraId="7CA0CDDE" w14:textId="77777777" w:rsidR="00995D2C" w:rsidRPr="00E43413" w:rsidRDefault="00995D2C" w:rsidP="00995D2C">
      <w:r>
        <w:rPr>
          <w:i/>
          <w:iCs/>
        </w:rPr>
        <w:t>Mestna občina Nova Gorica</w:t>
      </w:r>
      <w:r w:rsidRPr="00FD6727">
        <w:t xml:space="preserve"> </w:t>
      </w:r>
      <w:r w:rsidRPr="00FD6727">
        <w:rPr>
          <w:i/>
          <w:iCs/>
        </w:rPr>
        <w:t>[</w:t>
      </w:r>
      <w:proofErr w:type="spellStart"/>
      <w:r w:rsidRPr="00FD6727">
        <w:rPr>
          <w:i/>
          <w:iCs/>
        </w:rPr>
        <w:t>online</w:t>
      </w:r>
      <w:proofErr w:type="spellEnd"/>
      <w:r w:rsidRPr="00FD6727">
        <w:rPr>
          <w:i/>
          <w:iCs/>
        </w:rPr>
        <w:t>]</w:t>
      </w:r>
      <w:r w:rsidRPr="00FD6727">
        <w:t xml:space="preserve">. [citirano </w:t>
      </w:r>
      <w:r>
        <w:t>26</w:t>
      </w:r>
      <w:r w:rsidRPr="00FD6727">
        <w:t>.</w:t>
      </w:r>
      <w:r>
        <w:t>10</w:t>
      </w:r>
      <w:r w:rsidRPr="00FD6727">
        <w:t xml:space="preserve">.2020]. Dostopno na spletnem naslovu: </w:t>
      </w:r>
      <w:r w:rsidRPr="00E43413">
        <w:t>&lt;https://www.nova-gorica.si/&gt;</w:t>
      </w:r>
    </w:p>
    <w:p w14:paraId="4006BC94" w14:textId="7FC99B5B" w:rsidR="00995D2C" w:rsidRPr="00FD6727" w:rsidRDefault="00995D2C" w:rsidP="00995D2C">
      <w:pPr>
        <w:rPr>
          <w:rStyle w:val="Hiperpovezava"/>
          <w:rFonts w:cs="Calibri"/>
        </w:rPr>
      </w:pPr>
      <w:r w:rsidRPr="00E43413">
        <w:rPr>
          <w:i/>
          <w:iCs/>
        </w:rPr>
        <w:t xml:space="preserve">Skupnost občin Slovenije, </w:t>
      </w:r>
      <w:r>
        <w:rPr>
          <w:i/>
          <w:iCs/>
        </w:rPr>
        <w:t>Mestna občina Nova Gorica</w:t>
      </w:r>
      <w:r w:rsidRPr="00E43413">
        <w:rPr>
          <w:i/>
          <w:iCs/>
        </w:rPr>
        <w:t xml:space="preserve"> [</w:t>
      </w:r>
      <w:proofErr w:type="spellStart"/>
      <w:r w:rsidRPr="00E43413">
        <w:rPr>
          <w:i/>
          <w:iCs/>
        </w:rPr>
        <w:t>online</w:t>
      </w:r>
      <w:proofErr w:type="spellEnd"/>
      <w:r w:rsidRPr="00E43413">
        <w:rPr>
          <w:i/>
          <w:iCs/>
        </w:rPr>
        <w:t>]</w:t>
      </w:r>
      <w:r w:rsidRPr="00E43413">
        <w:t xml:space="preserve">. [citirano </w:t>
      </w:r>
      <w:r>
        <w:t>27</w:t>
      </w:r>
      <w:r w:rsidRPr="00E43413">
        <w:t>.</w:t>
      </w:r>
      <w:r>
        <w:t>10</w:t>
      </w:r>
      <w:r w:rsidRPr="00E43413">
        <w:t>.2020]. Dostopno na spletnem naslovu: &lt;</w:t>
      </w:r>
      <w:hyperlink r:id="rId40" w:history="1">
        <w:r w:rsidRPr="00E43413">
          <w:rPr>
            <w:rStyle w:val="Hiperpovezava"/>
            <w:rFonts w:cs="Calibri"/>
          </w:rPr>
          <w:t>www.skupnostobcin.si</w:t>
        </w:r>
      </w:hyperlink>
      <w:r w:rsidRPr="00E43413">
        <w:rPr>
          <w:rStyle w:val="Hiperpovezava"/>
          <w:rFonts w:cs="Calibri"/>
        </w:rPr>
        <w:t>&gt;</w:t>
      </w:r>
    </w:p>
    <w:p w14:paraId="5D7D4837" w14:textId="7459FCAC" w:rsidR="00995D2C" w:rsidRPr="00245BFE" w:rsidRDefault="00995D2C" w:rsidP="00995D2C">
      <w:r w:rsidRPr="00FD6727">
        <w:t xml:space="preserve">Statistični urad RS (SURS). </w:t>
      </w:r>
      <w:r w:rsidRPr="00FD6727">
        <w:rPr>
          <w:i/>
          <w:iCs/>
        </w:rPr>
        <w:t xml:space="preserve">Podatkovna baza </w:t>
      </w:r>
      <w:proofErr w:type="spellStart"/>
      <w:r w:rsidRPr="00FD6727">
        <w:rPr>
          <w:i/>
          <w:iCs/>
        </w:rPr>
        <w:t>SiStat</w:t>
      </w:r>
      <w:proofErr w:type="spellEnd"/>
      <w:r w:rsidRPr="00FD6727">
        <w:t>. [</w:t>
      </w:r>
      <w:proofErr w:type="spellStart"/>
      <w:r w:rsidRPr="00FD6727">
        <w:t>online</w:t>
      </w:r>
      <w:proofErr w:type="spellEnd"/>
      <w:r w:rsidRPr="00FD6727">
        <w:t xml:space="preserve">] [citirano </w:t>
      </w:r>
      <w:r>
        <w:t>27</w:t>
      </w:r>
      <w:r w:rsidRPr="00FD6727">
        <w:t>.</w:t>
      </w:r>
      <w:r>
        <w:t>10</w:t>
      </w:r>
      <w:r w:rsidRPr="00FD6727">
        <w:t>.2020]. Dostopno na spletnem naslovu &lt;</w:t>
      </w:r>
      <w:hyperlink r:id="rId41" w:history="1">
        <w:r w:rsidRPr="00FD6727">
          <w:rPr>
            <w:rStyle w:val="Hiperpovezava"/>
          </w:rPr>
          <w:t>https://www.stat.si/StatWeb/</w:t>
        </w:r>
      </w:hyperlink>
      <w:r w:rsidRPr="00FD6727">
        <w:t>&gt;</w:t>
      </w:r>
    </w:p>
    <w:p w14:paraId="153939E5" w14:textId="77777777" w:rsidR="00913BC2" w:rsidRDefault="00913BC2">
      <w:pPr>
        <w:jc w:val="left"/>
        <w:rPr>
          <w:rFonts w:eastAsiaTheme="majorEastAsia" w:cstheme="majorBidi"/>
          <w:b/>
          <w:bCs/>
          <w:color w:val="2F5496" w:themeColor="accent1" w:themeShade="BF"/>
          <w:sz w:val="32"/>
          <w:szCs w:val="32"/>
        </w:rPr>
      </w:pPr>
      <w:r>
        <w:br w:type="page"/>
      </w:r>
    </w:p>
    <w:p w14:paraId="420A8043" w14:textId="42997C10" w:rsidR="00583FDE" w:rsidRPr="00B14994" w:rsidRDefault="00583FDE" w:rsidP="00583FDE">
      <w:pPr>
        <w:pStyle w:val="Naslov1"/>
        <w:rPr>
          <w:b w:val="0"/>
          <w:bCs w:val="0"/>
        </w:rPr>
      </w:pPr>
      <w:bookmarkStart w:id="48" w:name="_Toc97026732"/>
      <w:r w:rsidRPr="00B14994">
        <w:lastRenderedPageBreak/>
        <w:t>Stanje podnebja in projekcije podnebnih sprememb</w:t>
      </w:r>
      <w:bookmarkEnd w:id="45"/>
      <w:bookmarkEnd w:id="48"/>
      <w:r w:rsidRPr="00B14994">
        <w:t xml:space="preserve"> </w:t>
      </w:r>
    </w:p>
    <w:p w14:paraId="27E75E30" w14:textId="77777777" w:rsidR="00583FDE" w:rsidRPr="00B14994" w:rsidRDefault="00583FDE" w:rsidP="00CE43D7">
      <w:pPr>
        <w:pStyle w:val="Naslov2"/>
      </w:pPr>
      <w:bookmarkStart w:id="49" w:name="_Toc41899977"/>
      <w:bookmarkStart w:id="50" w:name="_Toc97026733"/>
      <w:r w:rsidRPr="00B14994">
        <w:t>Obstoječe stanje podnebja</w:t>
      </w:r>
      <w:bookmarkEnd w:id="49"/>
      <w:bookmarkEnd w:id="50"/>
    </w:p>
    <w:p w14:paraId="63951CFC" w14:textId="77777777" w:rsidR="00995D2C" w:rsidRPr="00C51598" w:rsidRDefault="00995D2C" w:rsidP="00995D2C">
      <w:pPr>
        <w:rPr>
          <w:color w:val="000000"/>
        </w:rPr>
      </w:pPr>
      <w:r w:rsidRPr="00E00649">
        <w:rPr>
          <w:color w:val="000000"/>
        </w:rPr>
        <w:t xml:space="preserve">Za Mestno občino Nova Gorica je značilna lega na prehodu med Sredozemljem, Alpami in celinsko Evropo. Podnebje je prehodno submediteransko z veliko sonca, s povprečno milimi in vlažnimi zimami ter vročimi poletji. Na klimatske razmere pa delno vpliva tudi kraško podnebje. Nad ozemljem občine se stikajo celinske in sredozemske zračne gmote, kar ustvarja nenavadne vremenske prizore in pojave. V grobem gre za hladnejše podnebje s snegom na Visokem krasu in </w:t>
      </w:r>
      <w:r w:rsidRPr="00C51598">
        <w:rPr>
          <w:color w:val="000000"/>
        </w:rPr>
        <w:t xml:space="preserve">toplejšo prehodno submediteransko klimo v dolini. Pojavlja se tudi značilna vipavska burja. </w:t>
      </w:r>
    </w:p>
    <w:p w14:paraId="6A85D572" w14:textId="77777777" w:rsidR="00995D2C" w:rsidRPr="00E6677F" w:rsidRDefault="00995D2C" w:rsidP="00995D2C">
      <w:pPr>
        <w:spacing w:after="120"/>
        <w:rPr>
          <w:color w:val="000000"/>
        </w:rPr>
      </w:pPr>
      <w:r w:rsidRPr="00C51598">
        <w:rPr>
          <w:color w:val="000000"/>
        </w:rPr>
        <w:t xml:space="preserve">V </w:t>
      </w:r>
      <w:r>
        <w:t>Mestni občini Nova Gorica</w:t>
      </w:r>
      <w:r w:rsidRPr="00C51598">
        <w:rPr>
          <w:color w:val="000000"/>
        </w:rPr>
        <w:t xml:space="preserve"> l</w:t>
      </w:r>
      <w:r w:rsidRPr="00C51598">
        <w:t>etna povprečna temperatura zraka znaša 1</w:t>
      </w:r>
      <w:r>
        <w:t>0</w:t>
      </w:r>
      <w:r w:rsidRPr="00C51598">
        <w:t>,</w:t>
      </w:r>
      <w:r>
        <w:t>4</w:t>
      </w:r>
      <w:r w:rsidRPr="00C51598">
        <w:t xml:space="preserve"> °C. </w:t>
      </w:r>
      <w:r w:rsidRPr="00C51598">
        <w:rPr>
          <w:color w:val="000000"/>
        </w:rPr>
        <w:t xml:space="preserve">Ogrevalna sezona </w:t>
      </w:r>
      <w:r w:rsidRPr="00E6677F">
        <w:rPr>
          <w:color w:val="000000"/>
        </w:rPr>
        <w:t xml:space="preserve">v občini traja </w:t>
      </w:r>
      <w:r w:rsidRPr="00E6677F">
        <w:t>povprečno 244 dni, v mestu Nova Gorica pa kar nekaj manj, to je 217 dni. Nova Gorica se z navedeno dolžino kurilne sezone uvršča med območja najkrajše kurilne sezone v Sloveniji</w:t>
      </w:r>
      <w:r>
        <w:t>.</w:t>
      </w:r>
      <w:r w:rsidRPr="00E6677F">
        <w:rPr>
          <w:color w:val="000000"/>
        </w:rPr>
        <w:t xml:space="preserve"> Povprečna poletna temperatura (junij, julij, avgust) na območju mesta Nova Gorica, znaša 20,7 stopinj Celzija, pozimi pa okoli 2,9 stopinje. V povprečju pade v občini 1.800 mm</w:t>
      </w:r>
      <w:r w:rsidRPr="00C51598">
        <w:rPr>
          <w:color w:val="000000"/>
        </w:rPr>
        <w:t xml:space="preserve"> padavin na leto, od tega </w:t>
      </w:r>
      <w:r w:rsidRPr="00E6677F">
        <w:rPr>
          <w:color w:val="000000"/>
        </w:rPr>
        <w:t>največ v jeseni, drugi višek pa je ob prehodu pomladi v poletje. Najmanj padavin pade na prehodu zime v pomlad in v osrednjih poletnih mesecih. Značilnosti submediteranskega podnebja so še:</w:t>
      </w:r>
    </w:p>
    <w:p w14:paraId="2B5A77D1" w14:textId="77777777" w:rsidR="00995D2C" w:rsidRPr="00E6677F" w:rsidRDefault="00995D2C" w:rsidP="00900691">
      <w:pPr>
        <w:pStyle w:val="Odstavekseznama"/>
        <w:numPr>
          <w:ilvl w:val="0"/>
          <w:numId w:val="36"/>
        </w:numPr>
        <w:spacing w:after="120"/>
        <w:rPr>
          <w:rFonts w:ascii="Trebuchet MS" w:eastAsiaTheme="minorHAnsi" w:hAnsi="Trebuchet MS" w:cstheme="minorBidi"/>
          <w:iCs w:val="0"/>
          <w:szCs w:val="22"/>
        </w:rPr>
      </w:pPr>
      <w:r w:rsidRPr="00E6677F">
        <w:rPr>
          <w:rFonts w:ascii="Trebuchet MS" w:eastAsiaTheme="minorHAnsi" w:hAnsi="Trebuchet MS" w:cstheme="minorBidi"/>
          <w:iCs w:val="0"/>
          <w:szCs w:val="22"/>
        </w:rPr>
        <w:t xml:space="preserve">povprečna temperatura najhladnejšega meseca januarja je nad </w:t>
      </w:r>
      <w:smartTag w:uri="urn:schemas-microsoft-com:office:smarttags" w:element="metricconverter">
        <w:smartTagPr>
          <w:attr w:name="ProductID" w:val="0ﾰC"/>
        </w:smartTagPr>
        <w:r w:rsidRPr="00E6677F">
          <w:rPr>
            <w:rFonts w:ascii="Trebuchet MS" w:eastAsiaTheme="minorHAnsi" w:hAnsi="Trebuchet MS" w:cstheme="minorBidi"/>
            <w:iCs w:val="0"/>
            <w:szCs w:val="22"/>
          </w:rPr>
          <w:t>0°C</w:t>
        </w:r>
      </w:smartTag>
      <w:r w:rsidRPr="00E6677F">
        <w:rPr>
          <w:rFonts w:ascii="Trebuchet MS" w:eastAsiaTheme="minorHAnsi" w:hAnsi="Trebuchet MS" w:cstheme="minorBidi"/>
          <w:iCs w:val="0"/>
          <w:szCs w:val="22"/>
        </w:rPr>
        <w:t xml:space="preserve"> (do 5°),</w:t>
      </w:r>
    </w:p>
    <w:p w14:paraId="48B35B00" w14:textId="77777777" w:rsidR="00995D2C" w:rsidRPr="00E6677F" w:rsidRDefault="00995D2C" w:rsidP="00900691">
      <w:pPr>
        <w:pStyle w:val="Odstavekseznama"/>
        <w:numPr>
          <w:ilvl w:val="0"/>
          <w:numId w:val="36"/>
        </w:numPr>
        <w:spacing w:after="120"/>
        <w:rPr>
          <w:rFonts w:ascii="Trebuchet MS" w:eastAsiaTheme="minorHAnsi" w:hAnsi="Trebuchet MS" w:cstheme="minorBidi"/>
          <w:iCs w:val="0"/>
          <w:szCs w:val="22"/>
        </w:rPr>
      </w:pPr>
      <w:r w:rsidRPr="00E6677F">
        <w:rPr>
          <w:rFonts w:ascii="Trebuchet MS" w:eastAsiaTheme="minorHAnsi" w:hAnsi="Trebuchet MS" w:cstheme="minorBidi"/>
          <w:iCs w:val="0"/>
          <w:szCs w:val="22"/>
        </w:rPr>
        <w:t>povprečna temperatura najtoplejšega meseca julija je nad 22°C,</w:t>
      </w:r>
    </w:p>
    <w:p w14:paraId="23B6F32E" w14:textId="77777777" w:rsidR="00995D2C" w:rsidRDefault="00995D2C" w:rsidP="00900691">
      <w:pPr>
        <w:pStyle w:val="Odstavekseznama"/>
        <w:numPr>
          <w:ilvl w:val="0"/>
          <w:numId w:val="36"/>
        </w:numPr>
        <w:spacing w:after="160"/>
        <w:ind w:left="714" w:hanging="357"/>
        <w:rPr>
          <w:rFonts w:ascii="Trebuchet MS" w:eastAsiaTheme="minorHAnsi" w:hAnsi="Trebuchet MS" w:cstheme="minorBidi"/>
          <w:iCs w:val="0"/>
          <w:szCs w:val="22"/>
        </w:rPr>
      </w:pPr>
      <w:r w:rsidRPr="00E6677F">
        <w:rPr>
          <w:rFonts w:ascii="Trebuchet MS" w:eastAsiaTheme="minorHAnsi" w:hAnsi="Trebuchet MS" w:cstheme="minorBidi"/>
          <w:iCs w:val="0"/>
          <w:szCs w:val="22"/>
        </w:rPr>
        <w:t>povprečne oktobrske temperature so višje od aprilskih.</w:t>
      </w:r>
    </w:p>
    <w:p w14:paraId="5C1B1536" w14:textId="77777777" w:rsidR="001F56F1" w:rsidRPr="00B14994" w:rsidRDefault="001F56F1" w:rsidP="00EF0B8F">
      <w:pPr>
        <w:spacing w:after="0" w:line="240" w:lineRule="auto"/>
      </w:pPr>
    </w:p>
    <w:p w14:paraId="160992E9" w14:textId="77777777" w:rsidR="001F56F1" w:rsidRPr="00B14994" w:rsidRDefault="001F56F1" w:rsidP="00CE43D7">
      <w:pPr>
        <w:pStyle w:val="Naslov2"/>
      </w:pPr>
      <w:bookmarkStart w:id="51" w:name="_Toc54954393"/>
      <w:bookmarkStart w:id="52" w:name="_Toc97026734"/>
      <w:r w:rsidRPr="00B14994">
        <w:t>Scenariji RCP in projekcije podnebnih sprememb</w:t>
      </w:r>
      <w:bookmarkEnd w:id="51"/>
      <w:bookmarkEnd w:id="52"/>
    </w:p>
    <w:p w14:paraId="76FE8080" w14:textId="77777777" w:rsidR="00995D2C" w:rsidRPr="00B14994" w:rsidRDefault="00995D2C" w:rsidP="00995D2C">
      <w:r w:rsidRPr="00B14994">
        <w:t>Ko govorimo o podnebju v prihodnosti pripravljamo projekcije, ki temeljijo na določenih predpostavkah in scenarijih. Ocena podnebnih sprememb v prihodnosti zahteva podatke o prihodnjih izpustih in posledični vsebnosti toplogrednih plinov v ozračju do konca 21. stoletja. Naraščanje njihove vsebnosti namreč velja za ključni dejavnik sprememb podnebja vse od industrijske revo</w:t>
      </w:r>
      <w:r w:rsidRPr="00B14994">
        <w:softHyphen/>
        <w:t>lucije. Ti podatki so izraženi v obliki različnih scenarijev, ki temeljijo na človekovi dejavnosti ter z njo povezanih izpustih CO</w:t>
      </w:r>
      <w:r w:rsidRPr="00B14994">
        <w:rPr>
          <w:vertAlign w:val="subscript"/>
        </w:rPr>
        <w:t>2</w:t>
      </w:r>
      <w:r w:rsidRPr="00B14994">
        <w:t>, CH</w:t>
      </w:r>
      <w:r w:rsidRPr="00B14994">
        <w:rPr>
          <w:vertAlign w:val="subscript"/>
        </w:rPr>
        <w:t>4</w:t>
      </w:r>
      <w:r w:rsidRPr="00B14994">
        <w:t>, N</w:t>
      </w:r>
      <w:r w:rsidRPr="00B14994">
        <w:rPr>
          <w:vertAlign w:val="subscript"/>
        </w:rPr>
        <w:t>2</w:t>
      </w:r>
      <w:r w:rsidRPr="00B14994">
        <w:t>O, aerosolov in drugih onesnaže</w:t>
      </w:r>
      <w:r w:rsidRPr="00187D58">
        <w:rPr>
          <w:highlight w:val="yellow"/>
        </w:rPr>
        <w:softHyphen/>
      </w:r>
      <w:r w:rsidRPr="00B14994">
        <w:t>valcev zraka. Vsak scenarij izpustov je pravzaprav odvisen od družbeno-gospodar</w:t>
      </w:r>
      <w:r w:rsidRPr="00187D58">
        <w:rPr>
          <w:highlight w:val="yellow"/>
        </w:rPr>
        <w:softHyphen/>
      </w:r>
      <w:r w:rsidRPr="00B14994">
        <w:t>skih dejavnikov, kot so stopnja naraščanja prebivalstva, bruto domači proizvod in tehnološki razvoj v 21. stoletju, ki neposredno vplivajo na porabo primarne energije in spremembo rabe tal. Scenariji so namenjeni raziskovanju ranljivosti naravnih in družbenih sistemov na podnebne spremembe, obli</w:t>
      </w:r>
      <w:r w:rsidRPr="00B14994">
        <w:softHyphen/>
        <w:t>kovanju ukrepov za zmanjšanje ranljivosti in prilagajanje na podnebne spremembe ter raziskovanju posledic sedanjih in prihodnjih podnebnih politik (</w:t>
      </w:r>
      <w:proofErr w:type="spellStart"/>
      <w:r w:rsidRPr="00B14994">
        <w:t>Bertalanič</w:t>
      </w:r>
      <w:proofErr w:type="spellEnd"/>
      <w:r w:rsidRPr="00B14994">
        <w:t xml:space="preserve"> R., 2018).</w:t>
      </w:r>
    </w:p>
    <w:p w14:paraId="1C94AB68" w14:textId="77777777" w:rsidR="00995D2C" w:rsidRPr="00B14994" w:rsidRDefault="00995D2C" w:rsidP="00995D2C">
      <w:r w:rsidRPr="00B14994">
        <w:t>Poznamo štiri scenarije značilnih potekov vsebnosti toplo</w:t>
      </w:r>
      <w:r w:rsidRPr="00B14994">
        <w:softHyphen/>
        <w:t xml:space="preserve">grednih plinov (RCP – </w:t>
      </w:r>
      <w:proofErr w:type="spellStart"/>
      <w:r w:rsidRPr="00B14994">
        <w:t>Representative</w:t>
      </w:r>
      <w:proofErr w:type="spellEnd"/>
      <w:r w:rsidRPr="00B14994">
        <w:t xml:space="preserve"> </w:t>
      </w:r>
      <w:proofErr w:type="spellStart"/>
      <w:r w:rsidRPr="00B14994">
        <w:t>Concentration</w:t>
      </w:r>
      <w:proofErr w:type="spellEnd"/>
      <w:r w:rsidRPr="00B14994">
        <w:t xml:space="preserve"> </w:t>
      </w:r>
      <w:proofErr w:type="spellStart"/>
      <w:r w:rsidRPr="00B14994">
        <w:t>Pathways</w:t>
      </w:r>
      <w:proofErr w:type="spellEnd"/>
      <w:r w:rsidRPr="00B14994">
        <w:t xml:space="preserve">, Van </w:t>
      </w:r>
      <w:proofErr w:type="spellStart"/>
      <w:r w:rsidRPr="00B14994">
        <w:t>Vuuren</w:t>
      </w:r>
      <w:proofErr w:type="spellEnd"/>
      <w:r w:rsidRPr="00B14994">
        <w:t xml:space="preserve"> in sod., 2011), in sicer RCP2.5, RCP4.5, RCP6.0 in RCP8.5. Ločimo jih po številčni oznaki skupnega seval</w:t>
      </w:r>
      <w:r w:rsidRPr="00B14994">
        <w:softHyphen/>
        <w:t>nega prispevka leta 2100, ki pomeni merilo spremembe Zemljinega energetskega ravnovesja glede na predin</w:t>
      </w:r>
      <w:r w:rsidRPr="00B14994">
        <w:softHyphen/>
        <w:t>dustrijsko dobo (oziroma podnebje okrog leta 1750). Višja ko je vrednost sevalnega prispevka, večje spremembe v podnebnem sistemu lahko pričakujemo, saj se podnebni sistem na velike motnje v energijskem ravnovesju odziva izrazi</w:t>
      </w:r>
      <w:r w:rsidRPr="00B14994">
        <w:softHyphen/>
        <w:t>teje kot na manjše (</w:t>
      </w:r>
      <w:proofErr w:type="spellStart"/>
      <w:r w:rsidRPr="00B14994">
        <w:t>Bertalanič</w:t>
      </w:r>
      <w:proofErr w:type="spellEnd"/>
      <w:r w:rsidRPr="00B14994">
        <w:t xml:space="preserve"> R., 2018).</w:t>
      </w:r>
    </w:p>
    <w:p w14:paraId="0E8086D5" w14:textId="77777777" w:rsidR="00995D2C" w:rsidRPr="00B14994" w:rsidRDefault="00995D2C" w:rsidP="00995D2C">
      <w:r w:rsidRPr="00B14994">
        <w:lastRenderedPageBreak/>
        <w:t>Ogljikov dioksid (CO</w:t>
      </w:r>
      <w:r w:rsidRPr="00B14994">
        <w:rPr>
          <w:vertAlign w:val="subscript"/>
        </w:rPr>
        <w:t>2</w:t>
      </w:r>
      <w:r w:rsidRPr="00B14994">
        <w:t>) je zaradi svoje visoke in hitro naraščajoče vsebnosti najpomembnejši antropogeni toplogredni plin. Njegova življenjska doba je od 50 do 200 let, zato je za njegovo naravno odstranitev iz ozra</w:t>
      </w:r>
      <w:r w:rsidRPr="00B14994">
        <w:softHyphen/>
        <w:t>čja potrebnega veliko časa. Drugi toplogredni plini (metan (CH</w:t>
      </w:r>
      <w:r w:rsidRPr="00B14994">
        <w:rPr>
          <w:vertAlign w:val="subscript"/>
        </w:rPr>
        <w:t>4</w:t>
      </w:r>
      <w:r w:rsidRPr="00B14994">
        <w:t>), dušikov oksid (N</w:t>
      </w:r>
      <w:r w:rsidRPr="00B14994">
        <w:rPr>
          <w:vertAlign w:val="subscript"/>
        </w:rPr>
        <w:t>2</w:t>
      </w:r>
      <w:r w:rsidRPr="00B14994">
        <w:t>O) in halogenirani ogljikovodiki) imajo sicer večje toplogredne zmogljivosti, vendar je vsebnost CO</w:t>
      </w:r>
      <w:r w:rsidRPr="00B14994">
        <w:rPr>
          <w:vertAlign w:val="subscript"/>
        </w:rPr>
        <w:t>2</w:t>
      </w:r>
      <w:r w:rsidRPr="00B14994">
        <w:t xml:space="preserve"> v ozračju vsaj za pet do šest velikostnih redov večja. Prav dolga življenjska doba toplogrednih plinov je razlog za večanje njihove vsebnosti v ozračju tudi po zmanjšanju izpustov, kar je prikazano na spodnji sliki. Toplogredni plini tako učinkujejo še dolgo po popolnem prenehanju izpustov, saj nakopičeni plini ostanejo v ozračju.</w:t>
      </w:r>
    </w:p>
    <w:p w14:paraId="7B79180A" w14:textId="77777777" w:rsidR="00995D2C" w:rsidRDefault="00995D2C" w:rsidP="00995D2C">
      <w:pPr>
        <w:pStyle w:val="Default"/>
        <w:keepNext/>
        <w:spacing w:line="259" w:lineRule="auto"/>
        <w:jc w:val="center"/>
      </w:pPr>
      <w:r>
        <w:rPr>
          <w:rFonts w:ascii="Trebuchet MS" w:hAnsi="Trebuchet MS"/>
          <w:noProof/>
          <w:sz w:val="22"/>
          <w:szCs w:val="22"/>
          <w:lang w:eastAsia="sl-SI"/>
        </w:rPr>
        <w:drawing>
          <wp:inline distT="0" distB="0" distL="0" distR="0" wp14:anchorId="38AF58A6" wp14:editId="28A2CF9A">
            <wp:extent cx="5760720" cy="2228850"/>
            <wp:effectExtent l="0" t="0" r="0" b="0"/>
            <wp:docPr id="37"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ka 4"/>
                    <pic:cNvPicPr>
                      <a:picLocks noChangeAspect="1"/>
                    </pic:cNvPicPr>
                  </pic:nvPicPr>
                  <pic:blipFill>
                    <a:blip r:embed="rId42" cstate="email">
                      <a:extLst>
                        <a:ext uri="{28A0092B-C50C-407E-A947-70E740481C1C}">
                          <a14:useLocalDpi xmlns:a14="http://schemas.microsoft.com/office/drawing/2010/main" val="0"/>
                        </a:ext>
                      </a:extLst>
                    </a:blip>
                    <a:stretch>
                      <a:fillRect/>
                    </a:stretch>
                  </pic:blipFill>
                  <pic:spPr>
                    <a:xfrm>
                      <a:off x="0" y="0"/>
                      <a:ext cx="5760720" cy="2228850"/>
                    </a:xfrm>
                    <a:prstGeom prst="rect">
                      <a:avLst/>
                    </a:prstGeom>
                  </pic:spPr>
                </pic:pic>
              </a:graphicData>
            </a:graphic>
          </wp:inline>
        </w:drawing>
      </w:r>
    </w:p>
    <w:p w14:paraId="73C148E1" w14:textId="1D5FFD4F" w:rsidR="00995D2C" w:rsidRPr="00B14994" w:rsidRDefault="00995D2C" w:rsidP="00995D2C">
      <w:pPr>
        <w:pStyle w:val="Napis"/>
        <w:jc w:val="left"/>
        <w:rPr>
          <w:rFonts w:ascii="Trebuchet MS" w:hAnsi="Trebuchet MS"/>
          <w:sz w:val="22"/>
          <w:szCs w:val="22"/>
        </w:rPr>
      </w:pPr>
      <w:bookmarkStart w:id="53" w:name="_Toc97026839"/>
      <w:r>
        <w:t xml:space="preserve">Slika </w:t>
      </w:r>
      <w:r w:rsidR="008334B2">
        <w:fldChar w:fldCharType="begin"/>
      </w:r>
      <w:r w:rsidR="008334B2">
        <w:instrText xml:space="preserve"> STYLEREF 1 \s </w:instrText>
      </w:r>
      <w:r w:rsidR="008334B2">
        <w:fldChar w:fldCharType="separate"/>
      </w:r>
      <w:r w:rsidR="008334B2">
        <w:rPr>
          <w:noProof/>
        </w:rPr>
        <w:t>4</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1</w:t>
      </w:r>
      <w:r w:rsidR="008334B2">
        <w:fldChar w:fldCharType="end"/>
      </w:r>
      <w:r w:rsidRPr="00EE093A">
        <w:t xml:space="preserve">: Časovni potek vsebnosti toplogrednih plinov v ozračju za štiri scenarije izpustov RCP (Van </w:t>
      </w:r>
      <w:proofErr w:type="spellStart"/>
      <w:r w:rsidRPr="00EE093A">
        <w:t>Vuu¬ren</w:t>
      </w:r>
      <w:proofErr w:type="spellEnd"/>
      <w:r w:rsidRPr="00EE093A">
        <w:t xml:space="preserve"> in sod., 2011).</w:t>
      </w:r>
      <w:bookmarkEnd w:id="53"/>
    </w:p>
    <w:p w14:paraId="5915E615" w14:textId="77777777" w:rsidR="00995D2C" w:rsidRPr="00B14994" w:rsidRDefault="00995D2C" w:rsidP="00995D2C">
      <w:pPr>
        <w:spacing w:after="0"/>
      </w:pPr>
      <w:r w:rsidRPr="00B14994">
        <w:t>Scenariji izpustov RCP temeljijo na celotnem razponu možnih podnebnih strategij v 21. stoletju:</w:t>
      </w:r>
    </w:p>
    <w:p w14:paraId="3828A7B2" w14:textId="77777777" w:rsidR="00995D2C" w:rsidRPr="00B14994" w:rsidRDefault="00995D2C" w:rsidP="00995D2C">
      <w:pPr>
        <w:pStyle w:val="Default"/>
        <w:numPr>
          <w:ilvl w:val="0"/>
          <w:numId w:val="6"/>
        </w:numPr>
        <w:spacing w:line="259" w:lineRule="auto"/>
        <w:jc w:val="both"/>
        <w:rPr>
          <w:rFonts w:ascii="Trebuchet MS" w:hAnsi="Trebuchet MS"/>
          <w:sz w:val="22"/>
          <w:szCs w:val="22"/>
        </w:rPr>
      </w:pPr>
      <w:r w:rsidRPr="00B14994">
        <w:rPr>
          <w:rFonts w:ascii="Trebuchet MS" w:hAnsi="Trebuchet MS"/>
          <w:sz w:val="22"/>
          <w:szCs w:val="22"/>
        </w:rPr>
        <w:t>scenarij z vključenim hitrim in izra</w:t>
      </w:r>
      <w:r w:rsidRPr="00B14994">
        <w:rPr>
          <w:rFonts w:ascii="Trebuchet MS" w:hAnsi="Trebuchet MS"/>
          <w:sz w:val="22"/>
          <w:szCs w:val="22"/>
        </w:rPr>
        <w:softHyphen/>
        <w:t>zitim blaženjem podnebnih sprememb (RCP2.6),</w:t>
      </w:r>
    </w:p>
    <w:p w14:paraId="0AB61901" w14:textId="77777777" w:rsidR="00995D2C" w:rsidRPr="00B14994" w:rsidRDefault="00995D2C" w:rsidP="00995D2C">
      <w:pPr>
        <w:pStyle w:val="Default"/>
        <w:numPr>
          <w:ilvl w:val="0"/>
          <w:numId w:val="6"/>
        </w:numPr>
        <w:spacing w:line="259" w:lineRule="auto"/>
        <w:jc w:val="both"/>
        <w:rPr>
          <w:rFonts w:ascii="Trebuchet MS" w:hAnsi="Trebuchet MS"/>
          <w:sz w:val="22"/>
          <w:szCs w:val="22"/>
        </w:rPr>
      </w:pPr>
      <w:r w:rsidRPr="00B14994">
        <w:rPr>
          <w:rFonts w:ascii="Trebuchet MS" w:hAnsi="Trebuchet MS"/>
          <w:sz w:val="22"/>
          <w:szCs w:val="22"/>
        </w:rPr>
        <w:t>dva stabilizacijska scenarija (RCP4.5 in RCP6.0) in</w:t>
      </w:r>
    </w:p>
    <w:p w14:paraId="06E9FDD4" w14:textId="77777777" w:rsidR="00995D2C" w:rsidRPr="00B14994" w:rsidRDefault="00995D2C" w:rsidP="00995D2C">
      <w:pPr>
        <w:pStyle w:val="Default"/>
        <w:numPr>
          <w:ilvl w:val="0"/>
          <w:numId w:val="6"/>
        </w:numPr>
        <w:spacing w:after="160" w:line="259" w:lineRule="auto"/>
        <w:ind w:left="714" w:hanging="357"/>
        <w:jc w:val="both"/>
        <w:rPr>
          <w:rFonts w:ascii="Trebuchet MS" w:hAnsi="Trebuchet MS"/>
          <w:sz w:val="22"/>
          <w:szCs w:val="22"/>
        </w:rPr>
      </w:pPr>
      <w:r w:rsidRPr="00B14994">
        <w:rPr>
          <w:rFonts w:ascii="Trebuchet MS" w:hAnsi="Trebuchet MS"/>
          <w:sz w:val="22"/>
          <w:szCs w:val="22"/>
        </w:rPr>
        <w:t>scenarij z zelo visokim izpustom toplogrednih plinov (RCP8.5).</w:t>
      </w:r>
    </w:p>
    <w:p w14:paraId="59BB65E9" w14:textId="77777777" w:rsidR="00995D2C" w:rsidRPr="00B14994" w:rsidRDefault="00995D2C" w:rsidP="00995D2C">
      <w:pPr>
        <w:spacing w:after="0"/>
      </w:pPr>
      <w:r w:rsidRPr="00B14994">
        <w:t>V tej analizi ranljivosti in tveganja na podnebne spremembe smo se osredotočili na dva scenarija značilnih potekov vsebnosti toplo</w:t>
      </w:r>
      <w:r w:rsidRPr="00B14994">
        <w:softHyphen/>
        <w:t>grednih plinov s simulacijami za prihodnost, z modelsko prostorsko ločljivostjo 12 km x 12 km. Izbrana scenarija podajata razpon možnih podnebnih sprememb v odvisnosti od gospodarskega razvoja in podnebnih politik v 21.stoletju, izvzeli pa smo scenarij RCP2.6, ki predvideva optimistično, zelo hitro in uspešno omejevanje izpustov toplogrednih plinov, ter en stabilizacijski scenarij, RCP 6.0. Analizirana sta sledeča scenarija:</w:t>
      </w:r>
    </w:p>
    <w:p w14:paraId="054188D2" w14:textId="77777777" w:rsidR="00995D2C" w:rsidRPr="00B14994" w:rsidRDefault="00995D2C" w:rsidP="00995D2C">
      <w:pPr>
        <w:pStyle w:val="Default"/>
        <w:numPr>
          <w:ilvl w:val="0"/>
          <w:numId w:val="2"/>
        </w:numPr>
        <w:spacing w:line="259" w:lineRule="auto"/>
        <w:jc w:val="both"/>
        <w:rPr>
          <w:rFonts w:ascii="Trebuchet MS" w:hAnsi="Trebuchet MS"/>
          <w:sz w:val="22"/>
          <w:szCs w:val="22"/>
        </w:rPr>
      </w:pPr>
      <w:r w:rsidRPr="00B14994">
        <w:rPr>
          <w:rFonts w:ascii="Trebuchet MS" w:hAnsi="Trebuchet MS"/>
          <w:sz w:val="22"/>
          <w:szCs w:val="22"/>
        </w:rPr>
        <w:t xml:space="preserve">Stabilizacijski scenarij </w:t>
      </w:r>
      <w:r w:rsidRPr="00B14994">
        <w:rPr>
          <w:rFonts w:ascii="Trebuchet MS" w:hAnsi="Trebuchet MS"/>
          <w:b/>
          <w:bCs/>
          <w:sz w:val="22"/>
          <w:szCs w:val="22"/>
        </w:rPr>
        <w:t>RCP4.5</w:t>
      </w:r>
      <w:r w:rsidRPr="00B14994">
        <w:rPr>
          <w:rFonts w:ascii="Trebuchet MS" w:hAnsi="Trebuchet MS"/>
          <w:sz w:val="22"/>
          <w:szCs w:val="22"/>
        </w:rPr>
        <w:t>, ki na podlagi trenu</w:t>
      </w:r>
      <w:r w:rsidRPr="00B14994">
        <w:rPr>
          <w:rFonts w:ascii="Trebuchet MS" w:hAnsi="Trebuchet MS"/>
          <w:sz w:val="22"/>
          <w:szCs w:val="22"/>
        </w:rPr>
        <w:softHyphen/>
        <w:t>tnega stanja velja za zmerno optimističnega, z začet</w:t>
      </w:r>
      <w:r w:rsidRPr="00B14994">
        <w:rPr>
          <w:rFonts w:ascii="Trebuchet MS" w:hAnsi="Trebuchet MS"/>
          <w:sz w:val="22"/>
          <w:szCs w:val="22"/>
        </w:rPr>
        <w:softHyphen/>
        <w:t>kom druge polovice 21. stoletja predvideva postopno zmanjševanje izpustov in ustalitev sevalnega prispevka kmalu po letu 2100, ob koncu stoletja pa ta znaša 4,5 W m</w:t>
      </w:r>
      <w:r w:rsidRPr="00B14994">
        <w:rPr>
          <w:rFonts w:ascii="Trebuchet MS" w:hAnsi="Trebuchet MS"/>
          <w:sz w:val="22"/>
          <w:szCs w:val="22"/>
          <w:vertAlign w:val="superscript"/>
        </w:rPr>
        <w:t>–2</w:t>
      </w:r>
      <w:r w:rsidRPr="00B14994">
        <w:rPr>
          <w:rFonts w:ascii="Trebuchet MS" w:hAnsi="Trebuchet MS"/>
          <w:sz w:val="22"/>
          <w:szCs w:val="22"/>
        </w:rPr>
        <w:t>.</w:t>
      </w:r>
    </w:p>
    <w:p w14:paraId="3E2A865A" w14:textId="77777777" w:rsidR="00995D2C" w:rsidRPr="00B14994" w:rsidRDefault="00995D2C" w:rsidP="00995D2C">
      <w:pPr>
        <w:pStyle w:val="Default"/>
        <w:numPr>
          <w:ilvl w:val="0"/>
          <w:numId w:val="3"/>
        </w:numPr>
        <w:spacing w:after="160" w:line="259" w:lineRule="auto"/>
        <w:ind w:left="714" w:hanging="357"/>
        <w:jc w:val="both"/>
        <w:rPr>
          <w:rFonts w:ascii="Trebuchet MS" w:hAnsi="Trebuchet MS"/>
          <w:sz w:val="22"/>
          <w:szCs w:val="22"/>
        </w:rPr>
      </w:pPr>
      <w:r w:rsidRPr="00B14994">
        <w:rPr>
          <w:rFonts w:ascii="Trebuchet MS" w:hAnsi="Trebuchet MS"/>
          <w:sz w:val="22"/>
          <w:szCs w:val="22"/>
        </w:rPr>
        <w:t>Pesimistični scenarij</w:t>
      </w:r>
      <w:r w:rsidRPr="00B14994">
        <w:t xml:space="preserve"> </w:t>
      </w:r>
      <w:r w:rsidRPr="00B14994">
        <w:rPr>
          <w:rFonts w:ascii="Trebuchet MS" w:hAnsi="Trebuchet MS"/>
          <w:b/>
          <w:bCs/>
          <w:sz w:val="22"/>
          <w:szCs w:val="22"/>
        </w:rPr>
        <w:t>RCP8.5</w:t>
      </w:r>
      <w:r w:rsidRPr="00B14994">
        <w:rPr>
          <w:rFonts w:ascii="Trebuchet MS" w:hAnsi="Trebuchet MS"/>
          <w:sz w:val="22"/>
          <w:szCs w:val="22"/>
        </w:rPr>
        <w:t>, brez pred</w:t>
      </w:r>
      <w:r w:rsidRPr="00B14994">
        <w:rPr>
          <w:rFonts w:ascii="Trebuchet MS" w:hAnsi="Trebuchet MS"/>
          <w:sz w:val="22"/>
          <w:szCs w:val="22"/>
        </w:rPr>
        <w:softHyphen/>
        <w:t>videnega blaženja podnebnih sprememb, pa predvideva visok izpust toplogrednih plinov in posle</w:t>
      </w:r>
      <w:r w:rsidRPr="00B14994">
        <w:rPr>
          <w:rFonts w:ascii="Trebuchet MS" w:hAnsi="Trebuchet MS"/>
          <w:sz w:val="22"/>
          <w:szCs w:val="22"/>
        </w:rPr>
        <w:softHyphen/>
        <w:t>dično naraščanje njihove vsebnosti tudi po letu 2100, ob koncu stoletja pa sevalni prispevek znaša 8.5 W m</w:t>
      </w:r>
      <w:r w:rsidRPr="00B14994">
        <w:rPr>
          <w:rFonts w:ascii="Trebuchet MS" w:hAnsi="Trebuchet MS"/>
          <w:sz w:val="22"/>
          <w:szCs w:val="22"/>
          <w:vertAlign w:val="superscript"/>
        </w:rPr>
        <w:t>–2</w:t>
      </w:r>
      <w:r w:rsidRPr="00B14994">
        <w:rPr>
          <w:rFonts w:ascii="Trebuchet MS" w:hAnsi="Trebuchet MS"/>
          <w:sz w:val="22"/>
          <w:szCs w:val="22"/>
        </w:rPr>
        <w:t>. Scenarij je energetsko intenziven, kar je posledica predvidene visoke rasti prebivalstva in nižje stopnje tehnološkega razvoja.</w:t>
      </w:r>
    </w:p>
    <w:p w14:paraId="00710F07" w14:textId="77777777" w:rsidR="00995D2C" w:rsidRPr="00B14994" w:rsidRDefault="00995D2C" w:rsidP="00995D2C">
      <w:r w:rsidRPr="00B14994">
        <w:t xml:space="preserve">Scenariji prikazujejo odstopanje 30-letnih povprečnih razmer v prihodnosti v primerjavi z referenčnim obdobjem v preteklosti (1981—2010). Uporaba 30-letnega obdobja preprečuje zamenjavo kratkoročne naravne spremenljivosti podnebja (npr. letno ali desetletno nihanje) za </w:t>
      </w:r>
      <w:r w:rsidRPr="00B14994">
        <w:lastRenderedPageBreak/>
        <w:t>dolgoročni podnebni signal, zato povprečje v daljšem časovnem obdobju kaže dejanski podatek o podnebju.</w:t>
      </w:r>
    </w:p>
    <w:p w14:paraId="0C5A3B57" w14:textId="77777777" w:rsidR="00995D2C" w:rsidRPr="00B14994" w:rsidRDefault="00995D2C" w:rsidP="00995D2C">
      <w:pPr>
        <w:spacing w:after="0"/>
      </w:pPr>
      <w:r w:rsidRPr="00B14994">
        <w:t>Za potrebe analize podnebja v prihodnosti smo uporabili dve tridesetletni obdobji:</w:t>
      </w:r>
    </w:p>
    <w:p w14:paraId="7CA32A22" w14:textId="77777777" w:rsidR="00995D2C" w:rsidRPr="00B14994" w:rsidRDefault="00995D2C" w:rsidP="00995D2C">
      <w:pPr>
        <w:pStyle w:val="Default"/>
        <w:numPr>
          <w:ilvl w:val="0"/>
          <w:numId w:val="4"/>
        </w:numPr>
        <w:spacing w:line="259" w:lineRule="auto"/>
        <w:jc w:val="both"/>
        <w:rPr>
          <w:rFonts w:ascii="Trebuchet MS" w:hAnsi="Trebuchet MS"/>
          <w:sz w:val="22"/>
          <w:szCs w:val="22"/>
        </w:rPr>
      </w:pPr>
      <w:r w:rsidRPr="00B14994">
        <w:rPr>
          <w:rFonts w:ascii="Trebuchet MS" w:hAnsi="Trebuchet MS"/>
          <w:sz w:val="22"/>
          <w:szCs w:val="22"/>
        </w:rPr>
        <w:t>1. obdobje med leti 2011—2040, z osrednjim letom 2025,</w:t>
      </w:r>
    </w:p>
    <w:p w14:paraId="1A94422B" w14:textId="77777777" w:rsidR="00995D2C" w:rsidRPr="00B14994" w:rsidRDefault="00995D2C" w:rsidP="00995D2C">
      <w:pPr>
        <w:pStyle w:val="Default"/>
        <w:numPr>
          <w:ilvl w:val="0"/>
          <w:numId w:val="4"/>
        </w:numPr>
        <w:spacing w:after="160" w:line="259" w:lineRule="auto"/>
        <w:ind w:left="714" w:hanging="357"/>
        <w:jc w:val="both"/>
        <w:rPr>
          <w:rFonts w:ascii="Trebuchet MS" w:hAnsi="Trebuchet MS"/>
          <w:sz w:val="22"/>
          <w:szCs w:val="22"/>
        </w:rPr>
      </w:pPr>
      <w:r w:rsidRPr="00B14994">
        <w:rPr>
          <w:rFonts w:ascii="Trebuchet MS" w:hAnsi="Trebuchet MS"/>
          <w:sz w:val="22"/>
          <w:szCs w:val="22"/>
        </w:rPr>
        <w:t>2. obdobje med leti 2041—2070, z osrednjim letom 2055.</w:t>
      </w:r>
    </w:p>
    <w:p w14:paraId="44BB2564" w14:textId="77777777" w:rsidR="00995D2C" w:rsidRPr="00B14994" w:rsidRDefault="00995D2C" w:rsidP="00995D2C">
      <w:pPr>
        <w:spacing w:after="0"/>
      </w:pPr>
      <w:r w:rsidRPr="00B14994">
        <w:t>Poleg izračunov tridesetletnih povprečij na letni skali, so bila z namenom prikaza značilnosti sezonskega nihanja obravnavana krajša časovna obdobja znotraj leta in sicer štirje meteorološki letni časi:</w:t>
      </w:r>
    </w:p>
    <w:p w14:paraId="5A9648E4" w14:textId="77777777" w:rsidR="00995D2C" w:rsidRPr="00B14994" w:rsidRDefault="00995D2C" w:rsidP="00995D2C">
      <w:pPr>
        <w:pStyle w:val="Default"/>
        <w:numPr>
          <w:ilvl w:val="0"/>
          <w:numId w:val="5"/>
        </w:numPr>
        <w:spacing w:line="259" w:lineRule="auto"/>
        <w:jc w:val="both"/>
        <w:rPr>
          <w:rFonts w:ascii="Trebuchet MS" w:hAnsi="Trebuchet MS"/>
          <w:sz w:val="22"/>
          <w:szCs w:val="22"/>
        </w:rPr>
      </w:pPr>
      <w:r w:rsidRPr="00B14994">
        <w:rPr>
          <w:rFonts w:ascii="Trebuchet MS" w:hAnsi="Trebuchet MS"/>
          <w:sz w:val="22"/>
          <w:szCs w:val="22"/>
        </w:rPr>
        <w:t xml:space="preserve">zima (december, januar, februar), </w:t>
      </w:r>
    </w:p>
    <w:p w14:paraId="52772B51" w14:textId="77777777" w:rsidR="00995D2C" w:rsidRPr="00B14994" w:rsidRDefault="00995D2C" w:rsidP="00995D2C">
      <w:pPr>
        <w:pStyle w:val="Default"/>
        <w:numPr>
          <w:ilvl w:val="0"/>
          <w:numId w:val="5"/>
        </w:numPr>
        <w:spacing w:line="259" w:lineRule="auto"/>
        <w:jc w:val="both"/>
        <w:rPr>
          <w:rFonts w:ascii="Trebuchet MS" w:hAnsi="Trebuchet MS"/>
          <w:sz w:val="22"/>
          <w:szCs w:val="22"/>
        </w:rPr>
      </w:pPr>
      <w:r w:rsidRPr="00B14994">
        <w:rPr>
          <w:rFonts w:ascii="Trebuchet MS" w:hAnsi="Trebuchet MS"/>
          <w:sz w:val="22"/>
          <w:szCs w:val="22"/>
        </w:rPr>
        <w:t xml:space="preserve">pomlad (marec, april, maj), </w:t>
      </w:r>
    </w:p>
    <w:p w14:paraId="40C5B01F" w14:textId="77777777" w:rsidR="00995D2C" w:rsidRPr="00B14994" w:rsidRDefault="00995D2C" w:rsidP="00995D2C">
      <w:pPr>
        <w:pStyle w:val="Default"/>
        <w:numPr>
          <w:ilvl w:val="0"/>
          <w:numId w:val="5"/>
        </w:numPr>
        <w:spacing w:line="259" w:lineRule="auto"/>
        <w:jc w:val="both"/>
        <w:rPr>
          <w:rFonts w:ascii="Trebuchet MS" w:hAnsi="Trebuchet MS"/>
          <w:sz w:val="22"/>
          <w:szCs w:val="22"/>
        </w:rPr>
      </w:pPr>
      <w:r w:rsidRPr="00B14994">
        <w:rPr>
          <w:rFonts w:ascii="Trebuchet MS" w:hAnsi="Trebuchet MS"/>
          <w:sz w:val="22"/>
          <w:szCs w:val="22"/>
        </w:rPr>
        <w:t xml:space="preserve">poletje (junij, julij, avgust), </w:t>
      </w:r>
    </w:p>
    <w:p w14:paraId="7B026C1A" w14:textId="77777777" w:rsidR="00995D2C" w:rsidRPr="00B14994" w:rsidRDefault="00995D2C" w:rsidP="00995D2C">
      <w:pPr>
        <w:pStyle w:val="Default"/>
        <w:numPr>
          <w:ilvl w:val="0"/>
          <w:numId w:val="5"/>
        </w:numPr>
        <w:spacing w:after="120" w:line="259" w:lineRule="auto"/>
        <w:ind w:left="714" w:hanging="357"/>
        <w:jc w:val="both"/>
        <w:rPr>
          <w:rFonts w:ascii="Trebuchet MS" w:hAnsi="Trebuchet MS"/>
          <w:sz w:val="22"/>
          <w:szCs w:val="22"/>
        </w:rPr>
      </w:pPr>
      <w:r w:rsidRPr="00B14994">
        <w:rPr>
          <w:rFonts w:ascii="Trebuchet MS" w:hAnsi="Trebuchet MS"/>
          <w:sz w:val="22"/>
          <w:szCs w:val="22"/>
        </w:rPr>
        <w:t>jesen (september, oktober, november).</w:t>
      </w:r>
    </w:p>
    <w:p w14:paraId="26FA0F4B" w14:textId="77777777" w:rsidR="00995D2C" w:rsidRPr="00B14994" w:rsidRDefault="00995D2C" w:rsidP="00995D2C">
      <w:r w:rsidRPr="00B14994">
        <w:t xml:space="preserve">Ocena podnebnih sprememb za oba scenarija temelji na analizi simulacij regionalnih podnebnih modelov. Zaradi negotovosti podnebnih simulacij, ocena temelji na simulacijah večjega števila modelov (ansambla). Uporabljeni so podnebni modeli v ločljivosti 12 km. Podnebni modeli vsebujejo sistematične napake, zato je potrebno modelske rezultate pred njihovo uporabo korigirati z meritvami glede na mrežno meritev v Sloveniji. Korekcije so narejene za obdobje 1981—2100, pri čemer je bilo referenčno obdobje 1981—2010. To pomeni, da se meritve in modelski podatki v referenčnem obdobju ujemajo (imajo enaka povprečja). Korekcije so bile narejene za osnovne podnebne spremenljivke kot so temperatura, padavine in referenčna </w:t>
      </w:r>
      <w:proofErr w:type="spellStart"/>
      <w:r w:rsidRPr="00B14994">
        <w:t>evapotranspiracija</w:t>
      </w:r>
      <w:proofErr w:type="spellEnd"/>
      <w:r w:rsidRPr="00B14994">
        <w:t>. Pod osnovne spremenljivke štejemo tudi povprečno hitrost vetra in trajanje sončnega obsevanja, vendar te spremenljivke niso popravljene, saj ni zadostnega števila meritev. Vse ostale spremenljivke oz. kazalniki so preračunani iz zgoraj omenjenih osnovnih spremenljivk. V analizi klimatskih podatkov so uporabljeni modelski podatki, s korekcijami kjer je to mogoče (kot opisano zgoraj), pripravljeni s strani Agencije Republike Slovenije za okolje (ARSO). Rezultati analize podatkov so povzeti in obrazloženi v nadaljevanju s kazalniki stanja okolja za območje občine.</w:t>
      </w:r>
    </w:p>
    <w:p w14:paraId="62296ECF" w14:textId="77777777" w:rsidR="00995D2C" w:rsidRPr="00B14994" w:rsidRDefault="00995D2C" w:rsidP="00995D2C">
      <w:pPr>
        <w:pStyle w:val="Naslov3"/>
      </w:pPr>
      <w:bookmarkStart w:id="54" w:name="_Toc97026735"/>
      <w:r w:rsidRPr="00B14994">
        <w:t>Kazalniki stanja okolja za območje</w:t>
      </w:r>
      <w:bookmarkEnd w:id="54"/>
    </w:p>
    <w:p w14:paraId="6A8CEEBD" w14:textId="77777777" w:rsidR="00995D2C" w:rsidRPr="00B14994" w:rsidRDefault="00995D2C" w:rsidP="00995D2C">
      <w:r w:rsidRPr="00B14994">
        <w:t xml:space="preserve">V nadaljevanju so predstavljeni kazalniki stanja okolja za območje </w:t>
      </w:r>
      <w:r>
        <w:t xml:space="preserve">Mestne </w:t>
      </w:r>
      <w:r w:rsidRPr="00B14994">
        <w:t xml:space="preserve">občine </w:t>
      </w:r>
      <w:r>
        <w:t>Nova Gorica</w:t>
      </w:r>
      <w:r w:rsidRPr="00B14994">
        <w:t xml:space="preserve"> za referenčno stanje (1981—2010) ter za dve tridesetletni obdobji (2011—2040 in 2041—2070) za scenarija RCP4.5 in RCP8.5, za leto in 4 letne čase (kjer je to smiselno in možno), s prostorsko ločljivostjo 12 km x 12 km.</w:t>
      </w:r>
    </w:p>
    <w:p w14:paraId="3BAFA5F2" w14:textId="77777777" w:rsidR="00995D2C" w:rsidRDefault="00995D2C" w:rsidP="00995D2C">
      <w:pPr>
        <w:rPr>
          <w:rFonts w:cs="Calibri"/>
          <w:color w:val="000000"/>
        </w:rPr>
      </w:pPr>
      <w:r w:rsidRPr="00B14994">
        <w:rPr>
          <w:rFonts w:cs="Calibri"/>
          <w:color w:val="000000"/>
        </w:rPr>
        <w:t>Kazalniki stanja okolja so podani za posamezne kazalnike podnebne spremenljivosti, ki so bili prepoznani kot</w:t>
      </w:r>
      <w:r w:rsidRPr="00B14994">
        <w:t xml:space="preserve"> </w:t>
      </w:r>
      <w:r w:rsidRPr="00B14994">
        <w:rPr>
          <w:rFonts w:cs="Calibri"/>
          <w:color w:val="000000"/>
        </w:rPr>
        <w:t xml:space="preserve">kazalniki z največjim potencialnim vplivom na ranljivost obravnavanih sektorjev. V nadaljevanju uporabljeni osnovni podatki za podnebne kazalnike so pridobljeni s strani ARSO za območje </w:t>
      </w:r>
      <w:r>
        <w:rPr>
          <w:rFonts w:cs="Calibri"/>
          <w:color w:val="000000"/>
        </w:rPr>
        <w:t>Mestne občine Nova Gorica</w:t>
      </w:r>
      <w:r w:rsidRPr="00B14994">
        <w:rPr>
          <w:rFonts w:cs="Calibri"/>
          <w:color w:val="000000"/>
        </w:rPr>
        <w:t>.</w:t>
      </w:r>
    </w:p>
    <w:p w14:paraId="6BDAAA58" w14:textId="77777777" w:rsidR="00995D2C" w:rsidRPr="00B14994" w:rsidRDefault="00995D2C" w:rsidP="00995D2C">
      <w:pPr>
        <w:pStyle w:val="Naslov4"/>
      </w:pPr>
      <w:bookmarkStart w:id="55" w:name="_Toc54953805"/>
      <w:r w:rsidRPr="00B14994">
        <w:t>Temperatura zraka</w:t>
      </w:r>
      <w:bookmarkEnd w:id="55"/>
    </w:p>
    <w:p w14:paraId="3EC5D16E" w14:textId="77777777" w:rsidR="00995D2C" w:rsidRPr="00B14994" w:rsidRDefault="00995D2C" w:rsidP="00995D2C">
      <w:r w:rsidRPr="00B14994">
        <w:t>Temperatura sodi med temeljne lastnosti ozračja in je glavni kazalnik dosedanjih podnebnih sprememb – globalnega segrevanja ozračja, morja in kopnega. Povprečna temperatura zraka nekega kraja ali občine v daljšem časovnem obdobju je odvisna od geografske lege, zlasti od nadmorske višine, geografske širine, vpliva morja in človekovega delovanja na prostor.</w:t>
      </w:r>
    </w:p>
    <w:p w14:paraId="46002C52" w14:textId="77777777" w:rsidR="00995D2C" w:rsidRPr="00B14994" w:rsidRDefault="00995D2C" w:rsidP="00995D2C">
      <w:pPr>
        <w:pStyle w:val="Naslov4"/>
      </w:pPr>
      <w:r w:rsidRPr="00B14994">
        <w:lastRenderedPageBreak/>
        <w:t>Povprečna letna / sezonska temperatura zraka</w:t>
      </w:r>
    </w:p>
    <w:p w14:paraId="0FB12AF2" w14:textId="77777777" w:rsidR="00995D2C" w:rsidRPr="00B14994" w:rsidRDefault="00995D2C" w:rsidP="00995D2C">
      <w:r w:rsidRPr="00B14994">
        <w:t xml:space="preserve">Letna povprečna temperatura zraka v občini je v referenčnem obdobju 1981—2010 znašala </w:t>
      </w:r>
      <w:r>
        <w:t>10</w:t>
      </w:r>
      <w:r w:rsidRPr="00B14994">
        <w:t>,</w:t>
      </w:r>
      <w:r>
        <w:t>4</w:t>
      </w:r>
      <w:r w:rsidRPr="00B14994">
        <w:t xml:space="preserve"> °C, z zimsko povprečno temperaturo </w:t>
      </w:r>
      <w:r>
        <w:t>1</w:t>
      </w:r>
      <w:r w:rsidRPr="00B14994">
        <w:t>,</w:t>
      </w:r>
      <w:r>
        <w:t>8</w:t>
      </w:r>
      <w:r w:rsidRPr="00B14994">
        <w:t> °C, ter poletno povprečno temperaturo 1</w:t>
      </w:r>
      <w:r>
        <w:t>9</w:t>
      </w:r>
      <w:r w:rsidRPr="00B14994">
        <w:t>,</w:t>
      </w:r>
      <w:r>
        <w:t>1</w:t>
      </w:r>
      <w:r w:rsidRPr="00B14994">
        <w:t> °C. Povprečna temperatura zraka je močno pogojena z nadmorsko višino, temperatura se v povprečju zniža za 1 °C na vsakih 180 metrov dviga.</w:t>
      </w:r>
    </w:p>
    <w:p w14:paraId="1AC941A2" w14:textId="77777777" w:rsidR="00995D2C" w:rsidRPr="00B14994" w:rsidRDefault="00995D2C" w:rsidP="00995D2C">
      <w:r w:rsidRPr="00B14994">
        <w:t>Povprečna temperatura zraka se je v občini v referenčnem obdobju 1981—2010 dvignila za 0,3</w:t>
      </w:r>
      <w:r>
        <w:t>2</w:t>
      </w:r>
      <w:r w:rsidRPr="00B14994">
        <w:t> °C/desetletje, torej za 1,</w:t>
      </w:r>
      <w:r>
        <w:t>0</w:t>
      </w:r>
      <w:r w:rsidRPr="00B14994">
        <w:t> °C v tridesetletnem obdobju. Najbolj so se ogrela poletja (0,4</w:t>
      </w:r>
      <w:r>
        <w:t>4</w:t>
      </w:r>
      <w:r w:rsidRPr="00B14994">
        <w:t> °C/desetletje) in pomladi (0,3</w:t>
      </w:r>
      <w:r>
        <w:t>8</w:t>
      </w:r>
      <w:r w:rsidRPr="00B14994">
        <w:t> °C/desetletje), nekoliko manj zime (0,3</w:t>
      </w:r>
      <w:r>
        <w:t>2</w:t>
      </w:r>
      <w:r w:rsidRPr="00B14994">
        <w:t> °C/desetletje), medtem ko jeseni ni zaznati sprememb povprečne dnevne temperature zraka.</w:t>
      </w:r>
    </w:p>
    <w:p w14:paraId="35E7B4C6" w14:textId="77777777" w:rsidR="00995D2C" w:rsidRPr="00B14994" w:rsidRDefault="00995D2C" w:rsidP="00995D2C">
      <w:r w:rsidRPr="00B14994">
        <w:t>Naraščanje temperature zraka se nadaljuje, velikost dviga pa je zelo odvisna od scenarija izpustov toplogrednih plinov. V primeru scenarija RCP4.5 bo povprečna letna temperatura v občini v letih 2011—2040 višja za približno 0,8 °C, v letih 2041—2070 pa za 1,4 °C, vedno gledano v primerjavi z obdobjem 1981—2010. V primeru scenarija RCP8.5 pa bo temperatura v letih 2011—2040 višja za približno 0,8 °C, v letih 2041—2070 pa za 1,</w:t>
      </w:r>
      <w:r>
        <w:t>9</w:t>
      </w:r>
      <w:r w:rsidRPr="00B14994">
        <w:t> °C. V obeh primerih projekcije kažejo, da se bo najbolj segrelo pozimi</w:t>
      </w:r>
      <w:r>
        <w:t>,</w:t>
      </w:r>
      <w:r w:rsidRPr="00B14994">
        <w:t xml:space="preserve"> poleti</w:t>
      </w:r>
      <w:r>
        <w:t xml:space="preserve"> in tudi</w:t>
      </w:r>
      <w:r w:rsidRPr="00B14994">
        <w:t xml:space="preserve"> jeseni, </w:t>
      </w:r>
      <w:r>
        <w:t>nekoliko manj</w:t>
      </w:r>
      <w:r w:rsidRPr="00B14994">
        <w:t xml:space="preserve"> pa spomladi. Odkloni povprečne temperature p</w:t>
      </w:r>
      <w:r>
        <w:t xml:space="preserve">o </w:t>
      </w:r>
      <w:r w:rsidRPr="00B14994">
        <w:t>scenariju RCP4.5</w:t>
      </w:r>
      <w:r>
        <w:t xml:space="preserve"> in scenariju RCP8.5</w:t>
      </w:r>
      <w:r w:rsidRPr="00B14994">
        <w:t xml:space="preserve"> so prikazani na naslednji sliki.</w:t>
      </w:r>
    </w:p>
    <w:p w14:paraId="0A7C4270" w14:textId="77777777" w:rsidR="00995D2C" w:rsidRPr="00193D4B" w:rsidRDefault="00995D2C" w:rsidP="00995D2C">
      <w:r>
        <w:rPr>
          <w:noProof/>
          <w:lang w:eastAsia="sl-SI"/>
        </w:rPr>
        <w:lastRenderedPageBreak/>
        <w:drawing>
          <wp:inline distT="0" distB="0" distL="0" distR="0" wp14:anchorId="7B873C60" wp14:editId="0903110E">
            <wp:extent cx="3006437" cy="2563377"/>
            <wp:effectExtent l="0" t="0" r="3810" b="889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20297" cy="2575194"/>
                    </a:xfrm>
                    <a:prstGeom prst="rect">
                      <a:avLst/>
                    </a:prstGeom>
                    <a:noFill/>
                    <a:ln>
                      <a:noFill/>
                    </a:ln>
                  </pic:spPr>
                </pic:pic>
              </a:graphicData>
            </a:graphic>
          </wp:inline>
        </w:drawing>
      </w:r>
      <w:r>
        <w:rPr>
          <w:noProof/>
          <w:lang w:eastAsia="sl-SI"/>
        </w:rPr>
        <w:drawing>
          <wp:inline distT="0" distB="0" distL="0" distR="0" wp14:anchorId="1B6B9865" wp14:editId="55B1EBD9">
            <wp:extent cx="3089563" cy="2609527"/>
            <wp:effectExtent l="0" t="0" r="0" b="635"/>
            <wp:docPr id="80"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10492" cy="2627204"/>
                    </a:xfrm>
                    <a:prstGeom prst="rect">
                      <a:avLst/>
                    </a:prstGeom>
                    <a:noFill/>
                    <a:ln>
                      <a:noFill/>
                    </a:ln>
                  </pic:spPr>
                </pic:pic>
              </a:graphicData>
            </a:graphic>
          </wp:inline>
        </w:drawing>
      </w:r>
      <w:r>
        <w:rPr>
          <w:noProof/>
          <w:lang w:eastAsia="sl-SI"/>
        </w:rPr>
        <w:drawing>
          <wp:inline distT="0" distB="0" distL="0" distR="0" wp14:anchorId="75E56AEF" wp14:editId="25B1D2A7">
            <wp:extent cx="3071322" cy="2604655"/>
            <wp:effectExtent l="0" t="0" r="0" b="5715"/>
            <wp:docPr id="101"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90998" cy="2621341"/>
                    </a:xfrm>
                    <a:prstGeom prst="rect">
                      <a:avLst/>
                    </a:prstGeom>
                    <a:noFill/>
                    <a:ln>
                      <a:noFill/>
                    </a:ln>
                  </pic:spPr>
                </pic:pic>
              </a:graphicData>
            </a:graphic>
          </wp:inline>
        </w:drawing>
      </w:r>
      <w:r>
        <w:rPr>
          <w:noProof/>
          <w:lang w:eastAsia="sl-SI"/>
        </w:rPr>
        <w:drawing>
          <wp:inline distT="0" distB="0" distL="0" distR="0" wp14:anchorId="4190E0F3" wp14:editId="31EB1CF2">
            <wp:extent cx="3024131" cy="2609739"/>
            <wp:effectExtent l="0" t="0" r="5080" b="635"/>
            <wp:docPr id="898580677"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30660" cy="2615373"/>
                    </a:xfrm>
                    <a:prstGeom prst="rect">
                      <a:avLst/>
                    </a:prstGeom>
                    <a:noFill/>
                    <a:ln>
                      <a:noFill/>
                    </a:ln>
                  </pic:spPr>
                </pic:pic>
              </a:graphicData>
            </a:graphic>
          </wp:inline>
        </w:drawing>
      </w:r>
    </w:p>
    <w:p w14:paraId="5C0D7BDB" w14:textId="45E059C5" w:rsidR="00995D2C" w:rsidRPr="004F2C87" w:rsidRDefault="00995D2C" w:rsidP="00995D2C">
      <w:pPr>
        <w:pStyle w:val="Napis"/>
      </w:pPr>
      <w:bookmarkStart w:id="56" w:name="_Toc97026840"/>
      <w:r>
        <w:t xml:space="preserve">Slika </w:t>
      </w:r>
      <w:r w:rsidR="008334B2">
        <w:fldChar w:fldCharType="begin"/>
      </w:r>
      <w:r w:rsidR="008334B2">
        <w:instrText xml:space="preserve"> STYLEREF 1 \s </w:instrText>
      </w:r>
      <w:r w:rsidR="008334B2">
        <w:fldChar w:fldCharType="separate"/>
      </w:r>
      <w:r w:rsidR="008334B2">
        <w:rPr>
          <w:noProof/>
        </w:rPr>
        <w:t>4</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2</w:t>
      </w:r>
      <w:r w:rsidR="008334B2">
        <w:fldChar w:fldCharType="end"/>
      </w:r>
      <w:r>
        <w:t xml:space="preserve">: </w:t>
      </w:r>
      <w:r w:rsidRPr="000865B5">
        <w:t>Ocenjene spremembe povprečne dnevne temperature na območju</w:t>
      </w:r>
      <w:r>
        <w:t xml:space="preserve"> Mestne</w:t>
      </w:r>
      <w:r w:rsidRPr="000865B5">
        <w:t xml:space="preserve"> občine </w:t>
      </w:r>
      <w:r>
        <w:t>Nova Gorica</w:t>
      </w:r>
      <w:r w:rsidRPr="000865B5">
        <w:t>, za scenarij</w:t>
      </w:r>
      <w:r>
        <w:t>a</w:t>
      </w:r>
      <w:r w:rsidRPr="000865B5">
        <w:t xml:space="preserve"> RCP4.5</w:t>
      </w:r>
      <w:r>
        <w:t xml:space="preserve"> in RCP8.5</w:t>
      </w:r>
      <w:r w:rsidRPr="000865B5">
        <w:t>, v obdobjih 2011—2040 ter 2041—2070, v primerjavi z obdobjem 1981—2010, po sezonah in letno, z najnižjo, srednjo in najvišjo vrednostjo modelskih ocen (vir: ARS</w:t>
      </w:r>
      <w:r>
        <w:t>0)</w:t>
      </w:r>
      <w:bookmarkEnd w:id="56"/>
    </w:p>
    <w:p w14:paraId="0C55711B" w14:textId="77777777" w:rsidR="00995D2C" w:rsidRDefault="00995D2C" w:rsidP="00995D2C">
      <w:pPr>
        <w:spacing w:after="0"/>
      </w:pPr>
    </w:p>
    <w:p w14:paraId="44E0C58A" w14:textId="77777777" w:rsidR="00995D2C" w:rsidRPr="00B14994" w:rsidRDefault="00995D2C" w:rsidP="00995D2C">
      <w:pPr>
        <w:pStyle w:val="Naslov4"/>
      </w:pPr>
      <w:r w:rsidRPr="00B14994">
        <w:t>Dnevna najvišja/najnižja temperatura zraka</w:t>
      </w:r>
    </w:p>
    <w:p w14:paraId="7E0729D4" w14:textId="77777777" w:rsidR="00995D2C" w:rsidRPr="00B14994" w:rsidRDefault="00995D2C" w:rsidP="00995D2C">
      <w:r w:rsidRPr="00B14994">
        <w:t>Najvišja temperatura zraka je zelo povezana z nadmorsko višino. Nasprotno je najnižja temperatura močno odvisna od lokalnih razmer, zlasti od oblike površja (vbočeno, izbočeno), relativne višine glede na okolico in stopnje urbanizacije.</w:t>
      </w:r>
    </w:p>
    <w:p w14:paraId="73DC9D07" w14:textId="77777777" w:rsidR="00995D2C" w:rsidRPr="00B14994" w:rsidRDefault="00995D2C" w:rsidP="00995D2C">
      <w:pPr>
        <w:rPr>
          <w:color w:val="000000"/>
          <w14:textFill>
            <w14:solidFill>
              <w14:srgbClr w14:val="000000">
                <w14:lumMod w14:val="75000"/>
              </w14:srgbClr>
            </w14:solidFill>
          </w14:textFill>
        </w:rPr>
      </w:pPr>
      <w:r w:rsidRPr="00B14994">
        <w:rPr>
          <w:color w:val="000000"/>
          <w14:textFill>
            <w14:solidFill>
              <w14:srgbClr w14:val="000000">
                <w14:lumMod w14:val="75000"/>
              </w14:srgbClr>
            </w14:solidFill>
          </w14:textFill>
        </w:rPr>
        <w:t>Dnevna najvišja temperatura zraka v občini je v referenčnem obdobju 1981</w:t>
      </w:r>
      <w:r w:rsidRPr="00B14994">
        <w:t>—</w:t>
      </w:r>
      <w:r w:rsidRPr="00B14994">
        <w:rPr>
          <w:color w:val="000000"/>
          <w14:textFill>
            <w14:solidFill>
              <w14:srgbClr w14:val="000000">
                <w14:lumMod w14:val="75000"/>
              </w14:srgbClr>
            </w14:solidFill>
          </w14:textFill>
        </w:rPr>
        <w:t>2010 na letnem nivoju znašala povprečno 1</w:t>
      </w:r>
      <w:r>
        <w:rPr>
          <w:color w:val="000000"/>
          <w14:textFill>
            <w14:solidFill>
              <w14:srgbClr w14:val="000000">
                <w14:lumMod w14:val="75000"/>
              </w14:srgbClr>
            </w14:solidFill>
          </w14:textFill>
        </w:rPr>
        <w:t>5</w:t>
      </w:r>
      <w:r w:rsidRPr="00B14994">
        <w:rPr>
          <w:color w:val="000000"/>
          <w14:textFill>
            <w14:solidFill>
              <w14:srgbClr w14:val="000000">
                <w14:lumMod w14:val="75000"/>
              </w14:srgbClr>
            </w14:solidFill>
          </w14:textFill>
        </w:rPr>
        <w:t>,</w:t>
      </w:r>
      <w:r>
        <w:rPr>
          <w:color w:val="000000"/>
          <w14:textFill>
            <w14:solidFill>
              <w14:srgbClr w14:val="000000">
                <w14:lumMod w14:val="75000"/>
              </w14:srgbClr>
            </w14:solidFill>
          </w14:textFill>
        </w:rPr>
        <w:t>6</w:t>
      </w:r>
      <w:r w:rsidRPr="00B14994">
        <w:rPr>
          <w:color w:val="000000"/>
          <w14:textFill>
            <w14:solidFill>
              <w14:srgbClr w14:val="000000">
                <w14:lumMod w14:val="75000"/>
              </w14:srgbClr>
            </w14:solidFill>
          </w14:textFill>
        </w:rPr>
        <w:t xml:space="preserve"> °C, pozimi </w:t>
      </w:r>
      <w:r>
        <w:rPr>
          <w:color w:val="000000"/>
          <w14:textFill>
            <w14:solidFill>
              <w14:srgbClr w14:val="000000">
                <w14:lumMod w14:val="75000"/>
              </w14:srgbClr>
            </w14:solidFill>
          </w14:textFill>
        </w:rPr>
        <w:t>6</w:t>
      </w:r>
      <w:r w:rsidRPr="00B14994">
        <w:rPr>
          <w:color w:val="000000"/>
          <w14:textFill>
            <w14:solidFill>
              <w14:srgbClr w14:val="000000">
                <w14:lumMod w14:val="75000"/>
              </w14:srgbClr>
            </w14:solidFill>
          </w14:textFill>
        </w:rPr>
        <w:t>,</w:t>
      </w:r>
      <w:r>
        <w:rPr>
          <w:color w:val="000000"/>
          <w14:textFill>
            <w14:solidFill>
              <w14:srgbClr w14:val="000000">
                <w14:lumMod w14:val="75000"/>
              </w14:srgbClr>
            </w14:solidFill>
          </w14:textFill>
        </w:rPr>
        <w:t>1</w:t>
      </w:r>
      <w:r w:rsidRPr="00B14994">
        <w:rPr>
          <w:color w:val="000000"/>
          <w14:textFill>
            <w14:solidFill>
              <w14:srgbClr w14:val="000000">
                <w14:lumMod w14:val="75000"/>
              </w14:srgbClr>
            </w14:solidFill>
          </w14:textFill>
        </w:rPr>
        <w:t> °C, poleti pa 2</w:t>
      </w:r>
      <w:r>
        <w:rPr>
          <w:color w:val="000000"/>
          <w14:textFill>
            <w14:solidFill>
              <w14:srgbClr w14:val="000000">
                <w14:lumMod w14:val="75000"/>
              </w14:srgbClr>
            </w14:solidFill>
          </w14:textFill>
        </w:rPr>
        <w:t>5,1</w:t>
      </w:r>
      <w:r w:rsidRPr="00B14994">
        <w:rPr>
          <w:color w:val="000000"/>
          <w14:textFill>
            <w14:solidFill>
              <w14:srgbClr w14:val="000000">
                <w14:lumMod w14:val="75000"/>
              </w14:srgbClr>
            </w14:solidFill>
          </w14:textFill>
        </w:rPr>
        <w:t> °C, pomlad in jesen sta zelo blizu povprečni vrednosti na letnem nivoju. Dnevna najnižja temperatura zraka v občini je v referenčnem obdobju 1981</w:t>
      </w:r>
      <w:r w:rsidRPr="00B14994">
        <w:t>—</w:t>
      </w:r>
      <w:r w:rsidRPr="00B14994">
        <w:rPr>
          <w:color w:val="000000"/>
          <w14:textFill>
            <w14:solidFill>
              <w14:srgbClr w14:val="000000">
                <w14:lumMod w14:val="75000"/>
              </w14:srgbClr>
            </w14:solidFill>
          </w14:textFill>
        </w:rPr>
        <w:t xml:space="preserve">2010 na letnem nivoju znašala povprečno </w:t>
      </w:r>
      <w:r>
        <w:rPr>
          <w:color w:val="000000"/>
          <w14:textFill>
            <w14:solidFill>
              <w14:srgbClr w14:val="000000">
                <w14:lumMod w14:val="75000"/>
              </w14:srgbClr>
            </w14:solidFill>
          </w14:textFill>
        </w:rPr>
        <w:t>6</w:t>
      </w:r>
      <w:r w:rsidRPr="00B14994">
        <w:rPr>
          <w:color w:val="000000"/>
          <w14:textFill>
            <w14:solidFill>
              <w14:srgbClr w14:val="000000">
                <w14:lumMod w14:val="75000"/>
              </w14:srgbClr>
            </w14:solidFill>
          </w14:textFill>
        </w:rPr>
        <w:t> °C, pozimi -</w:t>
      </w:r>
      <w:r>
        <w:rPr>
          <w:color w:val="000000"/>
          <w14:textFill>
            <w14:solidFill>
              <w14:srgbClr w14:val="000000">
                <w14:lumMod w14:val="75000"/>
              </w14:srgbClr>
            </w14:solidFill>
          </w14:textFill>
        </w:rPr>
        <w:t>1</w:t>
      </w:r>
      <w:r w:rsidRPr="00B14994">
        <w:rPr>
          <w:color w:val="000000"/>
          <w14:textFill>
            <w14:solidFill>
              <w14:srgbClr w14:val="000000">
                <w14:lumMod w14:val="75000"/>
              </w14:srgbClr>
            </w14:solidFill>
          </w14:textFill>
        </w:rPr>
        <w:t>,</w:t>
      </w:r>
      <w:r>
        <w:rPr>
          <w:color w:val="000000"/>
          <w14:textFill>
            <w14:solidFill>
              <w14:srgbClr w14:val="000000">
                <w14:lumMod w14:val="75000"/>
              </w14:srgbClr>
            </w14:solidFill>
          </w14:textFill>
        </w:rPr>
        <w:t>7</w:t>
      </w:r>
      <w:r w:rsidRPr="00B14994">
        <w:rPr>
          <w:color w:val="000000"/>
          <w14:textFill>
            <w14:solidFill>
              <w14:srgbClr w14:val="000000">
                <w14:lumMod w14:val="75000"/>
              </w14:srgbClr>
            </w14:solidFill>
          </w14:textFill>
        </w:rPr>
        <w:t> °C, poleti pa 1</w:t>
      </w:r>
      <w:r>
        <w:rPr>
          <w:color w:val="000000"/>
          <w14:textFill>
            <w14:solidFill>
              <w14:srgbClr w14:val="000000">
                <w14:lumMod w14:val="75000"/>
              </w14:srgbClr>
            </w14:solidFill>
          </w14:textFill>
        </w:rPr>
        <w:t>3</w:t>
      </w:r>
      <w:r w:rsidRPr="00B14994">
        <w:rPr>
          <w:color w:val="000000"/>
          <w14:textFill>
            <w14:solidFill>
              <w14:srgbClr w14:val="000000">
                <w14:lumMod w14:val="75000"/>
              </w14:srgbClr>
            </w14:solidFill>
          </w14:textFill>
        </w:rPr>
        <w:t>,</w:t>
      </w:r>
      <w:r>
        <w:rPr>
          <w:color w:val="000000"/>
          <w14:textFill>
            <w14:solidFill>
              <w14:srgbClr w14:val="000000">
                <w14:lumMod w14:val="75000"/>
              </w14:srgbClr>
            </w14:solidFill>
          </w14:textFill>
        </w:rPr>
        <w:t>8</w:t>
      </w:r>
      <w:r w:rsidRPr="00B14994">
        <w:rPr>
          <w:color w:val="000000"/>
          <w14:textFill>
            <w14:solidFill>
              <w14:srgbClr w14:val="000000">
                <w14:lumMod w14:val="75000"/>
              </w14:srgbClr>
            </w14:solidFill>
          </w14:textFill>
        </w:rPr>
        <w:t> °C, tudi tu sta pomlad in jesen sta zelo blizu povprečni vrednosti na letnem nivoju.</w:t>
      </w:r>
    </w:p>
    <w:p w14:paraId="71810ED9" w14:textId="77777777" w:rsidR="00995D2C" w:rsidRPr="00B14994" w:rsidRDefault="00995D2C" w:rsidP="00995D2C">
      <w:pPr>
        <w:rPr>
          <w:color w:val="000000"/>
          <w14:textFill>
            <w14:solidFill>
              <w14:srgbClr w14:val="000000">
                <w14:lumMod w14:val="75000"/>
              </w14:srgbClr>
            </w14:solidFill>
          </w14:textFill>
        </w:rPr>
      </w:pPr>
      <w:r w:rsidRPr="00B14994">
        <w:rPr>
          <w:color w:val="000000"/>
          <w14:textFill>
            <w14:solidFill>
              <w14:srgbClr w14:val="000000">
                <w14:lumMod w14:val="75000"/>
              </w14:srgbClr>
            </w14:solidFill>
          </w14:textFill>
        </w:rPr>
        <w:lastRenderedPageBreak/>
        <w:t>Pri trendu v referenčnem obdobju 1981</w:t>
      </w:r>
      <w:r w:rsidRPr="00B14994">
        <w:t>—</w:t>
      </w:r>
      <w:r w:rsidRPr="00B14994">
        <w:rPr>
          <w:color w:val="000000"/>
          <w14:textFill>
            <w14:solidFill>
              <w14:srgbClr w14:val="000000">
                <w14:lumMod w14:val="75000"/>
              </w14:srgbClr>
            </w14:solidFill>
          </w14:textFill>
        </w:rPr>
        <w:t>2010, dnevna najvišja in najnižja temperatura zraka kažeta podobno sliko kakor pri povprečni temperaturi, torej največji dvig temperature poleti in pomladi, le da je dvig najvišje temperature nekoliko bolj izrazit. Spomladi je izražen trend naraščanja najvišje temperature za okoli 0,</w:t>
      </w:r>
      <w:r>
        <w:rPr>
          <w:color w:val="000000"/>
          <w14:textFill>
            <w14:solidFill>
              <w14:srgbClr w14:val="000000">
                <w14:lumMod w14:val="75000"/>
              </w14:srgbClr>
            </w14:solidFill>
          </w14:textFill>
        </w:rPr>
        <w:t>48</w:t>
      </w:r>
      <w:r w:rsidRPr="00B14994">
        <w:rPr>
          <w:color w:val="000000"/>
          <w14:textFill>
            <w14:solidFill>
              <w14:srgbClr w14:val="000000">
                <w14:lumMod w14:val="75000"/>
              </w14:srgbClr>
            </w14:solidFill>
          </w14:textFill>
        </w:rPr>
        <w:t> °C/desetletje ter najnižje temperature okoli 0,3</w:t>
      </w:r>
      <w:r>
        <w:rPr>
          <w:color w:val="000000"/>
          <w14:textFill>
            <w14:solidFill>
              <w14:srgbClr w14:val="000000">
                <w14:lumMod w14:val="75000"/>
              </w14:srgbClr>
            </w14:solidFill>
          </w14:textFill>
        </w:rPr>
        <w:t>3</w:t>
      </w:r>
      <w:r w:rsidRPr="00B14994">
        <w:rPr>
          <w:color w:val="000000"/>
          <w14:textFill>
            <w14:solidFill>
              <w14:srgbClr w14:val="000000">
                <w14:lumMod w14:val="75000"/>
              </w14:srgbClr>
            </w14:solidFill>
          </w14:textFill>
        </w:rPr>
        <w:t> °C/desetletje, poleti pa je izražen trend naraščanja najvišje temperature za okoli 0,4</w:t>
      </w:r>
      <w:r>
        <w:rPr>
          <w:color w:val="000000"/>
          <w14:textFill>
            <w14:solidFill>
              <w14:srgbClr w14:val="000000">
                <w14:lumMod w14:val="75000"/>
              </w14:srgbClr>
            </w14:solidFill>
          </w14:textFill>
        </w:rPr>
        <w:t>7</w:t>
      </w:r>
      <w:r w:rsidRPr="00B14994">
        <w:rPr>
          <w:color w:val="000000"/>
          <w14:textFill>
            <w14:solidFill>
              <w14:srgbClr w14:val="000000">
                <w14:lumMod w14:val="75000"/>
              </w14:srgbClr>
            </w14:solidFill>
          </w14:textFill>
        </w:rPr>
        <w:t> °C/desetletje in najnižje temperature okoli 0,4</w:t>
      </w:r>
      <w:r>
        <w:rPr>
          <w:color w:val="000000"/>
          <w14:textFill>
            <w14:solidFill>
              <w14:srgbClr w14:val="000000">
                <w14:lumMod w14:val="75000"/>
              </w14:srgbClr>
            </w14:solidFill>
          </w14:textFill>
        </w:rPr>
        <w:t>2</w:t>
      </w:r>
      <w:r w:rsidRPr="00B14994">
        <w:rPr>
          <w:color w:val="000000"/>
          <w14:textFill>
            <w14:solidFill>
              <w14:srgbClr w14:val="000000">
                <w14:lumMod w14:val="75000"/>
              </w14:srgbClr>
            </w14:solidFill>
          </w14:textFill>
        </w:rPr>
        <w:t> °C/desetletje. Jeseni je trend naraščanja najvišje in najnižje temperature zraka najmanj izrazit.</w:t>
      </w:r>
    </w:p>
    <w:p w14:paraId="7F239E07" w14:textId="77777777" w:rsidR="00995D2C" w:rsidRDefault="00995D2C" w:rsidP="00995D2C">
      <w:r w:rsidRPr="00DC465C">
        <w:rPr>
          <w:color w:val="000000"/>
          <w14:textFill>
            <w14:solidFill>
              <w14:srgbClr w14:val="000000">
                <w14:lumMod w14:val="75000"/>
              </w14:srgbClr>
            </w14:solidFill>
          </w14:textFill>
        </w:rPr>
        <w:t>Projekcije kažejo podobno velik dvig dnevne najvišje in najnižje temperature kot pri</w:t>
      </w:r>
      <w:r w:rsidRPr="00DC465C">
        <w:t xml:space="preserve"> povprečni temperaturi, in sicer </w:t>
      </w:r>
      <w:r w:rsidRPr="00DC465C">
        <w:rPr>
          <w:color w:val="000000"/>
          <w14:textFill>
            <w14:solidFill>
              <w14:srgbClr w14:val="000000">
                <w14:lumMod w14:val="75000"/>
              </w14:srgbClr>
            </w14:solidFill>
          </w14:textFill>
        </w:rPr>
        <w:t>v obdobju 2011</w:t>
      </w:r>
      <w:r w:rsidRPr="00DC465C">
        <w:t>—</w:t>
      </w:r>
      <w:r w:rsidRPr="00DC465C">
        <w:rPr>
          <w:color w:val="000000"/>
          <w14:textFill>
            <w14:solidFill>
              <w14:srgbClr w14:val="000000">
                <w14:lumMod w14:val="75000"/>
              </w14:srgbClr>
            </w14:solidFill>
          </w14:textFill>
        </w:rPr>
        <w:t xml:space="preserve">2040 </w:t>
      </w:r>
      <w:r w:rsidRPr="00DC465C">
        <w:t>za 0,8</w:t>
      </w:r>
      <w:bookmarkStart w:id="57" w:name="_Hlk36632657"/>
      <w:r w:rsidRPr="00DC465C">
        <w:rPr>
          <w:color w:val="000000"/>
          <w14:textFill>
            <w14:solidFill>
              <w14:srgbClr w14:val="000000">
                <w14:lumMod w14:val="75000"/>
              </w14:srgbClr>
            </w14:solidFill>
          </w14:textFill>
        </w:rPr>
        <w:t xml:space="preserve">°C </w:t>
      </w:r>
      <w:bookmarkEnd w:id="57"/>
      <w:r w:rsidRPr="00DC465C">
        <w:rPr>
          <w:color w:val="000000"/>
          <w14:textFill>
            <w14:solidFill>
              <w14:srgbClr w14:val="000000">
                <w14:lumMod w14:val="75000"/>
              </w14:srgbClr>
            </w14:solidFill>
          </w14:textFill>
        </w:rPr>
        <w:t>pri obeh scenarijih RCP ter v obdobju 2041</w:t>
      </w:r>
      <w:r w:rsidRPr="00DC465C">
        <w:t>—</w:t>
      </w:r>
      <w:r w:rsidRPr="00DC465C">
        <w:rPr>
          <w:color w:val="000000"/>
          <w14:textFill>
            <w14:solidFill>
              <w14:srgbClr w14:val="000000">
                <w14:lumMod w14:val="75000"/>
              </w14:srgbClr>
            </w14:solidFill>
          </w14:textFill>
        </w:rPr>
        <w:t>2070 za 1,4 °C pri RCP4.5 in 1,9 °C pri RCP8.5</w:t>
      </w:r>
      <w:r w:rsidRPr="00DC465C">
        <w:t>.</w:t>
      </w:r>
    </w:p>
    <w:p w14:paraId="05F95784" w14:textId="77777777" w:rsidR="00995D2C" w:rsidRPr="00B14994" w:rsidRDefault="00995D2C" w:rsidP="00995D2C">
      <w:pPr>
        <w:pStyle w:val="Naslov4"/>
      </w:pPr>
      <w:r w:rsidRPr="00B14994">
        <w:t>Temperaturni ekstremi</w:t>
      </w:r>
    </w:p>
    <w:p w14:paraId="499F1CA6" w14:textId="77777777" w:rsidR="00995D2C" w:rsidRPr="00B14994" w:rsidRDefault="00995D2C" w:rsidP="00995D2C">
      <w:r w:rsidRPr="00B14994">
        <w:t>Dvig temperature močno poveča toplotno obremenitev. Zaradi splošnega dviga temperature zraka se je povečala pogostost števila vročih in toplih dni. V nadaljevanju so predstavljeni nekateri kazalniki temperaturnih ekstremov.</w:t>
      </w:r>
    </w:p>
    <w:p w14:paraId="781AE0E5" w14:textId="77777777" w:rsidR="00995D2C" w:rsidRPr="00B14994" w:rsidRDefault="00995D2C" w:rsidP="00995D2C">
      <w:pPr>
        <w:pStyle w:val="Naslov5"/>
      </w:pPr>
      <w:r w:rsidRPr="00B14994">
        <w:t>Kazalnik vročine</w:t>
      </w:r>
    </w:p>
    <w:p w14:paraId="3A32B42B" w14:textId="77777777" w:rsidR="00995D2C" w:rsidRPr="00B14994" w:rsidRDefault="00995D2C" w:rsidP="00995D2C">
      <w:r w:rsidRPr="00B14994">
        <w:t xml:space="preserve">Kazalnik vročine (EHF – ang. </w:t>
      </w:r>
      <w:proofErr w:type="spellStart"/>
      <w:r w:rsidRPr="00B14994">
        <w:t>Excess</w:t>
      </w:r>
      <w:proofErr w:type="spellEnd"/>
      <w:r w:rsidRPr="00B14994">
        <w:t xml:space="preserve"> </w:t>
      </w:r>
      <w:proofErr w:type="spellStart"/>
      <w:r w:rsidRPr="00B14994">
        <w:t>Heat</w:t>
      </w:r>
      <w:proofErr w:type="spellEnd"/>
      <w:r w:rsidRPr="00B14994">
        <w:t xml:space="preserve"> </w:t>
      </w:r>
      <w:proofErr w:type="spellStart"/>
      <w:r w:rsidRPr="00B14994">
        <w:t>Factor</w:t>
      </w:r>
      <w:proofErr w:type="spellEnd"/>
      <w:r w:rsidRPr="00B14994">
        <w:t>) je podnebni kazalnik, ki izkazuje toplotno obremenitev v dneh, ko je vroče tako čez dan, kot tudi nadpovprečno toplo ponoči. Obre</w:t>
      </w:r>
      <w:r w:rsidRPr="00B14994">
        <w:softHyphen/>
        <w:t>menitev lahko določimo iz primerjave treh zaporednih dnevnih povprečnih temperatur z referenčno vrednostjo. Kazalnik vro</w:t>
      </w:r>
      <w:r w:rsidRPr="00B14994">
        <w:softHyphen/>
        <w:t>čine je tako izražen kot dolgotrajni temperaturni odklon (</w:t>
      </w:r>
      <w:proofErr w:type="spellStart"/>
      <w:r w:rsidRPr="00B14994">
        <w:t>Bertalanič</w:t>
      </w:r>
      <w:proofErr w:type="spellEnd"/>
      <w:r w:rsidRPr="00B14994">
        <w:t>, 2018).</w:t>
      </w:r>
    </w:p>
    <w:p w14:paraId="46369C94" w14:textId="77777777" w:rsidR="00995D2C" w:rsidRPr="00B14994" w:rsidRDefault="00995D2C" w:rsidP="00995D2C">
      <w:r w:rsidRPr="00B14994">
        <w:t xml:space="preserve">V referenčnem obdobju 1981—2010 je bilo na območju </w:t>
      </w:r>
      <w:r>
        <w:t>občine, kot tudi v samem mestu Nova Gorica,</w:t>
      </w:r>
      <w:r w:rsidRPr="00B14994">
        <w:t xml:space="preserve"> v povprečju 16 dni na leto, ko je kazalnik EHF pozitiven, torej ko je vroče tako čez dan, kot tudi nadpovprečno toplo ponoči.</w:t>
      </w:r>
    </w:p>
    <w:p w14:paraId="3821B421" w14:textId="77777777" w:rsidR="00995D2C" w:rsidRDefault="00995D2C" w:rsidP="00995D2C">
      <w:r w:rsidRPr="00B14994">
        <w:t xml:space="preserve">V obdobju </w:t>
      </w:r>
      <w:bookmarkStart w:id="58" w:name="_Hlk36636345"/>
      <w:r w:rsidRPr="00B14994">
        <w:t xml:space="preserve">2011—2040 </w:t>
      </w:r>
      <w:bookmarkEnd w:id="58"/>
      <w:r w:rsidRPr="00B14994">
        <w:t>projekcije kažejo povečanje za 11 dni/leto pri obeh scenarijih RCP, v obdobju 2041—2070 pa kar za 2</w:t>
      </w:r>
      <w:r>
        <w:t>4</w:t>
      </w:r>
      <w:r w:rsidRPr="00B14994">
        <w:t xml:space="preserve"> dni/leto pri RCP4.5 oziroma 2</w:t>
      </w:r>
      <w:r>
        <w:t>8</w:t>
      </w:r>
      <w:r w:rsidRPr="00B14994">
        <w:t xml:space="preserve"> dni/leto pri RCP8.5</w:t>
      </w:r>
      <w:r>
        <w:t xml:space="preserve"> (slika 4.3)</w:t>
      </w:r>
      <w:r w:rsidRPr="00B14994">
        <w:t>. To pomeni veliko povečanje števila dni s toplotnimi obremenitvami letno v prihodnosti zaradi dolgotrajnih temperaturnih presežkov.</w:t>
      </w:r>
    </w:p>
    <w:p w14:paraId="00083214" w14:textId="77777777" w:rsidR="00995D2C" w:rsidRDefault="00995D2C" w:rsidP="00995D2C">
      <w:pPr>
        <w:jc w:val="center"/>
      </w:pPr>
      <w:r>
        <w:rPr>
          <w:noProof/>
          <w:lang w:eastAsia="sl-SI"/>
        </w:rPr>
        <w:lastRenderedPageBreak/>
        <w:drawing>
          <wp:inline distT="0" distB="0" distL="0" distR="0" wp14:anchorId="58FE894C" wp14:editId="23C2464F">
            <wp:extent cx="2195946" cy="3282793"/>
            <wp:effectExtent l="0" t="0" r="0" b="0"/>
            <wp:docPr id="89858067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00966" cy="3290298"/>
                    </a:xfrm>
                    <a:prstGeom prst="rect">
                      <a:avLst/>
                    </a:prstGeom>
                    <a:noFill/>
                    <a:ln>
                      <a:noFill/>
                    </a:ln>
                  </pic:spPr>
                </pic:pic>
              </a:graphicData>
            </a:graphic>
          </wp:inline>
        </w:drawing>
      </w:r>
      <w:r>
        <w:rPr>
          <w:noProof/>
          <w:lang w:eastAsia="sl-SI"/>
        </w:rPr>
        <w:drawing>
          <wp:inline distT="0" distB="0" distL="0" distR="0" wp14:anchorId="10D8A658" wp14:editId="6F1008BB">
            <wp:extent cx="2466722" cy="3283238"/>
            <wp:effectExtent l="0" t="0" r="0" b="0"/>
            <wp:docPr id="89858067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77230" cy="3297224"/>
                    </a:xfrm>
                    <a:prstGeom prst="rect">
                      <a:avLst/>
                    </a:prstGeom>
                    <a:noFill/>
                    <a:ln>
                      <a:noFill/>
                    </a:ln>
                  </pic:spPr>
                </pic:pic>
              </a:graphicData>
            </a:graphic>
          </wp:inline>
        </w:drawing>
      </w:r>
    </w:p>
    <w:p w14:paraId="5575E5CF" w14:textId="12B9B229" w:rsidR="00995D2C" w:rsidRPr="008775E4" w:rsidRDefault="00995D2C" w:rsidP="00995D2C">
      <w:pPr>
        <w:pStyle w:val="Napis"/>
        <w:rPr>
          <w:noProof/>
          <w:lang w:eastAsia="sl-SI"/>
        </w:rPr>
      </w:pPr>
      <w:bookmarkStart w:id="59" w:name="_Toc97026841"/>
      <w:r>
        <w:t xml:space="preserve">Slika </w:t>
      </w:r>
      <w:r w:rsidR="008334B2">
        <w:fldChar w:fldCharType="begin"/>
      </w:r>
      <w:r w:rsidR="008334B2">
        <w:instrText xml:space="preserve"> STYLEREF 1 \s </w:instrText>
      </w:r>
      <w:r w:rsidR="008334B2">
        <w:fldChar w:fldCharType="separate"/>
      </w:r>
      <w:r w:rsidR="008334B2">
        <w:rPr>
          <w:noProof/>
        </w:rPr>
        <w:t>4</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3</w:t>
      </w:r>
      <w:r w:rsidR="008334B2">
        <w:fldChar w:fldCharType="end"/>
      </w:r>
      <w:r w:rsidRPr="00DB533F">
        <w:t xml:space="preserve">: Odklon števila dni s toplotnimi obremenitvami, ko je kazalnik vročine pozitiven na območju </w:t>
      </w:r>
      <w:r>
        <w:t xml:space="preserve">Mestne </w:t>
      </w:r>
      <w:r w:rsidRPr="00DB533F">
        <w:t>občine</w:t>
      </w:r>
      <w:r>
        <w:t xml:space="preserve"> Nova Gorica</w:t>
      </w:r>
      <w:r w:rsidRPr="00DB533F">
        <w:t xml:space="preserve"> za scenarij</w:t>
      </w:r>
      <w:r>
        <w:t>ih</w:t>
      </w:r>
      <w:r w:rsidRPr="00DB533F">
        <w:t xml:space="preserve"> RCP4.5</w:t>
      </w:r>
      <w:r>
        <w:t xml:space="preserve"> in RCP8.5</w:t>
      </w:r>
      <w:r w:rsidRPr="00DB533F">
        <w:t xml:space="preserve"> (vir: ARSO)</w:t>
      </w:r>
      <w:r>
        <w:t>.</w:t>
      </w:r>
      <w:bookmarkEnd w:id="59"/>
    </w:p>
    <w:p w14:paraId="7A613E75" w14:textId="77777777" w:rsidR="00995D2C" w:rsidRPr="00B14994" w:rsidRDefault="00995D2C" w:rsidP="00995D2C">
      <w:pPr>
        <w:pStyle w:val="Naslov5"/>
      </w:pPr>
      <w:r w:rsidRPr="00B14994">
        <w:t>Vročinski valovi</w:t>
      </w:r>
    </w:p>
    <w:p w14:paraId="7FA60C4E" w14:textId="77777777" w:rsidR="00995D2C" w:rsidRPr="00B14994" w:rsidRDefault="00995D2C" w:rsidP="00995D2C">
      <w:r w:rsidRPr="00B14994">
        <w:t>Pri spremljanju vročinskih valov je pomembna njihova jakost (magnituda), trajanje posameznega vročinskega vala in njihova pogostost.</w:t>
      </w:r>
    </w:p>
    <w:p w14:paraId="20330BA4" w14:textId="77777777" w:rsidR="00995D2C" w:rsidRPr="00B14994" w:rsidRDefault="00995D2C" w:rsidP="00995D2C">
      <w:pPr>
        <w:pStyle w:val="Naslov6"/>
      </w:pPr>
      <w:r w:rsidRPr="00B14994">
        <w:t xml:space="preserve">Magnituda vročinskega vala </w:t>
      </w:r>
      <w:bookmarkStart w:id="60" w:name="_Hlk36637155"/>
      <w:r w:rsidRPr="00B14994">
        <w:t xml:space="preserve">(po definiciji </w:t>
      </w:r>
      <w:proofErr w:type="spellStart"/>
      <w:r w:rsidRPr="00B14994">
        <w:t>HWMId</w:t>
      </w:r>
      <w:proofErr w:type="spellEnd"/>
      <w:r w:rsidRPr="00B14994">
        <w:t>)</w:t>
      </w:r>
      <w:bookmarkEnd w:id="60"/>
    </w:p>
    <w:p w14:paraId="61525D6E" w14:textId="77777777" w:rsidR="00995D2C" w:rsidRPr="00236306" w:rsidRDefault="00995D2C" w:rsidP="00995D2C">
      <w:r w:rsidRPr="00F912EF">
        <w:t>Magnituda vročinskega vala je kazalnik dnevne jakosti vročinskega vala (</w:t>
      </w:r>
      <w:bookmarkStart w:id="61" w:name="_Hlk36637129"/>
      <w:proofErr w:type="spellStart"/>
      <w:r w:rsidRPr="00F912EF">
        <w:t>HWMId</w:t>
      </w:r>
      <w:bookmarkEnd w:id="61"/>
      <w:proofErr w:type="spellEnd"/>
      <w:r w:rsidRPr="00F912EF">
        <w:t xml:space="preserve"> – ang. </w:t>
      </w:r>
      <w:proofErr w:type="spellStart"/>
      <w:r w:rsidRPr="00F912EF">
        <w:t>Heat-wave</w:t>
      </w:r>
      <w:proofErr w:type="spellEnd"/>
      <w:r w:rsidRPr="00F912EF">
        <w:t xml:space="preserve"> Magnitude </w:t>
      </w:r>
      <w:proofErr w:type="spellStart"/>
      <w:r w:rsidRPr="00F912EF">
        <w:t>Index</w:t>
      </w:r>
      <w:proofErr w:type="spellEnd"/>
      <w:r w:rsidRPr="00F912EF">
        <w:t xml:space="preserve"> </w:t>
      </w:r>
      <w:proofErr w:type="spellStart"/>
      <w:r w:rsidRPr="00F912EF">
        <w:t>Daily</w:t>
      </w:r>
      <w:proofErr w:type="spellEnd"/>
      <w:r w:rsidRPr="00F912EF">
        <w:t>). Za izračun tega kazalnika potrebujemo 30-letno primerjalno obdobje, v našem primeru je bilo to obdobje 1981—2010. Mejno vrednost za nadpovprečno vročino izračunamo za vsak dan v letu posebej. Za celo</w:t>
      </w:r>
      <w:r w:rsidRPr="00F912EF">
        <w:softHyphen/>
        <w:t xml:space="preserve">tno primerjalno obdobje upoštevamo isti del leta (15 dni pred in 15 dni po obravnavanem dnevu). Vročinski val določimo kot obdobje najmanj treh zaporednih dni, ko je ta meja presežena. Kazalnik </w:t>
      </w:r>
      <w:proofErr w:type="spellStart"/>
      <w:r w:rsidRPr="00F912EF">
        <w:t>HWMId</w:t>
      </w:r>
      <w:proofErr w:type="spellEnd"/>
      <w:r w:rsidRPr="00F912EF">
        <w:t xml:space="preserve"> poskuša razpo</w:t>
      </w:r>
      <w:r w:rsidRPr="00F912EF">
        <w:softHyphen/>
        <w:t xml:space="preserve">rediti vročinske valove glede na trajanje in glede na to, koliko so posamezne dnevne najvišje temperature odstopale od predhodno izračunane mejne vrednosti. Jakost oz. magnituda vročinskega vala se izračuna kot vsota jakosti po posameznih dnevih znotraj enega vročinskega vala. Najvišja vrednost v letu </w:t>
      </w:r>
      <w:r w:rsidRPr="00236306">
        <w:t xml:space="preserve">predstavlja vrednost kazalnika </w:t>
      </w:r>
      <w:proofErr w:type="spellStart"/>
      <w:r w:rsidRPr="00236306">
        <w:t>HWMId</w:t>
      </w:r>
      <w:proofErr w:type="spellEnd"/>
      <w:r w:rsidRPr="00236306">
        <w:t>. (</w:t>
      </w:r>
      <w:proofErr w:type="spellStart"/>
      <w:r w:rsidRPr="00236306">
        <w:t>Bertalanič</w:t>
      </w:r>
      <w:proofErr w:type="spellEnd"/>
      <w:r w:rsidRPr="00236306">
        <w:t>, 2018).</w:t>
      </w:r>
    </w:p>
    <w:p w14:paraId="2FD73069" w14:textId="77777777" w:rsidR="00995D2C" w:rsidRDefault="00995D2C" w:rsidP="00995D2C">
      <w:r w:rsidRPr="00236306">
        <w:t>Za jakost najhujšega vročinskega vala v letu projekcije kažejo, da bodo najmočnejši vročinski dogodki v obdobju 2011—2040 nekoliko močnejši v primerjavi z današnjimi, v obdobju 2041—2070  pa precej močnejši od najmočnejših vročinskih valov iz primerjalnega obdobja (slika 4.4).</w:t>
      </w:r>
    </w:p>
    <w:p w14:paraId="6D68F1C0" w14:textId="77777777" w:rsidR="00995D2C" w:rsidRDefault="00995D2C" w:rsidP="00995D2C"/>
    <w:p w14:paraId="6E0F4922" w14:textId="77777777" w:rsidR="00995D2C" w:rsidRDefault="00995D2C" w:rsidP="00766373">
      <w:pPr>
        <w:jc w:val="center"/>
      </w:pPr>
      <w:r>
        <w:rPr>
          <w:noProof/>
          <w:lang w:eastAsia="sl-SI"/>
        </w:rPr>
        <w:lastRenderedPageBreak/>
        <w:drawing>
          <wp:inline distT="0" distB="0" distL="0" distR="0" wp14:anchorId="54AE53C1" wp14:editId="552BEB70">
            <wp:extent cx="2493819" cy="2951788"/>
            <wp:effectExtent l="0" t="0" r="1905" b="1270"/>
            <wp:docPr id="89858068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03443" cy="2963179"/>
                    </a:xfrm>
                    <a:prstGeom prst="rect">
                      <a:avLst/>
                    </a:prstGeom>
                    <a:noFill/>
                    <a:ln>
                      <a:noFill/>
                    </a:ln>
                  </pic:spPr>
                </pic:pic>
              </a:graphicData>
            </a:graphic>
          </wp:inline>
        </w:drawing>
      </w:r>
      <w:r>
        <w:rPr>
          <w:noProof/>
          <w:lang w:eastAsia="sl-SI"/>
        </w:rPr>
        <w:drawing>
          <wp:inline distT="0" distB="0" distL="0" distR="0" wp14:anchorId="4A859585" wp14:editId="10F40B1F">
            <wp:extent cx="2543733" cy="2930237"/>
            <wp:effectExtent l="0" t="0" r="9525" b="3810"/>
            <wp:docPr id="89858068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55137" cy="2943373"/>
                    </a:xfrm>
                    <a:prstGeom prst="rect">
                      <a:avLst/>
                    </a:prstGeom>
                    <a:noFill/>
                    <a:ln>
                      <a:noFill/>
                    </a:ln>
                  </pic:spPr>
                </pic:pic>
              </a:graphicData>
            </a:graphic>
          </wp:inline>
        </w:drawing>
      </w:r>
    </w:p>
    <w:p w14:paraId="5B759D41" w14:textId="7D1685FC" w:rsidR="00995D2C" w:rsidRPr="00C33364" w:rsidRDefault="00995D2C" w:rsidP="00995D2C">
      <w:pPr>
        <w:pStyle w:val="Napis"/>
        <w:rPr>
          <w:rFonts w:ascii="Trebuchet MS" w:hAnsi="Trebuchet MS"/>
          <w:noProof/>
        </w:rPr>
      </w:pPr>
      <w:bookmarkStart w:id="62" w:name="_Toc97026842"/>
      <w:r>
        <w:t xml:space="preserve">Slika </w:t>
      </w:r>
      <w:r w:rsidR="008334B2">
        <w:fldChar w:fldCharType="begin"/>
      </w:r>
      <w:r w:rsidR="008334B2">
        <w:instrText xml:space="preserve"> STYLEREF 1 \s </w:instrText>
      </w:r>
      <w:r w:rsidR="008334B2">
        <w:fldChar w:fldCharType="separate"/>
      </w:r>
      <w:r w:rsidR="008334B2">
        <w:rPr>
          <w:noProof/>
        </w:rPr>
        <w:t>4</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4</w:t>
      </w:r>
      <w:r w:rsidR="008334B2">
        <w:fldChar w:fldCharType="end"/>
      </w:r>
      <w:r w:rsidRPr="006E1D83">
        <w:t xml:space="preserve">: Odklon jakosti oz. magnitude vročinskega vala po definiciji </w:t>
      </w:r>
      <w:proofErr w:type="spellStart"/>
      <w:r w:rsidRPr="006E1D83">
        <w:t>HWMId</w:t>
      </w:r>
      <w:proofErr w:type="spellEnd"/>
      <w:r w:rsidRPr="006E1D83">
        <w:t xml:space="preserve"> na območju</w:t>
      </w:r>
      <w:r>
        <w:t xml:space="preserve"> Mestne</w:t>
      </w:r>
      <w:r w:rsidRPr="006E1D83">
        <w:t xml:space="preserve"> občine </w:t>
      </w:r>
      <w:r>
        <w:t xml:space="preserve">Nova Gorica </w:t>
      </w:r>
      <w:r w:rsidRPr="006E1D83">
        <w:t>za scenarij</w:t>
      </w:r>
      <w:r>
        <w:t>ih</w:t>
      </w:r>
      <w:r w:rsidRPr="006E1D83">
        <w:t xml:space="preserve"> RCP4.5</w:t>
      </w:r>
      <w:r>
        <w:t xml:space="preserve"> in RCP8.5</w:t>
      </w:r>
      <w:r w:rsidRPr="006E1D83">
        <w:t xml:space="preserve"> (vir: ARSO)</w:t>
      </w:r>
      <w:r>
        <w:t>.</w:t>
      </w:r>
      <w:bookmarkEnd w:id="62"/>
    </w:p>
    <w:p w14:paraId="145A4FAD" w14:textId="77777777" w:rsidR="00995D2C" w:rsidRPr="00B14994" w:rsidRDefault="00995D2C" w:rsidP="00995D2C">
      <w:pPr>
        <w:pStyle w:val="Naslov6"/>
      </w:pPr>
      <w:r w:rsidRPr="00B14994">
        <w:t xml:space="preserve">Število vročinskih valov (po definiciji </w:t>
      </w:r>
      <w:proofErr w:type="spellStart"/>
      <w:r w:rsidRPr="00B14994">
        <w:t>HWMId</w:t>
      </w:r>
      <w:proofErr w:type="spellEnd"/>
      <w:r w:rsidRPr="00B14994">
        <w:t>)</w:t>
      </w:r>
    </w:p>
    <w:p w14:paraId="67AF6873" w14:textId="77777777" w:rsidR="00995D2C" w:rsidRPr="00B14994" w:rsidRDefault="00995D2C" w:rsidP="00995D2C">
      <w:r w:rsidRPr="00B14994">
        <w:t>Število vročinskih valov se bo po obeh scenarijih predvidoma postopno povečevalo iz sedaj povprečn</w:t>
      </w:r>
      <w:r>
        <w:t>o</w:t>
      </w:r>
      <w:r w:rsidRPr="00B14994">
        <w:t xml:space="preserve"> </w:t>
      </w:r>
      <w:r>
        <w:t>štirih</w:t>
      </w:r>
      <w:r w:rsidRPr="00B14994">
        <w:t xml:space="preserve"> vročinskih valov na leto na povprečno </w:t>
      </w:r>
      <w:r>
        <w:t>5</w:t>
      </w:r>
      <w:r w:rsidRPr="00B14994">
        <w:t xml:space="preserve"> vročinsk</w:t>
      </w:r>
      <w:r>
        <w:t>ih</w:t>
      </w:r>
      <w:r w:rsidRPr="00B14994">
        <w:t xml:space="preserve"> val</w:t>
      </w:r>
      <w:r>
        <w:t>ov</w:t>
      </w:r>
      <w:r w:rsidRPr="00B14994">
        <w:t xml:space="preserve"> letno v obdobju 2011—2040 ter na povprečno </w:t>
      </w:r>
      <w:r>
        <w:t>6</w:t>
      </w:r>
      <w:r w:rsidRPr="00B14994">
        <w:t xml:space="preserve"> vročinskih valov letno v obdobju 2041—2070.</w:t>
      </w:r>
    </w:p>
    <w:p w14:paraId="4F47045B" w14:textId="77777777" w:rsidR="00995D2C" w:rsidRPr="00B14994" w:rsidRDefault="00995D2C" w:rsidP="00995D2C">
      <w:pPr>
        <w:pStyle w:val="Naslov6"/>
      </w:pPr>
      <w:r w:rsidRPr="00B14994">
        <w:t>Dolžina vročinskega vala</w:t>
      </w:r>
      <w:r w:rsidRPr="00B14994">
        <w:rPr>
          <w:rStyle w:val="Naslov6Znak"/>
        </w:rPr>
        <w:t xml:space="preserve"> (po definiciji</w:t>
      </w:r>
      <w:r w:rsidRPr="00B14994">
        <w:t xml:space="preserve"> </w:t>
      </w:r>
      <w:proofErr w:type="spellStart"/>
      <w:r w:rsidRPr="00B14994">
        <w:t>HWMId</w:t>
      </w:r>
      <w:proofErr w:type="spellEnd"/>
      <w:r w:rsidRPr="00B14994">
        <w:t>)</w:t>
      </w:r>
    </w:p>
    <w:p w14:paraId="727EE535" w14:textId="77777777" w:rsidR="00995D2C" w:rsidRPr="00B14994" w:rsidRDefault="00995D2C" w:rsidP="00995D2C">
      <w:r w:rsidRPr="00B14994">
        <w:t>V prihodnosti bomo imeli daljše  vročinske valove in sicer se bo po obeh scenarijih dolžina trajanja vročinskih valov podaljšala za 1 </w:t>
      </w:r>
      <w:r>
        <w:t>dan</w:t>
      </w:r>
      <w:r w:rsidRPr="00B14994">
        <w:t>.</w:t>
      </w:r>
    </w:p>
    <w:p w14:paraId="092C0D68" w14:textId="77777777" w:rsidR="00995D2C" w:rsidRPr="00B14994" w:rsidRDefault="00995D2C" w:rsidP="00766373">
      <w:pPr>
        <w:pStyle w:val="Naslov5"/>
      </w:pPr>
      <w:r w:rsidRPr="00B14994">
        <w:t>Število vročih dni</w:t>
      </w:r>
    </w:p>
    <w:p w14:paraId="7A0AF8AA" w14:textId="77777777" w:rsidR="00995D2C" w:rsidRPr="00B14994" w:rsidRDefault="00995D2C" w:rsidP="00995D2C">
      <w:r w:rsidRPr="00B14994">
        <w:t xml:space="preserve">Število vročih dni, je število dni na leto, ko dnevna najvišja temperatura preseže 30 °C. Trenutno stanje v referenčnem obdobju 1981—2010 izkazuje število vročih dni v občini povprečno </w:t>
      </w:r>
      <w:r>
        <w:t>13</w:t>
      </w:r>
      <w:r w:rsidRPr="00B14994">
        <w:t> dni/leto</w:t>
      </w:r>
      <w:r>
        <w:t>, v mestu Nova Gorica pa 22 dni/leto.</w:t>
      </w:r>
    </w:p>
    <w:p w14:paraId="11F28035" w14:textId="77777777" w:rsidR="00995D2C" w:rsidRPr="00766373" w:rsidRDefault="00995D2C" w:rsidP="00766373">
      <w:r>
        <w:t>Za</w:t>
      </w:r>
      <w:r w:rsidRPr="00B14994">
        <w:t xml:space="preserve"> obdobj</w:t>
      </w:r>
      <w:r>
        <w:t>e</w:t>
      </w:r>
      <w:r w:rsidRPr="00B14994">
        <w:t xml:space="preserve"> 2011—2040 projekcije obeh scenarijev RCP4.5 in RCP8.5 kažejo na povprečno povečanje </w:t>
      </w:r>
      <w:r>
        <w:t xml:space="preserve">v občini </w:t>
      </w:r>
      <w:r w:rsidRPr="00B14994">
        <w:t xml:space="preserve">za </w:t>
      </w:r>
      <w:r>
        <w:t>7</w:t>
      </w:r>
      <w:r w:rsidRPr="00B14994">
        <w:t xml:space="preserve"> dni/leto</w:t>
      </w:r>
      <w:r>
        <w:t>, v mestu pa 10 dni/leto. Za</w:t>
      </w:r>
      <w:r w:rsidRPr="00B14994">
        <w:t xml:space="preserve"> obdobj</w:t>
      </w:r>
      <w:r>
        <w:t>e</w:t>
      </w:r>
      <w:r w:rsidRPr="00B14994">
        <w:t xml:space="preserve"> 2041—2070 pa projekcije kažejo na povečanje </w:t>
      </w:r>
      <w:r>
        <w:t>v občini 15</w:t>
      </w:r>
      <w:r w:rsidRPr="00B14994">
        <w:t> – </w:t>
      </w:r>
      <w:r>
        <w:t>17</w:t>
      </w:r>
      <w:r w:rsidRPr="00B14994">
        <w:t> dni/leto</w:t>
      </w:r>
      <w:r>
        <w:t>, v mestu pa 20 – 21 dni/leto</w:t>
      </w:r>
      <w:r w:rsidRPr="00B14994">
        <w:t xml:space="preserve"> pri </w:t>
      </w:r>
      <w:r>
        <w:t xml:space="preserve">obeh </w:t>
      </w:r>
      <w:r w:rsidRPr="00B14994">
        <w:t>scenarij</w:t>
      </w:r>
      <w:r>
        <w:t>ih</w:t>
      </w:r>
      <w:r w:rsidRPr="00B14994">
        <w:t xml:space="preserve"> RCP4.5 </w:t>
      </w:r>
      <w:r>
        <w:t>ter</w:t>
      </w:r>
      <w:r w:rsidRPr="00B14994">
        <w:t xml:space="preserve"> </w:t>
      </w:r>
      <w:r w:rsidRPr="00766373">
        <w:t>RCP8.5.</w:t>
      </w:r>
    </w:p>
    <w:p w14:paraId="1F2D1AD7" w14:textId="77777777" w:rsidR="00995D2C" w:rsidRPr="00B14994" w:rsidRDefault="00995D2C" w:rsidP="00995D2C">
      <w:pPr>
        <w:pStyle w:val="Naslov5"/>
      </w:pPr>
      <w:r w:rsidRPr="00B14994">
        <w:t>Število tropskih noči</w:t>
      </w:r>
    </w:p>
    <w:p w14:paraId="206B7CAE" w14:textId="77777777" w:rsidR="00995D2C" w:rsidRDefault="00995D2C" w:rsidP="00995D2C">
      <w:r w:rsidRPr="000669A8">
        <w:t xml:space="preserve">Število tropskih noči (TR – ang. </w:t>
      </w:r>
      <w:proofErr w:type="spellStart"/>
      <w:r w:rsidRPr="000669A8">
        <w:t>Number</w:t>
      </w:r>
      <w:proofErr w:type="spellEnd"/>
      <w:r w:rsidRPr="000669A8">
        <w:t xml:space="preserve"> of </w:t>
      </w:r>
      <w:proofErr w:type="spellStart"/>
      <w:r w:rsidRPr="000669A8">
        <w:t>tropical</w:t>
      </w:r>
      <w:proofErr w:type="spellEnd"/>
      <w:r w:rsidRPr="000669A8">
        <w:t xml:space="preserve"> </w:t>
      </w:r>
      <w:proofErr w:type="spellStart"/>
      <w:r w:rsidRPr="000669A8">
        <w:t>nights</w:t>
      </w:r>
      <w:proofErr w:type="spellEnd"/>
      <w:r w:rsidRPr="000669A8">
        <w:t>) je število dni na leto, ko je dnevna najnižja temperatura nad 20 °C. V občini je bil</w:t>
      </w:r>
      <w:r>
        <w:t>a</w:t>
      </w:r>
      <w:r w:rsidRPr="000669A8">
        <w:t xml:space="preserve"> v referenčnem obdobju povprečno </w:t>
      </w:r>
      <w:r>
        <w:t>v občini 1</w:t>
      </w:r>
      <w:r w:rsidRPr="000669A8">
        <w:t xml:space="preserve"> tropsk</w:t>
      </w:r>
      <w:r>
        <w:t>a</w:t>
      </w:r>
      <w:r w:rsidRPr="000669A8">
        <w:t xml:space="preserve"> noč letno,</w:t>
      </w:r>
      <w:r>
        <w:t xml:space="preserve"> v mestu Nova Gorica pa 3 tropske noči letno. P</w:t>
      </w:r>
      <w:r w:rsidRPr="000669A8">
        <w:t xml:space="preserve">rojekcije izkazujejo povečanje </w:t>
      </w:r>
      <w:r>
        <w:t xml:space="preserve">v občini </w:t>
      </w:r>
      <w:r w:rsidRPr="000669A8">
        <w:t xml:space="preserve">povprečno za </w:t>
      </w:r>
      <w:r>
        <w:t>2-3</w:t>
      </w:r>
      <w:r w:rsidRPr="000669A8">
        <w:t xml:space="preserve"> noč</w:t>
      </w:r>
      <w:r>
        <w:t>, v mestu v mestu pa 5 noči</w:t>
      </w:r>
      <w:r w:rsidRPr="000669A8">
        <w:t xml:space="preserve"> v prvem obdobju 2011—2040 pri obeh scenarijih RCP4.5 in RCP8.5, v drugem obdobju 2041—2070 pa povečanje števila tropskih noči </w:t>
      </w:r>
      <w:r>
        <w:t xml:space="preserve">v občini </w:t>
      </w:r>
      <w:r w:rsidRPr="000669A8">
        <w:t xml:space="preserve">za </w:t>
      </w:r>
      <w:r>
        <w:t>8</w:t>
      </w:r>
      <w:r w:rsidRPr="000669A8">
        <w:t xml:space="preserve"> pri scenariju RCP4.5 oziroma </w:t>
      </w:r>
      <w:r>
        <w:t>12</w:t>
      </w:r>
      <w:r w:rsidRPr="000669A8">
        <w:t xml:space="preserve"> pri scenariju RCP8.5</w:t>
      </w:r>
      <w:r>
        <w:t>, v mestu pa kar za</w:t>
      </w:r>
      <w:r w:rsidRPr="000669A8">
        <w:t xml:space="preserve"> </w:t>
      </w:r>
      <w:r>
        <w:t>13</w:t>
      </w:r>
      <w:r w:rsidRPr="000669A8">
        <w:t xml:space="preserve"> pri scenariju RCP4.5 oziroma </w:t>
      </w:r>
      <w:r>
        <w:t>19</w:t>
      </w:r>
      <w:r w:rsidRPr="000669A8">
        <w:t xml:space="preserve"> pri scenariju RCP8.5.</w:t>
      </w:r>
    </w:p>
    <w:p w14:paraId="0D88B07E" w14:textId="77777777" w:rsidR="00995D2C" w:rsidRPr="00B14994" w:rsidRDefault="00995D2C" w:rsidP="00995D2C">
      <w:pPr>
        <w:pStyle w:val="Naslov3"/>
        <w:rPr>
          <w:rFonts w:eastAsia="Calibri"/>
          <w:lang w:eastAsia="sl-SI"/>
        </w:rPr>
      </w:pPr>
      <w:bookmarkStart w:id="63" w:name="_Toc54953806"/>
      <w:bookmarkStart w:id="64" w:name="_Toc97026736"/>
      <w:r w:rsidRPr="00B14994">
        <w:rPr>
          <w:rFonts w:eastAsia="Calibri"/>
          <w:lang w:eastAsia="sl-SI"/>
        </w:rPr>
        <w:lastRenderedPageBreak/>
        <w:t>Padavine</w:t>
      </w:r>
      <w:bookmarkEnd w:id="63"/>
      <w:bookmarkEnd w:id="64"/>
    </w:p>
    <w:p w14:paraId="4FE77BA8" w14:textId="77777777" w:rsidR="00995D2C" w:rsidRPr="00B14994" w:rsidRDefault="00995D2C" w:rsidP="00995D2C">
      <w:r w:rsidRPr="00B14994">
        <w:t xml:space="preserve">Višina padavin sodi med osnovne podnebne spremenljivke in je pomembna zlasti v panogah, ki so neposredno vezane na vodo, recimo v kmetijstvu in </w:t>
      </w:r>
      <w:proofErr w:type="spellStart"/>
      <w:r w:rsidRPr="00B14994">
        <w:t>hidroenergetiki</w:t>
      </w:r>
      <w:proofErr w:type="spellEnd"/>
      <w:r w:rsidRPr="00B14994">
        <w:t>. V kmetijstvu se pomanjkanje vode kaže v kmetijski suši, preobilica vode pa povzroča še druge težave pri pridelavi hrane. Padavine so glavni dejavnik pri pretoku rek in višini vode v vodnih zbiralnikih, zato močno vplivajo na proizvodnjo električne energije v hidroelektrarnah in na nekatere veje turizma. Tu je tudi stična točka meteorologije in klimatologije s sorodno vejo geofizike, hidrologijo (Vertačnik, 2017).</w:t>
      </w:r>
    </w:p>
    <w:p w14:paraId="7E7FCA79" w14:textId="77777777" w:rsidR="00995D2C" w:rsidRPr="00B14994" w:rsidRDefault="00995D2C" w:rsidP="00995D2C">
      <w:r w:rsidRPr="00B14994">
        <w:t>V nadaljevanju so predstavljeni podatki količine padavin in nekateri izbrani padavinski kazalniki za referenčno obdobje in projekcije.</w:t>
      </w:r>
    </w:p>
    <w:p w14:paraId="07877A1F" w14:textId="77777777" w:rsidR="00995D2C" w:rsidRPr="00B14994" w:rsidRDefault="00995D2C" w:rsidP="00995D2C">
      <w:pPr>
        <w:pStyle w:val="Naslov4"/>
      </w:pPr>
      <w:r w:rsidRPr="00B14994">
        <w:t>Letna količina padavin</w:t>
      </w:r>
    </w:p>
    <w:p w14:paraId="7364BBF8" w14:textId="77777777" w:rsidR="00995D2C" w:rsidRPr="00C93B29" w:rsidRDefault="00995D2C" w:rsidP="00995D2C">
      <w:r w:rsidRPr="00B14994">
        <w:t xml:space="preserve">Pri padavinah odstopanja podajamo v relativnih spremembah (v %), saj gledamo odstopanja od </w:t>
      </w:r>
      <w:r w:rsidRPr="00C93B29">
        <w:t>povprečnih letnih oz. sezonskih vsot.</w:t>
      </w:r>
    </w:p>
    <w:p w14:paraId="7A8C0895" w14:textId="77777777" w:rsidR="00995D2C" w:rsidRPr="006663E5" w:rsidRDefault="00995D2C" w:rsidP="00995D2C">
      <w:r w:rsidRPr="006663E5">
        <w:t>Letna količina padavin je bila na območju občine</w:t>
      </w:r>
      <w:r w:rsidRPr="006663E5">
        <w:rPr>
          <w:rFonts w:cs="Calibri"/>
          <w:color w:val="000000"/>
          <w14:textFill>
            <w14:solidFill>
              <w14:srgbClr w14:val="000000">
                <w14:lumMod w14:val="75000"/>
              </w14:srgbClr>
            </w14:solidFill>
          </w14:textFill>
        </w:rPr>
        <w:t xml:space="preserve"> v referenčnem obdobju 1981</w:t>
      </w:r>
      <w:r w:rsidRPr="006663E5">
        <w:t>—</w:t>
      </w:r>
      <w:r w:rsidRPr="006663E5">
        <w:rPr>
          <w:rFonts w:cs="Calibri"/>
          <w:color w:val="000000"/>
          <w14:textFill>
            <w14:solidFill>
              <w14:srgbClr w14:val="000000">
                <w14:lumMod w14:val="75000"/>
              </w14:srgbClr>
            </w14:solidFill>
          </w14:textFill>
        </w:rPr>
        <w:t>2010</w:t>
      </w:r>
      <w:r w:rsidRPr="006663E5">
        <w:rPr>
          <w:rFonts w:cs="Calibri"/>
          <w:color w:val="000000"/>
        </w:rPr>
        <w:t xml:space="preserve"> povprečno 1.800 </w:t>
      </w:r>
      <w:r w:rsidRPr="006663E5">
        <w:t>milimetrov padavin letno, z največjo količino jeseni (povprečno 600 mm), nekoliko manj pa v ostalih letnih časih (povprečno 400 mm).</w:t>
      </w:r>
    </w:p>
    <w:p w14:paraId="6932471E" w14:textId="77777777" w:rsidR="00995D2C" w:rsidRPr="006663E5" w:rsidRDefault="00995D2C" w:rsidP="00995D2C">
      <w:pPr>
        <w:rPr>
          <w:rFonts w:cs="Calibri"/>
          <w:color w:val="000000"/>
          <w14:textFill>
            <w14:solidFill>
              <w14:srgbClr w14:val="000000">
                <w14:lumMod w14:val="75000"/>
              </w14:srgbClr>
            </w14:solidFill>
          </w14:textFill>
        </w:rPr>
      </w:pPr>
      <w:bookmarkStart w:id="65" w:name="_Hlk42022524"/>
      <w:r w:rsidRPr="006663E5">
        <w:t>Trend povprečne količine padavin je bil v občini v referenčnem obdobju 1981—2010 negativen (</w:t>
      </w:r>
      <w:r w:rsidRPr="006663E5">
        <w:noBreakHyphen/>
        <w:t>3,0 %/desetletje),</w:t>
      </w:r>
      <w:bookmarkEnd w:id="65"/>
      <w:r w:rsidRPr="006663E5">
        <w:t xml:space="preserve"> v tridesetletnem obdobju so se letne padavine zmanjšale za</w:t>
      </w:r>
      <w:r w:rsidRPr="006663E5">
        <w:rPr>
          <w:rFonts w:cs="Calibri"/>
          <w:color w:val="000000"/>
          <w14:textFill>
            <w14:solidFill>
              <w14:srgbClr w14:val="000000">
                <w14:lumMod w14:val="75000"/>
              </w14:srgbClr>
            </w14:solidFill>
          </w14:textFill>
        </w:rPr>
        <w:t xml:space="preserve"> približno 1</w:t>
      </w:r>
      <w:r>
        <w:rPr>
          <w:rFonts w:cs="Calibri"/>
          <w:color w:val="000000"/>
          <w14:textFill>
            <w14:solidFill>
              <w14:srgbClr w14:val="000000">
                <w14:lumMod w14:val="75000"/>
              </w14:srgbClr>
            </w14:solidFill>
          </w14:textFill>
        </w:rPr>
        <w:t>6</w:t>
      </w:r>
      <w:r w:rsidRPr="006663E5">
        <w:rPr>
          <w:rFonts w:cs="Calibri"/>
          <w:color w:val="000000"/>
          <w14:textFill>
            <w14:solidFill>
              <w14:srgbClr w14:val="000000">
                <w14:lumMod w14:val="75000"/>
              </w14:srgbClr>
            </w14:solidFill>
          </w14:textFill>
        </w:rPr>
        <w:t>0 mm oz. 9 %. Največji padec padavin je zaznati spomladi (-4,34 %/desetletje) in poleti (</w:t>
      </w:r>
      <w:r w:rsidRPr="006663E5">
        <w:noBreakHyphen/>
        <w:t>3</w:t>
      </w:r>
      <w:r w:rsidRPr="006663E5">
        <w:rPr>
          <w:rFonts w:cs="Calibri"/>
          <w:color w:val="000000"/>
          <w14:textFill>
            <w14:solidFill>
              <w14:srgbClr w14:val="000000">
                <w14:lumMod w14:val="75000"/>
              </w14:srgbClr>
            </w14:solidFill>
          </w14:textFill>
        </w:rPr>
        <w:t>,7 %/desetletje), nekoliko manjši padec pa jeseni (</w:t>
      </w:r>
      <w:r w:rsidRPr="006663E5">
        <w:rPr>
          <w:rFonts w:cs="Calibri"/>
          <w:color w:val="000000"/>
          <w14:textFill>
            <w14:solidFill>
              <w14:srgbClr w14:val="000000">
                <w14:lumMod w14:val="75000"/>
              </w14:srgbClr>
            </w14:solidFill>
          </w14:textFill>
        </w:rPr>
        <w:noBreakHyphen/>
        <w:t>2,71 %/desetletje) in pozimi (</w:t>
      </w:r>
      <w:r w:rsidRPr="006663E5">
        <w:noBreakHyphen/>
      </w:r>
      <w:r w:rsidRPr="006663E5">
        <w:rPr>
          <w:rFonts w:cs="Calibri"/>
          <w:color w:val="000000"/>
          <w14:textFill>
            <w14:solidFill>
              <w14:srgbClr w14:val="000000">
                <w14:lumMod w14:val="75000"/>
              </w14:srgbClr>
            </w14:solidFill>
          </w14:textFill>
        </w:rPr>
        <w:t>2,65 %/desetletje).</w:t>
      </w:r>
    </w:p>
    <w:p w14:paraId="48DF4801" w14:textId="77777777" w:rsidR="00995D2C" w:rsidRPr="00B14994" w:rsidRDefault="00995D2C" w:rsidP="00995D2C">
      <w:pPr>
        <w:rPr>
          <w:rFonts w:cs="Calibri"/>
          <w:color w:val="000000"/>
          <w14:textFill>
            <w14:solidFill>
              <w14:srgbClr w14:val="000000">
                <w14:lumMod w14:val="75000"/>
              </w14:srgbClr>
            </w14:solidFill>
          </w14:textFill>
        </w:rPr>
      </w:pPr>
      <w:r w:rsidRPr="006663E5">
        <w:rPr>
          <w:rFonts w:cs="Calibri"/>
          <w:color w:val="000000"/>
          <w14:textFill>
            <w14:solidFill>
              <w14:srgbClr w14:val="000000">
                <w14:lumMod w14:val="75000"/>
              </w14:srgbClr>
            </w14:solidFill>
          </w14:textFill>
        </w:rPr>
        <w:t>Za padavine so si podnebni scenariji zelo različni oziroma kažejo veliko negotovost. Večje</w:t>
      </w:r>
      <w:r w:rsidRPr="00C37314">
        <w:rPr>
          <w:rFonts w:cs="Calibri"/>
          <w:color w:val="000000"/>
          <w14:textFill>
            <w14:solidFill>
              <w14:srgbClr w14:val="000000">
                <w14:lumMod w14:val="75000"/>
              </w14:srgbClr>
            </w14:solidFill>
          </w14:textFill>
        </w:rPr>
        <w:t xml:space="preserve"> spremembe je zaznati na sezonski ravni, na letni ravni pa se sezonska nihanja izničijo, saj projekcije kažejo, da se bo v zimskem obdobju količina padavin povečala, poleti pa zmanjšala. Višina padavin na letni ravni se bo po obeh scenarijih, RCP4.5 in RCP8.5, v drugi polovici 21. stoletja povečala, predvsem pozimi</w:t>
      </w:r>
      <w:r>
        <w:rPr>
          <w:rFonts w:cs="Calibri"/>
          <w:color w:val="000000"/>
          <w14:textFill>
            <w14:solidFill>
              <w14:srgbClr w14:val="000000">
                <w14:lumMod w14:val="75000"/>
              </w14:srgbClr>
            </w14:solidFill>
          </w14:textFill>
        </w:rPr>
        <w:t xml:space="preserve"> ter spomladi</w:t>
      </w:r>
      <w:r w:rsidRPr="00C37314">
        <w:rPr>
          <w:rFonts w:cs="Calibri"/>
          <w:color w:val="000000"/>
          <w14:textFill>
            <w14:solidFill>
              <w14:srgbClr w14:val="000000">
                <w14:lumMod w14:val="75000"/>
              </w14:srgbClr>
            </w14:solidFill>
          </w14:textFill>
        </w:rPr>
        <w:t>. V primeru obeh scenarijev bo pov</w:t>
      </w:r>
      <w:r w:rsidRPr="00C37314">
        <w:rPr>
          <w:rFonts w:cs="Calibri"/>
          <w:color w:val="000000"/>
          <w14:textFill>
            <w14:solidFill>
              <w14:srgbClr w14:val="000000">
                <w14:lumMod w14:val="75000"/>
              </w14:srgbClr>
            </w14:solidFill>
          </w14:textFill>
        </w:rPr>
        <w:softHyphen/>
        <w:t>prečno povečanje letnih padavin konec stoletja v primerjavi z obdobjem 1981</w:t>
      </w:r>
      <w:r w:rsidRPr="00C37314">
        <w:t>—</w:t>
      </w:r>
      <w:r w:rsidRPr="00C37314">
        <w:rPr>
          <w:rFonts w:cs="Calibri"/>
          <w:color w:val="000000"/>
          <w14:textFill>
            <w14:solidFill>
              <w14:srgbClr w14:val="000000">
                <w14:lumMod w14:val="75000"/>
              </w14:srgbClr>
            </w14:solidFill>
          </w14:textFill>
        </w:rPr>
        <w:t xml:space="preserve">2010 za </w:t>
      </w:r>
      <w:r>
        <w:rPr>
          <w:rFonts w:cs="Calibri"/>
          <w:color w:val="000000"/>
          <w14:textFill>
            <w14:solidFill>
              <w14:srgbClr w14:val="000000">
                <w14:lumMod w14:val="75000"/>
              </w14:srgbClr>
            </w14:solidFill>
          </w14:textFill>
        </w:rPr>
        <w:t>3</w:t>
      </w:r>
      <w:r w:rsidRPr="00C37314">
        <w:rPr>
          <w:rFonts w:cs="Calibri"/>
          <w:color w:val="000000"/>
          <w14:textFill>
            <w14:solidFill>
              <w14:srgbClr w14:val="000000">
                <w14:lumMod w14:val="75000"/>
              </w14:srgbClr>
            </w14:solidFill>
          </w14:textFill>
        </w:rPr>
        <w:t xml:space="preserve"> do </w:t>
      </w:r>
      <w:r>
        <w:rPr>
          <w:rFonts w:cs="Calibri"/>
          <w:color w:val="000000"/>
          <w14:textFill>
            <w14:solidFill>
              <w14:srgbClr w14:val="000000">
                <w14:lumMod w14:val="75000"/>
              </w14:srgbClr>
            </w14:solidFill>
          </w14:textFill>
        </w:rPr>
        <w:t>6</w:t>
      </w:r>
      <w:r w:rsidRPr="00C37314">
        <w:rPr>
          <w:rFonts w:cs="Calibri"/>
          <w:color w:val="000000"/>
          <w14:textFill>
            <w14:solidFill>
              <w14:srgbClr w14:val="000000">
                <w14:lumMod w14:val="75000"/>
              </w14:srgbClr>
            </w14:solidFill>
          </w14:textFill>
        </w:rPr>
        <w:t> %. Največ se bodo padavine povečale pozimi (1</w:t>
      </w:r>
      <w:r>
        <w:rPr>
          <w:rFonts w:cs="Calibri"/>
          <w:color w:val="000000"/>
          <w14:textFill>
            <w14:solidFill>
              <w14:srgbClr w14:val="000000">
                <w14:lumMod w14:val="75000"/>
              </w14:srgbClr>
            </w14:solidFill>
          </w14:textFill>
        </w:rPr>
        <w:t>2</w:t>
      </w:r>
      <w:r w:rsidRPr="00C37314">
        <w:rPr>
          <w:rFonts w:cs="Calibri"/>
          <w:color w:val="000000"/>
          <w14:textFill>
            <w14:solidFill>
              <w14:srgbClr w14:val="000000">
                <w14:lumMod w14:val="75000"/>
              </w14:srgbClr>
            </w14:solidFill>
          </w14:textFill>
        </w:rPr>
        <w:t xml:space="preserve"> do 1</w:t>
      </w:r>
      <w:r>
        <w:rPr>
          <w:rFonts w:cs="Calibri"/>
          <w:color w:val="000000"/>
          <w14:textFill>
            <w14:solidFill>
              <w14:srgbClr w14:val="000000">
                <w14:lumMod w14:val="75000"/>
              </w14:srgbClr>
            </w14:solidFill>
          </w14:textFill>
        </w:rPr>
        <w:t>6</w:t>
      </w:r>
      <w:r w:rsidRPr="00C37314">
        <w:rPr>
          <w:rFonts w:cs="Calibri"/>
          <w:color w:val="000000"/>
          <w14:textFill>
            <w14:solidFill>
              <w14:srgbClr w14:val="000000">
                <w14:lumMod w14:val="75000"/>
              </w14:srgbClr>
            </w14:solidFill>
          </w14:textFill>
        </w:rPr>
        <w:t> %), najmanj pa poleti, kjer lahko pričakujemo celo nekolikšen upad padavin.</w:t>
      </w:r>
    </w:p>
    <w:p w14:paraId="38DA1CBD" w14:textId="77777777" w:rsidR="00995D2C" w:rsidRDefault="00995D2C" w:rsidP="00995D2C">
      <w:pPr>
        <w:rPr>
          <w:rFonts w:cs="Calibri"/>
          <w:color w:val="000000"/>
          <w14:textFill>
            <w14:solidFill>
              <w14:srgbClr w14:val="000000">
                <w14:lumMod w14:val="75000"/>
              </w14:srgbClr>
            </w14:solidFill>
          </w14:textFill>
        </w:rPr>
      </w:pPr>
      <w:r w:rsidRPr="00B14994">
        <w:rPr>
          <w:rFonts w:cs="Calibri"/>
          <w:color w:val="000000"/>
          <w14:textFill>
            <w14:solidFill>
              <w14:srgbClr w14:val="000000">
                <w14:lumMod w14:val="75000"/>
              </w14:srgbClr>
            </w14:solidFill>
          </w14:textFill>
        </w:rPr>
        <w:t>Na sliki</w:t>
      </w:r>
      <w:r>
        <w:rPr>
          <w:rFonts w:cs="Calibri"/>
          <w:color w:val="000000"/>
          <w14:textFill>
            <w14:solidFill>
              <w14:srgbClr w14:val="000000">
                <w14:lumMod w14:val="75000"/>
              </w14:srgbClr>
            </w14:solidFill>
          </w14:textFill>
        </w:rPr>
        <w:t xml:space="preserve"> 4.5</w:t>
      </w:r>
      <w:r w:rsidRPr="00B14994">
        <w:rPr>
          <w:rFonts w:cs="Calibri"/>
          <w:color w:val="000000"/>
          <w14:textFill>
            <w14:solidFill>
              <w14:srgbClr w14:val="000000">
                <w14:lumMod w14:val="75000"/>
              </w14:srgbClr>
            </w14:solidFill>
          </w14:textFill>
        </w:rPr>
        <w:t xml:space="preserve"> so prikazani odkloni vsot padavin za scenarij</w:t>
      </w:r>
      <w:r>
        <w:rPr>
          <w:rFonts w:cs="Calibri"/>
          <w:color w:val="000000"/>
          <w14:textFill>
            <w14:solidFill>
              <w14:srgbClr w14:val="000000">
                <w14:lumMod w14:val="75000"/>
              </w14:srgbClr>
            </w14:solidFill>
          </w14:textFill>
        </w:rPr>
        <w:t>ih</w:t>
      </w:r>
      <w:r w:rsidRPr="00B14994">
        <w:rPr>
          <w:rFonts w:cs="Calibri"/>
          <w:color w:val="000000"/>
          <w14:textFill>
            <w14:solidFill>
              <w14:srgbClr w14:val="000000">
                <w14:lumMod w14:val="75000"/>
              </w14:srgbClr>
            </w14:solidFill>
          </w14:textFill>
        </w:rPr>
        <w:t xml:space="preserve"> RCP4.5</w:t>
      </w:r>
      <w:r>
        <w:rPr>
          <w:rFonts w:cs="Calibri"/>
          <w:color w:val="000000"/>
          <w14:textFill>
            <w14:solidFill>
              <w14:srgbClr w14:val="000000">
                <w14:lumMod w14:val="75000"/>
              </w14:srgbClr>
            </w14:solidFill>
          </w14:textFill>
        </w:rPr>
        <w:t xml:space="preserve"> in RCP8.5</w:t>
      </w:r>
      <w:r w:rsidRPr="00B14994">
        <w:rPr>
          <w:rFonts w:cs="Calibri"/>
          <w:color w:val="000000"/>
          <w14:textFill>
            <w14:solidFill>
              <w14:srgbClr w14:val="000000">
                <w14:lumMod w14:val="75000"/>
              </w14:srgbClr>
            </w14:solidFill>
          </w14:textFill>
        </w:rPr>
        <w:t>. Predstavljena je mediana vseh modelskih ocen ter najvišje in najnižje odstopanje modelov. Z drugimi besedami, predstavljen je celoten razpon možnih povprečnih odstopanj v obdobju 2011</w:t>
      </w:r>
      <w:r w:rsidRPr="00B14994">
        <w:t>—</w:t>
      </w:r>
      <w:r w:rsidRPr="00B14994">
        <w:rPr>
          <w:rFonts w:cs="Calibri"/>
          <w:color w:val="000000"/>
          <w14:textFill>
            <w14:solidFill>
              <w14:srgbClr w14:val="000000">
                <w14:lumMod w14:val="75000"/>
              </w14:srgbClr>
            </w14:solidFill>
          </w14:textFill>
        </w:rPr>
        <w:t>2040 ter 2041—2070.</w:t>
      </w:r>
    </w:p>
    <w:p w14:paraId="228D585A" w14:textId="77777777" w:rsidR="00995D2C" w:rsidRDefault="00995D2C" w:rsidP="00995D2C">
      <w:pPr>
        <w:rPr>
          <w:rFonts w:cs="Calibri"/>
          <w:color w:val="000000"/>
          <w14:textFill>
            <w14:solidFill>
              <w14:srgbClr w14:val="000000">
                <w14:lumMod w14:val="75000"/>
              </w14:srgbClr>
            </w14:solidFill>
          </w14:textFill>
        </w:rPr>
      </w:pPr>
    </w:p>
    <w:p w14:paraId="2383386F" w14:textId="77777777" w:rsidR="00995D2C" w:rsidRDefault="00995D2C" w:rsidP="00766373">
      <w:pPr>
        <w:jc w:val="center"/>
        <w:rPr>
          <w:rFonts w:cs="Calibri"/>
          <w:color w:val="000000"/>
          <w14:textFill>
            <w14:solidFill>
              <w14:srgbClr w14:val="000000">
                <w14:lumMod w14:val="75000"/>
              </w14:srgbClr>
            </w14:solidFill>
          </w14:textFill>
        </w:rPr>
      </w:pPr>
      <w:r>
        <w:rPr>
          <w:rFonts w:cs="Calibri"/>
          <w:noProof/>
          <w:color w:val="000000"/>
          <w:lang w:eastAsia="sl-SI"/>
          <w14:textFill>
            <w14:solidFill>
              <w14:srgbClr w14:val="000000">
                <w14:lumMod w14:val="75000"/>
              </w14:srgbClr>
            </w14:solidFill>
          </w14:textFill>
        </w:rPr>
        <w:lastRenderedPageBreak/>
        <w:drawing>
          <wp:inline distT="0" distB="0" distL="0" distR="0" wp14:anchorId="1EBCCA28" wp14:editId="7D5B5928">
            <wp:extent cx="2937164" cy="2547798"/>
            <wp:effectExtent l="0" t="0" r="0" b="5080"/>
            <wp:docPr id="89858068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40566" cy="2550749"/>
                    </a:xfrm>
                    <a:prstGeom prst="rect">
                      <a:avLst/>
                    </a:prstGeom>
                    <a:noFill/>
                    <a:ln>
                      <a:noFill/>
                    </a:ln>
                  </pic:spPr>
                </pic:pic>
              </a:graphicData>
            </a:graphic>
          </wp:inline>
        </w:drawing>
      </w:r>
      <w:r>
        <w:rPr>
          <w:rFonts w:cs="Calibri"/>
          <w:noProof/>
          <w:color w:val="000000"/>
          <w:lang w:eastAsia="sl-SI"/>
          <w14:textFill>
            <w14:solidFill>
              <w14:srgbClr w14:val="000000">
                <w14:lumMod w14:val="75000"/>
              </w14:srgbClr>
            </w14:solidFill>
          </w14:textFill>
        </w:rPr>
        <w:drawing>
          <wp:inline distT="0" distB="0" distL="0" distR="0" wp14:anchorId="72DF5F89" wp14:editId="34785CE0">
            <wp:extent cx="2986007" cy="2570018"/>
            <wp:effectExtent l="0" t="0" r="5080" b="1905"/>
            <wp:docPr id="89858068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88116" cy="2571833"/>
                    </a:xfrm>
                    <a:prstGeom prst="rect">
                      <a:avLst/>
                    </a:prstGeom>
                    <a:noFill/>
                    <a:ln>
                      <a:noFill/>
                    </a:ln>
                  </pic:spPr>
                </pic:pic>
              </a:graphicData>
            </a:graphic>
          </wp:inline>
        </w:drawing>
      </w:r>
    </w:p>
    <w:p w14:paraId="7C18B597" w14:textId="77777777" w:rsidR="00995D2C" w:rsidRDefault="00995D2C" w:rsidP="00766373">
      <w:pPr>
        <w:jc w:val="center"/>
        <w:rPr>
          <w:rFonts w:cs="Calibri"/>
          <w:color w:val="000000"/>
          <w14:textFill>
            <w14:solidFill>
              <w14:srgbClr w14:val="000000">
                <w14:lumMod w14:val="75000"/>
              </w14:srgbClr>
            </w14:solidFill>
          </w14:textFill>
        </w:rPr>
      </w:pPr>
      <w:r>
        <w:rPr>
          <w:rFonts w:cs="Calibri"/>
          <w:noProof/>
          <w:color w:val="000000"/>
          <w:lang w:eastAsia="sl-SI"/>
          <w14:textFill>
            <w14:solidFill>
              <w14:srgbClr w14:val="000000">
                <w14:lumMod w14:val="75000"/>
              </w14:srgbClr>
            </w14:solidFill>
          </w14:textFill>
        </w:rPr>
        <w:drawing>
          <wp:inline distT="0" distB="0" distL="0" distR="0" wp14:anchorId="67B8D4A0" wp14:editId="088FD545">
            <wp:extent cx="2937164" cy="2491391"/>
            <wp:effectExtent l="0" t="0" r="0" b="4445"/>
            <wp:docPr id="192" name="Slika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38116" cy="2492198"/>
                    </a:xfrm>
                    <a:prstGeom prst="rect">
                      <a:avLst/>
                    </a:prstGeom>
                    <a:noFill/>
                    <a:ln>
                      <a:noFill/>
                    </a:ln>
                  </pic:spPr>
                </pic:pic>
              </a:graphicData>
            </a:graphic>
          </wp:inline>
        </w:drawing>
      </w:r>
      <w:r>
        <w:rPr>
          <w:rFonts w:cs="Calibri"/>
          <w:noProof/>
          <w:color w:val="000000"/>
          <w:lang w:eastAsia="sl-SI"/>
          <w14:textFill>
            <w14:solidFill>
              <w14:srgbClr w14:val="000000">
                <w14:lumMod w14:val="75000"/>
              </w14:srgbClr>
            </w14:solidFill>
          </w14:textFill>
        </w:rPr>
        <w:drawing>
          <wp:inline distT="0" distB="0" distL="0" distR="0" wp14:anchorId="01195E4D" wp14:editId="10F56E05">
            <wp:extent cx="2847109" cy="2510883"/>
            <wp:effectExtent l="0" t="0" r="0" b="3810"/>
            <wp:docPr id="898580684" name="Slika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54903" cy="2517757"/>
                    </a:xfrm>
                    <a:prstGeom prst="rect">
                      <a:avLst/>
                    </a:prstGeom>
                    <a:noFill/>
                    <a:ln>
                      <a:noFill/>
                    </a:ln>
                  </pic:spPr>
                </pic:pic>
              </a:graphicData>
            </a:graphic>
          </wp:inline>
        </w:drawing>
      </w:r>
    </w:p>
    <w:p w14:paraId="5AFB55B1" w14:textId="03CC1813" w:rsidR="00995D2C" w:rsidRPr="00585DE0" w:rsidRDefault="00995D2C" w:rsidP="00995D2C">
      <w:pPr>
        <w:pStyle w:val="Napis"/>
        <w:rPr>
          <w:rFonts w:ascii="Trebuchet MS" w:hAnsi="Trebuchet MS" w:cs="Calibri"/>
          <w:noProof/>
          <w:color w:val="000000"/>
          <w14:textFill>
            <w14:solidFill>
              <w14:srgbClr w14:val="000000">
                <w14:lumMod w14:val="75000"/>
              </w14:srgbClr>
            </w14:solidFill>
          </w14:textFill>
        </w:rPr>
      </w:pPr>
      <w:bookmarkStart w:id="66" w:name="_Toc97026843"/>
      <w:r>
        <w:t xml:space="preserve">Slika </w:t>
      </w:r>
      <w:r w:rsidR="008334B2">
        <w:fldChar w:fldCharType="begin"/>
      </w:r>
      <w:r w:rsidR="008334B2">
        <w:instrText xml:space="preserve"> STYLEREF 1 \s </w:instrText>
      </w:r>
      <w:r w:rsidR="008334B2">
        <w:fldChar w:fldCharType="separate"/>
      </w:r>
      <w:r w:rsidR="008334B2">
        <w:rPr>
          <w:noProof/>
        </w:rPr>
        <w:t>4</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5</w:t>
      </w:r>
      <w:r w:rsidR="008334B2">
        <w:fldChar w:fldCharType="end"/>
      </w:r>
      <w:r w:rsidRPr="00385CE6">
        <w:t>: Ocenjene spremembe vsote padavin (v %) v obdobjih 2011—2040 ter 2041—2070 v primerjavi z obdobjem 1981—2010, za scenarij</w:t>
      </w:r>
      <w:r>
        <w:t>a</w:t>
      </w:r>
      <w:r w:rsidRPr="00385CE6">
        <w:t xml:space="preserve"> RCP4.5</w:t>
      </w:r>
      <w:r>
        <w:t xml:space="preserve"> in RCP8.5</w:t>
      </w:r>
      <w:r w:rsidRPr="00385CE6">
        <w:t>, po sezonah in letno, z najnižjo, srednjo in najvišjo vrednostjo modelskih ocen (vir: ARSO)</w:t>
      </w:r>
      <w:bookmarkEnd w:id="66"/>
    </w:p>
    <w:p w14:paraId="7713609B" w14:textId="77777777" w:rsidR="00995D2C" w:rsidRDefault="00995D2C" w:rsidP="00995D2C">
      <w:pPr>
        <w:rPr>
          <w:rFonts w:cs="Calibri"/>
          <w:color w:val="000000"/>
          <w14:textFill>
            <w14:solidFill>
              <w14:srgbClr w14:val="000000">
                <w14:lumMod w14:val="75000"/>
              </w14:srgbClr>
            </w14:solidFill>
          </w14:textFill>
        </w:rPr>
      </w:pPr>
    </w:p>
    <w:p w14:paraId="3D6E1D6F" w14:textId="77777777" w:rsidR="00995D2C" w:rsidRPr="00B14994" w:rsidRDefault="00995D2C" w:rsidP="00995D2C">
      <w:pPr>
        <w:pStyle w:val="Naslov4"/>
      </w:pPr>
      <w:bookmarkStart w:id="67" w:name="_Hlk41387361"/>
      <w:r w:rsidRPr="007E4E65">
        <w:t>Število</w:t>
      </w:r>
      <w:r w:rsidRPr="00B14994">
        <w:t xml:space="preserve"> dni z dežjem in snegom nad 0,1 mm</w:t>
      </w:r>
      <w:bookmarkEnd w:id="67"/>
    </w:p>
    <w:p w14:paraId="446C005E" w14:textId="77777777" w:rsidR="00995D2C" w:rsidRPr="00B14994" w:rsidRDefault="00995D2C" w:rsidP="00995D2C">
      <w:r w:rsidRPr="00B14994">
        <w:t xml:space="preserve">Padavinski dan je opredeljen kot dan, ko pade </w:t>
      </w:r>
      <w:r w:rsidRPr="00CF01C6">
        <w:t>vsaj 0,1 mm padavin. Število padavinskih dni na leto v referenčnem obdobju za občino znaša 18</w:t>
      </w:r>
      <w:r>
        <w:t>1</w:t>
      </w:r>
      <w:r w:rsidRPr="00CF01C6">
        <w:t xml:space="preserve"> dni, od tega je največ padavinskih dni poleti in spomladi (</w:t>
      </w:r>
      <w:r>
        <w:t>48</w:t>
      </w:r>
      <w:r w:rsidRPr="00CF01C6">
        <w:t xml:space="preserve"> do 5</w:t>
      </w:r>
      <w:r>
        <w:t>3</w:t>
      </w:r>
      <w:r w:rsidRPr="00CF01C6">
        <w:t xml:space="preserve">), najmanj pa jeseni </w:t>
      </w:r>
      <w:r w:rsidRPr="002C5DBF">
        <w:t>in pozimi (3</w:t>
      </w:r>
      <w:r>
        <w:t>6</w:t>
      </w:r>
      <w:r w:rsidRPr="002C5DBF">
        <w:t xml:space="preserve"> do 4</w:t>
      </w:r>
      <w:r>
        <w:t>4</w:t>
      </w:r>
      <w:r w:rsidRPr="002C5DBF">
        <w:t>). Hkrati pa pade jeseni največja količina padavin (33%).</w:t>
      </w:r>
    </w:p>
    <w:p w14:paraId="7E56F634" w14:textId="77777777" w:rsidR="00995D2C" w:rsidRDefault="00995D2C" w:rsidP="00995D2C">
      <w:r w:rsidRPr="0095038F">
        <w:t>Po obeh scenarijih RCP4.5 ter RCP8.5 se bo število padavinskih dni zmanjšalo poleti in jeseni. Število padavinskih dni se bo zmanjšalo že v prvem tridesetletnem obdobju, v drugi polovici stoletja se bo zmanjšanje števila padavinskih dni še nekoliko stopnjevalo.</w:t>
      </w:r>
      <w:r w:rsidRPr="00B14994">
        <w:t xml:space="preserve"> </w:t>
      </w:r>
    </w:p>
    <w:p w14:paraId="693023D9" w14:textId="77777777" w:rsidR="00995D2C" w:rsidRPr="00B14994" w:rsidRDefault="00995D2C" w:rsidP="00995D2C"/>
    <w:p w14:paraId="76DC1884" w14:textId="77777777" w:rsidR="00995D2C" w:rsidRPr="00B14994" w:rsidRDefault="00995D2C" w:rsidP="00995D2C">
      <w:pPr>
        <w:pStyle w:val="Naslov4"/>
      </w:pPr>
      <w:r w:rsidRPr="00B14994">
        <w:lastRenderedPageBreak/>
        <w:t>Število dni z dežjem in snegom nad 50 mm</w:t>
      </w:r>
    </w:p>
    <w:p w14:paraId="74A5743D" w14:textId="77777777" w:rsidR="00995D2C" w:rsidRPr="0095038F" w:rsidRDefault="00995D2C" w:rsidP="00995D2C">
      <w:pPr>
        <w:rPr>
          <w:highlight w:val="yellow"/>
        </w:rPr>
      </w:pPr>
      <w:r w:rsidRPr="0095038F">
        <w:t xml:space="preserve">Število dni z dnevno višino padavin 50 mm ali več, ki </w:t>
      </w:r>
      <w:r w:rsidRPr="00816520">
        <w:t>označujejo zelo intenzivne padavinske dogodke, v referenčnem obdobju za občino znaša v povprečju 6 dni na leto. Večina intenzivnih padavin se zgodi jeseni (3 dni/leto).</w:t>
      </w:r>
    </w:p>
    <w:p w14:paraId="0A6944C5" w14:textId="77777777" w:rsidR="00995D2C" w:rsidRDefault="00995D2C" w:rsidP="00995D2C">
      <w:r w:rsidRPr="00DF6C05">
        <w:t>Scenariji kažejo, da se bosta povečali tako jakost kot pogostost izjemnih</w:t>
      </w:r>
      <w:r w:rsidRPr="0095038F">
        <w:t xml:space="preserve"> padavin</w:t>
      </w:r>
      <w:r>
        <w:t xml:space="preserve"> in sicer v primeru obeh </w:t>
      </w:r>
      <w:r w:rsidRPr="0095038F">
        <w:t>scenarij</w:t>
      </w:r>
      <w:r>
        <w:t>ev enako RCP4.5 in</w:t>
      </w:r>
      <w:r w:rsidRPr="0095038F">
        <w:t xml:space="preserve"> RCP8.5 (povečanje za</w:t>
      </w:r>
      <w:r>
        <w:t xml:space="preserve"> povprečno</w:t>
      </w:r>
      <w:r w:rsidRPr="0095038F">
        <w:t xml:space="preserve"> 1 d</w:t>
      </w:r>
      <w:r>
        <w:t>a</w:t>
      </w:r>
      <w:r w:rsidRPr="0095038F">
        <w:t>n/leto).</w:t>
      </w:r>
    </w:p>
    <w:p w14:paraId="5E1D0C03" w14:textId="77777777" w:rsidR="00995D2C" w:rsidRPr="00B14994" w:rsidRDefault="00995D2C" w:rsidP="00995D2C">
      <w:pPr>
        <w:pStyle w:val="Naslov4"/>
      </w:pPr>
      <w:r w:rsidRPr="00B14994">
        <w:t>Suha in mokra obdobja</w:t>
      </w:r>
    </w:p>
    <w:p w14:paraId="1B62AD94" w14:textId="77777777" w:rsidR="00995D2C" w:rsidRDefault="00995D2C" w:rsidP="00995D2C">
      <w:r w:rsidRPr="00B14994">
        <w:t xml:space="preserve">Ob znani spremembi padavin je pomemben podatek, kako se bo spremenila dolžina suhih in mokrih obdobij, ki posredno kažejo možnost za obe hidrološki skrajnosti, suše in poplave </w:t>
      </w:r>
      <w:r w:rsidRPr="00B14994">
        <w:rPr>
          <w:color w:val="000000"/>
        </w:rPr>
        <w:t>(</w:t>
      </w:r>
      <w:proofErr w:type="spellStart"/>
      <w:r w:rsidRPr="00B14994">
        <w:rPr>
          <w:color w:val="000000"/>
        </w:rPr>
        <w:t>Bertalanič</w:t>
      </w:r>
      <w:proofErr w:type="spellEnd"/>
      <w:r w:rsidRPr="00B14994">
        <w:rPr>
          <w:color w:val="000000"/>
        </w:rPr>
        <w:t>, 2018).</w:t>
      </w:r>
      <w:r w:rsidRPr="00B14994">
        <w:t xml:space="preserve"> V referenčnem obdobju 1981—2010 dolžina najdaljšega suhega obdobja znaša </w:t>
      </w:r>
      <w:r>
        <w:t>26</w:t>
      </w:r>
      <w:r w:rsidRPr="00B14994">
        <w:t xml:space="preserve"> dni, dolžina najdaljšega mokrega obdobja pa znaša 9 dni. Kazalnika dolžine zaporednih mokrih in suhih dni ne kažeta večjih sprememb za scenarij RCP4.5, pri scenariju RCP8.5 pa je za kazalnik dolžine suhih obdobij pričakovano podaljšanje za povprečno 1 dan, za kazalnik mokrih obdobij pa </w:t>
      </w:r>
      <w:r>
        <w:t>je pričakovati skrajšanje za povprečno 1 dan.</w:t>
      </w:r>
    </w:p>
    <w:p w14:paraId="11A28AF7" w14:textId="77777777" w:rsidR="00995D2C" w:rsidRPr="00B14994" w:rsidRDefault="00995D2C" w:rsidP="00995D2C">
      <w:pPr>
        <w:pStyle w:val="Naslov4"/>
      </w:pPr>
      <w:r w:rsidRPr="00B14994">
        <w:t>Število dni s snežno odejo</w:t>
      </w:r>
    </w:p>
    <w:p w14:paraId="23B9E4D2" w14:textId="77777777" w:rsidR="00995D2C" w:rsidRPr="00B14994" w:rsidRDefault="00995D2C" w:rsidP="00995D2C">
      <w:r w:rsidRPr="00B14994">
        <w:t>Snežna odeja je močno odvisna od količine snežnih padavin in temperature zraka ter je eden od najbolj opaznih kazalcev podnebnih sprememb. Na splošno velja, da količina snega narašča z naraščajočo nadmorsko višino, zato so v nadaljevanju predstavljeni podatki o številu dni s snežno odejo po višinskih pasovih na območju občine.</w:t>
      </w:r>
    </w:p>
    <w:p w14:paraId="2D8C23E2" w14:textId="77777777" w:rsidR="00995D2C" w:rsidRDefault="00995D2C" w:rsidP="00995D2C">
      <w:r w:rsidRPr="00B14994">
        <w:t xml:space="preserve">V referenčnem obdobju 1981—2010 je zabeleženih povprečno </w:t>
      </w:r>
      <w:r>
        <w:t>9</w:t>
      </w:r>
      <w:r w:rsidRPr="00B14994">
        <w:t xml:space="preserve"> dni s snežno odejo na nadmorski višini </w:t>
      </w:r>
      <w:r>
        <w:t>0 - 3</w:t>
      </w:r>
      <w:r w:rsidRPr="00B14994">
        <w:t xml:space="preserve">00 m, </w:t>
      </w:r>
      <w:r>
        <w:t>26</w:t>
      </w:r>
      <w:r w:rsidRPr="00B14994">
        <w:t xml:space="preserve"> dni na nadmorski višini </w:t>
      </w:r>
      <w:r>
        <w:t>3</w:t>
      </w:r>
      <w:r w:rsidRPr="00B14994">
        <w:t>00 – </w:t>
      </w:r>
      <w:r>
        <w:t>6</w:t>
      </w:r>
      <w:r w:rsidRPr="00B14994">
        <w:t>00</w:t>
      </w:r>
      <w:r>
        <w:t xml:space="preserve"> m, 54</w:t>
      </w:r>
      <w:r w:rsidRPr="00B14994">
        <w:t xml:space="preserve"> dni na nadmorski višini </w:t>
      </w:r>
      <w:r>
        <w:t>6</w:t>
      </w:r>
      <w:r w:rsidRPr="00B14994">
        <w:t>00 – </w:t>
      </w:r>
      <w:r>
        <w:t>9</w:t>
      </w:r>
      <w:r w:rsidRPr="00B14994">
        <w:t>00 m</w:t>
      </w:r>
      <w:r>
        <w:t>, 92 </w:t>
      </w:r>
      <w:r w:rsidRPr="00B14994">
        <w:t xml:space="preserve">dni na nadmorski višini </w:t>
      </w:r>
      <w:r>
        <w:t>9</w:t>
      </w:r>
      <w:r w:rsidRPr="00B14994">
        <w:t>00 – </w:t>
      </w:r>
      <w:r>
        <w:t>12</w:t>
      </w:r>
      <w:r w:rsidRPr="00B14994">
        <w:t>00 </w:t>
      </w:r>
      <w:r>
        <w:t>m</w:t>
      </w:r>
      <w:r w:rsidRPr="00B14994">
        <w:t xml:space="preserve"> ter </w:t>
      </w:r>
      <w:r>
        <w:t>123</w:t>
      </w:r>
      <w:r w:rsidRPr="00B14994">
        <w:t xml:space="preserve"> dni na nadmorski višini </w:t>
      </w:r>
      <w:r>
        <w:t>12</w:t>
      </w:r>
      <w:r w:rsidRPr="00B14994">
        <w:t xml:space="preserve">00 – 1500 m. Skupna </w:t>
      </w:r>
      <w:r w:rsidRPr="00DF6C05">
        <w:t xml:space="preserve">višina snežne odeje se je v obdobju 1981—2010 zmanjšala za približno </w:t>
      </w:r>
      <w:r>
        <w:t>0</w:t>
      </w:r>
      <w:r w:rsidRPr="00DF6C05">
        <w:t xml:space="preserve"> do 10 % na desetletje, odvisno od nadmorske višine.</w:t>
      </w:r>
    </w:p>
    <w:p w14:paraId="74495589" w14:textId="77777777" w:rsidR="00995D2C" w:rsidRPr="00B14994" w:rsidRDefault="00995D2C" w:rsidP="00995D2C">
      <w:r w:rsidRPr="00EA4436">
        <w:t xml:space="preserve">Trend v referenčnem obdobju 1981—2010 </w:t>
      </w:r>
      <w:r>
        <w:t>kaže, da se je povprečna višina novozapadlega snega na leto</w:t>
      </w:r>
      <w:r w:rsidRPr="00EA4436">
        <w:t xml:space="preserve"> v občini zmanjšal</w:t>
      </w:r>
      <w:r>
        <w:t>a</w:t>
      </w:r>
      <w:r w:rsidRPr="00EA4436">
        <w:t xml:space="preserve"> za</w:t>
      </w:r>
      <w:r w:rsidRPr="00B14994">
        <w:t xml:space="preserve"> </w:t>
      </w:r>
      <w:r>
        <w:t>7</w:t>
      </w:r>
      <w:r w:rsidRPr="00B14994">
        <w:t>,</w:t>
      </w:r>
      <w:r>
        <w:t>07</w:t>
      </w:r>
      <w:r w:rsidRPr="00B14994">
        <w:t> %/desetletje</w:t>
      </w:r>
      <w:r>
        <w:t>.</w:t>
      </w:r>
    </w:p>
    <w:p w14:paraId="3C637111" w14:textId="77777777" w:rsidR="00995D2C" w:rsidRDefault="00995D2C" w:rsidP="00995D2C">
      <w:r w:rsidRPr="00B14994">
        <w:t xml:space="preserve">Projekcije kažejo, da bo tudi v prihodnjih desetletjih zmanjšanje zelo izrazito. Po scenariju RCP4.5 je v prvem tridesetletnem obdobju (2011—2040) predvideno zmanjšanje števila dni s snežno odejo </w:t>
      </w:r>
      <w:r w:rsidRPr="00902CE2">
        <w:t xml:space="preserve">za </w:t>
      </w:r>
      <w:r>
        <w:t>2</w:t>
      </w:r>
      <w:r w:rsidRPr="00902CE2">
        <w:t> – 1</w:t>
      </w:r>
      <w:r>
        <w:t>7</w:t>
      </w:r>
      <w:r w:rsidRPr="00902CE2">
        <w:t xml:space="preserve"> </w:t>
      </w:r>
      <w:r>
        <w:t xml:space="preserve">dni </w:t>
      </w:r>
      <w:r w:rsidRPr="00902CE2">
        <w:t xml:space="preserve">ter v naslednjem tridesetletnem obdobju (2041—2070) zmanjšanje za </w:t>
      </w:r>
      <w:r>
        <w:t>4</w:t>
      </w:r>
      <w:r w:rsidRPr="00902CE2">
        <w:t> </w:t>
      </w:r>
      <w:r>
        <w:t>–</w:t>
      </w:r>
      <w:r w:rsidRPr="00902CE2">
        <w:t> </w:t>
      </w:r>
      <w:r>
        <w:t>33 dni</w:t>
      </w:r>
      <w:r w:rsidRPr="00902CE2">
        <w:t>. Po scen</w:t>
      </w:r>
      <w:r w:rsidRPr="00B14994">
        <w:t xml:space="preserve">ariju RCP8.5 pa je v prvem tridesetletnem obdobju (2011—2040) predvideno zmanjšanje števila dni s snežno odejo za </w:t>
      </w:r>
      <w:r>
        <w:t>3</w:t>
      </w:r>
      <w:r w:rsidRPr="00B14994">
        <w:t> – </w:t>
      </w:r>
      <w:r>
        <w:t>23</w:t>
      </w:r>
      <w:r w:rsidRPr="00B14994">
        <w:t> </w:t>
      </w:r>
      <w:r>
        <w:t>dni</w:t>
      </w:r>
      <w:r w:rsidRPr="00B14994">
        <w:t xml:space="preserve"> ter v naslednjem tridesetletnem obdobju (2041—2070) zmanjšanje za kar </w:t>
      </w:r>
      <w:r>
        <w:t>5</w:t>
      </w:r>
      <w:r w:rsidRPr="00B14994">
        <w:t> - </w:t>
      </w:r>
      <w:r>
        <w:t>46</w:t>
      </w:r>
      <w:r w:rsidRPr="00B14994">
        <w:t> </w:t>
      </w:r>
      <w:r>
        <w:t>dni</w:t>
      </w:r>
      <w:r w:rsidRPr="00B14994">
        <w:t xml:space="preserve">. V vseh primerih pa bodo največja zmanjšanja števila dni s snežno odejo na nadmorskih višinah </w:t>
      </w:r>
      <w:r>
        <w:t>9</w:t>
      </w:r>
      <w:r w:rsidRPr="00B14994">
        <w:t xml:space="preserve">00-1500 m ter najmanjša zmanjšanja na nadmorskih višinah </w:t>
      </w:r>
      <w:r>
        <w:t>0</w:t>
      </w:r>
      <w:r w:rsidRPr="00B14994">
        <w:t>-</w:t>
      </w:r>
      <w:r>
        <w:t>6</w:t>
      </w:r>
      <w:r w:rsidRPr="00B14994">
        <w:t>00 m. Na slik</w:t>
      </w:r>
      <w:r>
        <w:t>i 4.6</w:t>
      </w:r>
      <w:r w:rsidRPr="00B14994">
        <w:t xml:space="preserve"> je prikazana sprememba števila dni s snežno odejo v projekcijah prihodnjih obdobij.</w:t>
      </w:r>
    </w:p>
    <w:p w14:paraId="4DF55C3C" w14:textId="77777777" w:rsidR="00995D2C" w:rsidRDefault="00995D2C" w:rsidP="00766373">
      <w:pPr>
        <w:jc w:val="center"/>
      </w:pPr>
      <w:r>
        <w:rPr>
          <w:noProof/>
          <w:lang w:eastAsia="sl-SI"/>
        </w:rPr>
        <w:lastRenderedPageBreak/>
        <w:drawing>
          <wp:inline distT="0" distB="0" distL="0" distR="0" wp14:anchorId="450047D0" wp14:editId="328A60E7">
            <wp:extent cx="3015211" cy="4246418"/>
            <wp:effectExtent l="0" t="0" r="0" b="1905"/>
            <wp:docPr id="898580685" name="Slika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19902" cy="4253025"/>
                    </a:xfrm>
                    <a:prstGeom prst="rect">
                      <a:avLst/>
                    </a:prstGeom>
                    <a:noFill/>
                    <a:ln>
                      <a:noFill/>
                    </a:ln>
                  </pic:spPr>
                </pic:pic>
              </a:graphicData>
            </a:graphic>
          </wp:inline>
        </w:drawing>
      </w:r>
      <w:r>
        <w:rPr>
          <w:noProof/>
          <w:lang w:eastAsia="sl-SI"/>
        </w:rPr>
        <w:drawing>
          <wp:inline distT="0" distB="0" distL="0" distR="0" wp14:anchorId="5DF0ABC9" wp14:editId="01B44268">
            <wp:extent cx="2916382" cy="4246139"/>
            <wp:effectExtent l="0" t="0" r="0" b="2540"/>
            <wp:docPr id="196" name="Slika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26644" cy="4261080"/>
                    </a:xfrm>
                    <a:prstGeom prst="rect">
                      <a:avLst/>
                    </a:prstGeom>
                    <a:noFill/>
                    <a:ln>
                      <a:noFill/>
                    </a:ln>
                  </pic:spPr>
                </pic:pic>
              </a:graphicData>
            </a:graphic>
          </wp:inline>
        </w:drawing>
      </w:r>
    </w:p>
    <w:p w14:paraId="58E05970" w14:textId="393323D8" w:rsidR="00995D2C" w:rsidRPr="00FE1648" w:rsidRDefault="00995D2C" w:rsidP="00995D2C">
      <w:pPr>
        <w:pStyle w:val="Napis"/>
        <w:rPr>
          <w:rFonts w:ascii="Trebuchet MS" w:hAnsi="Trebuchet MS"/>
          <w:noProof/>
        </w:rPr>
      </w:pPr>
      <w:bookmarkStart w:id="68" w:name="_Toc97026844"/>
      <w:r>
        <w:t xml:space="preserve">Slika </w:t>
      </w:r>
      <w:r w:rsidR="008334B2">
        <w:fldChar w:fldCharType="begin"/>
      </w:r>
      <w:r w:rsidR="008334B2">
        <w:instrText xml:space="preserve"> STYLEREF 1 \s </w:instrText>
      </w:r>
      <w:r w:rsidR="008334B2">
        <w:fldChar w:fldCharType="separate"/>
      </w:r>
      <w:r w:rsidR="008334B2">
        <w:rPr>
          <w:noProof/>
        </w:rPr>
        <w:t>4</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6</w:t>
      </w:r>
      <w:r w:rsidR="008334B2">
        <w:fldChar w:fldCharType="end"/>
      </w:r>
      <w:r w:rsidRPr="0044652B">
        <w:t xml:space="preserve">: Odklon števila dni s snežno odejo na območju </w:t>
      </w:r>
      <w:r>
        <w:t xml:space="preserve">Mestne </w:t>
      </w:r>
      <w:r w:rsidRPr="0044652B">
        <w:t>občine</w:t>
      </w:r>
      <w:r>
        <w:t xml:space="preserve"> Nova Gorica</w:t>
      </w:r>
      <w:r w:rsidRPr="0044652B">
        <w:t xml:space="preserve"> za scenarija RCP4.5 in RCP8.5 </w:t>
      </w:r>
      <w:r w:rsidRPr="00385CE6">
        <w:t>v primerjavi z obdobjem 1981—2010</w:t>
      </w:r>
      <w:r w:rsidRPr="0044652B">
        <w:t xml:space="preserve"> (vir: ARSO)</w:t>
      </w:r>
      <w:bookmarkEnd w:id="68"/>
    </w:p>
    <w:p w14:paraId="2F805D0A" w14:textId="77777777" w:rsidR="00995D2C" w:rsidRPr="00B14994" w:rsidRDefault="00995D2C" w:rsidP="00995D2C">
      <w:pPr>
        <w:pStyle w:val="Naslov3"/>
        <w:rPr>
          <w:rFonts w:eastAsia="Calibri"/>
          <w:lang w:eastAsia="sl-SI"/>
        </w:rPr>
      </w:pPr>
      <w:bookmarkStart w:id="69" w:name="_Toc54953807"/>
      <w:bookmarkStart w:id="70" w:name="_Toc97026737"/>
      <w:r w:rsidRPr="00B14994">
        <w:rPr>
          <w:rFonts w:eastAsia="Calibri"/>
          <w:lang w:eastAsia="sl-SI"/>
        </w:rPr>
        <w:t>Veter</w:t>
      </w:r>
      <w:bookmarkEnd w:id="69"/>
      <w:bookmarkEnd w:id="70"/>
    </w:p>
    <w:p w14:paraId="6A7E10C9" w14:textId="77777777" w:rsidR="00995D2C" w:rsidRPr="00B14994" w:rsidRDefault="00995D2C" w:rsidP="00995D2C">
      <w:r w:rsidRPr="00F54959">
        <w:t>Hitrost in smer vetra sodita med temeljne lastnosti ozračja. V nadaljevanju predstavljamo povprečno hitrost vetra.</w:t>
      </w:r>
    </w:p>
    <w:p w14:paraId="0156EC27" w14:textId="77777777" w:rsidR="00995D2C" w:rsidRPr="00B14994" w:rsidRDefault="00995D2C" w:rsidP="00995D2C">
      <w:pPr>
        <w:pStyle w:val="Naslov4"/>
      </w:pPr>
      <w:r w:rsidRPr="00B14994">
        <w:t>Povprečna hitrost vetra</w:t>
      </w:r>
    </w:p>
    <w:p w14:paraId="7EAE54AD" w14:textId="77777777" w:rsidR="00995D2C" w:rsidRPr="00B14994" w:rsidRDefault="00995D2C" w:rsidP="00995D2C">
      <w:r w:rsidRPr="00B14994">
        <w:t>Povprečna hitrost vetra in prevladujoča smer v daljšem časovnem obdobju sta odvisni od geografske lege, zlasti od nadmorske višine, reliefa, rastja, bližine večjih vodnih teles, ovir v okolici kraja, stopnje urbanizacije, višine od tal in vremenskih dogajanj na večjem območju. Vetrne razmere v občini določajo predvsem njena geografska lega ter razgiban relief s številnimi dolinami in gorskimi grebeni, lokalno pa na veter močno vplivajo razne ovire, kot so drevesa in zgradbe.</w:t>
      </w:r>
    </w:p>
    <w:p w14:paraId="00F3801E" w14:textId="77777777" w:rsidR="00995D2C" w:rsidRPr="00B14994" w:rsidRDefault="00995D2C" w:rsidP="00995D2C">
      <w:pPr>
        <w:rPr>
          <w:rFonts w:cs="Calibri"/>
          <w:color w:val="000000"/>
          <w14:textFill>
            <w14:solidFill>
              <w14:srgbClr w14:val="000000">
                <w14:lumMod w14:val="75000"/>
              </w14:srgbClr>
            </w14:solidFill>
          </w14:textFill>
        </w:rPr>
      </w:pPr>
      <w:r w:rsidRPr="00B14994">
        <w:rPr>
          <w:rFonts w:cs="Calibri"/>
          <w:color w:val="000000"/>
          <w14:textFill>
            <w14:solidFill>
              <w14:srgbClr w14:val="000000">
                <w14:lumMod w14:val="75000"/>
              </w14:srgbClr>
            </w14:solidFill>
          </w14:textFill>
        </w:rPr>
        <w:t xml:space="preserve">Povprečna hitrost vetra v občini v referenčnem obdobju 1981—2010 znaša </w:t>
      </w:r>
      <w:r>
        <w:rPr>
          <w:rFonts w:cs="Calibri"/>
          <w:color w:val="000000"/>
          <w14:textFill>
            <w14:solidFill>
              <w14:srgbClr w14:val="000000">
                <w14:lumMod w14:val="75000"/>
              </w14:srgbClr>
            </w14:solidFill>
          </w14:textFill>
        </w:rPr>
        <w:t>2</w:t>
      </w:r>
      <w:r w:rsidRPr="00B14994">
        <w:rPr>
          <w:rFonts w:cs="Calibri"/>
          <w:color w:val="000000"/>
          <w14:textFill>
            <w14:solidFill>
              <w14:srgbClr w14:val="000000">
                <w14:lumMod w14:val="75000"/>
              </w14:srgbClr>
            </w14:solidFill>
          </w14:textFill>
        </w:rPr>
        <w:t>,</w:t>
      </w:r>
      <w:r>
        <w:rPr>
          <w:rFonts w:cs="Calibri"/>
          <w:color w:val="000000"/>
          <w14:textFill>
            <w14:solidFill>
              <w14:srgbClr w14:val="000000">
                <w14:lumMod w14:val="75000"/>
              </w14:srgbClr>
            </w14:solidFill>
          </w14:textFill>
        </w:rPr>
        <w:t>8</w:t>
      </w:r>
      <w:r w:rsidRPr="00B14994">
        <w:rPr>
          <w:rFonts w:cs="Calibri"/>
          <w:color w:val="000000"/>
          <w14:textFill>
            <w14:solidFill>
              <w14:srgbClr w14:val="000000">
                <w14:lumMod w14:val="75000"/>
              </w14:srgbClr>
            </w14:solidFill>
          </w14:textFill>
        </w:rPr>
        <w:t> m/s (od 2,</w:t>
      </w:r>
      <w:r>
        <w:rPr>
          <w:rFonts w:cs="Calibri"/>
          <w:color w:val="000000"/>
          <w14:textFill>
            <w14:solidFill>
              <w14:srgbClr w14:val="000000">
                <w14:lumMod w14:val="75000"/>
              </w14:srgbClr>
            </w14:solidFill>
          </w14:textFill>
        </w:rPr>
        <w:t>6</w:t>
      </w:r>
      <w:r w:rsidRPr="00B14994">
        <w:rPr>
          <w:rFonts w:cs="Calibri"/>
          <w:color w:val="000000"/>
          <w14:textFill>
            <w14:solidFill>
              <w14:srgbClr w14:val="000000">
                <w14:lumMod w14:val="75000"/>
              </w14:srgbClr>
            </w14:solidFill>
          </w14:textFill>
        </w:rPr>
        <w:t xml:space="preserve"> m/s poleti do </w:t>
      </w:r>
      <w:r>
        <w:rPr>
          <w:rFonts w:cs="Calibri"/>
          <w:color w:val="000000"/>
          <w14:textFill>
            <w14:solidFill>
              <w14:srgbClr w14:val="000000">
                <w14:lumMod w14:val="75000"/>
              </w14:srgbClr>
            </w14:solidFill>
          </w14:textFill>
        </w:rPr>
        <w:t>2,9</w:t>
      </w:r>
      <w:r w:rsidRPr="00B14994">
        <w:rPr>
          <w:rFonts w:cs="Calibri"/>
          <w:color w:val="000000"/>
          <w14:textFill>
            <w14:solidFill>
              <w14:srgbClr w14:val="000000">
                <w14:lumMod w14:val="75000"/>
              </w14:srgbClr>
            </w14:solidFill>
          </w14:textFill>
        </w:rPr>
        <w:t xml:space="preserve"> m/s </w:t>
      </w:r>
      <w:r>
        <w:rPr>
          <w:rFonts w:cs="Calibri"/>
          <w:color w:val="000000"/>
          <w14:textFill>
            <w14:solidFill>
              <w14:srgbClr w14:val="000000">
                <w14:lumMod w14:val="75000"/>
              </w14:srgbClr>
            </w14:solidFill>
          </w14:textFill>
        </w:rPr>
        <w:t>spomladi</w:t>
      </w:r>
      <w:r w:rsidRPr="00B14994">
        <w:rPr>
          <w:rFonts w:cs="Calibri"/>
          <w:color w:val="000000"/>
          <w14:textFill>
            <w14:solidFill>
              <w14:srgbClr w14:val="000000">
                <w14:lumMod w14:val="75000"/>
              </w14:srgbClr>
            </w14:solidFill>
          </w14:textFill>
        </w:rPr>
        <w:t xml:space="preserve">). Za primerjavo navajamo podatek najvišje dolgoletne povprečne hitrosti vetra, ki znaša od 5,2 m/s na Kredarici do 3,9 m/s na Krvavcu in Rogli, kjer je </w:t>
      </w:r>
      <w:r>
        <w:rPr>
          <w:rFonts w:cs="Calibri"/>
          <w:color w:val="000000"/>
          <w14:textFill>
            <w14:solidFill>
              <w14:srgbClr w14:val="000000">
                <w14:lumMod w14:val="75000"/>
              </w14:srgbClr>
            </w14:solidFill>
          </w14:textFill>
        </w:rPr>
        <w:t>z</w:t>
      </w:r>
      <w:r w:rsidRPr="00B14994">
        <w:rPr>
          <w:rFonts w:cs="Calibri"/>
          <w:color w:val="000000"/>
          <w14:textFill>
            <w14:solidFill>
              <w14:srgbClr w14:val="000000">
                <w14:lumMod w14:val="75000"/>
              </w14:srgbClr>
            </w14:solidFill>
          </w14:textFill>
        </w:rPr>
        <w:t>aradi manjšega vpliva tal tok vetra bolj podoben tistemu v prostem ozračju (Vertačnik, 2017).</w:t>
      </w:r>
    </w:p>
    <w:p w14:paraId="1886A2F1" w14:textId="77777777" w:rsidR="00995D2C" w:rsidRDefault="00995D2C" w:rsidP="00995D2C">
      <w:pPr>
        <w:rPr>
          <w:rFonts w:cs="Calibri"/>
          <w:color w:val="000000"/>
          <w14:textFill>
            <w14:solidFill>
              <w14:srgbClr w14:val="000000">
                <w14:lumMod w14:val="75000"/>
              </w14:srgbClr>
            </w14:solidFill>
          </w14:textFill>
        </w:rPr>
      </w:pPr>
      <w:r w:rsidRPr="00B14994">
        <w:rPr>
          <w:rFonts w:cs="Calibri"/>
          <w:color w:val="000000"/>
          <w14:textFill>
            <w14:solidFill>
              <w14:srgbClr w14:val="000000">
                <w14:lumMod w14:val="75000"/>
              </w14:srgbClr>
            </w14:solidFill>
          </w14:textFill>
        </w:rPr>
        <w:lastRenderedPageBreak/>
        <w:t xml:space="preserve">Po obeh scenarijih RCP4.5 ter RCP8.5 se bo povprečna hitrost vetra jeseni </w:t>
      </w:r>
      <w:r>
        <w:rPr>
          <w:rFonts w:cs="Calibri"/>
          <w:color w:val="000000"/>
          <w14:textFill>
            <w14:solidFill>
              <w14:srgbClr w14:val="000000">
                <w14:lumMod w14:val="75000"/>
              </w14:srgbClr>
            </w14:solidFill>
          </w14:textFill>
        </w:rPr>
        <w:t xml:space="preserve">povečini </w:t>
      </w:r>
      <w:r w:rsidRPr="00B14994">
        <w:rPr>
          <w:rFonts w:cs="Calibri"/>
          <w:color w:val="000000"/>
          <w14:textFill>
            <w14:solidFill>
              <w14:srgbClr w14:val="000000">
                <w14:lumMod w14:val="75000"/>
              </w14:srgbClr>
            </w14:solidFill>
          </w14:textFill>
        </w:rPr>
        <w:t>zmanjšala (za -</w:t>
      </w:r>
      <w:r>
        <w:rPr>
          <w:rFonts w:cs="Calibri"/>
          <w:color w:val="000000"/>
          <w14:textFill>
            <w14:solidFill>
              <w14:srgbClr w14:val="000000">
                <w14:lumMod w14:val="75000"/>
              </w14:srgbClr>
            </w14:solidFill>
          </w14:textFill>
        </w:rPr>
        <w:t>0,6</w:t>
      </w:r>
      <w:r w:rsidRPr="00B14994">
        <w:rPr>
          <w:rFonts w:cs="Calibri"/>
          <w:color w:val="000000"/>
          <w14:textFill>
            <w14:solidFill>
              <w14:srgbClr w14:val="000000">
                <w14:lumMod w14:val="75000"/>
              </w14:srgbClr>
            </w14:solidFill>
          </w14:textFill>
        </w:rPr>
        <w:t xml:space="preserve"> do</w:t>
      </w:r>
      <w:r>
        <w:rPr>
          <w:rFonts w:cs="Calibri"/>
          <w:color w:val="000000"/>
          <w14:textFill>
            <w14:solidFill>
              <w14:srgbClr w14:val="000000">
                <w14:lumMod w14:val="75000"/>
              </w14:srgbClr>
            </w14:solidFill>
          </w14:textFill>
        </w:rPr>
        <w:t xml:space="preserve"> -</w:t>
      </w:r>
      <w:r w:rsidRPr="00B14994">
        <w:rPr>
          <w:rFonts w:cs="Calibri"/>
          <w:color w:val="000000"/>
          <w14:textFill>
            <w14:solidFill>
              <w14:srgbClr w14:val="000000">
                <w14:lumMod w14:val="75000"/>
              </w14:srgbClr>
            </w14:solidFill>
          </w14:textFill>
        </w:rPr>
        <w:t>1,</w:t>
      </w:r>
      <w:r>
        <w:rPr>
          <w:rFonts w:cs="Calibri"/>
          <w:color w:val="000000"/>
          <w14:textFill>
            <w14:solidFill>
              <w14:srgbClr w14:val="000000">
                <w14:lumMod w14:val="75000"/>
              </w14:srgbClr>
            </w14:solidFill>
          </w14:textFill>
        </w:rPr>
        <w:t>6 </w:t>
      </w:r>
      <w:r w:rsidRPr="00B14994">
        <w:rPr>
          <w:rFonts w:cs="Calibri"/>
          <w:color w:val="000000"/>
          <w14:textFill>
            <w14:solidFill>
              <w14:srgbClr w14:val="000000">
                <w14:lumMod w14:val="75000"/>
              </w14:srgbClr>
            </w14:solidFill>
          </w14:textFill>
        </w:rPr>
        <w:t>%), v drugih delih leta pa se bo povprečna hitrost vetra povečala za do 1</w:t>
      </w:r>
      <w:r>
        <w:rPr>
          <w:rFonts w:cs="Calibri"/>
          <w:color w:val="000000"/>
          <w14:textFill>
            <w14:solidFill>
              <w14:srgbClr w14:val="000000">
                <w14:lumMod w14:val="75000"/>
              </w14:srgbClr>
            </w14:solidFill>
          </w14:textFill>
        </w:rPr>
        <w:t>,4</w:t>
      </w:r>
      <w:r w:rsidRPr="00B14994">
        <w:rPr>
          <w:rFonts w:cs="Calibri"/>
          <w:color w:val="000000"/>
          <w14:textFill>
            <w14:solidFill>
              <w14:srgbClr w14:val="000000">
                <w14:lumMod w14:val="75000"/>
              </w14:srgbClr>
            </w14:solidFill>
          </w14:textFill>
        </w:rPr>
        <w:t> %, vendar so negotovosti velike, razpon možnih odstopanj pa velik.</w:t>
      </w:r>
    </w:p>
    <w:p w14:paraId="423E5046" w14:textId="77777777" w:rsidR="00995D2C" w:rsidRPr="00B14994" w:rsidRDefault="00995D2C" w:rsidP="00995D2C">
      <w:pPr>
        <w:pStyle w:val="Naslov3"/>
        <w:rPr>
          <w:rFonts w:eastAsia="Calibri"/>
          <w:lang w:eastAsia="sl-SI"/>
        </w:rPr>
      </w:pPr>
      <w:bookmarkStart w:id="71" w:name="_Toc54953808"/>
      <w:bookmarkStart w:id="72" w:name="_Toc97026738"/>
      <w:r w:rsidRPr="00B14994">
        <w:rPr>
          <w:rFonts w:eastAsia="Calibri"/>
          <w:lang w:eastAsia="sl-SI"/>
        </w:rPr>
        <w:t>Vodna bilanca</w:t>
      </w:r>
      <w:bookmarkEnd w:id="71"/>
      <w:bookmarkEnd w:id="72"/>
    </w:p>
    <w:p w14:paraId="6B9A69DA" w14:textId="77777777" w:rsidR="00995D2C" w:rsidRPr="00B14994" w:rsidRDefault="00995D2C" w:rsidP="00995D2C">
      <w:pPr>
        <w:pStyle w:val="Naslov4"/>
      </w:pPr>
      <w:r w:rsidRPr="00B14994">
        <w:t xml:space="preserve">Referenčna </w:t>
      </w:r>
      <w:proofErr w:type="spellStart"/>
      <w:r w:rsidRPr="00B14994">
        <w:t>evapotranspiracija</w:t>
      </w:r>
      <w:proofErr w:type="spellEnd"/>
    </w:p>
    <w:p w14:paraId="1DDBCDA1" w14:textId="77777777" w:rsidR="00995D2C" w:rsidRPr="00B14994" w:rsidRDefault="00995D2C" w:rsidP="00995D2C">
      <w:r w:rsidRPr="00B14994">
        <w:t>Izhlapevanje (evaporacija) z zemeljskega površja, vključno s transpiracijo rastlin, sodi med pomembne dejavnike podnebnega sistema. Za razliko od glavnih podnebnih spremenljivk so meritve te spremenljivke težje izvedljive, zato običajno ocenimo le največjo možno vrednost na podlagi drugih meritev.</w:t>
      </w:r>
    </w:p>
    <w:p w14:paraId="146C4FAA" w14:textId="77777777" w:rsidR="00995D2C" w:rsidRPr="000A2406" w:rsidRDefault="00995D2C" w:rsidP="00995D2C">
      <w:r w:rsidRPr="00B14994">
        <w:t xml:space="preserve">Podobno kot temperatura ima referenčna </w:t>
      </w:r>
      <w:proofErr w:type="spellStart"/>
      <w:r w:rsidRPr="00B14994">
        <w:t>evapotranspiracija</w:t>
      </w:r>
      <w:proofErr w:type="spellEnd"/>
      <w:r w:rsidRPr="00B14994">
        <w:t xml:space="preserve"> izrazit letni hod z minimumom v decembru in januarju ter maksimumom poleti, povprečje za občino v referenčnem obdobju 1981—</w:t>
      </w:r>
      <w:r w:rsidRPr="000A2406">
        <w:t>2010 pa znaša 800 mm na leto.</w:t>
      </w:r>
    </w:p>
    <w:p w14:paraId="1A38ECC0" w14:textId="77777777" w:rsidR="00995D2C" w:rsidRPr="000A2406" w:rsidRDefault="00995D2C" w:rsidP="00995D2C">
      <w:r w:rsidRPr="000A2406">
        <w:t>Naraščajoč trend v občini v referenčnem obdobju 1981—2010 na letni ravni v glavnem izvira iz spomladanskih, poletnih in jesenskih sprememb. Trend na letni ravni izkazuje rast na nivoju 40—45 mm / desetletje, torej za 4—5 % / desetletje (Vertačnik, 2017).</w:t>
      </w:r>
    </w:p>
    <w:p w14:paraId="14DF39E0" w14:textId="518E42C7" w:rsidR="00766373" w:rsidRDefault="00995D2C" w:rsidP="00995D2C">
      <w:r w:rsidRPr="000A2406">
        <w:t xml:space="preserve">Skladno z rastjo temperature zraka se bo v občini nadaljevala tudi rast referenčne </w:t>
      </w:r>
      <w:proofErr w:type="spellStart"/>
      <w:r w:rsidRPr="000A2406">
        <w:t>evapotranspiracije</w:t>
      </w:r>
      <w:proofErr w:type="spellEnd"/>
      <w:r w:rsidRPr="000A2406">
        <w:t>. V primeru obeh scenarijev</w:t>
      </w:r>
      <w:r w:rsidRPr="00B14994">
        <w:t xml:space="preserve"> RCP4.5 ter RCP8.5 se bo v primerjavi z obdobjem 1981—2010 referenčna </w:t>
      </w:r>
      <w:proofErr w:type="spellStart"/>
      <w:r w:rsidRPr="00B14994">
        <w:t>evapotranspiracija</w:t>
      </w:r>
      <w:proofErr w:type="spellEnd"/>
      <w:r w:rsidRPr="00B14994">
        <w:t xml:space="preserve"> v občini povečala za približno </w:t>
      </w:r>
      <w:r>
        <w:t>2,8</w:t>
      </w:r>
      <w:r w:rsidRPr="00B14994">
        <w:t>—3,</w:t>
      </w:r>
      <w:r>
        <w:t>6</w:t>
      </w:r>
      <w:r w:rsidRPr="00B14994">
        <w:t> % v obdobju 2011—2040, ter za približno 6,</w:t>
      </w:r>
      <w:r>
        <w:t>4</w:t>
      </w:r>
      <w:r w:rsidRPr="00B14994">
        <w:t>—</w:t>
      </w:r>
      <w:r>
        <w:t>6,8</w:t>
      </w:r>
      <w:r w:rsidRPr="00B14994">
        <w:t xml:space="preserve"> % v obdobju 2041—2070. Porast referenčne </w:t>
      </w:r>
      <w:proofErr w:type="spellStart"/>
      <w:r w:rsidRPr="00B14994">
        <w:t>evapotranspiracije</w:t>
      </w:r>
      <w:proofErr w:type="spellEnd"/>
      <w:r w:rsidRPr="00B14994">
        <w:t xml:space="preserve"> ne bo enakomeren med letnimi časi, največji bo poleti in jeseni. Prikaz povečanja referenčne </w:t>
      </w:r>
      <w:proofErr w:type="spellStart"/>
      <w:r w:rsidRPr="00B14994">
        <w:t>evapotranspiracije</w:t>
      </w:r>
      <w:proofErr w:type="spellEnd"/>
      <w:r w:rsidRPr="00B14994">
        <w:t xml:space="preserve"> za scenarij</w:t>
      </w:r>
      <w:r>
        <w:t>a</w:t>
      </w:r>
      <w:r w:rsidRPr="00B14994">
        <w:t xml:space="preserve"> RCP4.5 </w:t>
      </w:r>
      <w:r>
        <w:t xml:space="preserve">in RCP8.5 </w:t>
      </w:r>
      <w:r w:rsidRPr="00B14994">
        <w:t>je prikazan na sliki</w:t>
      </w:r>
      <w:r>
        <w:t xml:space="preserve"> 4.7</w:t>
      </w:r>
      <w:r w:rsidRPr="00B14994">
        <w:t>.</w:t>
      </w:r>
    </w:p>
    <w:p w14:paraId="59A4B87D" w14:textId="77777777" w:rsidR="00766373" w:rsidRDefault="00766373">
      <w:pPr>
        <w:jc w:val="left"/>
      </w:pPr>
      <w:r>
        <w:br w:type="page"/>
      </w:r>
    </w:p>
    <w:p w14:paraId="3F06E47D" w14:textId="77777777" w:rsidR="00995D2C" w:rsidRDefault="00995D2C" w:rsidP="00766373">
      <w:pPr>
        <w:autoSpaceDE w:val="0"/>
        <w:autoSpaceDN w:val="0"/>
        <w:adjustRightInd w:val="0"/>
        <w:spacing w:after="0" w:line="240" w:lineRule="auto"/>
        <w:jc w:val="center"/>
        <w:rPr>
          <w:rFonts w:cs="Calibri"/>
          <w:color w:val="000000"/>
          <w14:textFill>
            <w14:solidFill>
              <w14:srgbClr w14:val="000000">
                <w14:lumMod w14:val="75000"/>
              </w14:srgbClr>
            </w14:solidFill>
          </w14:textFill>
        </w:rPr>
      </w:pPr>
      <w:r>
        <w:rPr>
          <w:rFonts w:cs="Calibri"/>
          <w:noProof/>
          <w:color w:val="000000"/>
          <w:lang w:eastAsia="sl-SI"/>
          <w14:textFill>
            <w14:solidFill>
              <w14:srgbClr w14:val="000000">
                <w14:lumMod w14:val="75000"/>
              </w14:srgbClr>
            </w14:solidFill>
          </w14:textFill>
        </w:rPr>
        <w:lastRenderedPageBreak/>
        <w:drawing>
          <wp:inline distT="0" distB="0" distL="0" distR="0" wp14:anchorId="632A9DEC" wp14:editId="7B644401">
            <wp:extent cx="2985655" cy="2606475"/>
            <wp:effectExtent l="0" t="0" r="5715" b="3810"/>
            <wp:docPr id="197" name="Slika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91295" cy="2611399"/>
                    </a:xfrm>
                    <a:prstGeom prst="rect">
                      <a:avLst/>
                    </a:prstGeom>
                    <a:noFill/>
                    <a:ln>
                      <a:noFill/>
                    </a:ln>
                  </pic:spPr>
                </pic:pic>
              </a:graphicData>
            </a:graphic>
          </wp:inline>
        </w:drawing>
      </w:r>
      <w:r>
        <w:rPr>
          <w:rFonts w:cs="Calibri"/>
          <w:noProof/>
          <w:color w:val="000000"/>
          <w:lang w:eastAsia="sl-SI"/>
          <w14:textFill>
            <w14:solidFill>
              <w14:srgbClr w14:val="000000">
                <w14:lumMod w14:val="75000"/>
              </w14:srgbClr>
            </w14:solidFill>
          </w14:textFill>
        </w:rPr>
        <w:drawing>
          <wp:inline distT="0" distB="0" distL="0" distR="0" wp14:anchorId="1E311F66" wp14:editId="5091CB5B">
            <wp:extent cx="3038654" cy="2632364"/>
            <wp:effectExtent l="0" t="0" r="0" b="0"/>
            <wp:docPr id="198" name="Slika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46750" cy="2639378"/>
                    </a:xfrm>
                    <a:prstGeom prst="rect">
                      <a:avLst/>
                    </a:prstGeom>
                    <a:noFill/>
                    <a:ln>
                      <a:noFill/>
                    </a:ln>
                  </pic:spPr>
                </pic:pic>
              </a:graphicData>
            </a:graphic>
          </wp:inline>
        </w:drawing>
      </w:r>
    </w:p>
    <w:p w14:paraId="06785266" w14:textId="77777777" w:rsidR="00995D2C" w:rsidRDefault="00995D2C" w:rsidP="00766373">
      <w:pPr>
        <w:autoSpaceDE w:val="0"/>
        <w:autoSpaceDN w:val="0"/>
        <w:adjustRightInd w:val="0"/>
        <w:spacing w:after="0" w:line="240" w:lineRule="auto"/>
        <w:jc w:val="center"/>
        <w:rPr>
          <w:rFonts w:cs="Calibri"/>
          <w:color w:val="000000"/>
          <w14:textFill>
            <w14:solidFill>
              <w14:srgbClr w14:val="000000">
                <w14:lumMod w14:val="75000"/>
              </w14:srgbClr>
            </w14:solidFill>
          </w14:textFill>
        </w:rPr>
      </w:pPr>
      <w:r>
        <w:rPr>
          <w:rFonts w:cs="Calibri"/>
          <w:noProof/>
          <w:color w:val="000000"/>
          <w:lang w:eastAsia="sl-SI"/>
          <w14:textFill>
            <w14:solidFill>
              <w14:srgbClr w14:val="000000">
                <w14:lumMod w14:val="75000"/>
              </w14:srgbClr>
            </w14:solidFill>
          </w14:textFill>
        </w:rPr>
        <w:drawing>
          <wp:inline distT="0" distB="0" distL="0" distR="0" wp14:anchorId="359B10E8" wp14:editId="04334FAF">
            <wp:extent cx="2988907" cy="2528455"/>
            <wp:effectExtent l="0" t="0" r="2540" b="5715"/>
            <wp:docPr id="199"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92987" cy="2531907"/>
                    </a:xfrm>
                    <a:prstGeom prst="rect">
                      <a:avLst/>
                    </a:prstGeom>
                    <a:noFill/>
                    <a:ln>
                      <a:noFill/>
                    </a:ln>
                  </pic:spPr>
                </pic:pic>
              </a:graphicData>
            </a:graphic>
          </wp:inline>
        </w:drawing>
      </w:r>
      <w:r>
        <w:rPr>
          <w:rFonts w:cs="Calibri"/>
          <w:noProof/>
          <w:color w:val="000000"/>
          <w:lang w:eastAsia="sl-SI"/>
          <w14:textFill>
            <w14:solidFill>
              <w14:srgbClr w14:val="000000">
                <w14:lumMod w14:val="75000"/>
              </w14:srgbClr>
            </w14:solidFill>
          </w14:textFill>
        </w:rPr>
        <w:drawing>
          <wp:inline distT="0" distB="0" distL="0" distR="0" wp14:anchorId="0C9B415F" wp14:editId="3F849616">
            <wp:extent cx="2874819" cy="2526148"/>
            <wp:effectExtent l="0" t="0" r="1905" b="7620"/>
            <wp:docPr id="200" name="Slika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77743" cy="2528718"/>
                    </a:xfrm>
                    <a:prstGeom prst="rect">
                      <a:avLst/>
                    </a:prstGeom>
                    <a:noFill/>
                    <a:ln>
                      <a:noFill/>
                    </a:ln>
                  </pic:spPr>
                </pic:pic>
              </a:graphicData>
            </a:graphic>
          </wp:inline>
        </w:drawing>
      </w:r>
    </w:p>
    <w:p w14:paraId="34EF4779" w14:textId="228820D3" w:rsidR="00995D2C" w:rsidRPr="00854A82" w:rsidRDefault="00995D2C" w:rsidP="00995D2C">
      <w:pPr>
        <w:pStyle w:val="Napis"/>
        <w:rPr>
          <w:rFonts w:ascii="Trebuchet MS" w:hAnsi="Trebuchet MS" w:cs="Calibri"/>
          <w:noProof/>
          <w:color w:val="000000"/>
          <w14:textFill>
            <w14:solidFill>
              <w14:srgbClr w14:val="000000">
                <w14:lumMod w14:val="75000"/>
              </w14:srgbClr>
            </w14:solidFill>
          </w14:textFill>
        </w:rPr>
      </w:pPr>
      <w:bookmarkStart w:id="73" w:name="_Toc97026845"/>
      <w:r>
        <w:t xml:space="preserve">Slika </w:t>
      </w:r>
      <w:r w:rsidR="008334B2">
        <w:fldChar w:fldCharType="begin"/>
      </w:r>
      <w:r w:rsidR="008334B2">
        <w:instrText xml:space="preserve"> STYLEREF 1 \s </w:instrText>
      </w:r>
      <w:r w:rsidR="008334B2">
        <w:fldChar w:fldCharType="separate"/>
      </w:r>
      <w:r w:rsidR="008334B2">
        <w:rPr>
          <w:noProof/>
        </w:rPr>
        <w:t>4</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7</w:t>
      </w:r>
      <w:r w:rsidR="008334B2">
        <w:fldChar w:fldCharType="end"/>
      </w:r>
      <w:r w:rsidRPr="002C1657">
        <w:t xml:space="preserve">: Ocenjene spremembe referenčne </w:t>
      </w:r>
      <w:proofErr w:type="spellStart"/>
      <w:r w:rsidRPr="002C1657">
        <w:t>evapotranspiracije</w:t>
      </w:r>
      <w:proofErr w:type="spellEnd"/>
      <w:r w:rsidRPr="002C1657">
        <w:t xml:space="preserve"> (v %) v obdobjih 2011—2040 ter 2041—2070 v primerjavi z obdobjem 1981—2010, za scenarij</w:t>
      </w:r>
      <w:r>
        <w:t>a</w:t>
      </w:r>
      <w:r w:rsidRPr="002C1657">
        <w:t xml:space="preserve"> RCP 4.5</w:t>
      </w:r>
      <w:r>
        <w:t xml:space="preserve"> in RCP8.5</w:t>
      </w:r>
      <w:r w:rsidRPr="002C1657">
        <w:t>, po sezonah in letno, z najnižjo, srednjo in najvišjo vrednostjo modelskih ocen (vir: ARSO)</w:t>
      </w:r>
      <w:bookmarkEnd w:id="73"/>
    </w:p>
    <w:p w14:paraId="3D5A6468" w14:textId="77777777" w:rsidR="00995D2C" w:rsidRPr="00B14994" w:rsidRDefault="00995D2C" w:rsidP="00995D2C">
      <w:pPr>
        <w:pStyle w:val="Naslov4"/>
      </w:pPr>
      <w:r w:rsidRPr="00B14994">
        <w:t>Vodni primanjkljaj/vodna bilanca</w:t>
      </w:r>
    </w:p>
    <w:p w14:paraId="4FCAAECA" w14:textId="77777777" w:rsidR="00995D2C" w:rsidRPr="00B14994" w:rsidRDefault="00995D2C" w:rsidP="00995D2C">
      <w:r w:rsidRPr="00B14994">
        <w:t xml:space="preserve">Izraz »vodni primanjkljaj« običajno uporabljamo za negativno meteorološko oziroma površinsko vodno bilanco, torej takrat, ko je referenčna </w:t>
      </w:r>
      <w:proofErr w:type="spellStart"/>
      <w:r w:rsidRPr="00B14994">
        <w:t>evapotranspiracija</w:t>
      </w:r>
      <w:proofErr w:type="spellEnd"/>
      <w:r w:rsidRPr="00B14994">
        <w:t xml:space="preserve"> večja od višine padavin v nekem obdobju. Vodna bilanca (oziroma v sušnih obdobjih tako imenovani vodni primanjkljaj) je zato koristen kazalnik, s katerim na dokaj enostaven način, pa vendar objektivno, določamo trajanje in intenzivnost suhega obdobja in je primerna osnova za prvo oceno pojava kmetijske suše. Za posledice kmetijske suše je ključna razporeditev padavin in tudi razmerje med količino padavin in količino izhlapele vode v rastni dobi (</w:t>
      </w:r>
      <w:proofErr w:type="spellStart"/>
      <w:r w:rsidRPr="00B14994">
        <w:t>Bertanalič</w:t>
      </w:r>
      <w:proofErr w:type="spellEnd"/>
      <w:r w:rsidRPr="00B14994">
        <w:t>, 2018).</w:t>
      </w:r>
    </w:p>
    <w:p w14:paraId="2DA06063" w14:textId="77777777" w:rsidR="00995D2C" w:rsidRPr="00DC7869" w:rsidRDefault="00995D2C" w:rsidP="00995D2C">
      <w:r w:rsidRPr="00DC7869">
        <w:t xml:space="preserve">Ker je vodni primanjkljaj povezan z referenčno </w:t>
      </w:r>
      <w:proofErr w:type="spellStart"/>
      <w:r w:rsidRPr="00DC7869">
        <w:t>evapotranspiracijo</w:t>
      </w:r>
      <w:proofErr w:type="spellEnd"/>
      <w:r w:rsidRPr="00DC7869">
        <w:t xml:space="preserve"> in višino padavin, je le-ta najbolj izrazit poleti, ko je količina padavin najnižja, </w:t>
      </w:r>
      <w:proofErr w:type="spellStart"/>
      <w:r w:rsidRPr="00DC7869">
        <w:t>evapotranspiracija</w:t>
      </w:r>
      <w:proofErr w:type="spellEnd"/>
      <w:r w:rsidRPr="00DC7869">
        <w:t xml:space="preserve"> pa najvišja. Povprečno število dni vodnega primanjkljaja (višina padavin nad 0 mm) v referenčnem obdobju 1981—2010 v občini znaša </w:t>
      </w:r>
      <w:r>
        <w:t>65</w:t>
      </w:r>
      <w:r w:rsidRPr="00DC7869">
        <w:t xml:space="preserve"> dni na leto, od tega </w:t>
      </w:r>
      <w:r>
        <w:t>35</w:t>
      </w:r>
      <w:r w:rsidRPr="00DC7869">
        <w:t xml:space="preserve"> dni v poletnem času.</w:t>
      </w:r>
    </w:p>
    <w:p w14:paraId="7C9E8A1B" w14:textId="77777777" w:rsidR="00995D2C" w:rsidRDefault="00995D2C" w:rsidP="00995D2C">
      <w:r w:rsidRPr="00B14994">
        <w:lastRenderedPageBreak/>
        <w:t>Odklon števila dni vodnega primanjkljaja nad 0 mm se bo v</w:t>
      </w:r>
      <w:r>
        <w:t xml:space="preserve"> Mestni</w:t>
      </w:r>
      <w:r w:rsidRPr="00B14994">
        <w:t xml:space="preserve"> občini </w:t>
      </w:r>
      <w:r>
        <w:t>Nova Gorica</w:t>
      </w:r>
      <w:r w:rsidRPr="00B14994">
        <w:t xml:space="preserve"> pri scenariju RCP4.5 v primerjavi z obdobjem 1981—2010 povečal, </w:t>
      </w:r>
      <w:r>
        <w:t xml:space="preserve">predvsem </w:t>
      </w:r>
      <w:r w:rsidRPr="00B14994">
        <w:t xml:space="preserve">v poletnem in jesenskem času, </w:t>
      </w:r>
      <w:r>
        <w:t>v obdobju 2011</w:t>
      </w:r>
      <w:r w:rsidRPr="00B14994">
        <w:t>—</w:t>
      </w:r>
      <w:r>
        <w:t xml:space="preserve">2040 </w:t>
      </w:r>
      <w:r w:rsidRPr="00B14994">
        <w:t xml:space="preserve">skupaj povprečno za </w:t>
      </w:r>
      <w:r>
        <w:t>4</w:t>
      </w:r>
      <w:r w:rsidRPr="00B14994">
        <w:t xml:space="preserve"> dni</w:t>
      </w:r>
      <w:r>
        <w:t xml:space="preserve"> ter v obdobju 2041</w:t>
      </w:r>
      <w:r w:rsidRPr="00B14994">
        <w:t>—</w:t>
      </w:r>
      <w:r>
        <w:t xml:space="preserve">2070 </w:t>
      </w:r>
      <w:r w:rsidRPr="00B14994">
        <w:t xml:space="preserve">skupaj povprečno za </w:t>
      </w:r>
      <w:r>
        <w:t>12</w:t>
      </w:r>
      <w:r w:rsidRPr="00B14994">
        <w:t xml:space="preserve"> dni. Pri scenariju RCP8.5 pa se bo primanjkljaj nekoliko manj povečal, prav tako</w:t>
      </w:r>
      <w:r>
        <w:t xml:space="preserve"> večinoma</w:t>
      </w:r>
      <w:r w:rsidRPr="00B14994">
        <w:t xml:space="preserve"> poleti in jeseni, in sicer v obeh letnih časih skupaj povprečno za 4</w:t>
      </w:r>
      <w:r>
        <w:t>-7</w:t>
      </w:r>
      <w:r w:rsidRPr="00B14994">
        <w:t xml:space="preserve"> dni</w:t>
      </w:r>
      <w:r>
        <w:t>, na letni ravni pa 1-6 dni</w:t>
      </w:r>
      <w:r w:rsidRPr="00B14994">
        <w:t xml:space="preserve">. </w:t>
      </w:r>
      <w:r>
        <w:t>S</w:t>
      </w:r>
      <w:r w:rsidRPr="00B14994">
        <w:t>premembe</w:t>
      </w:r>
      <w:r>
        <w:t xml:space="preserve"> so sicer</w:t>
      </w:r>
      <w:r w:rsidRPr="00B14994">
        <w:t xml:space="preserve"> zelo negotove, ker se predznak odklonov spreminja. Opisane projekcije scenarij</w:t>
      </w:r>
      <w:r>
        <w:t>ev</w:t>
      </w:r>
      <w:r w:rsidRPr="00B14994">
        <w:t xml:space="preserve"> RCP4.5</w:t>
      </w:r>
      <w:r>
        <w:t xml:space="preserve"> in RCP8.5</w:t>
      </w:r>
      <w:r w:rsidRPr="00B14994">
        <w:t xml:space="preserve"> so prikazane tudi na</w:t>
      </w:r>
      <w:r>
        <w:t xml:space="preserve"> </w:t>
      </w:r>
      <w:r w:rsidRPr="00B14994">
        <w:t>sliki</w:t>
      </w:r>
      <w:r>
        <w:t xml:space="preserve"> 4.8</w:t>
      </w:r>
      <w:r w:rsidRPr="00B14994">
        <w:t>.</w:t>
      </w:r>
    </w:p>
    <w:p w14:paraId="69252D56" w14:textId="77777777" w:rsidR="00995D2C" w:rsidRDefault="00995D2C" w:rsidP="00766373">
      <w:pPr>
        <w:jc w:val="center"/>
        <w:rPr>
          <w:noProof/>
          <w:lang w:eastAsia="sl-SI"/>
        </w:rPr>
      </w:pPr>
      <w:r>
        <w:rPr>
          <w:noProof/>
          <w:lang w:eastAsia="sl-SI"/>
        </w:rPr>
        <w:drawing>
          <wp:inline distT="0" distB="0" distL="0" distR="0" wp14:anchorId="771F1A2A" wp14:editId="5C7E9598">
            <wp:extent cx="2904704" cy="2535382"/>
            <wp:effectExtent l="0" t="0" r="0" b="0"/>
            <wp:docPr id="201" name="Slika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07499" cy="2537821"/>
                    </a:xfrm>
                    <a:prstGeom prst="rect">
                      <a:avLst/>
                    </a:prstGeom>
                    <a:noFill/>
                    <a:ln>
                      <a:noFill/>
                    </a:ln>
                  </pic:spPr>
                </pic:pic>
              </a:graphicData>
            </a:graphic>
          </wp:inline>
        </w:drawing>
      </w:r>
      <w:r>
        <w:rPr>
          <w:noProof/>
          <w:lang w:eastAsia="sl-SI"/>
        </w:rPr>
        <w:drawing>
          <wp:inline distT="0" distB="0" distL="0" distR="0" wp14:anchorId="32A96090" wp14:editId="7F3DCC9E">
            <wp:extent cx="2992582" cy="2575677"/>
            <wp:effectExtent l="0" t="0" r="0" b="0"/>
            <wp:docPr id="202" name="Slika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99503" cy="2581634"/>
                    </a:xfrm>
                    <a:prstGeom prst="rect">
                      <a:avLst/>
                    </a:prstGeom>
                    <a:noFill/>
                    <a:ln>
                      <a:noFill/>
                    </a:ln>
                  </pic:spPr>
                </pic:pic>
              </a:graphicData>
            </a:graphic>
          </wp:inline>
        </w:drawing>
      </w:r>
    </w:p>
    <w:p w14:paraId="5F9B50E9" w14:textId="77777777" w:rsidR="00766373" w:rsidRDefault="00995D2C" w:rsidP="00766373">
      <w:pPr>
        <w:keepNext/>
        <w:jc w:val="center"/>
      </w:pPr>
      <w:r>
        <w:rPr>
          <w:noProof/>
          <w:lang w:eastAsia="sl-SI"/>
        </w:rPr>
        <w:drawing>
          <wp:inline distT="0" distB="0" distL="0" distR="0" wp14:anchorId="03C556DD" wp14:editId="00DFD8E4">
            <wp:extent cx="2971800" cy="2590983"/>
            <wp:effectExtent l="0" t="0" r="0" b="0"/>
            <wp:docPr id="898580686" name="Slika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72220" cy="2591349"/>
                    </a:xfrm>
                    <a:prstGeom prst="rect">
                      <a:avLst/>
                    </a:prstGeom>
                    <a:noFill/>
                    <a:ln>
                      <a:noFill/>
                    </a:ln>
                  </pic:spPr>
                </pic:pic>
              </a:graphicData>
            </a:graphic>
          </wp:inline>
        </w:drawing>
      </w:r>
      <w:r>
        <w:rPr>
          <w:noProof/>
          <w:lang w:eastAsia="sl-SI"/>
        </w:rPr>
        <w:drawing>
          <wp:inline distT="0" distB="0" distL="0" distR="0" wp14:anchorId="18E47646" wp14:editId="26905050">
            <wp:extent cx="3056843" cy="2589414"/>
            <wp:effectExtent l="0" t="0" r="0" b="1905"/>
            <wp:docPr id="898580687" name="Sl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63030" cy="2594655"/>
                    </a:xfrm>
                    <a:prstGeom prst="rect">
                      <a:avLst/>
                    </a:prstGeom>
                    <a:noFill/>
                    <a:ln>
                      <a:noFill/>
                    </a:ln>
                  </pic:spPr>
                </pic:pic>
              </a:graphicData>
            </a:graphic>
          </wp:inline>
        </w:drawing>
      </w:r>
    </w:p>
    <w:p w14:paraId="52491C13" w14:textId="1329DF18" w:rsidR="00995D2C" w:rsidRDefault="00766373" w:rsidP="00766373">
      <w:pPr>
        <w:pStyle w:val="Napis"/>
        <w:jc w:val="left"/>
        <w:rPr>
          <w:noProof/>
          <w:lang w:eastAsia="sl-SI"/>
        </w:rPr>
      </w:pPr>
      <w:bookmarkStart w:id="74" w:name="_Toc97026846"/>
      <w:r>
        <w:t xml:space="preserve">Slika </w:t>
      </w:r>
      <w:r w:rsidR="008334B2">
        <w:fldChar w:fldCharType="begin"/>
      </w:r>
      <w:r w:rsidR="008334B2">
        <w:instrText xml:space="preserve"> STYLEREF 1 \s </w:instrText>
      </w:r>
      <w:r w:rsidR="008334B2">
        <w:fldChar w:fldCharType="separate"/>
      </w:r>
      <w:r w:rsidR="008334B2">
        <w:rPr>
          <w:noProof/>
        </w:rPr>
        <w:t>4</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8</w:t>
      </w:r>
      <w:r w:rsidR="008334B2">
        <w:fldChar w:fldCharType="end"/>
      </w:r>
      <w:r w:rsidRPr="00C41BC7">
        <w:t>: Ocenjen odklon števila dni vodnega primanjkljaja v obdobjih 2011—2040 ter 2041—2070 v primerjavi z obdobjem 1981¬—2010, za scenarij RCP 4.5, po sezonah in letno, z najnižjo, srednjo in najvišjo vrednostjo modelskih ocen (vir: ARSO)</w:t>
      </w:r>
      <w:bookmarkEnd w:id="74"/>
    </w:p>
    <w:p w14:paraId="28CE3511" w14:textId="37F9D608" w:rsidR="00766373" w:rsidRDefault="00766373" w:rsidP="00766373"/>
    <w:p w14:paraId="0694B2C6" w14:textId="119AFC72" w:rsidR="00766373" w:rsidRDefault="00766373" w:rsidP="00766373"/>
    <w:p w14:paraId="4638ED59" w14:textId="77777777" w:rsidR="00766373" w:rsidRPr="00B14994" w:rsidRDefault="00766373" w:rsidP="00995D2C">
      <w:pPr>
        <w:spacing w:after="0"/>
        <w:rPr>
          <w:rFonts w:cs="Calibri"/>
          <w:color w:val="000000"/>
          <w14:textFill>
            <w14:solidFill>
              <w14:srgbClr w14:val="000000">
                <w14:lumMod w14:val="75000"/>
              </w14:srgbClr>
            </w14:solidFill>
          </w14:textFill>
        </w:rPr>
      </w:pPr>
    </w:p>
    <w:p w14:paraId="4203223B" w14:textId="77777777" w:rsidR="00995D2C" w:rsidRPr="00B14994" w:rsidRDefault="00995D2C" w:rsidP="00995D2C">
      <w:pPr>
        <w:pStyle w:val="Naslov3"/>
        <w:rPr>
          <w:rFonts w:eastAsia="Calibri"/>
          <w:lang w:eastAsia="sl-SI"/>
        </w:rPr>
      </w:pPr>
      <w:bookmarkStart w:id="75" w:name="_Toc54953809"/>
      <w:bookmarkStart w:id="76" w:name="_Toc97026739"/>
      <w:r w:rsidRPr="00B14994">
        <w:rPr>
          <w:rFonts w:eastAsia="Calibri"/>
          <w:lang w:eastAsia="sl-SI"/>
        </w:rPr>
        <w:t>Energetski kazalniki</w:t>
      </w:r>
      <w:bookmarkEnd w:id="75"/>
      <w:bookmarkEnd w:id="76"/>
    </w:p>
    <w:p w14:paraId="0D45165E" w14:textId="77777777" w:rsidR="00995D2C" w:rsidRPr="00B14994" w:rsidRDefault="00995D2C" w:rsidP="00995D2C">
      <w:pPr>
        <w:pStyle w:val="Naslov4"/>
      </w:pPr>
      <w:r w:rsidRPr="00B14994">
        <w:lastRenderedPageBreak/>
        <w:t>Trajanje sončnega obsevanja</w:t>
      </w:r>
    </w:p>
    <w:p w14:paraId="2E77BAF6" w14:textId="77777777" w:rsidR="00995D2C" w:rsidRDefault="00995D2C" w:rsidP="00995D2C">
      <w:r w:rsidRPr="00777856">
        <w:t xml:space="preserve">V </w:t>
      </w:r>
      <w:r>
        <w:t xml:space="preserve">Mestni </w:t>
      </w:r>
      <w:r w:rsidRPr="00777856">
        <w:t xml:space="preserve">občini </w:t>
      </w:r>
      <w:r>
        <w:t>Nova Gorica</w:t>
      </w:r>
      <w:r w:rsidRPr="00777856">
        <w:t xml:space="preserve"> so sorazmerno sončni vsi letni časi. Na letnem nivoju znaša povprečno trajanje sončnega obsevanja v</w:t>
      </w:r>
      <w:r w:rsidRPr="00B14994">
        <w:t xml:space="preserve"> </w:t>
      </w:r>
      <w:r w:rsidRPr="00FA0E03">
        <w:t>občini okvirno 2.200 ur. Na naslednji sliki je prikazana osončenost poleti in pozimi, Dejansko</w:t>
      </w:r>
      <w:r w:rsidRPr="00B14994">
        <w:t xml:space="preserve"> število ur trajanja sončnega obsevanja pa je odvisno od orografskih dejavnikov (doline, kotline, druge orografske ovire).</w:t>
      </w:r>
    </w:p>
    <w:p w14:paraId="424C4CA7" w14:textId="77777777" w:rsidR="00995D2C" w:rsidRDefault="00995D2C" w:rsidP="00766373">
      <w:pPr>
        <w:jc w:val="center"/>
      </w:pPr>
      <w:r>
        <w:rPr>
          <w:noProof/>
          <w:lang w:eastAsia="sl-SI"/>
        </w:rPr>
        <w:drawing>
          <wp:inline distT="0" distB="0" distL="0" distR="0" wp14:anchorId="24126DC4" wp14:editId="0965CA5C">
            <wp:extent cx="2535382" cy="2082425"/>
            <wp:effectExtent l="0" t="0" r="0" b="0"/>
            <wp:docPr id="898580688" name="Slika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552554" cy="2096529"/>
                    </a:xfrm>
                    <a:prstGeom prst="rect">
                      <a:avLst/>
                    </a:prstGeom>
                  </pic:spPr>
                </pic:pic>
              </a:graphicData>
            </a:graphic>
          </wp:inline>
        </w:drawing>
      </w:r>
      <w:r>
        <w:rPr>
          <w:noProof/>
          <w:lang w:eastAsia="sl-SI"/>
        </w:rPr>
        <w:drawing>
          <wp:inline distT="0" distB="0" distL="0" distR="0" wp14:anchorId="7AE0634A" wp14:editId="2110DA5E">
            <wp:extent cx="2618431" cy="2079634"/>
            <wp:effectExtent l="0" t="0" r="0" b="0"/>
            <wp:docPr id="898580690" name="Slika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30148" cy="2088940"/>
                    </a:xfrm>
                    <a:prstGeom prst="rect">
                      <a:avLst/>
                    </a:prstGeom>
                    <a:noFill/>
                    <a:ln>
                      <a:noFill/>
                    </a:ln>
                  </pic:spPr>
                </pic:pic>
              </a:graphicData>
            </a:graphic>
          </wp:inline>
        </w:drawing>
      </w:r>
      <w:r>
        <w:rPr>
          <w:noProof/>
          <w:lang w:eastAsia="sl-SI"/>
        </w:rPr>
        <w:drawing>
          <wp:inline distT="0" distB="0" distL="0" distR="0" wp14:anchorId="060C38EA" wp14:editId="1E96070E">
            <wp:extent cx="812386" cy="1600200"/>
            <wp:effectExtent l="0" t="0" r="6985" b="0"/>
            <wp:docPr id="898580691" name="Slika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18351" cy="1611949"/>
                    </a:xfrm>
                    <a:prstGeom prst="rect">
                      <a:avLst/>
                    </a:prstGeom>
                    <a:noFill/>
                    <a:ln>
                      <a:noFill/>
                    </a:ln>
                  </pic:spPr>
                </pic:pic>
              </a:graphicData>
            </a:graphic>
          </wp:inline>
        </w:drawing>
      </w:r>
    </w:p>
    <w:p w14:paraId="2DF82F76" w14:textId="62FF3C50" w:rsidR="00995D2C" w:rsidRPr="00CB0A0E" w:rsidRDefault="00995D2C" w:rsidP="00995D2C">
      <w:pPr>
        <w:pStyle w:val="Napis"/>
        <w:rPr>
          <w:rFonts w:ascii="Trebuchet MS" w:hAnsi="Trebuchet MS"/>
          <w:noProof/>
        </w:rPr>
      </w:pPr>
      <w:bookmarkStart w:id="77" w:name="_Toc97026847"/>
      <w:r>
        <w:t xml:space="preserve">Slika </w:t>
      </w:r>
      <w:r w:rsidR="008334B2">
        <w:fldChar w:fldCharType="begin"/>
      </w:r>
      <w:r w:rsidR="008334B2">
        <w:instrText xml:space="preserve"> STYLEREF 1 \s </w:instrText>
      </w:r>
      <w:r w:rsidR="008334B2">
        <w:fldChar w:fldCharType="separate"/>
      </w:r>
      <w:r w:rsidR="008334B2">
        <w:rPr>
          <w:noProof/>
        </w:rPr>
        <w:t>4</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9</w:t>
      </w:r>
      <w:r w:rsidR="008334B2">
        <w:fldChar w:fldCharType="end"/>
      </w:r>
      <w:r w:rsidRPr="00404BA3">
        <w:t>: Prostorska porazdelitev povprečnega trajanja sončnega obsevanja</w:t>
      </w:r>
      <w:r>
        <w:t xml:space="preserve"> </w:t>
      </w:r>
      <w:r w:rsidRPr="00404BA3">
        <w:t>julija (desno)</w:t>
      </w:r>
      <w:r>
        <w:t xml:space="preserve"> in</w:t>
      </w:r>
      <w:r w:rsidRPr="00404BA3">
        <w:t xml:space="preserve"> januarja (levo) v obdobju 1981—2010</w:t>
      </w:r>
      <w:r>
        <w:t>.</w:t>
      </w:r>
      <w:bookmarkEnd w:id="77"/>
    </w:p>
    <w:p w14:paraId="5C1718F1" w14:textId="77777777" w:rsidR="00995D2C" w:rsidRPr="00B14994" w:rsidRDefault="00995D2C" w:rsidP="00995D2C">
      <w:r w:rsidRPr="005D1688">
        <w:t>Trajanje sončnega obsevanja se je v obdobju 1981—2010 spomladi in poleti podalj</w:t>
      </w:r>
      <w:r w:rsidRPr="005D1688">
        <w:softHyphen/>
        <w:t xml:space="preserve">ševalo, s trendom približno 2 % / desetletje. Jeseni in pozimi ni bilo opaznih sprememb. Na letni ravni znaša trend približno </w:t>
      </w:r>
      <w:r>
        <w:t>1-</w:t>
      </w:r>
      <w:r w:rsidRPr="005D1688">
        <w:t xml:space="preserve">2 % / desetletje, kar pomeni rast števila sončnih ur za približno </w:t>
      </w:r>
      <w:r>
        <w:t>3</w:t>
      </w:r>
      <w:r w:rsidRPr="005D1688">
        <w:t>0h / desetletje.</w:t>
      </w:r>
    </w:p>
    <w:p w14:paraId="491727D9" w14:textId="77777777" w:rsidR="00766373" w:rsidRDefault="00995D2C" w:rsidP="00995D2C">
      <w:r w:rsidRPr="00B14994">
        <w:t>Projekcije v obeh scenarijih na letni ravni ne kažejo izrazitih sprememb v trajanju sončnega obsevanja (povprečne vrednosti spremembe se gibljejo od -0,</w:t>
      </w:r>
      <w:r>
        <w:t>4</w:t>
      </w:r>
      <w:r w:rsidRPr="00B14994">
        <w:t xml:space="preserve"> do 0,</w:t>
      </w:r>
      <w:r>
        <w:t>6</w:t>
      </w:r>
      <w:r w:rsidRPr="00B14994">
        <w:t> %)</w:t>
      </w:r>
      <w:r>
        <w:t xml:space="preserve"> (slika 4.10)</w:t>
      </w:r>
      <w:r w:rsidRPr="00B14994">
        <w:t xml:space="preserve">. Predvidena pa so povečanja trajanja sončnega obsevanja v </w:t>
      </w:r>
      <w:r>
        <w:t>jesenskem</w:t>
      </w:r>
      <w:r w:rsidRPr="00B14994">
        <w:t xml:space="preserve"> (povprečne vrednosti povečanja od 0</w:t>
      </w:r>
      <w:r>
        <w:t>,4</w:t>
      </w:r>
      <w:r w:rsidRPr="00B14994">
        <w:t xml:space="preserve"> do 1,</w:t>
      </w:r>
      <w:r>
        <w:t>5</w:t>
      </w:r>
      <w:r w:rsidRPr="00B14994">
        <w:t xml:space="preserve"> %) in </w:t>
      </w:r>
      <w:r>
        <w:t>poletnem</w:t>
      </w:r>
      <w:r w:rsidRPr="00B14994">
        <w:t xml:space="preserve"> (povprečne vrednosti povečanja do </w:t>
      </w:r>
      <w:r>
        <w:t>1</w:t>
      </w:r>
      <w:r w:rsidRPr="00B14994">
        <w:t>,</w:t>
      </w:r>
      <w:r>
        <w:t>2</w:t>
      </w:r>
      <w:r w:rsidRPr="00B14994">
        <w:t> %) času, ter zmanjšanja v zimskem času (povprečne vrednosti zmanjšanja do -2 %).</w:t>
      </w:r>
    </w:p>
    <w:p w14:paraId="4BEFED40" w14:textId="77777777" w:rsidR="00766373" w:rsidRDefault="00766373" w:rsidP="00995D2C"/>
    <w:p w14:paraId="0304C588" w14:textId="186092E4" w:rsidR="00995D2C" w:rsidRPr="00766373" w:rsidRDefault="00995D2C" w:rsidP="00995D2C">
      <w:r>
        <w:rPr>
          <w:noProof/>
          <w:lang w:eastAsia="sl-SI"/>
        </w:rPr>
        <w:lastRenderedPageBreak/>
        <mc:AlternateContent>
          <mc:Choice Requires="wps">
            <w:drawing>
              <wp:anchor distT="0" distB="0" distL="114300" distR="114300" simplePos="0" relativeHeight="252156928" behindDoc="0" locked="0" layoutInCell="1" allowOverlap="1" wp14:anchorId="223093D0" wp14:editId="7C995712">
                <wp:simplePos x="0" y="0"/>
                <wp:positionH relativeFrom="column">
                  <wp:posOffset>92075</wp:posOffset>
                </wp:positionH>
                <wp:positionV relativeFrom="paragraph">
                  <wp:posOffset>44661</wp:posOffset>
                </wp:positionV>
                <wp:extent cx="6120765" cy="405765"/>
                <wp:effectExtent l="0" t="0" r="0" b="0"/>
                <wp:wrapTopAndBottom/>
                <wp:docPr id="215" name="Text Box 215"/>
                <wp:cNvGraphicFramePr/>
                <a:graphic xmlns:a="http://schemas.openxmlformats.org/drawingml/2006/main">
                  <a:graphicData uri="http://schemas.microsoft.com/office/word/2010/wordprocessingShape">
                    <wps:wsp>
                      <wps:cNvSpPr txBox="1"/>
                      <wps:spPr>
                        <a:xfrm>
                          <a:off x="0" y="0"/>
                          <a:ext cx="6120765" cy="405765"/>
                        </a:xfrm>
                        <a:prstGeom prst="rect">
                          <a:avLst/>
                        </a:prstGeom>
                        <a:solidFill>
                          <a:prstClr val="white"/>
                        </a:solidFill>
                        <a:ln>
                          <a:noFill/>
                        </a:ln>
                      </wps:spPr>
                      <wps:txbx>
                        <w:txbxContent>
                          <w:p w14:paraId="3DB24F6B" w14:textId="77777777" w:rsidR="00996D54" w:rsidRDefault="00996D54" w:rsidP="00766373">
                            <w:pPr>
                              <w:pStyle w:val="Napis"/>
                              <w:jc w:val="center"/>
                            </w:pPr>
                            <w:r>
                              <w:rPr>
                                <w:noProof/>
                                <w:lang w:eastAsia="sl-SI"/>
                              </w:rPr>
                              <w:drawing>
                                <wp:inline distT="0" distB="0" distL="0" distR="0" wp14:anchorId="2AA46C6C" wp14:editId="00E023BC">
                                  <wp:extent cx="2999509" cy="2612154"/>
                                  <wp:effectExtent l="0" t="0" r="0" b="0"/>
                                  <wp:docPr id="17" name="Slika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04020" cy="2616083"/>
                                          </a:xfrm>
                                          <a:prstGeom prst="rect">
                                            <a:avLst/>
                                          </a:prstGeom>
                                          <a:noFill/>
                                          <a:ln>
                                            <a:noFill/>
                                          </a:ln>
                                        </pic:spPr>
                                      </pic:pic>
                                    </a:graphicData>
                                  </a:graphic>
                                </wp:inline>
                              </w:drawing>
                            </w:r>
                            <w:r>
                              <w:rPr>
                                <w:noProof/>
                                <w:lang w:eastAsia="sl-SI"/>
                              </w:rPr>
                              <w:drawing>
                                <wp:inline distT="0" distB="0" distL="0" distR="0" wp14:anchorId="31C79520" wp14:editId="50B0BE72">
                                  <wp:extent cx="2949808" cy="2611582"/>
                                  <wp:effectExtent l="0" t="0" r="3175" b="0"/>
                                  <wp:docPr id="32" name="Slika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53438" cy="2614796"/>
                                          </a:xfrm>
                                          <a:prstGeom prst="rect">
                                            <a:avLst/>
                                          </a:prstGeom>
                                          <a:noFill/>
                                          <a:ln>
                                            <a:noFill/>
                                          </a:ln>
                                        </pic:spPr>
                                      </pic:pic>
                                    </a:graphicData>
                                  </a:graphic>
                                </wp:inline>
                              </w:drawing>
                            </w:r>
                          </w:p>
                          <w:p w14:paraId="7C9D884B" w14:textId="77777777" w:rsidR="00996D54" w:rsidRDefault="00996D54" w:rsidP="00766373">
                            <w:pPr>
                              <w:pStyle w:val="Napis"/>
                              <w:jc w:val="center"/>
                            </w:pPr>
                            <w:r>
                              <w:rPr>
                                <w:noProof/>
                                <w:lang w:eastAsia="sl-SI"/>
                              </w:rPr>
                              <w:drawing>
                                <wp:inline distT="0" distB="0" distL="0" distR="0" wp14:anchorId="27870E3E" wp14:editId="033A3532">
                                  <wp:extent cx="2957945" cy="2549243"/>
                                  <wp:effectExtent l="0" t="0" r="0" b="3810"/>
                                  <wp:docPr id="34" name="Slika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62153" cy="2552870"/>
                                          </a:xfrm>
                                          <a:prstGeom prst="rect">
                                            <a:avLst/>
                                          </a:prstGeom>
                                          <a:noFill/>
                                          <a:ln>
                                            <a:noFill/>
                                          </a:ln>
                                        </pic:spPr>
                                      </pic:pic>
                                    </a:graphicData>
                                  </a:graphic>
                                </wp:inline>
                              </w:drawing>
                            </w:r>
                            <w:r>
                              <w:rPr>
                                <w:noProof/>
                                <w:lang w:eastAsia="sl-SI"/>
                              </w:rPr>
                              <w:drawing>
                                <wp:inline distT="0" distB="0" distL="0" distR="0" wp14:anchorId="6B177C61" wp14:editId="7F0B7E70">
                                  <wp:extent cx="2888673" cy="2518929"/>
                                  <wp:effectExtent l="0" t="0" r="6985" b="0"/>
                                  <wp:docPr id="35" name="Slika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95081" cy="2524517"/>
                                          </a:xfrm>
                                          <a:prstGeom prst="rect">
                                            <a:avLst/>
                                          </a:prstGeom>
                                          <a:noFill/>
                                          <a:ln>
                                            <a:noFill/>
                                          </a:ln>
                                        </pic:spPr>
                                      </pic:pic>
                                    </a:graphicData>
                                  </a:graphic>
                                </wp:inline>
                              </w:drawing>
                            </w:r>
                          </w:p>
                          <w:p w14:paraId="4282AFF0" w14:textId="73F362C8" w:rsidR="00996D54" w:rsidRPr="007C6738" w:rsidRDefault="00996D54" w:rsidP="00995D2C">
                            <w:pPr>
                              <w:pStyle w:val="Napis"/>
                              <w:rPr>
                                <w:rFonts w:ascii="Trebuchet MS" w:hAnsi="Trebuchet MS" w:cs="Calibri"/>
                                <w:noProof/>
                                <w:color w:val="000000"/>
                                <w14:textFill>
                                  <w14:solidFill>
                                    <w14:srgbClr w14:val="000000">
                                      <w14:lumMod w14:val="75000"/>
                                    </w14:srgbClr>
                                  </w14:solidFill>
                                </w14:textFill>
                              </w:rPr>
                            </w:pPr>
                            <w:bookmarkStart w:id="78" w:name="_Toc97026848"/>
                            <w:r>
                              <w:t xml:space="preserve">Slika </w:t>
                            </w:r>
                            <w:r>
                              <w:fldChar w:fldCharType="begin"/>
                            </w:r>
                            <w:r>
                              <w:instrText xml:space="preserve"> STYLEREF 1 \s </w:instrText>
                            </w:r>
                            <w:r>
                              <w:fldChar w:fldCharType="separate"/>
                            </w:r>
                            <w:r>
                              <w:rPr>
                                <w:noProof/>
                              </w:rPr>
                              <w:t>4</w:t>
                            </w:r>
                            <w:r>
                              <w:fldChar w:fldCharType="end"/>
                            </w:r>
                            <w:r>
                              <w:t>.</w:t>
                            </w:r>
                            <w:r>
                              <w:fldChar w:fldCharType="begin"/>
                            </w:r>
                            <w:r>
                              <w:instrText xml:space="preserve"> SEQ Slika \* ARABIC \s 1 </w:instrText>
                            </w:r>
                            <w:r>
                              <w:fldChar w:fldCharType="separate"/>
                            </w:r>
                            <w:r>
                              <w:rPr>
                                <w:noProof/>
                              </w:rPr>
                              <w:t>10</w:t>
                            </w:r>
                            <w:r>
                              <w:fldChar w:fldCharType="end"/>
                            </w:r>
                            <w:r w:rsidRPr="00133BF0">
                              <w:t>: Ocenjene spremembe trajanja sončnega obsevanja (v %) v obdobjih 2011—2040 ter 2041—2070 v primerjavi z obdobjem 1981—2010, za scenarij RCP 4.5</w:t>
                            </w:r>
                            <w:r>
                              <w:t xml:space="preserve"> in RCP 8.5</w:t>
                            </w:r>
                            <w:r w:rsidRPr="00133BF0">
                              <w:t>, po sezonah in letno, z najnižjo, srednjo in najvišjo vrednostjo modelskih ocen (vir: ARSO)</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3093D0" id="Text Box 215" o:spid="_x0000_s1027" type="#_x0000_t202" style="position:absolute;left:0;text-align:left;margin-left:7.25pt;margin-top:3.5pt;width:481.95pt;height:31.95pt;z-index:252156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" stroked="f">
                <v:textbox style="mso-fit-shape-to-text:t" inset="0,0,0,0">
                  <w:txbxContent>
                    <w:p w14:paraId="3DB24F6B" w14:textId="77777777" w:rsidR="00996D54" w:rsidRDefault="00996D54" w:rsidP="00766373">
                      <w:pPr>
                        <w:pStyle w:val="Napis"/>
                        <w:jc w:val="center"/>
                      </w:pPr>
                      <w:r>
                        <w:rPr>
                          <w:noProof/>
                          <w:lang w:eastAsia="sl-SI"/>
                        </w:rPr>
                        <w:drawing>
                          <wp:inline distT="0" distB="0" distL="0" distR="0" wp14:anchorId="2AA46C6C" wp14:editId="00E023BC">
                            <wp:extent cx="2999509" cy="2612154"/>
                            <wp:effectExtent l="0" t="0" r="0" b="0"/>
                            <wp:docPr id="17" name="Slika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04020" cy="2616083"/>
                                    </a:xfrm>
                                    <a:prstGeom prst="rect">
                                      <a:avLst/>
                                    </a:prstGeom>
                                    <a:noFill/>
                                    <a:ln>
                                      <a:noFill/>
                                    </a:ln>
                                  </pic:spPr>
                                </pic:pic>
                              </a:graphicData>
                            </a:graphic>
                          </wp:inline>
                        </w:drawing>
                      </w:r>
                      <w:r>
                        <w:rPr>
                          <w:noProof/>
                          <w:lang w:eastAsia="sl-SI"/>
                        </w:rPr>
                        <w:drawing>
                          <wp:inline distT="0" distB="0" distL="0" distR="0" wp14:anchorId="31C79520" wp14:editId="50B0BE72">
                            <wp:extent cx="2949808" cy="2611582"/>
                            <wp:effectExtent l="0" t="0" r="3175" b="0"/>
                            <wp:docPr id="32" name="Slika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53438" cy="2614796"/>
                                    </a:xfrm>
                                    <a:prstGeom prst="rect">
                                      <a:avLst/>
                                    </a:prstGeom>
                                    <a:noFill/>
                                    <a:ln>
                                      <a:noFill/>
                                    </a:ln>
                                  </pic:spPr>
                                </pic:pic>
                              </a:graphicData>
                            </a:graphic>
                          </wp:inline>
                        </w:drawing>
                      </w:r>
                    </w:p>
                    <w:p w14:paraId="7C9D884B" w14:textId="77777777" w:rsidR="00996D54" w:rsidRDefault="00996D54" w:rsidP="00766373">
                      <w:pPr>
                        <w:pStyle w:val="Napis"/>
                        <w:jc w:val="center"/>
                      </w:pPr>
                      <w:r>
                        <w:rPr>
                          <w:noProof/>
                          <w:lang w:eastAsia="sl-SI"/>
                        </w:rPr>
                        <w:drawing>
                          <wp:inline distT="0" distB="0" distL="0" distR="0" wp14:anchorId="27870E3E" wp14:editId="033A3532">
                            <wp:extent cx="2957945" cy="2549243"/>
                            <wp:effectExtent l="0" t="0" r="0" b="3810"/>
                            <wp:docPr id="34" name="Slika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62153" cy="2552870"/>
                                    </a:xfrm>
                                    <a:prstGeom prst="rect">
                                      <a:avLst/>
                                    </a:prstGeom>
                                    <a:noFill/>
                                    <a:ln>
                                      <a:noFill/>
                                    </a:ln>
                                  </pic:spPr>
                                </pic:pic>
                              </a:graphicData>
                            </a:graphic>
                          </wp:inline>
                        </w:drawing>
                      </w:r>
                      <w:r>
                        <w:rPr>
                          <w:noProof/>
                          <w:lang w:eastAsia="sl-SI"/>
                        </w:rPr>
                        <w:drawing>
                          <wp:inline distT="0" distB="0" distL="0" distR="0" wp14:anchorId="6B177C61" wp14:editId="7F0B7E70">
                            <wp:extent cx="2888673" cy="2518929"/>
                            <wp:effectExtent l="0" t="0" r="6985" b="0"/>
                            <wp:docPr id="35" name="Slika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95081" cy="2524517"/>
                                    </a:xfrm>
                                    <a:prstGeom prst="rect">
                                      <a:avLst/>
                                    </a:prstGeom>
                                    <a:noFill/>
                                    <a:ln>
                                      <a:noFill/>
                                    </a:ln>
                                  </pic:spPr>
                                </pic:pic>
                              </a:graphicData>
                            </a:graphic>
                          </wp:inline>
                        </w:drawing>
                      </w:r>
                    </w:p>
                    <w:p w14:paraId="4282AFF0" w14:textId="73F362C8" w:rsidR="00996D54" w:rsidRPr="007C6738" w:rsidRDefault="00996D54" w:rsidP="00995D2C">
                      <w:pPr>
                        <w:pStyle w:val="Napis"/>
                        <w:rPr>
                          <w:rFonts w:ascii="Trebuchet MS" w:hAnsi="Trebuchet MS" w:cs="Calibri"/>
                          <w:noProof/>
                          <w:color w:val="000000"/>
                          <w14:textFill>
                            <w14:solidFill>
                              <w14:srgbClr w14:val="000000">
                                <w14:lumMod w14:val="75000"/>
                              </w14:srgbClr>
                            </w14:solidFill>
                          </w14:textFill>
                        </w:rPr>
                      </w:pPr>
                      <w:bookmarkStart w:id="79" w:name="_Toc97026848"/>
                      <w:r>
                        <w:t xml:space="preserve">Slika </w:t>
                      </w:r>
                      <w:r>
                        <w:fldChar w:fldCharType="begin"/>
                      </w:r>
                      <w:r>
                        <w:instrText xml:space="preserve"> STYLEREF 1 \s </w:instrText>
                      </w:r>
                      <w:r>
                        <w:fldChar w:fldCharType="separate"/>
                      </w:r>
                      <w:r>
                        <w:rPr>
                          <w:noProof/>
                        </w:rPr>
                        <w:t>4</w:t>
                      </w:r>
                      <w:r>
                        <w:fldChar w:fldCharType="end"/>
                      </w:r>
                      <w:r>
                        <w:t>.</w:t>
                      </w:r>
                      <w:r>
                        <w:fldChar w:fldCharType="begin"/>
                      </w:r>
                      <w:r>
                        <w:instrText xml:space="preserve"> SEQ Slika \* ARABIC \s 1 </w:instrText>
                      </w:r>
                      <w:r>
                        <w:fldChar w:fldCharType="separate"/>
                      </w:r>
                      <w:r>
                        <w:rPr>
                          <w:noProof/>
                        </w:rPr>
                        <w:t>10</w:t>
                      </w:r>
                      <w:r>
                        <w:fldChar w:fldCharType="end"/>
                      </w:r>
                      <w:r w:rsidRPr="00133BF0">
                        <w:t>: Ocenjene spremembe trajanja sončnega obsevanja (v %) v obdobjih 2011—2040 ter 2041—2070 v primerjavi z obdobjem 1981—2010, za scenarij RCP 4.5</w:t>
                      </w:r>
                      <w:r>
                        <w:t xml:space="preserve"> in RCP 8.5</w:t>
                      </w:r>
                      <w:r w:rsidRPr="00133BF0">
                        <w:t>, po sezonah in letno, z najnižjo, srednjo in najvišjo vrednostjo modelskih ocen (vir: ARSO)</w:t>
                      </w:r>
                      <w:bookmarkEnd w:id="79"/>
                    </w:p>
                  </w:txbxContent>
                </v:textbox>
                <w10:wrap type="topAndBottom"/>
              </v:shape>
            </w:pict>
          </mc:Fallback>
        </mc:AlternateContent>
      </w:r>
    </w:p>
    <w:p w14:paraId="691A9C4A" w14:textId="77777777" w:rsidR="00995D2C" w:rsidRPr="00B14994" w:rsidRDefault="00995D2C" w:rsidP="00995D2C">
      <w:pPr>
        <w:pStyle w:val="Naslov4"/>
      </w:pPr>
      <w:r w:rsidRPr="00B14994">
        <w:t>Dolžina kurilne sezone</w:t>
      </w:r>
    </w:p>
    <w:p w14:paraId="3CEAB154" w14:textId="77777777" w:rsidR="00995D2C" w:rsidRPr="00B14994" w:rsidRDefault="00995D2C" w:rsidP="00766373">
      <w:r w:rsidRPr="00B14994">
        <w:t>Začetek kurilne (ogrevalne) sezone določimo tako, da poiščemo, kdaj je bila zunanja temperatura zraka ob 21. uri prvič v drugi polovici obravnavanega leta tri dni zapored nižja ali enaka 12 °C. Naslednji dan je začetek kurilne sezone. Kurilna sezona se konča takrat, ko je zunanja temperatura ob 21. uri v treh zaporednih dneh večja od 12 °C in po tem datumu v prvi polovici obravnavanega leta ni več treh zaporednih dni, ko bi se temperatura ponovno znižala na 12 °C ali manj. Tretji dan je zadnji dan kurilne sezone. Trajanje kurilne sezone je število dni med začetkom in koncem kurilne sezone.</w:t>
      </w:r>
    </w:p>
    <w:p w14:paraId="12A1CA52" w14:textId="77777777" w:rsidR="00995D2C" w:rsidRPr="00B14994" w:rsidRDefault="00995D2C" w:rsidP="00766373">
      <w:bookmarkStart w:id="80" w:name="_Hlk41899320"/>
      <w:r w:rsidRPr="00E406F6">
        <w:t>V referenčnem obdobju 1981—2010 znaša trajanje kurilne sezone v</w:t>
      </w:r>
      <w:r>
        <w:t xml:space="preserve"> Mestni</w:t>
      </w:r>
      <w:r w:rsidRPr="00E406F6">
        <w:t xml:space="preserve"> občini </w:t>
      </w:r>
      <w:r>
        <w:t>Nova Gorica</w:t>
      </w:r>
      <w:r w:rsidRPr="00E406F6">
        <w:t xml:space="preserve"> povprečno 2</w:t>
      </w:r>
      <w:r>
        <w:t>44</w:t>
      </w:r>
      <w:r w:rsidRPr="00E406F6">
        <w:t xml:space="preserve"> dni, v mestu </w:t>
      </w:r>
      <w:r>
        <w:t>Nova Gorica</w:t>
      </w:r>
      <w:r w:rsidRPr="00E406F6">
        <w:t xml:space="preserve"> pa </w:t>
      </w:r>
      <w:r>
        <w:t>kar nekaj manj</w:t>
      </w:r>
      <w:r w:rsidRPr="00E406F6">
        <w:t>, to je 2</w:t>
      </w:r>
      <w:r>
        <w:t>17</w:t>
      </w:r>
      <w:r w:rsidRPr="00E406F6">
        <w:t xml:space="preserve"> dni.</w:t>
      </w:r>
    </w:p>
    <w:bookmarkEnd w:id="80"/>
    <w:p w14:paraId="63DB675B" w14:textId="77777777" w:rsidR="00995D2C" w:rsidRDefault="00995D2C" w:rsidP="00766373">
      <w:r w:rsidRPr="00B14994">
        <w:lastRenderedPageBreak/>
        <w:t xml:space="preserve">Projekcije v obeh scenarijih kažejo krajšanje kurilne sezone, saj bodo povprečne temperature zraka naraščale. V primeru scenarija RCP4.5 bo v primerjavi z obdobjem 1981—2010 kurilna sezona krajša za povprečno </w:t>
      </w:r>
      <w:r>
        <w:t>8</w:t>
      </w:r>
      <w:r w:rsidRPr="00B14994">
        <w:t xml:space="preserve"> dni v obdobju 2011—2040, ter za </w:t>
      </w:r>
      <w:r>
        <w:t>18</w:t>
      </w:r>
      <w:r w:rsidRPr="00B14994">
        <w:t xml:space="preserve"> dni v obdobju 2041—2070. V primeru scenarija RCP8.5 pa bo kurilna sezona še krajša in sicer za povprečno </w:t>
      </w:r>
      <w:r>
        <w:t>12</w:t>
      </w:r>
      <w:r w:rsidRPr="00B14994">
        <w:t xml:space="preserve"> dni v obdobju 2011—2040, ter za </w:t>
      </w:r>
      <w:r>
        <w:t>26</w:t>
      </w:r>
      <w:r w:rsidRPr="00B14994">
        <w:t> dni v obdobju 2041—2070.</w:t>
      </w:r>
    </w:p>
    <w:p w14:paraId="7318F768" w14:textId="77777777" w:rsidR="00995D2C" w:rsidRPr="00B14994" w:rsidRDefault="00995D2C" w:rsidP="00995D2C">
      <w:pPr>
        <w:rPr>
          <w:rFonts w:cs="Calibri"/>
          <w:color w:val="000000"/>
          <w14:textFill>
            <w14:solidFill>
              <w14:srgbClr w14:val="000000">
                <w14:lumMod w14:val="75000"/>
              </w14:srgbClr>
            </w14:solidFill>
          </w14:textFill>
        </w:rPr>
      </w:pPr>
    </w:p>
    <w:p w14:paraId="1FD83975" w14:textId="77777777" w:rsidR="00995D2C" w:rsidRPr="00B14994" w:rsidRDefault="00995D2C" w:rsidP="00995D2C">
      <w:pPr>
        <w:pStyle w:val="Naslov2"/>
      </w:pPr>
      <w:bookmarkStart w:id="81" w:name="_Toc54953810"/>
      <w:bookmarkStart w:id="82" w:name="_Toc97026740"/>
      <w:r w:rsidRPr="00B14994">
        <w:t>Viri</w:t>
      </w:r>
      <w:bookmarkEnd w:id="81"/>
      <w:bookmarkEnd w:id="82"/>
    </w:p>
    <w:p w14:paraId="45210DE7" w14:textId="77777777" w:rsidR="00995D2C" w:rsidRPr="00B14994" w:rsidRDefault="00995D2C" w:rsidP="00766373">
      <w:proofErr w:type="spellStart"/>
      <w:r w:rsidRPr="00B14994">
        <w:t>Bertalanič</w:t>
      </w:r>
      <w:proofErr w:type="spellEnd"/>
      <w:r w:rsidRPr="00B14994">
        <w:t xml:space="preserve"> R., Dolinar M., Draksler A.,… </w:t>
      </w:r>
      <w:r w:rsidRPr="00160658">
        <w:t>Ocena podnebnih sprememb v Sloveniji do konca 21 . stoletja</w:t>
      </w:r>
      <w:r>
        <w:t xml:space="preserve"> </w:t>
      </w:r>
      <w:r w:rsidRPr="00160658">
        <w:t>: Sintezno poročilo–prvi del.</w:t>
      </w:r>
      <w:r>
        <w:t xml:space="preserve"> Ljubljana,</w:t>
      </w:r>
      <w:r w:rsidRPr="00B14994">
        <w:t xml:space="preserve"> Agencija RS za okolje,</w:t>
      </w:r>
      <w:r>
        <w:t xml:space="preserve"> </w:t>
      </w:r>
      <w:r w:rsidRPr="00B14994">
        <w:t>2018</w:t>
      </w:r>
      <w:r>
        <w:t>.</w:t>
      </w:r>
    </w:p>
    <w:p w14:paraId="201F2CF0" w14:textId="77777777" w:rsidR="00995D2C" w:rsidRPr="00B14994" w:rsidRDefault="00995D2C" w:rsidP="00766373">
      <w:pPr>
        <w:rPr>
          <w:color w:val="000000"/>
          <w14:textFill>
            <w14:solidFill>
              <w14:srgbClr w14:val="000000">
                <w14:lumMod w14:val="75000"/>
              </w14:srgbClr>
            </w14:solidFill>
          </w14:textFill>
        </w:rPr>
      </w:pPr>
      <w:r w:rsidRPr="00B14994">
        <w:t xml:space="preserve">Van </w:t>
      </w:r>
      <w:proofErr w:type="spellStart"/>
      <w:r w:rsidRPr="00B14994">
        <w:t>Vuuren</w:t>
      </w:r>
      <w:proofErr w:type="spellEnd"/>
      <w:r w:rsidRPr="00B14994">
        <w:t xml:space="preserve">, D., </w:t>
      </w:r>
      <w:proofErr w:type="spellStart"/>
      <w:r w:rsidRPr="00B14994">
        <w:t>Edmonds</w:t>
      </w:r>
      <w:proofErr w:type="spellEnd"/>
      <w:r w:rsidRPr="00B14994">
        <w:t xml:space="preserve">, J., </w:t>
      </w:r>
      <w:proofErr w:type="spellStart"/>
      <w:r w:rsidRPr="00B14994">
        <w:t>Kainuma</w:t>
      </w:r>
      <w:proofErr w:type="spellEnd"/>
      <w:r w:rsidRPr="00B14994">
        <w:t xml:space="preserve">, M., </w:t>
      </w:r>
      <w:proofErr w:type="spellStart"/>
      <w:r w:rsidRPr="00B14994">
        <w:t>Riahi</w:t>
      </w:r>
      <w:proofErr w:type="spellEnd"/>
      <w:r w:rsidRPr="00B14994">
        <w:t xml:space="preserve">, K., Thomson, A., </w:t>
      </w:r>
      <w:proofErr w:type="spellStart"/>
      <w:r w:rsidRPr="00B14994">
        <w:t>Hibbard</w:t>
      </w:r>
      <w:proofErr w:type="spellEnd"/>
      <w:r w:rsidRPr="00B14994">
        <w:t xml:space="preserve">, K., . . . Rose, S. </w:t>
      </w:r>
      <w:proofErr w:type="spellStart"/>
      <w:r w:rsidRPr="00160658">
        <w:t>The</w:t>
      </w:r>
      <w:proofErr w:type="spellEnd"/>
      <w:r w:rsidRPr="00160658">
        <w:t xml:space="preserve"> </w:t>
      </w:r>
      <w:proofErr w:type="spellStart"/>
      <w:r w:rsidRPr="00160658">
        <w:t>representative</w:t>
      </w:r>
      <w:proofErr w:type="spellEnd"/>
      <w:r w:rsidRPr="00160658">
        <w:t xml:space="preserve"> </w:t>
      </w:r>
      <w:proofErr w:type="spellStart"/>
      <w:r w:rsidRPr="00160658">
        <w:t>concentration</w:t>
      </w:r>
      <w:proofErr w:type="spellEnd"/>
      <w:r w:rsidRPr="00160658">
        <w:t xml:space="preserve"> </w:t>
      </w:r>
      <w:proofErr w:type="spellStart"/>
      <w:r w:rsidRPr="00160658">
        <w:t>pathways</w:t>
      </w:r>
      <w:proofErr w:type="spellEnd"/>
      <w:r w:rsidRPr="00160658">
        <w:t xml:space="preserve">: </w:t>
      </w:r>
      <w:proofErr w:type="spellStart"/>
      <w:r w:rsidRPr="00160658">
        <w:t>an</w:t>
      </w:r>
      <w:proofErr w:type="spellEnd"/>
      <w:r w:rsidRPr="00160658">
        <w:t xml:space="preserve"> </w:t>
      </w:r>
      <w:proofErr w:type="spellStart"/>
      <w:r w:rsidRPr="00160658">
        <w:t>overview</w:t>
      </w:r>
      <w:proofErr w:type="spellEnd"/>
      <w:r w:rsidRPr="00160658">
        <w:t xml:space="preserve">. </w:t>
      </w:r>
      <w:proofErr w:type="spellStart"/>
      <w:r w:rsidRPr="00160658">
        <w:t>Climatic</w:t>
      </w:r>
      <w:proofErr w:type="spellEnd"/>
      <w:r w:rsidRPr="00160658">
        <w:t xml:space="preserve"> </w:t>
      </w:r>
      <w:proofErr w:type="spellStart"/>
      <w:r w:rsidRPr="00160658">
        <w:t>Change</w:t>
      </w:r>
      <w:proofErr w:type="spellEnd"/>
      <w:r w:rsidRPr="00B14994">
        <w:t>, 2011</w:t>
      </w:r>
      <w:r>
        <w:t>,</w:t>
      </w:r>
      <w:r w:rsidRPr="00B14994">
        <w:t xml:space="preserve"> 109, 5-31.</w:t>
      </w:r>
    </w:p>
    <w:p w14:paraId="670BBABE" w14:textId="77777777" w:rsidR="00995D2C" w:rsidRPr="00B14994" w:rsidRDefault="00995D2C" w:rsidP="00766373">
      <w:pPr>
        <w:rPr>
          <w:rFonts w:eastAsia="Calibri"/>
          <w:lang w:eastAsia="sl-SI"/>
        </w:rPr>
      </w:pPr>
      <w:r w:rsidRPr="00B14994">
        <w:t xml:space="preserve">Vertačnik G., </w:t>
      </w:r>
      <w:proofErr w:type="spellStart"/>
      <w:r w:rsidRPr="00B14994">
        <w:t>Bertalanič</w:t>
      </w:r>
      <w:proofErr w:type="spellEnd"/>
      <w:r w:rsidRPr="00B14994">
        <w:t xml:space="preserve"> R. </w:t>
      </w:r>
      <w:r w:rsidRPr="00160658">
        <w:t>Podnebna spremenljivost Slovenije v obdobju 1961-2011. 3, Značilnosti podnebja v Sloveniji</w:t>
      </w:r>
      <w:r>
        <w:t xml:space="preserve">. Ljubljana, </w:t>
      </w:r>
      <w:r w:rsidRPr="00B14994">
        <w:t>Agencija RS za okolje,</w:t>
      </w:r>
      <w:r>
        <w:t xml:space="preserve"> 2017.</w:t>
      </w:r>
    </w:p>
    <w:p w14:paraId="4807F6C5" w14:textId="77777777" w:rsidR="00995D2C" w:rsidRDefault="00995D2C" w:rsidP="00995D2C">
      <w:pPr>
        <w:jc w:val="left"/>
        <w:rPr>
          <w:rFonts w:eastAsia="Calibri" w:cstheme="majorBidi"/>
          <w:b/>
          <w:bCs/>
          <w:color w:val="2F5496" w:themeColor="accent1" w:themeShade="BF"/>
          <w:sz w:val="32"/>
          <w:szCs w:val="32"/>
          <w:lang w:eastAsia="sl-SI"/>
        </w:rPr>
      </w:pPr>
      <w:r>
        <w:rPr>
          <w:rFonts w:eastAsia="Calibri"/>
          <w:lang w:eastAsia="sl-SI"/>
        </w:rPr>
        <w:br w:type="page"/>
      </w:r>
    </w:p>
    <w:p w14:paraId="50311566" w14:textId="57A4367D" w:rsidR="00583FDE" w:rsidRPr="00B14994" w:rsidRDefault="00583FDE" w:rsidP="00583FDE">
      <w:pPr>
        <w:pStyle w:val="Naslov1"/>
        <w:rPr>
          <w:rFonts w:eastAsia="Calibri"/>
          <w:lang w:eastAsia="sl-SI"/>
        </w:rPr>
      </w:pPr>
      <w:bookmarkStart w:id="83" w:name="_Toc41899985"/>
      <w:bookmarkStart w:id="84" w:name="_Toc97026741"/>
      <w:r w:rsidRPr="00E862E4">
        <w:lastRenderedPageBreak/>
        <w:t>Metodologija</w:t>
      </w:r>
      <w:r w:rsidRPr="00B14994">
        <w:rPr>
          <w:rFonts w:eastAsia="Calibri"/>
          <w:lang w:eastAsia="sl-SI"/>
        </w:rPr>
        <w:t xml:space="preserve"> </w:t>
      </w:r>
      <w:bookmarkEnd w:id="83"/>
      <w:r w:rsidR="00046C50" w:rsidRPr="00B14994">
        <w:rPr>
          <w:rFonts w:eastAsia="Calibri"/>
          <w:lang w:eastAsia="sl-SI"/>
        </w:rPr>
        <w:t xml:space="preserve">ranljivosti </w:t>
      </w:r>
      <w:r w:rsidR="00046C50">
        <w:rPr>
          <w:rFonts w:eastAsia="Calibri"/>
          <w:lang w:eastAsia="sl-SI"/>
        </w:rPr>
        <w:t xml:space="preserve">in </w:t>
      </w:r>
      <w:r w:rsidR="00046C50" w:rsidRPr="00B14994">
        <w:rPr>
          <w:rFonts w:eastAsia="Calibri"/>
          <w:lang w:eastAsia="sl-SI"/>
        </w:rPr>
        <w:t xml:space="preserve">tveganja </w:t>
      </w:r>
      <w:r w:rsidR="00046C50">
        <w:rPr>
          <w:rFonts w:eastAsia="Calibri"/>
          <w:lang w:eastAsia="sl-SI"/>
        </w:rPr>
        <w:t>zaradi</w:t>
      </w:r>
      <w:r w:rsidR="00046C50" w:rsidRPr="00B14994">
        <w:rPr>
          <w:rFonts w:eastAsia="Calibri"/>
          <w:lang w:eastAsia="sl-SI"/>
        </w:rPr>
        <w:t xml:space="preserve"> podnebn</w:t>
      </w:r>
      <w:r w:rsidR="00046C50">
        <w:rPr>
          <w:rFonts w:eastAsia="Calibri"/>
          <w:lang w:eastAsia="sl-SI"/>
        </w:rPr>
        <w:t>ih</w:t>
      </w:r>
      <w:r w:rsidR="00046C50" w:rsidRPr="00B14994">
        <w:rPr>
          <w:rFonts w:eastAsia="Calibri"/>
          <w:lang w:eastAsia="sl-SI"/>
        </w:rPr>
        <w:t xml:space="preserve"> sprememb</w:t>
      </w:r>
      <w:bookmarkEnd w:id="84"/>
    </w:p>
    <w:p w14:paraId="3BA6E33E" w14:textId="77777777" w:rsidR="00766373" w:rsidRPr="00B14994" w:rsidRDefault="00766373" w:rsidP="00766373">
      <w:bookmarkStart w:id="85" w:name="_Hlk46994786"/>
      <w:r w:rsidRPr="00B14994">
        <w:t xml:space="preserve">V </w:t>
      </w:r>
      <w:r w:rsidRPr="00B14994">
        <w:rPr>
          <w:b/>
          <w:bCs/>
        </w:rPr>
        <w:t>oceni ranljivosti in tveganj</w:t>
      </w:r>
      <w:r w:rsidRPr="00B14994">
        <w:t xml:space="preserve"> so prikazane analize posameznih vremenskih spremenljivk ter trenutnega stanja (analiza referenčnega obdobja 1981–2010) in analiza pričakovanega stanja (analiza podnebnih scenarijev RCP 4.5 in RCP 8.5 za obdobje 2011–2040 in 2041-2070). Prikazano in analizirano je stanje naravnega in socialnega okolja, izpostavljenost sektorja podnebju in podnebnim spremembam, občutljivost sektorja na podnebje in podnebne spremembe, potencialni vpliv in sposobnost prilagajanja okolja. Iz navedenih predhodnih analiz je podana ocena ranljivosti in tveganj za posamezen obravnavni sektor.</w:t>
      </w:r>
    </w:p>
    <w:p w14:paraId="0C6885B6" w14:textId="77777777" w:rsidR="00766373" w:rsidRPr="00B14994" w:rsidRDefault="00766373" w:rsidP="00766373">
      <w:r w:rsidRPr="00B14994">
        <w:rPr>
          <w:u w:val="single"/>
        </w:rPr>
        <w:t>Ranljivost</w:t>
      </w:r>
      <w:r w:rsidRPr="00B14994">
        <w:t xml:space="preserve"> predstavlja stopnjo dovzetnosti sistema za </w:t>
      </w:r>
      <w:r>
        <w:t xml:space="preserve">potencialne vplive </w:t>
      </w:r>
      <w:r w:rsidRPr="00B14994">
        <w:t>podnebn</w:t>
      </w:r>
      <w:r>
        <w:t>ih</w:t>
      </w:r>
      <w:r w:rsidRPr="00B14994">
        <w:t xml:space="preserve"> dogodk</w:t>
      </w:r>
      <w:r>
        <w:t>ov</w:t>
      </w:r>
      <w:r w:rsidRPr="00B14994">
        <w:t xml:space="preserve"> in podnebn</w:t>
      </w:r>
      <w:r>
        <w:t>ih</w:t>
      </w:r>
      <w:r w:rsidRPr="00B14994">
        <w:t xml:space="preserve"> sprememb ter z njimi povezane škodljive učinke in njegovo sposobnost prilagajanja. </w:t>
      </w:r>
      <w:r w:rsidRPr="00B14994">
        <w:rPr>
          <w:u w:val="single"/>
        </w:rPr>
        <w:t>Tveganje</w:t>
      </w:r>
      <w:r w:rsidRPr="00B14994">
        <w:t xml:space="preserve"> predstavlja spremembo ranljivosti zaradi predvidenih podnebnih sprememb za posamezni obravnavani sektor. Bolj, kot je sektor ranljiv za podnebne spremembe, večje tveganje podnebne spremembe obravnavanemu sektorju predstavljajo.</w:t>
      </w:r>
    </w:p>
    <w:p w14:paraId="20DE55D6" w14:textId="77777777" w:rsidR="00766373" w:rsidRDefault="00766373" w:rsidP="00766373">
      <w:r>
        <w:rPr>
          <w:rFonts w:cs="Arial"/>
        </w:rPr>
        <w:t>Metodologija ranljivosti in tveganja v največji možni meri sledi metodologiji iz Konvencije županov za podnebne spremembe in energijo, 2. del (</w:t>
      </w:r>
      <w:proofErr w:type="spellStart"/>
      <w:r>
        <w:rPr>
          <w:rFonts w:cs="Arial"/>
        </w:rPr>
        <w:t>Betroldi</w:t>
      </w:r>
      <w:proofErr w:type="spellEnd"/>
      <w:r>
        <w:rPr>
          <w:rFonts w:cs="Arial"/>
        </w:rPr>
        <w:t xml:space="preserve">, 2018). </w:t>
      </w:r>
      <w:r w:rsidRPr="003750F2">
        <w:t>V tem poglavju je opisana splošna metodologija, sektorske specifike pa so obravnavan</w:t>
      </w:r>
      <w:r>
        <w:t>e</w:t>
      </w:r>
      <w:r w:rsidRPr="003750F2">
        <w:t xml:space="preserve"> v posameznih poglavjih sektorjev.</w:t>
      </w:r>
    </w:p>
    <w:p w14:paraId="0C8FA77F" w14:textId="77777777" w:rsidR="00766373" w:rsidRDefault="00766373" w:rsidP="00766373">
      <w:r>
        <w:t xml:space="preserve">V sam potek priprave dokumenta smo vključili tudi različne deležnike: </w:t>
      </w:r>
      <w:bookmarkStart w:id="86" w:name="_Hlk46993841"/>
    </w:p>
    <w:p w14:paraId="7E1961D0" w14:textId="77777777" w:rsidR="00766373" w:rsidRPr="00B14994" w:rsidRDefault="00766373" w:rsidP="00766373">
      <w:r>
        <w:t xml:space="preserve">Prva delavnica za Mestno občino Nova Gorica, v kateri so bili preko spletne konference vključeni lokalni deležniki, je bila izvedena 6. 11. 2020. Lokalni deležniki so bili seznanjeni z vsebino in načrtom priprave. Na podlagi delavnice se je vključilo vse relevantne že izdelane študije ter strategije. Od ARSO smo pridobili podatke o trenutnem stanju podnebja ter projekcije za prihodnost. Pripravljena je bila tudi anketa za občane s katero so bili pridobljeni predlogi občanov za prilagajanje in blaženje podnebnih sprememb ter izvedena je bila analiza osveščenosti občanov o obravnavni tematiki. Izpeljana so bila posvetovanja posameznih sektorjev pri dotičnih službah oziroma lokalnih deležnikih z namenom integracije lokalnega poznavanja razmer. Med pripravo analiz so bili izvedeni tudi posveti s strokovnjaki znotraj posamezne stroke s ciljem vključitve širšega strokovnega znanja. Pripravljene analize ranljivosti in tveganj zaradi podnebnih sprememb so bile predstavljene na drugi delavnici, ki je </w:t>
      </w:r>
      <w:r w:rsidRPr="00F85496">
        <w:t>potekala preko spletne konference z občino in deležniki, dne 10.5.2021. Deležnikom je bil v pregled poslan osnutek dokumenta, na kar so bile podane pisne pripombe. Zaključna »Analiza ranljivosti in ocena tveganja zaradi podnebnih sprememb za Mestno občino Nova Gorica« je bila pripravljena</w:t>
      </w:r>
      <w:r>
        <w:t xml:space="preserve"> po drugi delavnici z deležniki.</w:t>
      </w:r>
    </w:p>
    <w:bookmarkEnd w:id="85"/>
    <w:bookmarkEnd w:id="86"/>
    <w:p w14:paraId="55FA470C" w14:textId="77777777" w:rsidR="00476628" w:rsidRPr="00B14994" w:rsidRDefault="00476628" w:rsidP="00766373"/>
    <w:p w14:paraId="7D8476F7" w14:textId="77777777" w:rsidR="00476628" w:rsidRPr="00B14994" w:rsidRDefault="00476628" w:rsidP="00CE43D7">
      <w:pPr>
        <w:pStyle w:val="Naslov2"/>
      </w:pPr>
      <w:bookmarkStart w:id="87" w:name="_Toc54954401"/>
      <w:bookmarkStart w:id="88" w:name="_Toc97026742"/>
      <w:r w:rsidRPr="00B14994">
        <w:t xml:space="preserve">Metodologija </w:t>
      </w:r>
      <w:r>
        <w:t>o</w:t>
      </w:r>
      <w:r w:rsidRPr="00E862E4">
        <w:t>cene</w:t>
      </w:r>
      <w:r w:rsidRPr="00B14994">
        <w:t xml:space="preserve"> ranljivosti</w:t>
      </w:r>
      <w:bookmarkEnd w:id="87"/>
      <w:bookmarkEnd w:id="88"/>
    </w:p>
    <w:p w14:paraId="410B8318" w14:textId="77777777" w:rsidR="00766373" w:rsidRPr="00B14994" w:rsidRDefault="00766373" w:rsidP="00766373">
      <w:r w:rsidRPr="00B14994">
        <w:rPr>
          <w:b/>
          <w:bCs/>
        </w:rPr>
        <w:t>Ocena ranljivosti</w:t>
      </w:r>
      <w:r w:rsidRPr="00B14994">
        <w:t xml:space="preserve"> obravnava informacije izpostavljenosti območja občine </w:t>
      </w:r>
      <w:r w:rsidRPr="00B14994">
        <w:rPr>
          <w:u w:val="single"/>
        </w:rPr>
        <w:t>trenutnemu stanju podnebja in pričakovanim podnebnim spremembam</w:t>
      </w:r>
      <w:r w:rsidRPr="00B14994">
        <w:t xml:space="preserve"> ter vključuje informacije o </w:t>
      </w:r>
      <w:r w:rsidRPr="00B14994">
        <w:rPr>
          <w:u w:val="single"/>
        </w:rPr>
        <w:t>občutljivosti naravnega in družbenega okolja</w:t>
      </w:r>
      <w:r w:rsidRPr="00B14994">
        <w:t xml:space="preserve">, kar skupaj poda oceno </w:t>
      </w:r>
      <w:r w:rsidRPr="00B14994">
        <w:rPr>
          <w:u w:val="single"/>
        </w:rPr>
        <w:t>potencialnih vplivov</w:t>
      </w:r>
      <w:r w:rsidRPr="00B14994">
        <w:t xml:space="preserve"> za posamezen sektor. Naravno in družbeno okolje pa sta hkrati ključna za določitev ocene </w:t>
      </w:r>
      <w:r w:rsidRPr="00B14994">
        <w:rPr>
          <w:u w:val="single"/>
        </w:rPr>
        <w:t>sposobnosti prilagajanja</w:t>
      </w:r>
      <w:r w:rsidRPr="00B14994">
        <w:t xml:space="preserve">. Ranljivost določenega sektorja na območju izhaja iz primerjave potencialnih vplivov ter </w:t>
      </w:r>
      <w:r w:rsidRPr="00B14994">
        <w:lastRenderedPageBreak/>
        <w:t>sposobnosti prilagajanja. Ocena ranljivosti je izdelana na podlagi metodologije v okviru Konvencije županov za podnebne spremembe in energijo.</w:t>
      </w:r>
    </w:p>
    <w:p w14:paraId="71B110F9" w14:textId="219B311E" w:rsidR="00766373" w:rsidRPr="00B14994" w:rsidRDefault="00766373" w:rsidP="00766373">
      <w:r w:rsidRPr="00B14994">
        <w:t>Na naslednji sliki</w:t>
      </w:r>
      <w:r>
        <w:t xml:space="preserve"> (</w:t>
      </w:r>
      <w:r w:rsidR="00FF0031">
        <w:fldChar w:fldCharType="begin"/>
      </w:r>
      <w:r w:rsidR="00FF0031">
        <w:instrText xml:space="preserve"> REF _Ref75844106 \h </w:instrText>
      </w:r>
      <w:r w:rsidR="00FF0031">
        <w:fldChar w:fldCharType="separate"/>
      </w:r>
      <w:r w:rsidR="004700D5">
        <w:t xml:space="preserve">Slika </w:t>
      </w:r>
      <w:r w:rsidR="004700D5">
        <w:rPr>
          <w:noProof/>
        </w:rPr>
        <w:t>5</w:t>
      </w:r>
      <w:r w:rsidR="004700D5">
        <w:t>.</w:t>
      </w:r>
      <w:r w:rsidR="004700D5">
        <w:rPr>
          <w:noProof/>
        </w:rPr>
        <w:t>1</w:t>
      </w:r>
      <w:r w:rsidR="00FF0031">
        <w:fldChar w:fldCharType="end"/>
      </w:r>
      <w:r>
        <w:t>)</w:t>
      </w:r>
      <w:r w:rsidRPr="00B14994">
        <w:t xml:space="preserve"> je prikazan shematičen prikaz priprave ocene ranljivosti upoštevajoč vse zgoraj naštete dejavnike.</w:t>
      </w:r>
    </w:p>
    <w:p w14:paraId="587B868E" w14:textId="77777777" w:rsidR="00FF0031" w:rsidRDefault="00FF0031" w:rsidP="00FF0031">
      <w:pPr>
        <w:keepNext/>
      </w:pPr>
      <w:r>
        <w:rPr>
          <w:noProof/>
          <w:lang w:eastAsia="sl-SI"/>
        </w:rPr>
        <w:drawing>
          <wp:inline distT="0" distB="0" distL="0" distR="0" wp14:anchorId="52239844" wp14:editId="21AE51D4">
            <wp:extent cx="5866130" cy="4008120"/>
            <wp:effectExtent l="0" t="0" r="1270" b="0"/>
            <wp:docPr id="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1"/>
                    <pic:cNvPicPr>
                      <a:picLocks noChangeAspect="1"/>
                    </pic:cNvPicPr>
                  </pic:nvPicPr>
                  <pic:blipFill>
                    <a:blip r:embed="rId72" cstate="email">
                      <a:extLst>
                        <a:ext uri="{28A0092B-C50C-407E-A947-70E740481C1C}">
                          <a14:useLocalDpi xmlns:a14="http://schemas.microsoft.com/office/drawing/2010/main" val="0"/>
                        </a:ext>
                      </a:extLst>
                    </a:blip>
                    <a:stretch>
                      <a:fillRect/>
                    </a:stretch>
                  </pic:blipFill>
                  <pic:spPr>
                    <a:xfrm>
                      <a:off x="0" y="0"/>
                      <a:ext cx="5866130" cy="4008120"/>
                    </a:xfrm>
                    <a:prstGeom prst="rect">
                      <a:avLst/>
                    </a:prstGeom>
                  </pic:spPr>
                </pic:pic>
              </a:graphicData>
            </a:graphic>
          </wp:inline>
        </w:drawing>
      </w:r>
    </w:p>
    <w:p w14:paraId="30E517D2" w14:textId="390B767D" w:rsidR="00766373" w:rsidRPr="00B14994" w:rsidRDefault="00FF0031" w:rsidP="00FF0031">
      <w:pPr>
        <w:pStyle w:val="Napis"/>
      </w:pPr>
      <w:bookmarkStart w:id="89" w:name="_Ref75844106"/>
      <w:bookmarkStart w:id="90" w:name="_Toc97026849"/>
      <w:r>
        <w:t xml:space="preserve">Slika </w:t>
      </w:r>
      <w:r w:rsidR="008334B2">
        <w:fldChar w:fldCharType="begin"/>
      </w:r>
      <w:r w:rsidR="008334B2">
        <w:instrText xml:space="preserve"> STYLEREF 1 \s </w:instrText>
      </w:r>
      <w:r w:rsidR="008334B2">
        <w:fldChar w:fldCharType="separate"/>
      </w:r>
      <w:r w:rsidR="008334B2">
        <w:rPr>
          <w:noProof/>
        </w:rPr>
        <w:t>5</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1</w:t>
      </w:r>
      <w:r w:rsidR="008334B2">
        <w:fldChar w:fldCharType="end"/>
      </w:r>
      <w:bookmarkEnd w:id="89"/>
      <w:r w:rsidRPr="003B5F2D">
        <w:t>: Shematični prikaz ocene priprave ocene ranljivosti.</w:t>
      </w:r>
      <w:bookmarkEnd w:id="90"/>
    </w:p>
    <w:p w14:paraId="5FCF9466" w14:textId="77777777" w:rsidR="00766373" w:rsidRPr="00B14994" w:rsidRDefault="00766373" w:rsidP="00766373">
      <w:r w:rsidRPr="00B14994">
        <w:t>V nadaljevanju so podane definicije posameznih izrazov ter ocena, ki je lahko podana opisno ali pa kot petstopenjska ocenjevalna lestvica.</w:t>
      </w:r>
    </w:p>
    <w:p w14:paraId="397D0757" w14:textId="03D74B43" w:rsidR="00766373" w:rsidRDefault="00766373" w:rsidP="00766373">
      <w:r w:rsidRPr="00B14994">
        <w:rPr>
          <w:b/>
          <w:bCs/>
        </w:rPr>
        <w:t>IZPOSTAVLJENOST:</w:t>
      </w:r>
      <w:r w:rsidRPr="00B14994">
        <w:t xml:space="preserve"> Pri identifikaciji izpostavljenosti se upošteva in analizira dejavnike, ki vplivajo na posamezen sektor in izhajajo iz trenutnega stanja podnebja in iz pričakovanih podnebnih sprememb. Podnebna analiza nudi vpogled v pojave in procese, ki so posledica podnebnega stanja obravnavanega območja in tako vplivajo ali pozitivno ali negativno na posamezen sektor, ki se tam pojavlja. Upošteva se izpostavljenost pričakovanega stanja podnebja na podlagi kazalnikov stanja okolja po podnebnih scenarijih RCP 4.5 in RCP 8.5 za obdobji 2011-2040 ter 2041-2070. Podnebni scenariji so bili pripravljeni na Agenciji RS za okolje. Scenarij RCP 4.5 je stabilizacijski scenarij, ki na podlagi trenutnega stanja velja za zmerno optimističnega ter RCP 8.5, ki je pesimistični scenarij in ne predvidi blaženja podnebnih sprememb.</w:t>
      </w:r>
    </w:p>
    <w:p w14:paraId="0C8F58DE" w14:textId="77777777" w:rsidR="00766373" w:rsidRPr="00B14994" w:rsidRDefault="00766373" w:rsidP="00766373">
      <w:r w:rsidRPr="00B14994">
        <w:t xml:space="preserve">Na podlagi analize trenutnega stanja podnebja in pričakovanih podnebnih sprememb, se identificira potencialno izpostavljenost sektorjev podnebnim spremembam. Večina upoštevanih podnebnih spremenljivk je opisana v poglavju Kazalniki stanja okolja za območje. Prepoznani </w:t>
      </w:r>
      <w:r w:rsidRPr="00B14994">
        <w:lastRenderedPageBreak/>
        <w:t xml:space="preserve">vplivi izpostavljenosti podnebnim spremembam se po obravnavanih sektorjih razlikujejo, zato je v poglavjih posameznih sektorjev </w:t>
      </w:r>
      <w:r w:rsidRPr="00B14994">
        <w:rPr>
          <w:u w:val="single"/>
        </w:rPr>
        <w:t>opisano</w:t>
      </w:r>
      <w:r w:rsidRPr="00B14994">
        <w:t xml:space="preserve"> in, kjer je mogoče, </w:t>
      </w:r>
      <w:r w:rsidRPr="00B14994">
        <w:rPr>
          <w:u w:val="single"/>
        </w:rPr>
        <w:t>kvantitativno</w:t>
      </w:r>
      <w:r w:rsidRPr="00B14994">
        <w:t xml:space="preserve"> opredeljeno, kateri kazalniki stanja okolja (podnebne spremenljivke) so relevantni za ocenjevanje ranljivosti posameznega sektorja.</w:t>
      </w:r>
    </w:p>
    <w:p w14:paraId="72510254" w14:textId="77777777" w:rsidR="00766373" w:rsidRPr="00B14994" w:rsidRDefault="00766373" w:rsidP="00766373">
      <w:r w:rsidRPr="00B14994">
        <w:t>Ocena izpostavljenosti torej prikaže lastnosti, velikosti in hitrosti sprememb podnebja, ki jim bo sistem podvržen v določenem časovnem obdobju. Spremembe so opredeljene glede na referenčno obdobje 1981-2010. Pričakuje se, da se bo zaradi podnebnih sprememb izpostavljenost obravnavanih sektorjev vremenskim pojavom in njihovim posledicam v prihodnosti spreminjala.</w:t>
      </w:r>
    </w:p>
    <w:p w14:paraId="28D34DDF" w14:textId="77777777" w:rsidR="00766373" w:rsidRPr="00B14994" w:rsidRDefault="00766373" w:rsidP="00766373">
      <w:r w:rsidRPr="00B14994">
        <w:rPr>
          <w:b/>
          <w:bCs/>
        </w:rPr>
        <w:t>OBČUTLJIVOST:</w:t>
      </w:r>
      <w:r w:rsidRPr="00B14994">
        <w:t xml:space="preserve"> Ocena občutljivosti se poda na podlagi poznavanja posameznega sektorja in njegovega dosedanjega odzivanja na izpostavljenost. Upošteva se podnebne značilnosti in ekstremne vremenske dogodke tako v preteklosti kot tudi danes. Pri občutljivosti se prepoznajo vsi sestavni elementi sektorja, ki so izpostavljeni posledicam podnebnih dogodkov in podnebnih sprememb.</w:t>
      </w:r>
    </w:p>
    <w:p w14:paraId="4D5F3981" w14:textId="77777777" w:rsidR="00766373" w:rsidRPr="00B14994" w:rsidRDefault="00766373" w:rsidP="00766373">
      <w:r w:rsidRPr="00B14994">
        <w:t xml:space="preserve">Ocena občutljivosti vključuje pregled fizičnih in družbeno ekonomskih razmer po posameznih sektorjih in je </w:t>
      </w:r>
      <w:r w:rsidRPr="00B14994">
        <w:rPr>
          <w:u w:val="single"/>
        </w:rPr>
        <w:t>podana opisno</w:t>
      </w:r>
      <w:r w:rsidRPr="00B14994">
        <w:t xml:space="preserve">, oziroma, kjer je mogoče, </w:t>
      </w:r>
      <w:r w:rsidRPr="00B14994">
        <w:rPr>
          <w:u w:val="single"/>
        </w:rPr>
        <w:t>kvantitativno</w:t>
      </w:r>
      <w:r w:rsidRPr="00B14994">
        <w:t>.</w:t>
      </w:r>
    </w:p>
    <w:p w14:paraId="592DED5E" w14:textId="77777777" w:rsidR="00766373" w:rsidRPr="00B14994" w:rsidRDefault="00766373" w:rsidP="00766373">
      <w:r w:rsidRPr="00B14994">
        <w:rPr>
          <w:b/>
          <w:bCs/>
        </w:rPr>
        <w:t>POTENCIALNI VPLIVI</w:t>
      </w:r>
      <w:r w:rsidRPr="00B14994">
        <w:t>: Potencialni vplivi so vplivi podnebnih sprememb na naravne in človekove sisteme in jih identificiramo na podlagi poznavanja izpostavljenosti sektorja ter njegove občutljivosti. Vplivi so lahko neposredni, kot na primer zmanjšanje dni s snežno odejo zaradi manjše količine snežnih padavin, ali posredni, pri čemer gre za kompleksnejše verige medsebojnih vplivov podnebnih sprememb, na primer pojav suše.</w:t>
      </w:r>
    </w:p>
    <w:p w14:paraId="51F81161" w14:textId="77777777" w:rsidR="00766373" w:rsidRPr="00B14994" w:rsidRDefault="00766373" w:rsidP="00766373">
      <w:pPr>
        <w:spacing w:after="0"/>
      </w:pPr>
      <w:r w:rsidRPr="00B14994">
        <w:t xml:space="preserve">Potencialni vpliv ima sledečo </w:t>
      </w:r>
      <w:r w:rsidRPr="00B14994">
        <w:rPr>
          <w:u w:val="single"/>
        </w:rPr>
        <w:t>petstopenjsko ocenjevalno lestvico</w:t>
      </w:r>
      <w:r w:rsidRPr="00B14994">
        <w:t>:</w:t>
      </w:r>
    </w:p>
    <w:p w14:paraId="34BF9519" w14:textId="77777777" w:rsidR="00766373" w:rsidRPr="00B14994" w:rsidRDefault="00766373" w:rsidP="00766373">
      <w:pPr>
        <w:spacing w:after="0"/>
      </w:pPr>
      <w:r w:rsidRPr="00B14994">
        <w:t xml:space="preserve">5 … vpliv je zelo velik </w:t>
      </w:r>
    </w:p>
    <w:p w14:paraId="34C7B846" w14:textId="77777777" w:rsidR="00766373" w:rsidRPr="00B14994" w:rsidRDefault="00766373" w:rsidP="00766373">
      <w:pPr>
        <w:spacing w:after="0"/>
      </w:pPr>
      <w:r w:rsidRPr="00B14994">
        <w:t xml:space="preserve">4 … vpliv je velik </w:t>
      </w:r>
    </w:p>
    <w:p w14:paraId="6CF52740" w14:textId="77777777" w:rsidR="00766373" w:rsidRPr="00B14994" w:rsidRDefault="00766373" w:rsidP="00766373">
      <w:pPr>
        <w:spacing w:after="0"/>
      </w:pPr>
      <w:r w:rsidRPr="00B14994">
        <w:t xml:space="preserve">3 … vpliv je zmeren, opazen </w:t>
      </w:r>
    </w:p>
    <w:p w14:paraId="13EFA994" w14:textId="77777777" w:rsidR="00766373" w:rsidRPr="00B14994" w:rsidRDefault="00766373" w:rsidP="00766373">
      <w:pPr>
        <w:spacing w:after="0"/>
      </w:pPr>
      <w:r w:rsidRPr="00B14994">
        <w:t xml:space="preserve">2 … vpliv je majhen </w:t>
      </w:r>
    </w:p>
    <w:p w14:paraId="6C4958D2" w14:textId="77777777" w:rsidR="00766373" w:rsidRPr="00B14994" w:rsidRDefault="00766373" w:rsidP="00766373">
      <w:r w:rsidRPr="00B14994">
        <w:t xml:space="preserve">1 … vpliv ni pomemben ali je nepomemben </w:t>
      </w:r>
    </w:p>
    <w:p w14:paraId="54E16A1F" w14:textId="77777777" w:rsidR="00766373" w:rsidRPr="00B14994" w:rsidRDefault="00766373" w:rsidP="00766373">
      <w:r w:rsidRPr="00B14994">
        <w:rPr>
          <w:b/>
          <w:bCs/>
        </w:rPr>
        <w:t>SPOSOBNOST PRILAGAJANJA:</w:t>
      </w:r>
      <w:r w:rsidRPr="00B14994">
        <w:t xml:space="preserve"> Sposobnost prilagajanja je opredeljena kot sposobnost sistema ali sektorja, da se prilagodi podnebnim dogodkom in podnebnim spremembam, zmanjša morebitno škodo, izkoristi priložnosti oziroma se sooči s posledicami. Oceno sposobnosti prilagajanja je mogoče podati na osnovi poznavanja značilnosti delovanja in odzivanja posameznega sistema ali sektorja danes. Tako pomemben del ocene sposobnosti prilagajanja predstavlja tudi analiza dosedanje učinkovitosti prilagajanja. Sposobnost prilagajanja v prihodnosti je mogoče oceniti s pomočjo predvidenih ukrepov, ki težijo k povečanju sposobnosti prilagajanja sektorja v mejah zmožnosti ekonomskega in družbenega stanja.</w:t>
      </w:r>
    </w:p>
    <w:p w14:paraId="66B10E96" w14:textId="77777777" w:rsidR="00766373" w:rsidRPr="00B14994" w:rsidRDefault="00766373" w:rsidP="00766373">
      <w:pPr>
        <w:spacing w:after="0"/>
      </w:pPr>
      <w:r w:rsidRPr="00B14994">
        <w:t xml:space="preserve">Sposobnost prilagajanja ima sledečo </w:t>
      </w:r>
      <w:r w:rsidRPr="00B14994">
        <w:rPr>
          <w:u w:val="single"/>
        </w:rPr>
        <w:t>petstopenjsko ocenjevalno lestvico</w:t>
      </w:r>
      <w:r w:rsidRPr="00B14994">
        <w:t>:</w:t>
      </w:r>
    </w:p>
    <w:p w14:paraId="31897CD7" w14:textId="77777777" w:rsidR="00766373" w:rsidRPr="00B14994" w:rsidRDefault="00766373" w:rsidP="00766373">
      <w:pPr>
        <w:spacing w:after="0"/>
      </w:pPr>
      <w:r w:rsidRPr="00B14994">
        <w:t xml:space="preserve">5 … sposobnost prilagajanja ne obstaja </w:t>
      </w:r>
    </w:p>
    <w:p w14:paraId="0287109D" w14:textId="77777777" w:rsidR="00766373" w:rsidRPr="00B14994" w:rsidRDefault="00766373" w:rsidP="00766373">
      <w:pPr>
        <w:spacing w:after="0"/>
      </w:pPr>
      <w:r w:rsidRPr="00B14994">
        <w:t xml:space="preserve">4 … sposobnost prilagajanja je majhna </w:t>
      </w:r>
    </w:p>
    <w:p w14:paraId="1294F59C" w14:textId="77777777" w:rsidR="00766373" w:rsidRPr="00B14994" w:rsidRDefault="00766373" w:rsidP="00766373">
      <w:pPr>
        <w:spacing w:after="0"/>
      </w:pPr>
      <w:r w:rsidRPr="00B14994">
        <w:t xml:space="preserve">3 … sposobnost prilagajanja je zmerna, zadostna </w:t>
      </w:r>
    </w:p>
    <w:p w14:paraId="779F1958" w14:textId="77777777" w:rsidR="00766373" w:rsidRPr="00B14994" w:rsidRDefault="00766373" w:rsidP="00766373">
      <w:pPr>
        <w:spacing w:after="0"/>
      </w:pPr>
      <w:r w:rsidRPr="00B14994">
        <w:t xml:space="preserve">2 … sposobnost prilagajanja je velika, dobra </w:t>
      </w:r>
    </w:p>
    <w:p w14:paraId="2D9C343D" w14:textId="77777777" w:rsidR="00766373" w:rsidRPr="00B14994" w:rsidRDefault="00766373" w:rsidP="00766373">
      <w:r w:rsidRPr="00B14994">
        <w:t xml:space="preserve">1 … sposobnost prilagajanja je odlična </w:t>
      </w:r>
    </w:p>
    <w:p w14:paraId="5C8CD7F5" w14:textId="77777777" w:rsidR="00766373" w:rsidRPr="00B14994" w:rsidRDefault="00766373" w:rsidP="00766373">
      <w:r w:rsidRPr="00B14994">
        <w:rPr>
          <w:b/>
          <w:bCs/>
        </w:rPr>
        <w:lastRenderedPageBreak/>
        <w:t xml:space="preserve">RANLJIVOST: </w:t>
      </w:r>
      <w:r w:rsidRPr="00B14994">
        <w:t>Ranljivost je sinteza dejavnikov potencialih vplivov in sposobnosti prilagajanja. Je odvisna od značaja, obsega in stopnje podnebnih sprememb ter nihanj, ki jim je sistem izpostavljen, njegove občutljivosti in sposobnosti prilagajanja. Večji potencialni vplivi podnebnih sprememb pomenijo višjo stopnjo ranljivosti posameznega sistema ali sektorja. Sistem ali sektor z večjo sposobnostjo prilagajanja pa je manj ranljiv kot tisti, katerega sposobnost prilagajanja je manjša.</w:t>
      </w:r>
    </w:p>
    <w:p w14:paraId="2245BD01" w14:textId="77777777" w:rsidR="00766373" w:rsidRPr="00B14994" w:rsidRDefault="00766373" w:rsidP="00766373">
      <w:pPr>
        <w:spacing w:after="0"/>
      </w:pPr>
      <w:r w:rsidRPr="00B14994">
        <w:t xml:space="preserve">Ranljivost ima sledečo </w:t>
      </w:r>
      <w:r w:rsidRPr="00B14994">
        <w:rPr>
          <w:u w:val="single"/>
        </w:rPr>
        <w:t>petstopenjsko ocenjevalno lestvico</w:t>
      </w:r>
      <w:r w:rsidRPr="00B14994">
        <w:t>:</w:t>
      </w:r>
    </w:p>
    <w:p w14:paraId="68709186" w14:textId="77777777" w:rsidR="00766373" w:rsidRPr="00B14994" w:rsidRDefault="00766373" w:rsidP="00766373">
      <w:pPr>
        <w:spacing w:after="0"/>
      </w:pPr>
      <w:r w:rsidRPr="00B14994">
        <w:t>5 … zelo velika</w:t>
      </w:r>
    </w:p>
    <w:p w14:paraId="418BAA6E" w14:textId="77777777" w:rsidR="00766373" w:rsidRPr="00B14994" w:rsidRDefault="00766373" w:rsidP="00766373">
      <w:pPr>
        <w:spacing w:after="0"/>
      </w:pPr>
      <w:r w:rsidRPr="00B14994">
        <w:t>4 … velika</w:t>
      </w:r>
    </w:p>
    <w:p w14:paraId="26161541" w14:textId="77777777" w:rsidR="00766373" w:rsidRPr="00B14994" w:rsidRDefault="00766373" w:rsidP="00766373">
      <w:pPr>
        <w:spacing w:after="0"/>
      </w:pPr>
      <w:r w:rsidRPr="00B14994">
        <w:t>3 … zmerna</w:t>
      </w:r>
    </w:p>
    <w:p w14:paraId="383A298B" w14:textId="77777777" w:rsidR="00766373" w:rsidRPr="00B14994" w:rsidRDefault="00766373" w:rsidP="00766373">
      <w:pPr>
        <w:spacing w:after="0"/>
      </w:pPr>
      <w:r w:rsidRPr="00B14994">
        <w:t>2 … majhna</w:t>
      </w:r>
    </w:p>
    <w:p w14:paraId="2A58858D" w14:textId="77777777" w:rsidR="00766373" w:rsidRPr="00B14994" w:rsidRDefault="00766373" w:rsidP="00766373">
      <w:r w:rsidRPr="00B14994">
        <w:t>1 … zanemarljiva</w:t>
      </w:r>
    </w:p>
    <w:p w14:paraId="210833B6" w14:textId="77777777" w:rsidR="00766373" w:rsidRDefault="00766373" w:rsidP="00766373">
      <w:r w:rsidRPr="00B14994">
        <w:t>Ranljivost se določa z dvema različnima metodama, odvisno ali gre za kvalitativno ali kvantitativno (z utežmi) oceno.</w:t>
      </w:r>
    </w:p>
    <w:p w14:paraId="52B49D84" w14:textId="2A293E42" w:rsidR="00766373" w:rsidRPr="00B14994" w:rsidRDefault="00766373" w:rsidP="00766373">
      <w:r w:rsidRPr="00493B77">
        <w:t xml:space="preserve">Kvalitativno ocena je uporabljena takrat, ko so potencialni vplivi in sposobnost prilagajanja opisne narave in ji kvantitativno ne moremo opredeliti, zato je njihova ocena podana na podlagi strokovne presoje avtorjev poročila posameznega sektorja. Na podlagi teh ocen je nato določena stopnja ranljivosti s pomočjo naslednje </w:t>
      </w:r>
      <w:proofErr w:type="spellStart"/>
      <w:r w:rsidR="004D2955">
        <w:t>pregleddnice</w:t>
      </w:r>
      <w:proofErr w:type="spellEnd"/>
      <w:r w:rsidRPr="00493B77">
        <w:t xml:space="preserve"> (</w:t>
      </w:r>
      <w:r>
        <w:fldChar w:fldCharType="begin"/>
      </w:r>
      <w:r>
        <w:instrText xml:space="preserve"> REF _Ref44334158 \h </w:instrText>
      </w:r>
      <w:r>
        <w:fldChar w:fldCharType="separate"/>
      </w:r>
      <w:r w:rsidR="004700D5">
        <w:t xml:space="preserve">Preglednica </w:t>
      </w:r>
      <w:r w:rsidR="004700D5">
        <w:rPr>
          <w:noProof/>
        </w:rPr>
        <w:t>5</w:t>
      </w:r>
      <w:r w:rsidR="004700D5">
        <w:t>.</w:t>
      </w:r>
      <w:r w:rsidR="004700D5">
        <w:rPr>
          <w:noProof/>
        </w:rPr>
        <w:t>1</w:t>
      </w:r>
      <w:r>
        <w:fldChar w:fldCharType="end"/>
      </w:r>
      <w:r w:rsidRPr="00493B77">
        <w:t>)</w:t>
      </w:r>
      <w:r>
        <w:t>.</w:t>
      </w:r>
    </w:p>
    <w:p w14:paraId="760BA6F8" w14:textId="44CB074D" w:rsidR="00766373" w:rsidRDefault="00766373" w:rsidP="00766373">
      <w:pPr>
        <w:pStyle w:val="Napis"/>
        <w:keepNext/>
      </w:pPr>
      <w:bookmarkStart w:id="91" w:name="_Ref44334158"/>
      <w:bookmarkStart w:id="92" w:name="_Ref44334144"/>
      <w:bookmarkStart w:id="93" w:name="_Toc44657094"/>
      <w:bookmarkStart w:id="94" w:name="_Toc97026952"/>
      <w:r>
        <w:t xml:space="preserve">Preglednica </w:t>
      </w:r>
      <w:r w:rsidR="00976D80">
        <w:fldChar w:fldCharType="begin"/>
      </w:r>
      <w:r w:rsidR="00976D80">
        <w:instrText xml:space="preserve"> STYLEREF 1 \s </w:instrText>
      </w:r>
      <w:r w:rsidR="00976D80">
        <w:fldChar w:fldCharType="separate"/>
      </w:r>
      <w:r w:rsidR="00976D80">
        <w:rPr>
          <w:noProof/>
        </w:rPr>
        <w:t>5</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1</w:t>
      </w:r>
      <w:r w:rsidR="00976D80">
        <w:fldChar w:fldCharType="end"/>
      </w:r>
      <w:bookmarkEnd w:id="91"/>
      <w:r w:rsidRPr="001D6763">
        <w:t>: Kvalitativna metoda določanja ranljivosti</w:t>
      </w:r>
      <w:bookmarkEnd w:id="92"/>
      <w:bookmarkEnd w:id="93"/>
      <w:bookmarkEnd w:id="94"/>
    </w:p>
    <w:tbl>
      <w:tblPr>
        <w:tblW w:w="5000" w:type="pct"/>
        <w:tblLook w:val="04A0" w:firstRow="1" w:lastRow="0" w:firstColumn="1" w:lastColumn="0" w:noHBand="0" w:noVBand="1"/>
      </w:tblPr>
      <w:tblGrid>
        <w:gridCol w:w="693"/>
        <w:gridCol w:w="1858"/>
        <w:gridCol w:w="1958"/>
        <w:gridCol w:w="1356"/>
        <w:gridCol w:w="1204"/>
        <w:gridCol w:w="1064"/>
        <w:gridCol w:w="1485"/>
      </w:tblGrid>
      <w:tr w:rsidR="00766373" w:rsidRPr="00B14994" w14:paraId="62F60F18" w14:textId="77777777" w:rsidTr="00766373">
        <w:trPr>
          <w:trHeight w:val="345"/>
        </w:trPr>
        <w:tc>
          <w:tcPr>
            <w:tcW w:w="1326"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38116604" w14:textId="77777777" w:rsidR="00766373" w:rsidRPr="00B14994" w:rsidRDefault="00766373" w:rsidP="00766373">
            <w:pPr>
              <w:spacing w:after="0" w:line="240" w:lineRule="auto"/>
              <w:jc w:val="center"/>
              <w:rPr>
                <w:rFonts w:eastAsia="Times New Roman" w:cs="Calibri"/>
                <w:color w:val="000000"/>
              </w:rPr>
            </w:pPr>
            <w:r w:rsidRPr="00B14994">
              <w:rPr>
                <w:rFonts w:eastAsia="Times New Roman" w:cs="Calibri"/>
                <w:color w:val="000000"/>
              </w:rPr>
              <w:t> </w:t>
            </w:r>
          </w:p>
        </w:tc>
        <w:tc>
          <w:tcPr>
            <w:tcW w:w="3674" w:type="pct"/>
            <w:gridSpan w:val="5"/>
            <w:tcBorders>
              <w:top w:val="single" w:sz="8" w:space="0" w:color="auto"/>
              <w:left w:val="nil"/>
              <w:bottom w:val="single" w:sz="8" w:space="0" w:color="auto"/>
              <w:right w:val="single" w:sz="8" w:space="0" w:color="000000"/>
            </w:tcBorders>
            <w:shd w:val="clear" w:color="auto" w:fill="auto"/>
            <w:vAlign w:val="center"/>
            <w:hideMark/>
          </w:tcPr>
          <w:p w14:paraId="0E836CEA" w14:textId="77777777" w:rsidR="00766373" w:rsidRPr="00B14994" w:rsidRDefault="00766373" w:rsidP="00766373">
            <w:pPr>
              <w:spacing w:after="0" w:line="240" w:lineRule="auto"/>
              <w:jc w:val="center"/>
              <w:rPr>
                <w:rFonts w:eastAsia="Times New Roman" w:cs="Calibri"/>
                <w:color w:val="000000"/>
              </w:rPr>
            </w:pPr>
            <w:r w:rsidRPr="00B14994">
              <w:rPr>
                <w:rFonts w:eastAsia="Times New Roman" w:cs="Calibri"/>
                <w:color w:val="000000"/>
              </w:rPr>
              <w:t>Potencialni vpliv</w:t>
            </w:r>
          </w:p>
        </w:tc>
      </w:tr>
      <w:tr w:rsidR="00766373" w:rsidRPr="00B14994" w14:paraId="7FA9945A" w14:textId="77777777" w:rsidTr="00766373">
        <w:trPr>
          <w:trHeight w:val="450"/>
        </w:trPr>
        <w:tc>
          <w:tcPr>
            <w:tcW w:w="1326" w:type="pct"/>
            <w:gridSpan w:val="2"/>
            <w:vMerge/>
            <w:tcBorders>
              <w:top w:val="single" w:sz="8" w:space="0" w:color="auto"/>
              <w:left w:val="single" w:sz="8" w:space="0" w:color="auto"/>
              <w:bottom w:val="single" w:sz="8" w:space="0" w:color="000000"/>
              <w:right w:val="single" w:sz="8" w:space="0" w:color="000000"/>
            </w:tcBorders>
            <w:vAlign w:val="center"/>
            <w:hideMark/>
          </w:tcPr>
          <w:p w14:paraId="14ADED81" w14:textId="77777777" w:rsidR="00766373" w:rsidRPr="00B14994" w:rsidRDefault="00766373" w:rsidP="00766373">
            <w:pPr>
              <w:spacing w:after="0" w:line="240" w:lineRule="auto"/>
              <w:rPr>
                <w:rFonts w:eastAsia="Times New Roman" w:cs="Calibri"/>
                <w:color w:val="000000"/>
              </w:rPr>
            </w:pPr>
          </w:p>
        </w:tc>
        <w:tc>
          <w:tcPr>
            <w:tcW w:w="1018" w:type="pct"/>
            <w:vMerge w:val="restart"/>
            <w:tcBorders>
              <w:top w:val="nil"/>
              <w:left w:val="single" w:sz="8" w:space="0" w:color="auto"/>
              <w:bottom w:val="single" w:sz="8" w:space="0" w:color="000000"/>
              <w:right w:val="single" w:sz="8" w:space="0" w:color="auto"/>
            </w:tcBorders>
            <w:shd w:val="clear" w:color="auto" w:fill="auto"/>
            <w:vAlign w:val="center"/>
            <w:hideMark/>
          </w:tcPr>
          <w:p w14:paraId="6F7D22E9" w14:textId="77777777" w:rsidR="00766373" w:rsidRPr="00B14994" w:rsidRDefault="00766373" w:rsidP="00766373">
            <w:pPr>
              <w:spacing w:after="0" w:line="240" w:lineRule="auto"/>
              <w:jc w:val="center"/>
              <w:rPr>
                <w:rFonts w:eastAsia="Times New Roman" w:cs="Calibri"/>
                <w:color w:val="000000"/>
              </w:rPr>
            </w:pPr>
            <w:r w:rsidRPr="00B14994">
              <w:rPr>
                <w:rFonts w:eastAsia="Times New Roman" w:cs="Calibri"/>
                <w:color w:val="000000"/>
              </w:rPr>
              <w:t>1 (nepomemben)</w:t>
            </w:r>
          </w:p>
        </w:tc>
        <w:tc>
          <w:tcPr>
            <w:tcW w:w="705" w:type="pct"/>
            <w:vMerge w:val="restart"/>
            <w:tcBorders>
              <w:top w:val="nil"/>
              <w:left w:val="single" w:sz="8" w:space="0" w:color="auto"/>
              <w:bottom w:val="single" w:sz="8" w:space="0" w:color="000000"/>
              <w:right w:val="single" w:sz="8" w:space="0" w:color="auto"/>
            </w:tcBorders>
            <w:shd w:val="clear" w:color="auto" w:fill="auto"/>
            <w:vAlign w:val="center"/>
            <w:hideMark/>
          </w:tcPr>
          <w:p w14:paraId="2EB13590" w14:textId="77777777" w:rsidR="00766373" w:rsidRPr="00B14994" w:rsidRDefault="00766373" w:rsidP="00766373">
            <w:pPr>
              <w:spacing w:after="0" w:line="240" w:lineRule="auto"/>
              <w:jc w:val="center"/>
              <w:rPr>
                <w:rFonts w:eastAsia="Times New Roman" w:cs="Calibri"/>
                <w:color w:val="000000"/>
              </w:rPr>
            </w:pPr>
            <w:r w:rsidRPr="00B14994">
              <w:rPr>
                <w:rFonts w:eastAsia="Times New Roman" w:cs="Calibri"/>
                <w:color w:val="000000"/>
              </w:rPr>
              <w:t>2 (majhen)</w:t>
            </w:r>
          </w:p>
        </w:tc>
        <w:tc>
          <w:tcPr>
            <w:tcW w:w="626" w:type="pct"/>
            <w:vMerge w:val="restart"/>
            <w:tcBorders>
              <w:top w:val="nil"/>
              <w:left w:val="single" w:sz="8" w:space="0" w:color="auto"/>
              <w:bottom w:val="single" w:sz="8" w:space="0" w:color="000000"/>
              <w:right w:val="single" w:sz="8" w:space="0" w:color="auto"/>
            </w:tcBorders>
            <w:shd w:val="clear" w:color="auto" w:fill="auto"/>
            <w:vAlign w:val="center"/>
            <w:hideMark/>
          </w:tcPr>
          <w:p w14:paraId="5F60A4F6" w14:textId="77777777" w:rsidR="00766373" w:rsidRPr="00B14994" w:rsidRDefault="00766373" w:rsidP="00766373">
            <w:pPr>
              <w:spacing w:after="0" w:line="240" w:lineRule="auto"/>
              <w:jc w:val="center"/>
              <w:rPr>
                <w:rFonts w:eastAsia="Times New Roman" w:cs="Calibri"/>
                <w:color w:val="000000"/>
              </w:rPr>
            </w:pPr>
            <w:r w:rsidRPr="00B14994">
              <w:rPr>
                <w:rFonts w:eastAsia="Times New Roman" w:cs="Calibri"/>
                <w:color w:val="000000"/>
              </w:rPr>
              <w:t>3 (zmeren)</w:t>
            </w:r>
          </w:p>
        </w:tc>
        <w:tc>
          <w:tcPr>
            <w:tcW w:w="553" w:type="pct"/>
            <w:vMerge w:val="restart"/>
            <w:tcBorders>
              <w:top w:val="nil"/>
              <w:left w:val="single" w:sz="8" w:space="0" w:color="auto"/>
              <w:bottom w:val="single" w:sz="8" w:space="0" w:color="000000"/>
              <w:right w:val="single" w:sz="8" w:space="0" w:color="auto"/>
            </w:tcBorders>
            <w:shd w:val="clear" w:color="auto" w:fill="auto"/>
            <w:vAlign w:val="center"/>
            <w:hideMark/>
          </w:tcPr>
          <w:p w14:paraId="19A54E6E" w14:textId="77777777" w:rsidR="00766373" w:rsidRPr="00B14994" w:rsidRDefault="00766373" w:rsidP="00766373">
            <w:pPr>
              <w:spacing w:after="0" w:line="240" w:lineRule="auto"/>
              <w:jc w:val="center"/>
              <w:rPr>
                <w:rFonts w:eastAsia="Times New Roman" w:cs="Calibri"/>
                <w:color w:val="000000"/>
              </w:rPr>
            </w:pPr>
            <w:r w:rsidRPr="00B14994">
              <w:rPr>
                <w:rFonts w:eastAsia="Times New Roman" w:cs="Calibri"/>
                <w:color w:val="000000"/>
              </w:rPr>
              <w:t>4 (velik)</w:t>
            </w:r>
          </w:p>
        </w:tc>
        <w:tc>
          <w:tcPr>
            <w:tcW w:w="772" w:type="pct"/>
            <w:vMerge w:val="restart"/>
            <w:tcBorders>
              <w:top w:val="nil"/>
              <w:left w:val="single" w:sz="8" w:space="0" w:color="auto"/>
              <w:bottom w:val="single" w:sz="8" w:space="0" w:color="000000"/>
              <w:right w:val="single" w:sz="8" w:space="0" w:color="auto"/>
            </w:tcBorders>
            <w:shd w:val="clear" w:color="auto" w:fill="auto"/>
            <w:vAlign w:val="center"/>
            <w:hideMark/>
          </w:tcPr>
          <w:p w14:paraId="75BE9C5D" w14:textId="77777777" w:rsidR="00766373" w:rsidRPr="00B14994" w:rsidRDefault="00766373" w:rsidP="00766373">
            <w:pPr>
              <w:spacing w:after="0" w:line="240" w:lineRule="auto"/>
              <w:jc w:val="center"/>
              <w:rPr>
                <w:rFonts w:eastAsia="Times New Roman" w:cs="Calibri"/>
                <w:color w:val="000000"/>
              </w:rPr>
            </w:pPr>
            <w:r w:rsidRPr="00B14994">
              <w:rPr>
                <w:rFonts w:eastAsia="Times New Roman" w:cs="Calibri"/>
                <w:color w:val="000000"/>
              </w:rPr>
              <w:t xml:space="preserve">5 </w:t>
            </w:r>
          </w:p>
          <w:p w14:paraId="2C8183CA" w14:textId="77777777" w:rsidR="00766373" w:rsidRPr="00B14994" w:rsidRDefault="00766373" w:rsidP="00766373">
            <w:pPr>
              <w:spacing w:after="0" w:line="240" w:lineRule="auto"/>
              <w:jc w:val="center"/>
              <w:rPr>
                <w:rFonts w:eastAsia="Times New Roman" w:cs="Calibri"/>
                <w:color w:val="000000"/>
              </w:rPr>
            </w:pPr>
            <w:r w:rsidRPr="00B14994">
              <w:rPr>
                <w:rFonts w:eastAsia="Times New Roman" w:cs="Calibri"/>
                <w:color w:val="000000"/>
              </w:rPr>
              <w:t>(zelo velik)</w:t>
            </w:r>
          </w:p>
        </w:tc>
      </w:tr>
      <w:tr w:rsidR="00766373" w:rsidRPr="00B14994" w14:paraId="66FD558A" w14:textId="77777777" w:rsidTr="00766373">
        <w:trPr>
          <w:trHeight w:val="450"/>
        </w:trPr>
        <w:tc>
          <w:tcPr>
            <w:tcW w:w="1326" w:type="pct"/>
            <w:gridSpan w:val="2"/>
            <w:vMerge/>
            <w:tcBorders>
              <w:top w:val="single" w:sz="8" w:space="0" w:color="auto"/>
              <w:left w:val="single" w:sz="8" w:space="0" w:color="auto"/>
              <w:bottom w:val="single" w:sz="8" w:space="0" w:color="000000"/>
              <w:right w:val="single" w:sz="8" w:space="0" w:color="000000"/>
            </w:tcBorders>
            <w:vAlign w:val="center"/>
            <w:hideMark/>
          </w:tcPr>
          <w:p w14:paraId="27AD34D6" w14:textId="77777777" w:rsidR="00766373" w:rsidRPr="00B14994" w:rsidRDefault="00766373" w:rsidP="00766373">
            <w:pPr>
              <w:spacing w:after="0" w:line="240" w:lineRule="auto"/>
              <w:rPr>
                <w:rFonts w:eastAsia="Times New Roman" w:cs="Calibri"/>
                <w:color w:val="000000"/>
              </w:rPr>
            </w:pPr>
          </w:p>
        </w:tc>
        <w:tc>
          <w:tcPr>
            <w:tcW w:w="1018" w:type="pct"/>
            <w:vMerge/>
            <w:tcBorders>
              <w:top w:val="nil"/>
              <w:left w:val="single" w:sz="8" w:space="0" w:color="auto"/>
              <w:bottom w:val="single" w:sz="8" w:space="0" w:color="000000"/>
              <w:right w:val="single" w:sz="8" w:space="0" w:color="auto"/>
            </w:tcBorders>
            <w:vAlign w:val="center"/>
            <w:hideMark/>
          </w:tcPr>
          <w:p w14:paraId="3AD0BE33" w14:textId="77777777" w:rsidR="00766373" w:rsidRPr="00B14994" w:rsidRDefault="00766373" w:rsidP="00766373">
            <w:pPr>
              <w:spacing w:after="0" w:line="240" w:lineRule="auto"/>
              <w:rPr>
                <w:rFonts w:eastAsia="Times New Roman" w:cs="Calibri"/>
                <w:color w:val="000000"/>
              </w:rPr>
            </w:pPr>
          </w:p>
        </w:tc>
        <w:tc>
          <w:tcPr>
            <w:tcW w:w="705" w:type="pct"/>
            <w:vMerge/>
            <w:tcBorders>
              <w:top w:val="nil"/>
              <w:left w:val="single" w:sz="8" w:space="0" w:color="auto"/>
              <w:bottom w:val="single" w:sz="8" w:space="0" w:color="000000"/>
              <w:right w:val="single" w:sz="8" w:space="0" w:color="auto"/>
            </w:tcBorders>
            <w:vAlign w:val="center"/>
            <w:hideMark/>
          </w:tcPr>
          <w:p w14:paraId="751D76CD" w14:textId="77777777" w:rsidR="00766373" w:rsidRPr="00B14994" w:rsidRDefault="00766373" w:rsidP="00766373">
            <w:pPr>
              <w:spacing w:after="0" w:line="240" w:lineRule="auto"/>
              <w:rPr>
                <w:rFonts w:eastAsia="Times New Roman" w:cs="Calibri"/>
                <w:color w:val="000000"/>
              </w:rPr>
            </w:pPr>
          </w:p>
        </w:tc>
        <w:tc>
          <w:tcPr>
            <w:tcW w:w="626" w:type="pct"/>
            <w:vMerge/>
            <w:tcBorders>
              <w:top w:val="nil"/>
              <w:left w:val="single" w:sz="8" w:space="0" w:color="auto"/>
              <w:bottom w:val="single" w:sz="8" w:space="0" w:color="000000"/>
              <w:right w:val="single" w:sz="8" w:space="0" w:color="auto"/>
            </w:tcBorders>
            <w:vAlign w:val="center"/>
            <w:hideMark/>
          </w:tcPr>
          <w:p w14:paraId="0663933B" w14:textId="77777777" w:rsidR="00766373" w:rsidRPr="00B14994" w:rsidRDefault="00766373" w:rsidP="00766373">
            <w:pPr>
              <w:spacing w:after="0" w:line="240" w:lineRule="auto"/>
              <w:rPr>
                <w:rFonts w:eastAsia="Times New Roman" w:cs="Calibri"/>
                <w:color w:val="000000"/>
              </w:rPr>
            </w:pPr>
          </w:p>
        </w:tc>
        <w:tc>
          <w:tcPr>
            <w:tcW w:w="553" w:type="pct"/>
            <w:vMerge/>
            <w:tcBorders>
              <w:top w:val="nil"/>
              <w:left w:val="single" w:sz="8" w:space="0" w:color="auto"/>
              <w:bottom w:val="single" w:sz="8" w:space="0" w:color="000000"/>
              <w:right w:val="single" w:sz="8" w:space="0" w:color="auto"/>
            </w:tcBorders>
            <w:vAlign w:val="center"/>
            <w:hideMark/>
          </w:tcPr>
          <w:p w14:paraId="3514028B" w14:textId="77777777" w:rsidR="00766373" w:rsidRPr="00B14994" w:rsidRDefault="00766373" w:rsidP="00766373">
            <w:pPr>
              <w:spacing w:after="0" w:line="240" w:lineRule="auto"/>
              <w:rPr>
                <w:rFonts w:eastAsia="Times New Roman" w:cs="Calibri"/>
                <w:color w:val="000000"/>
              </w:rPr>
            </w:pPr>
          </w:p>
        </w:tc>
        <w:tc>
          <w:tcPr>
            <w:tcW w:w="772" w:type="pct"/>
            <w:vMerge/>
            <w:tcBorders>
              <w:top w:val="nil"/>
              <w:left w:val="single" w:sz="8" w:space="0" w:color="auto"/>
              <w:bottom w:val="single" w:sz="8" w:space="0" w:color="000000"/>
              <w:right w:val="single" w:sz="8" w:space="0" w:color="auto"/>
            </w:tcBorders>
            <w:vAlign w:val="center"/>
            <w:hideMark/>
          </w:tcPr>
          <w:p w14:paraId="5BB26C9B" w14:textId="77777777" w:rsidR="00766373" w:rsidRPr="00B14994" w:rsidRDefault="00766373" w:rsidP="00766373">
            <w:pPr>
              <w:spacing w:after="0" w:line="240" w:lineRule="auto"/>
              <w:rPr>
                <w:rFonts w:eastAsia="Times New Roman" w:cs="Calibri"/>
                <w:color w:val="000000"/>
              </w:rPr>
            </w:pPr>
          </w:p>
        </w:tc>
      </w:tr>
      <w:tr w:rsidR="00766373" w:rsidRPr="00B14994" w14:paraId="4050DDC4" w14:textId="77777777" w:rsidTr="00766373">
        <w:trPr>
          <w:trHeight w:val="345"/>
        </w:trPr>
        <w:tc>
          <w:tcPr>
            <w:tcW w:w="360"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14:paraId="1FC78A2B" w14:textId="77777777" w:rsidR="00766373" w:rsidRPr="00B14994" w:rsidRDefault="00766373" w:rsidP="00766373">
            <w:pPr>
              <w:spacing w:after="0" w:line="240" w:lineRule="auto"/>
              <w:jc w:val="center"/>
              <w:rPr>
                <w:rFonts w:eastAsia="Times New Roman" w:cs="Calibri"/>
                <w:color w:val="000000"/>
              </w:rPr>
            </w:pPr>
            <w:r w:rsidRPr="00B14994">
              <w:rPr>
                <w:rFonts w:eastAsia="Times New Roman" w:cs="Calibri"/>
                <w:color w:val="000000"/>
              </w:rPr>
              <w:t>Sposobnost prilagajanja</w:t>
            </w:r>
          </w:p>
        </w:tc>
        <w:tc>
          <w:tcPr>
            <w:tcW w:w="966" w:type="pct"/>
            <w:tcBorders>
              <w:top w:val="nil"/>
              <w:left w:val="nil"/>
              <w:bottom w:val="single" w:sz="8" w:space="0" w:color="auto"/>
              <w:right w:val="single" w:sz="8" w:space="0" w:color="auto"/>
            </w:tcBorders>
            <w:shd w:val="clear" w:color="auto" w:fill="auto"/>
            <w:vAlign w:val="center"/>
            <w:hideMark/>
          </w:tcPr>
          <w:p w14:paraId="450C50D6" w14:textId="77777777" w:rsidR="00766373" w:rsidRPr="00B14994" w:rsidRDefault="00766373" w:rsidP="00766373">
            <w:pPr>
              <w:spacing w:after="0" w:line="240" w:lineRule="auto"/>
              <w:rPr>
                <w:rFonts w:eastAsia="Times New Roman" w:cs="Calibri"/>
                <w:color w:val="000000"/>
              </w:rPr>
            </w:pPr>
            <w:r w:rsidRPr="00B14994">
              <w:rPr>
                <w:rFonts w:eastAsia="Times New Roman" w:cs="Calibri"/>
                <w:color w:val="000000"/>
              </w:rPr>
              <w:t>1 (odlična)</w:t>
            </w:r>
          </w:p>
        </w:tc>
        <w:tc>
          <w:tcPr>
            <w:tcW w:w="1018" w:type="pct"/>
            <w:tcBorders>
              <w:top w:val="nil"/>
              <w:left w:val="nil"/>
              <w:bottom w:val="single" w:sz="8" w:space="0" w:color="auto"/>
              <w:right w:val="single" w:sz="8" w:space="0" w:color="auto"/>
            </w:tcBorders>
            <w:shd w:val="clear" w:color="000000" w:fill="7FE300"/>
            <w:vAlign w:val="center"/>
          </w:tcPr>
          <w:p w14:paraId="04860AF2"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1</w:t>
            </w:r>
          </w:p>
        </w:tc>
        <w:tc>
          <w:tcPr>
            <w:tcW w:w="705" w:type="pct"/>
            <w:tcBorders>
              <w:top w:val="nil"/>
              <w:left w:val="nil"/>
              <w:bottom w:val="single" w:sz="8" w:space="0" w:color="auto"/>
              <w:right w:val="single" w:sz="8" w:space="0" w:color="auto"/>
            </w:tcBorders>
            <w:shd w:val="clear" w:color="000000" w:fill="7FE300"/>
            <w:vAlign w:val="center"/>
          </w:tcPr>
          <w:p w14:paraId="255E9A4A"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1</w:t>
            </w:r>
          </w:p>
        </w:tc>
        <w:tc>
          <w:tcPr>
            <w:tcW w:w="626" w:type="pct"/>
            <w:tcBorders>
              <w:top w:val="nil"/>
              <w:left w:val="nil"/>
              <w:bottom w:val="single" w:sz="8" w:space="0" w:color="auto"/>
              <w:right w:val="single" w:sz="8" w:space="0" w:color="auto"/>
            </w:tcBorders>
            <w:shd w:val="clear" w:color="000000" w:fill="BFF100"/>
            <w:vAlign w:val="center"/>
          </w:tcPr>
          <w:p w14:paraId="3951E173"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2</w:t>
            </w:r>
          </w:p>
        </w:tc>
        <w:tc>
          <w:tcPr>
            <w:tcW w:w="553" w:type="pct"/>
            <w:tcBorders>
              <w:top w:val="nil"/>
              <w:left w:val="nil"/>
              <w:bottom w:val="single" w:sz="8" w:space="0" w:color="auto"/>
              <w:right w:val="single" w:sz="8" w:space="0" w:color="auto"/>
            </w:tcBorders>
            <w:shd w:val="clear" w:color="000000" w:fill="FFFF00"/>
            <w:vAlign w:val="center"/>
          </w:tcPr>
          <w:p w14:paraId="1542C715"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3</w:t>
            </w:r>
          </w:p>
        </w:tc>
        <w:tc>
          <w:tcPr>
            <w:tcW w:w="772" w:type="pct"/>
            <w:tcBorders>
              <w:top w:val="nil"/>
              <w:left w:val="nil"/>
              <w:bottom w:val="single" w:sz="8" w:space="0" w:color="auto"/>
              <w:right w:val="single" w:sz="8" w:space="0" w:color="auto"/>
            </w:tcBorders>
            <w:shd w:val="clear" w:color="000000" w:fill="FFCC00"/>
            <w:vAlign w:val="center"/>
          </w:tcPr>
          <w:p w14:paraId="3DDC1CFD"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4</w:t>
            </w:r>
          </w:p>
        </w:tc>
      </w:tr>
      <w:tr w:rsidR="00766373" w:rsidRPr="00B14994" w14:paraId="364A5F9A" w14:textId="77777777" w:rsidTr="00766373">
        <w:trPr>
          <w:trHeight w:val="345"/>
        </w:trPr>
        <w:tc>
          <w:tcPr>
            <w:tcW w:w="360" w:type="pct"/>
            <w:vMerge/>
            <w:tcBorders>
              <w:top w:val="nil"/>
              <w:left w:val="single" w:sz="8" w:space="0" w:color="auto"/>
              <w:bottom w:val="single" w:sz="8" w:space="0" w:color="000000"/>
              <w:right w:val="single" w:sz="8" w:space="0" w:color="auto"/>
            </w:tcBorders>
            <w:vAlign w:val="center"/>
            <w:hideMark/>
          </w:tcPr>
          <w:p w14:paraId="79588975" w14:textId="77777777" w:rsidR="00766373" w:rsidRPr="00B14994" w:rsidRDefault="00766373" w:rsidP="00766373">
            <w:pPr>
              <w:spacing w:after="0" w:line="240" w:lineRule="auto"/>
              <w:rPr>
                <w:rFonts w:eastAsia="Times New Roman" w:cs="Calibri"/>
                <w:color w:val="000000"/>
              </w:rPr>
            </w:pPr>
          </w:p>
        </w:tc>
        <w:tc>
          <w:tcPr>
            <w:tcW w:w="966" w:type="pct"/>
            <w:tcBorders>
              <w:top w:val="nil"/>
              <w:left w:val="nil"/>
              <w:bottom w:val="single" w:sz="8" w:space="0" w:color="auto"/>
              <w:right w:val="single" w:sz="8" w:space="0" w:color="auto"/>
            </w:tcBorders>
            <w:shd w:val="clear" w:color="auto" w:fill="auto"/>
            <w:vAlign w:val="center"/>
            <w:hideMark/>
          </w:tcPr>
          <w:p w14:paraId="549E44DD" w14:textId="77777777" w:rsidR="00766373" w:rsidRPr="00B14994" w:rsidRDefault="00766373" w:rsidP="00766373">
            <w:pPr>
              <w:spacing w:after="0" w:line="240" w:lineRule="auto"/>
              <w:rPr>
                <w:rFonts w:eastAsia="Times New Roman" w:cs="Calibri"/>
                <w:color w:val="000000"/>
              </w:rPr>
            </w:pPr>
            <w:r w:rsidRPr="00B14994">
              <w:rPr>
                <w:rFonts w:eastAsia="Times New Roman" w:cs="Calibri"/>
                <w:color w:val="000000"/>
              </w:rPr>
              <w:t>2 (dobra)</w:t>
            </w:r>
          </w:p>
        </w:tc>
        <w:tc>
          <w:tcPr>
            <w:tcW w:w="1018" w:type="pct"/>
            <w:tcBorders>
              <w:top w:val="nil"/>
              <w:left w:val="nil"/>
              <w:bottom w:val="single" w:sz="8" w:space="0" w:color="auto"/>
              <w:right w:val="single" w:sz="8" w:space="0" w:color="auto"/>
            </w:tcBorders>
            <w:shd w:val="clear" w:color="000000" w:fill="7FE300"/>
            <w:vAlign w:val="center"/>
          </w:tcPr>
          <w:p w14:paraId="56C4B9C3"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1</w:t>
            </w:r>
          </w:p>
        </w:tc>
        <w:tc>
          <w:tcPr>
            <w:tcW w:w="705" w:type="pct"/>
            <w:tcBorders>
              <w:top w:val="nil"/>
              <w:left w:val="nil"/>
              <w:bottom w:val="single" w:sz="8" w:space="0" w:color="auto"/>
              <w:right w:val="single" w:sz="8" w:space="0" w:color="auto"/>
            </w:tcBorders>
            <w:shd w:val="clear" w:color="000000" w:fill="BFF100"/>
            <w:vAlign w:val="center"/>
          </w:tcPr>
          <w:p w14:paraId="541741C2"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2</w:t>
            </w:r>
          </w:p>
        </w:tc>
        <w:tc>
          <w:tcPr>
            <w:tcW w:w="626" w:type="pct"/>
            <w:tcBorders>
              <w:top w:val="nil"/>
              <w:left w:val="nil"/>
              <w:bottom w:val="single" w:sz="8" w:space="0" w:color="auto"/>
              <w:right w:val="single" w:sz="8" w:space="0" w:color="auto"/>
            </w:tcBorders>
            <w:shd w:val="clear" w:color="000000" w:fill="FFFF00"/>
            <w:vAlign w:val="center"/>
          </w:tcPr>
          <w:p w14:paraId="1B429A1A"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3</w:t>
            </w:r>
          </w:p>
        </w:tc>
        <w:tc>
          <w:tcPr>
            <w:tcW w:w="553" w:type="pct"/>
            <w:tcBorders>
              <w:top w:val="nil"/>
              <w:left w:val="nil"/>
              <w:bottom w:val="single" w:sz="8" w:space="0" w:color="auto"/>
              <w:right w:val="single" w:sz="8" w:space="0" w:color="auto"/>
            </w:tcBorders>
            <w:shd w:val="clear" w:color="000000" w:fill="FFCC00"/>
            <w:vAlign w:val="center"/>
          </w:tcPr>
          <w:p w14:paraId="651E9D20"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4</w:t>
            </w:r>
          </w:p>
        </w:tc>
        <w:tc>
          <w:tcPr>
            <w:tcW w:w="772" w:type="pct"/>
            <w:tcBorders>
              <w:top w:val="nil"/>
              <w:left w:val="nil"/>
              <w:bottom w:val="single" w:sz="8" w:space="0" w:color="auto"/>
              <w:right w:val="single" w:sz="8" w:space="0" w:color="auto"/>
            </w:tcBorders>
            <w:shd w:val="clear" w:color="000000" w:fill="FFCC00"/>
            <w:vAlign w:val="center"/>
          </w:tcPr>
          <w:p w14:paraId="627ED1FA"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4</w:t>
            </w:r>
          </w:p>
        </w:tc>
      </w:tr>
      <w:tr w:rsidR="00766373" w:rsidRPr="00B14994" w14:paraId="282C3005" w14:textId="77777777" w:rsidTr="00766373">
        <w:trPr>
          <w:trHeight w:val="345"/>
        </w:trPr>
        <w:tc>
          <w:tcPr>
            <w:tcW w:w="360" w:type="pct"/>
            <w:vMerge/>
            <w:tcBorders>
              <w:top w:val="nil"/>
              <w:left w:val="single" w:sz="8" w:space="0" w:color="auto"/>
              <w:bottom w:val="single" w:sz="8" w:space="0" w:color="000000"/>
              <w:right w:val="single" w:sz="8" w:space="0" w:color="auto"/>
            </w:tcBorders>
            <w:vAlign w:val="center"/>
            <w:hideMark/>
          </w:tcPr>
          <w:p w14:paraId="5E42737B" w14:textId="77777777" w:rsidR="00766373" w:rsidRPr="00B14994" w:rsidRDefault="00766373" w:rsidP="00766373">
            <w:pPr>
              <w:spacing w:after="0" w:line="240" w:lineRule="auto"/>
              <w:rPr>
                <w:rFonts w:eastAsia="Times New Roman" w:cs="Calibri"/>
                <w:color w:val="000000"/>
              </w:rPr>
            </w:pPr>
          </w:p>
        </w:tc>
        <w:tc>
          <w:tcPr>
            <w:tcW w:w="966" w:type="pct"/>
            <w:tcBorders>
              <w:top w:val="nil"/>
              <w:left w:val="nil"/>
              <w:bottom w:val="single" w:sz="8" w:space="0" w:color="auto"/>
              <w:right w:val="single" w:sz="8" w:space="0" w:color="auto"/>
            </w:tcBorders>
            <w:shd w:val="clear" w:color="auto" w:fill="auto"/>
            <w:vAlign w:val="center"/>
            <w:hideMark/>
          </w:tcPr>
          <w:p w14:paraId="36551C09" w14:textId="77777777" w:rsidR="00766373" w:rsidRPr="00B14994" w:rsidRDefault="00766373" w:rsidP="00766373">
            <w:pPr>
              <w:spacing w:after="0" w:line="240" w:lineRule="auto"/>
              <w:rPr>
                <w:rFonts w:eastAsia="Times New Roman" w:cs="Calibri"/>
                <w:color w:val="000000"/>
              </w:rPr>
            </w:pPr>
            <w:r w:rsidRPr="00B14994">
              <w:rPr>
                <w:rFonts w:eastAsia="Times New Roman" w:cs="Calibri"/>
                <w:color w:val="000000"/>
              </w:rPr>
              <w:t>3 (zadostna)</w:t>
            </w:r>
          </w:p>
        </w:tc>
        <w:tc>
          <w:tcPr>
            <w:tcW w:w="1018" w:type="pct"/>
            <w:tcBorders>
              <w:top w:val="nil"/>
              <w:left w:val="nil"/>
              <w:bottom w:val="single" w:sz="8" w:space="0" w:color="auto"/>
              <w:right w:val="single" w:sz="8" w:space="0" w:color="auto"/>
            </w:tcBorders>
            <w:shd w:val="clear" w:color="000000" w:fill="BFF100"/>
            <w:vAlign w:val="center"/>
          </w:tcPr>
          <w:p w14:paraId="7A2163C0"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2</w:t>
            </w:r>
          </w:p>
        </w:tc>
        <w:tc>
          <w:tcPr>
            <w:tcW w:w="705" w:type="pct"/>
            <w:tcBorders>
              <w:top w:val="nil"/>
              <w:left w:val="nil"/>
              <w:bottom w:val="single" w:sz="8" w:space="0" w:color="auto"/>
              <w:right w:val="single" w:sz="8" w:space="0" w:color="auto"/>
            </w:tcBorders>
            <w:shd w:val="clear" w:color="000000" w:fill="FFFF00"/>
            <w:vAlign w:val="center"/>
          </w:tcPr>
          <w:p w14:paraId="6DFCBED3"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3</w:t>
            </w:r>
          </w:p>
        </w:tc>
        <w:tc>
          <w:tcPr>
            <w:tcW w:w="626" w:type="pct"/>
            <w:tcBorders>
              <w:top w:val="nil"/>
              <w:left w:val="nil"/>
              <w:bottom w:val="single" w:sz="8" w:space="0" w:color="auto"/>
              <w:right w:val="single" w:sz="8" w:space="0" w:color="auto"/>
            </w:tcBorders>
            <w:shd w:val="clear" w:color="000000" w:fill="FFFF00"/>
            <w:vAlign w:val="center"/>
          </w:tcPr>
          <w:p w14:paraId="14318B15"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3</w:t>
            </w:r>
          </w:p>
        </w:tc>
        <w:tc>
          <w:tcPr>
            <w:tcW w:w="553" w:type="pct"/>
            <w:tcBorders>
              <w:top w:val="nil"/>
              <w:left w:val="nil"/>
              <w:bottom w:val="single" w:sz="8" w:space="0" w:color="auto"/>
              <w:right w:val="single" w:sz="8" w:space="0" w:color="auto"/>
            </w:tcBorders>
            <w:shd w:val="clear" w:color="000000" w:fill="FFCC00"/>
            <w:vAlign w:val="center"/>
          </w:tcPr>
          <w:p w14:paraId="4BB163CB"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4</w:t>
            </w:r>
          </w:p>
        </w:tc>
        <w:tc>
          <w:tcPr>
            <w:tcW w:w="772" w:type="pct"/>
            <w:tcBorders>
              <w:top w:val="nil"/>
              <w:left w:val="nil"/>
              <w:bottom w:val="single" w:sz="8" w:space="0" w:color="auto"/>
              <w:right w:val="single" w:sz="8" w:space="0" w:color="auto"/>
            </w:tcBorders>
            <w:shd w:val="clear" w:color="000000" w:fill="FF3F00"/>
            <w:vAlign w:val="center"/>
          </w:tcPr>
          <w:p w14:paraId="6F4E414E"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5</w:t>
            </w:r>
          </w:p>
        </w:tc>
      </w:tr>
      <w:tr w:rsidR="00766373" w:rsidRPr="00B14994" w14:paraId="7F45E2F5" w14:textId="77777777" w:rsidTr="00766373">
        <w:trPr>
          <w:trHeight w:val="345"/>
        </w:trPr>
        <w:tc>
          <w:tcPr>
            <w:tcW w:w="360" w:type="pct"/>
            <w:vMerge/>
            <w:tcBorders>
              <w:top w:val="nil"/>
              <w:left w:val="single" w:sz="8" w:space="0" w:color="auto"/>
              <w:bottom w:val="single" w:sz="8" w:space="0" w:color="000000"/>
              <w:right w:val="single" w:sz="8" w:space="0" w:color="auto"/>
            </w:tcBorders>
            <w:vAlign w:val="center"/>
            <w:hideMark/>
          </w:tcPr>
          <w:p w14:paraId="423AEBD6" w14:textId="77777777" w:rsidR="00766373" w:rsidRPr="00B14994" w:rsidRDefault="00766373" w:rsidP="00766373">
            <w:pPr>
              <w:spacing w:after="0" w:line="240" w:lineRule="auto"/>
              <w:rPr>
                <w:rFonts w:eastAsia="Times New Roman" w:cs="Calibri"/>
                <w:color w:val="000000"/>
              </w:rPr>
            </w:pPr>
          </w:p>
        </w:tc>
        <w:tc>
          <w:tcPr>
            <w:tcW w:w="966" w:type="pct"/>
            <w:tcBorders>
              <w:top w:val="nil"/>
              <w:left w:val="nil"/>
              <w:bottom w:val="single" w:sz="8" w:space="0" w:color="auto"/>
              <w:right w:val="single" w:sz="8" w:space="0" w:color="auto"/>
            </w:tcBorders>
            <w:shd w:val="clear" w:color="auto" w:fill="auto"/>
            <w:vAlign w:val="center"/>
            <w:hideMark/>
          </w:tcPr>
          <w:p w14:paraId="6976372C" w14:textId="77777777" w:rsidR="00766373" w:rsidRPr="00B14994" w:rsidRDefault="00766373" w:rsidP="00766373">
            <w:pPr>
              <w:spacing w:after="0" w:line="240" w:lineRule="auto"/>
              <w:rPr>
                <w:rFonts w:eastAsia="Times New Roman" w:cs="Calibri"/>
                <w:color w:val="000000"/>
              </w:rPr>
            </w:pPr>
            <w:r w:rsidRPr="00B14994">
              <w:rPr>
                <w:rFonts w:eastAsia="Times New Roman" w:cs="Calibri"/>
                <w:color w:val="000000"/>
              </w:rPr>
              <w:t>4 (majhna)</w:t>
            </w:r>
          </w:p>
        </w:tc>
        <w:tc>
          <w:tcPr>
            <w:tcW w:w="1018" w:type="pct"/>
            <w:tcBorders>
              <w:top w:val="nil"/>
              <w:left w:val="nil"/>
              <w:bottom w:val="single" w:sz="8" w:space="0" w:color="auto"/>
              <w:right w:val="single" w:sz="8" w:space="0" w:color="auto"/>
            </w:tcBorders>
            <w:shd w:val="clear" w:color="000000" w:fill="FFFF00"/>
            <w:vAlign w:val="center"/>
          </w:tcPr>
          <w:p w14:paraId="772F894B"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3</w:t>
            </w:r>
          </w:p>
        </w:tc>
        <w:tc>
          <w:tcPr>
            <w:tcW w:w="705" w:type="pct"/>
            <w:tcBorders>
              <w:top w:val="nil"/>
              <w:left w:val="nil"/>
              <w:bottom w:val="single" w:sz="8" w:space="0" w:color="auto"/>
              <w:right w:val="single" w:sz="8" w:space="0" w:color="auto"/>
            </w:tcBorders>
            <w:shd w:val="clear" w:color="000000" w:fill="FFFF00"/>
            <w:vAlign w:val="center"/>
          </w:tcPr>
          <w:p w14:paraId="75B2FB2D"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3</w:t>
            </w:r>
          </w:p>
        </w:tc>
        <w:tc>
          <w:tcPr>
            <w:tcW w:w="626" w:type="pct"/>
            <w:tcBorders>
              <w:top w:val="nil"/>
              <w:left w:val="nil"/>
              <w:bottom w:val="single" w:sz="8" w:space="0" w:color="auto"/>
              <w:right w:val="single" w:sz="8" w:space="0" w:color="auto"/>
            </w:tcBorders>
            <w:shd w:val="clear" w:color="000000" w:fill="FFCC00"/>
            <w:vAlign w:val="center"/>
          </w:tcPr>
          <w:p w14:paraId="6E5AF424"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4</w:t>
            </w:r>
          </w:p>
        </w:tc>
        <w:tc>
          <w:tcPr>
            <w:tcW w:w="553" w:type="pct"/>
            <w:tcBorders>
              <w:top w:val="nil"/>
              <w:left w:val="nil"/>
              <w:bottom w:val="single" w:sz="8" w:space="0" w:color="auto"/>
              <w:right w:val="single" w:sz="8" w:space="0" w:color="auto"/>
            </w:tcBorders>
            <w:shd w:val="clear" w:color="000000" w:fill="FFCC00"/>
            <w:vAlign w:val="center"/>
          </w:tcPr>
          <w:p w14:paraId="32550097"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4</w:t>
            </w:r>
          </w:p>
        </w:tc>
        <w:tc>
          <w:tcPr>
            <w:tcW w:w="772" w:type="pct"/>
            <w:tcBorders>
              <w:top w:val="nil"/>
              <w:left w:val="nil"/>
              <w:bottom w:val="single" w:sz="8" w:space="0" w:color="auto"/>
              <w:right w:val="single" w:sz="8" w:space="0" w:color="auto"/>
            </w:tcBorders>
            <w:shd w:val="clear" w:color="000000" w:fill="FF3F00"/>
            <w:vAlign w:val="center"/>
          </w:tcPr>
          <w:p w14:paraId="02046FE9"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5</w:t>
            </w:r>
          </w:p>
        </w:tc>
      </w:tr>
      <w:tr w:rsidR="00766373" w:rsidRPr="00B14994" w14:paraId="3BCF074A" w14:textId="77777777" w:rsidTr="00766373">
        <w:trPr>
          <w:trHeight w:val="345"/>
        </w:trPr>
        <w:tc>
          <w:tcPr>
            <w:tcW w:w="360" w:type="pct"/>
            <w:vMerge/>
            <w:tcBorders>
              <w:top w:val="nil"/>
              <w:left w:val="single" w:sz="8" w:space="0" w:color="auto"/>
              <w:bottom w:val="single" w:sz="8" w:space="0" w:color="000000"/>
              <w:right w:val="single" w:sz="8" w:space="0" w:color="auto"/>
            </w:tcBorders>
            <w:vAlign w:val="center"/>
            <w:hideMark/>
          </w:tcPr>
          <w:p w14:paraId="3720BC61" w14:textId="77777777" w:rsidR="00766373" w:rsidRPr="00B14994" w:rsidRDefault="00766373" w:rsidP="00766373">
            <w:pPr>
              <w:spacing w:after="0" w:line="240" w:lineRule="auto"/>
              <w:rPr>
                <w:rFonts w:eastAsia="Times New Roman" w:cs="Calibri"/>
                <w:color w:val="000000"/>
              </w:rPr>
            </w:pPr>
          </w:p>
        </w:tc>
        <w:tc>
          <w:tcPr>
            <w:tcW w:w="966" w:type="pct"/>
            <w:tcBorders>
              <w:top w:val="nil"/>
              <w:left w:val="nil"/>
              <w:bottom w:val="single" w:sz="8" w:space="0" w:color="auto"/>
              <w:right w:val="single" w:sz="8" w:space="0" w:color="auto"/>
            </w:tcBorders>
            <w:shd w:val="clear" w:color="auto" w:fill="auto"/>
            <w:vAlign w:val="center"/>
            <w:hideMark/>
          </w:tcPr>
          <w:p w14:paraId="7DE7AAE1" w14:textId="77777777" w:rsidR="00766373" w:rsidRPr="00B14994" w:rsidRDefault="00766373" w:rsidP="00766373">
            <w:pPr>
              <w:spacing w:after="0" w:line="240" w:lineRule="auto"/>
              <w:rPr>
                <w:rFonts w:eastAsia="Times New Roman" w:cs="Calibri"/>
                <w:color w:val="000000"/>
              </w:rPr>
            </w:pPr>
            <w:r w:rsidRPr="00B14994">
              <w:rPr>
                <w:rFonts w:eastAsia="Times New Roman" w:cs="Calibri"/>
                <w:color w:val="000000"/>
              </w:rPr>
              <w:t>5 (ne obstaja)</w:t>
            </w:r>
          </w:p>
        </w:tc>
        <w:tc>
          <w:tcPr>
            <w:tcW w:w="1018" w:type="pct"/>
            <w:tcBorders>
              <w:top w:val="nil"/>
              <w:left w:val="nil"/>
              <w:bottom w:val="single" w:sz="8" w:space="0" w:color="auto"/>
              <w:right w:val="single" w:sz="8" w:space="0" w:color="auto"/>
            </w:tcBorders>
            <w:shd w:val="clear" w:color="000000" w:fill="FFCC00"/>
            <w:vAlign w:val="center"/>
          </w:tcPr>
          <w:p w14:paraId="3B936B2E"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4</w:t>
            </w:r>
          </w:p>
        </w:tc>
        <w:tc>
          <w:tcPr>
            <w:tcW w:w="705" w:type="pct"/>
            <w:tcBorders>
              <w:top w:val="nil"/>
              <w:left w:val="nil"/>
              <w:bottom w:val="single" w:sz="8" w:space="0" w:color="auto"/>
              <w:right w:val="single" w:sz="8" w:space="0" w:color="auto"/>
            </w:tcBorders>
            <w:shd w:val="clear" w:color="000000" w:fill="FFCC00"/>
            <w:vAlign w:val="center"/>
          </w:tcPr>
          <w:p w14:paraId="21839DDA"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4</w:t>
            </w:r>
          </w:p>
        </w:tc>
        <w:tc>
          <w:tcPr>
            <w:tcW w:w="626" w:type="pct"/>
            <w:tcBorders>
              <w:top w:val="nil"/>
              <w:left w:val="nil"/>
              <w:bottom w:val="single" w:sz="8" w:space="0" w:color="auto"/>
              <w:right w:val="single" w:sz="8" w:space="0" w:color="auto"/>
            </w:tcBorders>
            <w:shd w:val="clear" w:color="000000" w:fill="FFCC00"/>
            <w:vAlign w:val="center"/>
          </w:tcPr>
          <w:p w14:paraId="514B7B60"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4</w:t>
            </w:r>
          </w:p>
        </w:tc>
        <w:tc>
          <w:tcPr>
            <w:tcW w:w="553" w:type="pct"/>
            <w:tcBorders>
              <w:top w:val="nil"/>
              <w:left w:val="nil"/>
              <w:bottom w:val="single" w:sz="8" w:space="0" w:color="auto"/>
              <w:right w:val="single" w:sz="8" w:space="0" w:color="auto"/>
            </w:tcBorders>
            <w:shd w:val="clear" w:color="000000" w:fill="FF3F00"/>
            <w:vAlign w:val="center"/>
          </w:tcPr>
          <w:p w14:paraId="57C90124"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5</w:t>
            </w:r>
          </w:p>
        </w:tc>
        <w:tc>
          <w:tcPr>
            <w:tcW w:w="772" w:type="pct"/>
            <w:tcBorders>
              <w:top w:val="nil"/>
              <w:left w:val="nil"/>
              <w:bottom w:val="single" w:sz="8" w:space="0" w:color="auto"/>
              <w:right w:val="single" w:sz="8" w:space="0" w:color="auto"/>
            </w:tcBorders>
            <w:shd w:val="clear" w:color="000000" w:fill="FF3F00"/>
            <w:vAlign w:val="center"/>
          </w:tcPr>
          <w:p w14:paraId="553DB82A" w14:textId="77777777" w:rsidR="00766373" w:rsidRPr="00B14994" w:rsidRDefault="00766373" w:rsidP="00766373">
            <w:pPr>
              <w:spacing w:after="0" w:line="240" w:lineRule="auto"/>
              <w:jc w:val="center"/>
              <w:rPr>
                <w:rFonts w:eastAsia="Times New Roman" w:cs="Calibri"/>
                <w:color w:val="000000"/>
              </w:rPr>
            </w:pPr>
            <w:r>
              <w:rPr>
                <w:rFonts w:eastAsia="Times New Roman" w:cs="Calibri"/>
                <w:color w:val="000000"/>
              </w:rPr>
              <w:t>5</w:t>
            </w:r>
          </w:p>
        </w:tc>
      </w:tr>
      <w:tr w:rsidR="00766373" w:rsidRPr="00B14994" w14:paraId="26D01DA7" w14:textId="77777777" w:rsidTr="00766373">
        <w:trPr>
          <w:trHeight w:val="315"/>
        </w:trPr>
        <w:tc>
          <w:tcPr>
            <w:tcW w:w="360" w:type="pct"/>
            <w:tcBorders>
              <w:top w:val="nil"/>
              <w:left w:val="nil"/>
              <w:bottom w:val="nil"/>
              <w:right w:val="nil"/>
            </w:tcBorders>
            <w:shd w:val="clear" w:color="auto" w:fill="auto"/>
            <w:noWrap/>
            <w:vAlign w:val="center"/>
            <w:hideMark/>
          </w:tcPr>
          <w:p w14:paraId="1057682B" w14:textId="77777777" w:rsidR="00766373" w:rsidRPr="00B14994" w:rsidRDefault="00766373" w:rsidP="00766373">
            <w:pPr>
              <w:spacing w:after="0" w:line="240" w:lineRule="auto"/>
              <w:jc w:val="center"/>
              <w:rPr>
                <w:rFonts w:eastAsia="Times New Roman" w:cs="Calibri"/>
                <w:color w:val="000000"/>
              </w:rPr>
            </w:pPr>
          </w:p>
        </w:tc>
        <w:tc>
          <w:tcPr>
            <w:tcW w:w="966" w:type="pct"/>
            <w:tcBorders>
              <w:top w:val="nil"/>
              <w:left w:val="nil"/>
              <w:bottom w:val="nil"/>
              <w:right w:val="nil"/>
            </w:tcBorders>
            <w:shd w:val="clear" w:color="auto" w:fill="auto"/>
            <w:noWrap/>
            <w:vAlign w:val="bottom"/>
            <w:hideMark/>
          </w:tcPr>
          <w:p w14:paraId="0443FBA3" w14:textId="77777777" w:rsidR="00766373" w:rsidRPr="00B14994" w:rsidRDefault="00766373" w:rsidP="00766373">
            <w:pPr>
              <w:spacing w:after="0" w:line="240" w:lineRule="auto"/>
              <w:rPr>
                <w:rFonts w:ascii="Times New Roman" w:eastAsia="Times New Roman" w:hAnsi="Times New Roman" w:cs="Times New Roman"/>
                <w:sz w:val="20"/>
                <w:szCs w:val="20"/>
              </w:rPr>
            </w:pPr>
          </w:p>
        </w:tc>
        <w:tc>
          <w:tcPr>
            <w:tcW w:w="1018" w:type="pct"/>
            <w:tcBorders>
              <w:top w:val="nil"/>
              <w:left w:val="nil"/>
              <w:bottom w:val="nil"/>
              <w:right w:val="nil"/>
            </w:tcBorders>
            <w:shd w:val="clear" w:color="auto" w:fill="auto"/>
            <w:noWrap/>
            <w:vAlign w:val="bottom"/>
            <w:hideMark/>
          </w:tcPr>
          <w:p w14:paraId="3F1950AA" w14:textId="77777777" w:rsidR="00766373" w:rsidRPr="00B14994" w:rsidRDefault="00766373" w:rsidP="00766373">
            <w:pPr>
              <w:spacing w:after="0" w:line="240" w:lineRule="auto"/>
              <w:rPr>
                <w:rFonts w:ascii="Times New Roman" w:eastAsia="Times New Roman" w:hAnsi="Times New Roman" w:cs="Times New Roman"/>
                <w:sz w:val="20"/>
                <w:szCs w:val="20"/>
              </w:rPr>
            </w:pPr>
          </w:p>
        </w:tc>
        <w:tc>
          <w:tcPr>
            <w:tcW w:w="705" w:type="pct"/>
            <w:tcBorders>
              <w:top w:val="nil"/>
              <w:left w:val="nil"/>
              <w:bottom w:val="nil"/>
              <w:right w:val="nil"/>
            </w:tcBorders>
            <w:shd w:val="clear" w:color="auto" w:fill="auto"/>
            <w:noWrap/>
            <w:vAlign w:val="bottom"/>
            <w:hideMark/>
          </w:tcPr>
          <w:p w14:paraId="4938694B" w14:textId="77777777" w:rsidR="00766373" w:rsidRPr="00B14994" w:rsidRDefault="00766373" w:rsidP="00766373">
            <w:pPr>
              <w:spacing w:after="0" w:line="240" w:lineRule="auto"/>
              <w:rPr>
                <w:rFonts w:ascii="Times New Roman" w:eastAsia="Times New Roman" w:hAnsi="Times New Roman" w:cs="Times New Roman"/>
                <w:sz w:val="20"/>
                <w:szCs w:val="20"/>
              </w:rPr>
            </w:pPr>
          </w:p>
        </w:tc>
        <w:tc>
          <w:tcPr>
            <w:tcW w:w="626" w:type="pct"/>
            <w:tcBorders>
              <w:top w:val="nil"/>
              <w:left w:val="nil"/>
              <w:bottom w:val="nil"/>
              <w:right w:val="nil"/>
            </w:tcBorders>
            <w:shd w:val="clear" w:color="auto" w:fill="auto"/>
            <w:noWrap/>
            <w:vAlign w:val="bottom"/>
            <w:hideMark/>
          </w:tcPr>
          <w:p w14:paraId="142C2C6E" w14:textId="77777777" w:rsidR="00766373" w:rsidRPr="00B14994" w:rsidRDefault="00766373" w:rsidP="00766373">
            <w:pPr>
              <w:spacing w:after="0" w:line="240" w:lineRule="auto"/>
              <w:rPr>
                <w:rFonts w:ascii="Times New Roman" w:eastAsia="Times New Roman" w:hAnsi="Times New Roman" w:cs="Times New Roman"/>
                <w:sz w:val="20"/>
                <w:szCs w:val="20"/>
              </w:rPr>
            </w:pPr>
          </w:p>
        </w:tc>
        <w:tc>
          <w:tcPr>
            <w:tcW w:w="553" w:type="pct"/>
            <w:tcBorders>
              <w:top w:val="nil"/>
              <w:left w:val="nil"/>
              <w:bottom w:val="nil"/>
              <w:right w:val="nil"/>
            </w:tcBorders>
            <w:shd w:val="clear" w:color="auto" w:fill="auto"/>
            <w:noWrap/>
            <w:vAlign w:val="bottom"/>
            <w:hideMark/>
          </w:tcPr>
          <w:p w14:paraId="7DB124B1" w14:textId="77777777" w:rsidR="00766373" w:rsidRPr="00B14994" w:rsidRDefault="00766373" w:rsidP="00766373">
            <w:pPr>
              <w:spacing w:after="0" w:line="240" w:lineRule="auto"/>
              <w:rPr>
                <w:rFonts w:ascii="Times New Roman" w:eastAsia="Times New Roman" w:hAnsi="Times New Roman" w:cs="Times New Roman"/>
                <w:sz w:val="20"/>
                <w:szCs w:val="20"/>
              </w:rPr>
            </w:pPr>
          </w:p>
        </w:tc>
        <w:tc>
          <w:tcPr>
            <w:tcW w:w="772" w:type="pct"/>
            <w:tcBorders>
              <w:top w:val="nil"/>
              <w:left w:val="nil"/>
              <w:bottom w:val="nil"/>
              <w:right w:val="nil"/>
            </w:tcBorders>
            <w:shd w:val="clear" w:color="auto" w:fill="auto"/>
            <w:noWrap/>
            <w:vAlign w:val="bottom"/>
            <w:hideMark/>
          </w:tcPr>
          <w:p w14:paraId="0FD98500" w14:textId="77777777" w:rsidR="00766373" w:rsidRPr="00B14994" w:rsidRDefault="00766373" w:rsidP="00766373">
            <w:pPr>
              <w:spacing w:after="0" w:line="240" w:lineRule="auto"/>
              <w:rPr>
                <w:rFonts w:ascii="Times New Roman" w:eastAsia="Times New Roman" w:hAnsi="Times New Roman" w:cs="Times New Roman"/>
                <w:sz w:val="20"/>
                <w:szCs w:val="20"/>
              </w:rPr>
            </w:pPr>
          </w:p>
        </w:tc>
      </w:tr>
      <w:tr w:rsidR="00766373" w:rsidRPr="00B14994" w14:paraId="05FAE752" w14:textId="77777777" w:rsidTr="00766373">
        <w:trPr>
          <w:trHeight w:val="330"/>
        </w:trPr>
        <w:tc>
          <w:tcPr>
            <w:tcW w:w="1326"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90E628B" w14:textId="77777777" w:rsidR="00766373" w:rsidRPr="00B14994" w:rsidRDefault="00766373" w:rsidP="00766373">
            <w:pPr>
              <w:spacing w:after="0" w:line="240" w:lineRule="auto"/>
              <w:jc w:val="center"/>
              <w:rPr>
                <w:rFonts w:eastAsia="Times New Roman" w:cs="Calibri"/>
                <w:color w:val="000000"/>
              </w:rPr>
            </w:pPr>
            <w:r w:rsidRPr="00B14994">
              <w:rPr>
                <w:rFonts w:eastAsia="Times New Roman" w:cs="Calibri"/>
                <w:color w:val="000000"/>
              </w:rPr>
              <w:t>RANLJIVOST</w:t>
            </w:r>
          </w:p>
        </w:tc>
        <w:tc>
          <w:tcPr>
            <w:tcW w:w="1018" w:type="pct"/>
            <w:tcBorders>
              <w:top w:val="single" w:sz="8" w:space="0" w:color="auto"/>
              <w:left w:val="nil"/>
              <w:bottom w:val="nil"/>
              <w:right w:val="single" w:sz="8" w:space="0" w:color="auto"/>
            </w:tcBorders>
            <w:shd w:val="clear" w:color="000000" w:fill="7FE300"/>
            <w:vAlign w:val="center"/>
            <w:hideMark/>
          </w:tcPr>
          <w:p w14:paraId="57E71DED" w14:textId="77777777" w:rsidR="00766373" w:rsidRPr="00B14994" w:rsidRDefault="00766373" w:rsidP="00766373">
            <w:pPr>
              <w:spacing w:after="0" w:line="240" w:lineRule="auto"/>
              <w:jc w:val="center"/>
              <w:rPr>
                <w:rFonts w:eastAsia="Times New Roman" w:cs="Calibri"/>
                <w:color w:val="000000"/>
              </w:rPr>
            </w:pPr>
            <w:r w:rsidRPr="00B14994">
              <w:rPr>
                <w:rFonts w:eastAsia="Times New Roman" w:cs="Calibri"/>
                <w:color w:val="000000"/>
              </w:rPr>
              <w:t>1</w:t>
            </w:r>
          </w:p>
        </w:tc>
        <w:tc>
          <w:tcPr>
            <w:tcW w:w="705" w:type="pct"/>
            <w:tcBorders>
              <w:top w:val="single" w:sz="8" w:space="0" w:color="auto"/>
              <w:left w:val="nil"/>
              <w:bottom w:val="nil"/>
              <w:right w:val="single" w:sz="8" w:space="0" w:color="auto"/>
            </w:tcBorders>
            <w:shd w:val="clear" w:color="000000" w:fill="BFF100"/>
            <w:vAlign w:val="center"/>
            <w:hideMark/>
          </w:tcPr>
          <w:p w14:paraId="5873E61C" w14:textId="77777777" w:rsidR="00766373" w:rsidRPr="00B14994" w:rsidRDefault="00766373" w:rsidP="00766373">
            <w:pPr>
              <w:spacing w:after="0" w:line="240" w:lineRule="auto"/>
              <w:jc w:val="center"/>
              <w:rPr>
                <w:rFonts w:eastAsia="Times New Roman" w:cs="Calibri"/>
                <w:color w:val="000000"/>
              </w:rPr>
            </w:pPr>
            <w:r w:rsidRPr="00B14994">
              <w:rPr>
                <w:rFonts w:eastAsia="Times New Roman" w:cs="Calibri"/>
                <w:color w:val="000000"/>
              </w:rPr>
              <w:t>2</w:t>
            </w:r>
          </w:p>
        </w:tc>
        <w:tc>
          <w:tcPr>
            <w:tcW w:w="626" w:type="pct"/>
            <w:tcBorders>
              <w:top w:val="single" w:sz="8" w:space="0" w:color="auto"/>
              <w:left w:val="nil"/>
              <w:bottom w:val="nil"/>
              <w:right w:val="single" w:sz="8" w:space="0" w:color="auto"/>
            </w:tcBorders>
            <w:shd w:val="clear" w:color="000000" w:fill="FFFF00"/>
            <w:vAlign w:val="center"/>
            <w:hideMark/>
          </w:tcPr>
          <w:p w14:paraId="714FB847" w14:textId="77777777" w:rsidR="00766373" w:rsidRPr="00B14994" w:rsidRDefault="00766373" w:rsidP="00766373">
            <w:pPr>
              <w:spacing w:after="0" w:line="240" w:lineRule="auto"/>
              <w:jc w:val="center"/>
              <w:rPr>
                <w:rFonts w:eastAsia="Times New Roman" w:cs="Calibri"/>
                <w:color w:val="000000"/>
              </w:rPr>
            </w:pPr>
            <w:r w:rsidRPr="00B14994">
              <w:rPr>
                <w:rFonts w:eastAsia="Times New Roman" w:cs="Calibri"/>
                <w:color w:val="000000"/>
              </w:rPr>
              <w:t>3</w:t>
            </w:r>
          </w:p>
        </w:tc>
        <w:tc>
          <w:tcPr>
            <w:tcW w:w="553" w:type="pct"/>
            <w:tcBorders>
              <w:top w:val="single" w:sz="8" w:space="0" w:color="auto"/>
              <w:left w:val="nil"/>
              <w:bottom w:val="nil"/>
              <w:right w:val="single" w:sz="8" w:space="0" w:color="auto"/>
            </w:tcBorders>
            <w:shd w:val="clear" w:color="000000" w:fill="FFCC00"/>
            <w:vAlign w:val="center"/>
            <w:hideMark/>
          </w:tcPr>
          <w:p w14:paraId="1A5D8284" w14:textId="77777777" w:rsidR="00766373" w:rsidRPr="00B14994" w:rsidRDefault="00766373" w:rsidP="00766373">
            <w:pPr>
              <w:spacing w:after="0" w:line="240" w:lineRule="auto"/>
              <w:jc w:val="center"/>
              <w:rPr>
                <w:rFonts w:eastAsia="Times New Roman" w:cs="Calibri"/>
                <w:color w:val="000000"/>
              </w:rPr>
            </w:pPr>
            <w:r w:rsidRPr="00B14994">
              <w:rPr>
                <w:rFonts w:eastAsia="Times New Roman" w:cs="Calibri"/>
                <w:color w:val="000000"/>
              </w:rPr>
              <w:t>4</w:t>
            </w:r>
          </w:p>
        </w:tc>
        <w:tc>
          <w:tcPr>
            <w:tcW w:w="772" w:type="pct"/>
            <w:tcBorders>
              <w:top w:val="single" w:sz="8" w:space="0" w:color="auto"/>
              <w:left w:val="nil"/>
              <w:bottom w:val="nil"/>
              <w:right w:val="single" w:sz="8" w:space="0" w:color="auto"/>
            </w:tcBorders>
            <w:shd w:val="clear" w:color="000000" w:fill="FF3F00"/>
            <w:vAlign w:val="center"/>
            <w:hideMark/>
          </w:tcPr>
          <w:p w14:paraId="1064CC36" w14:textId="77777777" w:rsidR="00766373" w:rsidRPr="00B14994" w:rsidRDefault="00766373" w:rsidP="00766373">
            <w:pPr>
              <w:spacing w:after="0" w:line="240" w:lineRule="auto"/>
              <w:jc w:val="center"/>
              <w:rPr>
                <w:rFonts w:eastAsia="Times New Roman" w:cs="Calibri"/>
                <w:color w:val="000000"/>
              </w:rPr>
            </w:pPr>
            <w:r w:rsidRPr="00B14994">
              <w:rPr>
                <w:rFonts w:eastAsia="Times New Roman" w:cs="Calibri"/>
                <w:color w:val="000000"/>
              </w:rPr>
              <w:t>5</w:t>
            </w:r>
          </w:p>
        </w:tc>
      </w:tr>
      <w:tr w:rsidR="00766373" w:rsidRPr="00B14994" w14:paraId="0D50E15A" w14:textId="77777777" w:rsidTr="00766373">
        <w:trPr>
          <w:trHeight w:val="345"/>
        </w:trPr>
        <w:tc>
          <w:tcPr>
            <w:tcW w:w="1326" w:type="pct"/>
            <w:gridSpan w:val="2"/>
            <w:vMerge/>
            <w:tcBorders>
              <w:top w:val="single" w:sz="8" w:space="0" w:color="auto"/>
              <w:left w:val="single" w:sz="8" w:space="0" w:color="auto"/>
              <w:bottom w:val="single" w:sz="8" w:space="0" w:color="000000"/>
              <w:right w:val="single" w:sz="8" w:space="0" w:color="000000"/>
            </w:tcBorders>
            <w:vAlign w:val="center"/>
            <w:hideMark/>
          </w:tcPr>
          <w:p w14:paraId="0588F502" w14:textId="77777777" w:rsidR="00766373" w:rsidRPr="00B14994" w:rsidRDefault="00766373" w:rsidP="00766373">
            <w:pPr>
              <w:spacing w:after="0" w:line="240" w:lineRule="auto"/>
              <w:rPr>
                <w:rFonts w:eastAsia="Times New Roman" w:cs="Calibri"/>
                <w:color w:val="000000"/>
              </w:rPr>
            </w:pPr>
          </w:p>
        </w:tc>
        <w:tc>
          <w:tcPr>
            <w:tcW w:w="1018" w:type="pct"/>
            <w:tcBorders>
              <w:top w:val="nil"/>
              <w:left w:val="nil"/>
              <w:bottom w:val="single" w:sz="8" w:space="0" w:color="auto"/>
              <w:right w:val="single" w:sz="8" w:space="0" w:color="auto"/>
            </w:tcBorders>
            <w:shd w:val="clear" w:color="000000" w:fill="7FE300"/>
            <w:vAlign w:val="center"/>
            <w:hideMark/>
          </w:tcPr>
          <w:p w14:paraId="722BF463" w14:textId="77777777" w:rsidR="00766373" w:rsidRPr="00B14994" w:rsidRDefault="00766373" w:rsidP="00766373">
            <w:pPr>
              <w:spacing w:after="0" w:line="240" w:lineRule="auto"/>
              <w:jc w:val="center"/>
              <w:rPr>
                <w:rFonts w:eastAsia="Times New Roman" w:cs="Calibri"/>
                <w:color w:val="000000"/>
              </w:rPr>
            </w:pPr>
            <w:r w:rsidRPr="00B14994">
              <w:rPr>
                <w:rFonts w:eastAsia="Times New Roman" w:cs="Calibri"/>
                <w:color w:val="000000"/>
              </w:rPr>
              <w:t>zanemarljiva</w:t>
            </w:r>
          </w:p>
        </w:tc>
        <w:tc>
          <w:tcPr>
            <w:tcW w:w="705" w:type="pct"/>
            <w:tcBorders>
              <w:top w:val="nil"/>
              <w:left w:val="nil"/>
              <w:bottom w:val="single" w:sz="8" w:space="0" w:color="auto"/>
              <w:right w:val="single" w:sz="8" w:space="0" w:color="auto"/>
            </w:tcBorders>
            <w:shd w:val="clear" w:color="000000" w:fill="BFF100"/>
            <w:vAlign w:val="center"/>
            <w:hideMark/>
          </w:tcPr>
          <w:p w14:paraId="1B4B6FAE" w14:textId="77777777" w:rsidR="00766373" w:rsidRPr="00B14994" w:rsidRDefault="00766373" w:rsidP="00766373">
            <w:pPr>
              <w:spacing w:after="0" w:line="240" w:lineRule="auto"/>
              <w:jc w:val="center"/>
              <w:rPr>
                <w:rFonts w:eastAsia="Times New Roman" w:cs="Calibri"/>
                <w:color w:val="000000"/>
              </w:rPr>
            </w:pPr>
            <w:r w:rsidRPr="00B14994">
              <w:rPr>
                <w:rFonts w:eastAsia="Times New Roman" w:cs="Calibri"/>
                <w:color w:val="000000"/>
              </w:rPr>
              <w:t>majhna</w:t>
            </w:r>
          </w:p>
        </w:tc>
        <w:tc>
          <w:tcPr>
            <w:tcW w:w="626" w:type="pct"/>
            <w:tcBorders>
              <w:top w:val="nil"/>
              <w:left w:val="nil"/>
              <w:bottom w:val="single" w:sz="8" w:space="0" w:color="auto"/>
              <w:right w:val="single" w:sz="8" w:space="0" w:color="auto"/>
            </w:tcBorders>
            <w:shd w:val="clear" w:color="000000" w:fill="FFFF00"/>
            <w:vAlign w:val="center"/>
            <w:hideMark/>
          </w:tcPr>
          <w:p w14:paraId="38082779" w14:textId="77777777" w:rsidR="00766373" w:rsidRPr="00B14994" w:rsidRDefault="00766373" w:rsidP="00766373">
            <w:pPr>
              <w:spacing w:after="0" w:line="240" w:lineRule="auto"/>
              <w:jc w:val="center"/>
              <w:rPr>
                <w:rFonts w:eastAsia="Times New Roman" w:cs="Calibri"/>
                <w:color w:val="000000"/>
              </w:rPr>
            </w:pPr>
            <w:r w:rsidRPr="00B14994">
              <w:rPr>
                <w:rFonts w:eastAsia="Times New Roman" w:cs="Calibri"/>
                <w:color w:val="000000"/>
              </w:rPr>
              <w:t>zmerna</w:t>
            </w:r>
          </w:p>
        </w:tc>
        <w:tc>
          <w:tcPr>
            <w:tcW w:w="553" w:type="pct"/>
            <w:tcBorders>
              <w:top w:val="nil"/>
              <w:left w:val="nil"/>
              <w:bottom w:val="single" w:sz="8" w:space="0" w:color="auto"/>
              <w:right w:val="single" w:sz="8" w:space="0" w:color="auto"/>
            </w:tcBorders>
            <w:shd w:val="clear" w:color="000000" w:fill="FFCC00"/>
            <w:vAlign w:val="center"/>
            <w:hideMark/>
          </w:tcPr>
          <w:p w14:paraId="2BDF2ED1" w14:textId="77777777" w:rsidR="00766373" w:rsidRPr="00B14994" w:rsidRDefault="00766373" w:rsidP="00766373">
            <w:pPr>
              <w:spacing w:after="0" w:line="240" w:lineRule="auto"/>
              <w:jc w:val="center"/>
              <w:rPr>
                <w:rFonts w:eastAsia="Times New Roman" w:cs="Calibri"/>
                <w:color w:val="000000"/>
              </w:rPr>
            </w:pPr>
            <w:r w:rsidRPr="00B14994">
              <w:rPr>
                <w:rFonts w:eastAsia="Times New Roman" w:cs="Calibri"/>
                <w:color w:val="000000"/>
              </w:rPr>
              <w:t>velika</w:t>
            </w:r>
          </w:p>
        </w:tc>
        <w:tc>
          <w:tcPr>
            <w:tcW w:w="772" w:type="pct"/>
            <w:tcBorders>
              <w:top w:val="nil"/>
              <w:left w:val="nil"/>
              <w:bottom w:val="single" w:sz="8" w:space="0" w:color="auto"/>
              <w:right w:val="single" w:sz="8" w:space="0" w:color="auto"/>
            </w:tcBorders>
            <w:shd w:val="clear" w:color="000000" w:fill="FF3F00"/>
            <w:vAlign w:val="center"/>
            <w:hideMark/>
          </w:tcPr>
          <w:p w14:paraId="2C13C3F2" w14:textId="77777777" w:rsidR="00766373" w:rsidRPr="00B14994" w:rsidRDefault="00766373" w:rsidP="00766373">
            <w:pPr>
              <w:spacing w:after="0" w:line="240" w:lineRule="auto"/>
              <w:jc w:val="center"/>
              <w:rPr>
                <w:rFonts w:eastAsia="Times New Roman" w:cs="Calibri"/>
                <w:color w:val="000000"/>
              </w:rPr>
            </w:pPr>
            <w:r w:rsidRPr="00B14994">
              <w:rPr>
                <w:rFonts w:eastAsia="Times New Roman" w:cs="Calibri"/>
                <w:color w:val="000000"/>
              </w:rPr>
              <w:t>zelo velika</w:t>
            </w:r>
          </w:p>
        </w:tc>
      </w:tr>
    </w:tbl>
    <w:p w14:paraId="72E1E347" w14:textId="77777777" w:rsidR="00766373" w:rsidRPr="00B14994" w:rsidRDefault="00766373" w:rsidP="00766373"/>
    <w:p w14:paraId="5ED913BA" w14:textId="57431F3A" w:rsidR="00766373" w:rsidRDefault="00766373" w:rsidP="00766373">
      <w:r w:rsidRPr="00493B77">
        <w:t>Pri kvantitativnem določanju lahko posameznim kazalnikov vpliva ali sposobnosti prilagajanja določimo utež, ki je odraz pomembnosti oziroma doprinosa k skupni oceni ranljivosti sektorja (ali segmenta sektorja) na podnebne spremembe (</w:t>
      </w:r>
      <w:r w:rsidR="008334B2">
        <w:fldChar w:fldCharType="begin"/>
      </w:r>
      <w:r w:rsidR="008334B2">
        <w:instrText xml:space="preserve"> REF _Ref81809459 \h </w:instrText>
      </w:r>
      <w:r w:rsidR="008334B2">
        <w:fldChar w:fldCharType="separate"/>
      </w:r>
      <w:r w:rsidR="008334B2">
        <w:t xml:space="preserve">Slika </w:t>
      </w:r>
      <w:r w:rsidR="008334B2">
        <w:rPr>
          <w:noProof/>
        </w:rPr>
        <w:t>5</w:t>
      </w:r>
      <w:r w:rsidR="008334B2">
        <w:t>.</w:t>
      </w:r>
      <w:r w:rsidR="008334B2">
        <w:rPr>
          <w:noProof/>
        </w:rPr>
        <w:t>2</w:t>
      </w:r>
      <w:r w:rsidR="008334B2">
        <w:fldChar w:fldCharType="end"/>
      </w:r>
      <w:r w:rsidRPr="00493B77">
        <w:t xml:space="preserve">). Velikost uteži je kazalnikom pripisana glede na strokovno znanje avtorjev poročila posameznega sektorja in naravnih danosti ali </w:t>
      </w:r>
      <w:proofErr w:type="spellStart"/>
      <w:r w:rsidRPr="00493B77">
        <w:t>socio</w:t>
      </w:r>
      <w:proofErr w:type="spellEnd"/>
      <w:r w:rsidRPr="00493B77">
        <w:noBreakHyphen/>
        <w:t>ekonomskih razmer preiskovanega območja ter usklajena z deležniki.</w:t>
      </w:r>
    </w:p>
    <w:p w14:paraId="5A46802E" w14:textId="77777777" w:rsidR="008334B2" w:rsidRDefault="008334B2" w:rsidP="008334B2">
      <w:pPr>
        <w:pStyle w:val="Default"/>
        <w:keepNext/>
        <w:spacing w:line="259" w:lineRule="auto"/>
        <w:jc w:val="center"/>
      </w:pPr>
      <w:r>
        <w:rPr>
          <w:rFonts w:eastAsiaTheme="majorEastAsia" w:cstheme="majorBidi"/>
          <w:b/>
          <w:bCs/>
          <w:noProof/>
          <w:color w:val="2F5496" w:themeColor="accent1" w:themeShade="BF"/>
          <w:sz w:val="28"/>
          <w:szCs w:val="28"/>
          <w:lang w:eastAsia="sl-SI"/>
        </w:rPr>
        <w:lastRenderedPageBreak/>
        <w:drawing>
          <wp:inline distT="0" distB="0" distL="0" distR="0" wp14:anchorId="7116DA51" wp14:editId="02FD2EAA">
            <wp:extent cx="5762625" cy="2743200"/>
            <wp:effectExtent l="0" t="0" r="9525" b="0"/>
            <wp:docPr id="898580695" name="Picture 898580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580695" name="Picture 898580695"/>
                    <pic:cNvPicPr>
                      <a:picLocks noChangeAspect="1"/>
                    </pic:cNvPicPr>
                  </pic:nvPicPr>
                  <pic:blipFill>
                    <a:blip r:embed="rId73" cstate="email">
                      <a:extLst>
                        <a:ext uri="{28A0092B-C50C-407E-A947-70E740481C1C}">
                          <a14:useLocalDpi xmlns:a14="http://schemas.microsoft.com/office/drawing/2010/main" val="0"/>
                        </a:ext>
                      </a:extLst>
                    </a:blip>
                    <a:srcRect/>
                    <a:stretch>
                      <a:fillRect/>
                    </a:stretch>
                  </pic:blipFill>
                  <pic:spPr bwMode="auto">
                    <a:xfrm>
                      <a:off x="0" y="0"/>
                      <a:ext cx="5762625" cy="2743200"/>
                    </a:xfrm>
                    <a:prstGeom prst="rect">
                      <a:avLst/>
                    </a:prstGeom>
                    <a:noFill/>
                    <a:ln>
                      <a:noFill/>
                    </a:ln>
                  </pic:spPr>
                </pic:pic>
              </a:graphicData>
            </a:graphic>
          </wp:inline>
        </w:drawing>
      </w:r>
    </w:p>
    <w:p w14:paraId="1E516AB2" w14:textId="1133EECE" w:rsidR="00766373" w:rsidRDefault="008334B2" w:rsidP="008334B2">
      <w:pPr>
        <w:pStyle w:val="Napis"/>
      </w:pPr>
      <w:bookmarkStart w:id="95" w:name="_Ref81809459"/>
      <w:bookmarkStart w:id="96" w:name="_Toc97026850"/>
      <w:r>
        <w:t xml:space="preserve">Slika </w:t>
      </w:r>
      <w:r>
        <w:fldChar w:fldCharType="begin"/>
      </w:r>
      <w:r>
        <w:instrText xml:space="preserve"> STYLEREF 1 \s </w:instrText>
      </w:r>
      <w:r>
        <w:fldChar w:fldCharType="separate"/>
      </w:r>
      <w:r>
        <w:rPr>
          <w:noProof/>
        </w:rPr>
        <w:t>5</w:t>
      </w:r>
      <w:r>
        <w:fldChar w:fldCharType="end"/>
      </w:r>
      <w:r>
        <w:t>.</w:t>
      </w:r>
      <w:r>
        <w:fldChar w:fldCharType="begin"/>
      </w:r>
      <w:r>
        <w:instrText xml:space="preserve"> SEQ Slika \* ARABIC \s 1 </w:instrText>
      </w:r>
      <w:r>
        <w:fldChar w:fldCharType="separate"/>
      </w:r>
      <w:r>
        <w:rPr>
          <w:noProof/>
        </w:rPr>
        <w:t>2</w:t>
      </w:r>
      <w:r>
        <w:fldChar w:fldCharType="end"/>
      </w:r>
      <w:bookmarkEnd w:id="95"/>
      <w:r w:rsidRPr="002C0B0E">
        <w:t>: Shematski prikaz določanja ranljivosti po metodi z utežmi.</w:t>
      </w:r>
      <w:bookmarkEnd w:id="96"/>
    </w:p>
    <w:p w14:paraId="3476F792" w14:textId="77777777" w:rsidR="00766373" w:rsidRPr="00766373" w:rsidRDefault="00766373" w:rsidP="00766373">
      <w:pPr>
        <w:pStyle w:val="Naslov2"/>
      </w:pPr>
      <w:bookmarkStart w:id="97" w:name="_Toc54953813"/>
      <w:bookmarkStart w:id="98" w:name="_Toc97026743"/>
      <w:r w:rsidRPr="00E862E4">
        <w:t>Metodologija</w:t>
      </w:r>
      <w:r w:rsidRPr="000B1BD8">
        <w:t xml:space="preserve"> </w:t>
      </w:r>
      <w:r>
        <w:t>o</w:t>
      </w:r>
      <w:r w:rsidRPr="000B1BD8">
        <w:t>cene tveganja</w:t>
      </w:r>
      <w:bookmarkEnd w:id="97"/>
      <w:bookmarkEnd w:id="98"/>
    </w:p>
    <w:p w14:paraId="53046BC3" w14:textId="4BF0A8FC" w:rsidR="00766373" w:rsidRPr="000B1BD8" w:rsidRDefault="00766373" w:rsidP="00766373">
      <w:pPr>
        <w:rPr>
          <w:rFonts w:cs="Calibri"/>
          <w:b/>
          <w:bCs/>
          <w:color w:val="000000"/>
        </w:rPr>
      </w:pPr>
      <w:r w:rsidRPr="000B1BD8">
        <w:rPr>
          <w:b/>
          <w:bCs/>
        </w:rPr>
        <w:t>Ocena tveganja</w:t>
      </w:r>
      <w:r w:rsidRPr="000B1BD8">
        <w:t xml:space="preserve"> je podana kot sprememba ranljivosti</w:t>
      </w:r>
      <w:r>
        <w:t xml:space="preserve"> na podnebne spremembe</w:t>
      </w:r>
      <w:r w:rsidRPr="000B1BD8">
        <w:t xml:space="preserve"> v prihodnosti glede na </w:t>
      </w:r>
      <w:r>
        <w:t xml:space="preserve">ranljivost v referenčnem </w:t>
      </w:r>
      <w:r w:rsidRPr="000B1BD8">
        <w:t>obdob</w:t>
      </w:r>
      <w:r>
        <w:t>ju.</w:t>
      </w:r>
      <w:r w:rsidRPr="000B1BD8">
        <w:t xml:space="preserve"> Upošteva spremembe izpostavljenosti, ki so posledica podnebnih sprememb glede na referenčno obdobje 1981-2010, morebitn</w:t>
      </w:r>
      <w:r>
        <w:t>e</w:t>
      </w:r>
      <w:r w:rsidRPr="000B1BD8">
        <w:t xml:space="preserve"> sprememb</w:t>
      </w:r>
      <w:r>
        <w:t>e</w:t>
      </w:r>
      <w:r w:rsidRPr="000B1BD8">
        <w:t xml:space="preserve"> občutljivost</w:t>
      </w:r>
      <w:r>
        <w:t>i</w:t>
      </w:r>
      <w:r w:rsidRPr="000B1BD8">
        <w:t xml:space="preserve"> sektorja in sprememb</w:t>
      </w:r>
      <w:r>
        <w:t>e</w:t>
      </w:r>
      <w:r w:rsidRPr="000B1BD8">
        <w:t xml:space="preserve"> sposobnosti prilagajanja sektorja.</w:t>
      </w:r>
      <w:r w:rsidRPr="00163151">
        <w:t xml:space="preserve"> </w:t>
      </w:r>
      <w:r>
        <w:t>Gre za tveganje, ki je posledica spremenjenega podnebja v prihodnosti.</w:t>
      </w:r>
    </w:p>
    <w:p w14:paraId="6BA6FBDE" w14:textId="32CBB991" w:rsidR="00766373" w:rsidRPr="000B1BD8" w:rsidRDefault="00766373" w:rsidP="00766373">
      <w:r w:rsidRPr="000B1BD8">
        <w:t>Ocena tveganja izhaja iz analize ranljivosti na pričakovane podnebne spremembe.</w:t>
      </w:r>
      <w:r>
        <w:t xml:space="preserve"> </w:t>
      </w:r>
      <w:r w:rsidRPr="000B1BD8">
        <w:t>Tveganje je lahko tako kvalitativno kot tudi kvantitativno. Vhodni podatki za kvantitativno ocenjevanje tveganja posameznega sektorja so predhodne ocene ranljivosti, pripadajoča analiza sektorja ter analiza podnebnih sprememb.</w:t>
      </w:r>
    </w:p>
    <w:p w14:paraId="0019604C" w14:textId="2F2F66AD" w:rsidR="00766373" w:rsidRDefault="00766373" w:rsidP="00766373">
      <w:r w:rsidRPr="00E50D48">
        <w:t>Ocena tveganja se poda na podlagi ranljivosti v referenčnem obdobju in ranljivosti v prihodnosti (</w:t>
      </w:r>
      <w:r w:rsidR="008334B2">
        <w:fldChar w:fldCharType="begin"/>
      </w:r>
      <w:r w:rsidR="008334B2">
        <w:instrText xml:space="preserve"> REF _Ref81809416 \h </w:instrText>
      </w:r>
      <w:r w:rsidR="008334B2">
        <w:fldChar w:fldCharType="separate"/>
      </w:r>
      <w:r w:rsidR="008334B2">
        <w:t xml:space="preserve">Slika </w:t>
      </w:r>
      <w:r w:rsidR="008334B2">
        <w:rPr>
          <w:noProof/>
        </w:rPr>
        <w:t>5</w:t>
      </w:r>
      <w:r w:rsidR="008334B2">
        <w:t>.</w:t>
      </w:r>
      <w:r w:rsidR="008334B2">
        <w:rPr>
          <w:noProof/>
        </w:rPr>
        <w:t>3</w:t>
      </w:r>
      <w:r w:rsidR="008334B2">
        <w:fldChar w:fldCharType="end"/>
      </w:r>
      <w:r w:rsidR="008334B2">
        <w:t xml:space="preserve"> </w:t>
      </w:r>
      <w:r w:rsidRPr="00E50D48">
        <w:t>in</w:t>
      </w:r>
      <w:r>
        <w:t xml:space="preserve"> </w:t>
      </w:r>
      <w:r w:rsidR="008334B2">
        <w:fldChar w:fldCharType="begin"/>
      </w:r>
      <w:r w:rsidR="008334B2">
        <w:instrText xml:space="preserve"> REF _Ref81809377 \h </w:instrText>
      </w:r>
      <w:r w:rsidR="008334B2">
        <w:fldChar w:fldCharType="separate"/>
      </w:r>
      <w:r w:rsidR="008334B2">
        <w:t xml:space="preserve">Preglednica </w:t>
      </w:r>
      <w:r w:rsidR="008334B2">
        <w:rPr>
          <w:noProof/>
        </w:rPr>
        <w:t>5</w:t>
      </w:r>
      <w:r w:rsidR="008334B2">
        <w:t>.</w:t>
      </w:r>
      <w:r w:rsidR="008334B2">
        <w:rPr>
          <w:noProof/>
        </w:rPr>
        <w:t>2</w:t>
      </w:r>
      <w:r w:rsidR="008334B2">
        <w:fldChar w:fldCharType="end"/>
      </w:r>
      <w:r>
        <w:fldChar w:fldCharType="begin"/>
      </w:r>
      <w:r>
        <w:instrText xml:space="preserve"> REF _Ref44334280 \h </w:instrText>
      </w:r>
      <w:r>
        <w:fldChar w:fldCharType="end"/>
      </w:r>
      <w:r w:rsidRPr="00E50D48">
        <w:t>). Pri manjših ranljivostih v referenčnem obdobju na oceno tveganja bolj vpliva sprememba ranljivosti, pri večjih stopnjah ranljivosti v referenčnem obdobju pa je zelo pomemba tudi začetna ranljivost.</w:t>
      </w:r>
    </w:p>
    <w:p w14:paraId="3AF39CEF" w14:textId="77777777" w:rsidR="008334B2" w:rsidRDefault="008334B2" w:rsidP="008334B2">
      <w:pPr>
        <w:pStyle w:val="Napis"/>
        <w:keepNext/>
        <w:jc w:val="center"/>
      </w:pPr>
      <w:bookmarkStart w:id="99" w:name="_Ref44334280"/>
      <w:bookmarkStart w:id="100" w:name="_Ref81809377"/>
      <w:bookmarkStart w:id="101" w:name="_Toc44657095"/>
      <w:r>
        <w:rPr>
          <w:noProof/>
          <w:lang w:eastAsia="sl-SI"/>
        </w:rPr>
        <w:lastRenderedPageBreak/>
        <w:drawing>
          <wp:inline distT="0" distB="0" distL="0" distR="0" wp14:anchorId="758A035E" wp14:editId="51CD784E">
            <wp:extent cx="5760720" cy="2743200"/>
            <wp:effectExtent l="0" t="0" r="0" b="0"/>
            <wp:docPr id="898580698" name="Picture 898580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580698" name="Picture 898580698"/>
                    <pic:cNvPicPr>
                      <a:picLocks noChangeAspect="1"/>
                    </pic:cNvPicPr>
                  </pic:nvPicPr>
                  <pic:blipFill>
                    <a:blip r:embed="rId74" cstate="email">
                      <a:extLst>
                        <a:ext uri="{28A0092B-C50C-407E-A947-70E740481C1C}">
                          <a14:useLocalDpi xmlns:a14="http://schemas.microsoft.com/office/drawing/2010/main" val="0"/>
                        </a:ext>
                      </a:extLst>
                    </a:blip>
                    <a:srcRect/>
                    <a:stretch/>
                  </pic:blipFill>
                  <pic:spPr bwMode="auto">
                    <a:xfrm>
                      <a:off x="0" y="0"/>
                      <a:ext cx="5760720" cy="2743200"/>
                    </a:xfrm>
                    <a:prstGeom prst="rect">
                      <a:avLst/>
                    </a:prstGeom>
                    <a:noFill/>
                    <a:ln>
                      <a:noFill/>
                    </a:ln>
                  </pic:spPr>
                </pic:pic>
              </a:graphicData>
            </a:graphic>
          </wp:inline>
        </w:drawing>
      </w:r>
    </w:p>
    <w:p w14:paraId="2ED85B89" w14:textId="16D3E8FD" w:rsidR="008334B2" w:rsidRDefault="008334B2" w:rsidP="008334B2">
      <w:pPr>
        <w:pStyle w:val="Napis"/>
      </w:pPr>
      <w:bookmarkStart w:id="102" w:name="_Ref81809416"/>
      <w:bookmarkStart w:id="103" w:name="_Toc97026851"/>
      <w:r>
        <w:t xml:space="preserve">Slika </w:t>
      </w:r>
      <w:r>
        <w:fldChar w:fldCharType="begin"/>
      </w:r>
      <w:r>
        <w:instrText xml:space="preserve"> STYLEREF 1 \s </w:instrText>
      </w:r>
      <w:r>
        <w:fldChar w:fldCharType="separate"/>
      </w:r>
      <w:r>
        <w:rPr>
          <w:noProof/>
        </w:rPr>
        <w:t>5</w:t>
      </w:r>
      <w:r>
        <w:fldChar w:fldCharType="end"/>
      </w:r>
      <w:r>
        <w:t>.</w:t>
      </w:r>
      <w:r>
        <w:fldChar w:fldCharType="begin"/>
      </w:r>
      <w:r>
        <w:instrText xml:space="preserve"> SEQ Slika \* ARABIC \s 1 </w:instrText>
      </w:r>
      <w:r>
        <w:fldChar w:fldCharType="separate"/>
      </w:r>
      <w:r>
        <w:rPr>
          <w:noProof/>
        </w:rPr>
        <w:t>3</w:t>
      </w:r>
      <w:r>
        <w:fldChar w:fldCharType="end"/>
      </w:r>
      <w:bookmarkEnd w:id="102"/>
      <w:r w:rsidRPr="008B50C6">
        <w:t>: Shematski prikaz ocene tveganja.</w:t>
      </w:r>
      <w:bookmarkEnd w:id="103"/>
    </w:p>
    <w:p w14:paraId="613DEE07" w14:textId="64DE3066" w:rsidR="00766373" w:rsidRPr="00886A06" w:rsidRDefault="00766373" w:rsidP="00766373">
      <w:pPr>
        <w:pStyle w:val="Napis"/>
        <w:keepNext/>
      </w:pPr>
      <w:bookmarkStart w:id="104" w:name="_Toc97026953"/>
      <w:r>
        <w:t xml:space="preserve">Preglednica </w:t>
      </w:r>
      <w:r w:rsidR="00976D80">
        <w:fldChar w:fldCharType="begin"/>
      </w:r>
      <w:r w:rsidR="00976D80">
        <w:instrText xml:space="preserve"> STYLEREF 1 \s </w:instrText>
      </w:r>
      <w:r w:rsidR="00976D80">
        <w:fldChar w:fldCharType="separate"/>
      </w:r>
      <w:r w:rsidR="00976D80">
        <w:rPr>
          <w:noProof/>
        </w:rPr>
        <w:t>5</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2</w:t>
      </w:r>
      <w:r w:rsidR="00976D80">
        <w:fldChar w:fldCharType="end"/>
      </w:r>
      <w:bookmarkEnd w:id="99"/>
      <w:bookmarkEnd w:id="100"/>
      <w:r w:rsidRPr="000B1BD8">
        <w:t>: Metoda določanja tveganja.</w:t>
      </w:r>
      <w:bookmarkEnd w:id="101"/>
      <w:bookmarkEnd w:id="104"/>
    </w:p>
    <w:tbl>
      <w:tblPr>
        <w:tblW w:w="4935" w:type="pct"/>
        <w:tblLook w:val="04A0" w:firstRow="1" w:lastRow="0" w:firstColumn="1" w:lastColumn="0" w:noHBand="0" w:noVBand="1"/>
      </w:tblPr>
      <w:tblGrid>
        <w:gridCol w:w="894"/>
        <w:gridCol w:w="1971"/>
        <w:gridCol w:w="1758"/>
        <w:gridCol w:w="1183"/>
        <w:gridCol w:w="1177"/>
        <w:gridCol w:w="1021"/>
        <w:gridCol w:w="1489"/>
      </w:tblGrid>
      <w:tr w:rsidR="00766373" w:rsidRPr="000B1BD8" w14:paraId="66A059AE" w14:textId="77777777" w:rsidTr="00766373">
        <w:trPr>
          <w:trHeight w:val="345"/>
        </w:trPr>
        <w:tc>
          <w:tcPr>
            <w:tcW w:w="1509"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FE164B4" w14:textId="77777777" w:rsidR="00766373" w:rsidRPr="000B1BD8" w:rsidRDefault="00766373" w:rsidP="00766373">
            <w:pPr>
              <w:spacing w:after="0" w:line="240" w:lineRule="auto"/>
              <w:jc w:val="center"/>
              <w:rPr>
                <w:rFonts w:eastAsia="Times New Roman" w:cs="Calibri"/>
                <w:color w:val="000000"/>
              </w:rPr>
            </w:pPr>
            <w:r w:rsidRPr="000B1BD8">
              <w:rPr>
                <w:rFonts w:eastAsia="Times New Roman" w:cs="Calibri"/>
                <w:color w:val="000000"/>
              </w:rPr>
              <w:t> </w:t>
            </w:r>
          </w:p>
        </w:tc>
        <w:tc>
          <w:tcPr>
            <w:tcW w:w="3491" w:type="pct"/>
            <w:gridSpan w:val="5"/>
            <w:tcBorders>
              <w:top w:val="single" w:sz="8" w:space="0" w:color="auto"/>
              <w:left w:val="nil"/>
              <w:bottom w:val="single" w:sz="8" w:space="0" w:color="auto"/>
              <w:right w:val="single" w:sz="8" w:space="0" w:color="000000"/>
            </w:tcBorders>
            <w:shd w:val="clear" w:color="auto" w:fill="auto"/>
            <w:vAlign w:val="center"/>
            <w:hideMark/>
          </w:tcPr>
          <w:p w14:paraId="24E0FEEC" w14:textId="3A91BFD2" w:rsidR="00766373" w:rsidRPr="000B1BD8" w:rsidRDefault="00766373" w:rsidP="00766373">
            <w:pPr>
              <w:jc w:val="center"/>
              <w:rPr>
                <w:rFonts w:cs="Calibri"/>
                <w:color w:val="000000"/>
              </w:rPr>
            </w:pPr>
            <w:r w:rsidRPr="000B1BD8">
              <w:rPr>
                <w:rFonts w:cs="Calibri"/>
                <w:color w:val="000000"/>
              </w:rPr>
              <w:t>Ranljivost v referenčnem obdobju</w:t>
            </w:r>
          </w:p>
        </w:tc>
      </w:tr>
      <w:tr w:rsidR="00766373" w:rsidRPr="000B1BD8" w14:paraId="423C8C75" w14:textId="77777777" w:rsidTr="00766373">
        <w:trPr>
          <w:trHeight w:val="450"/>
        </w:trPr>
        <w:tc>
          <w:tcPr>
            <w:tcW w:w="1509" w:type="pct"/>
            <w:gridSpan w:val="2"/>
            <w:vMerge/>
            <w:tcBorders>
              <w:top w:val="single" w:sz="8" w:space="0" w:color="auto"/>
              <w:left w:val="single" w:sz="8" w:space="0" w:color="auto"/>
              <w:bottom w:val="single" w:sz="8" w:space="0" w:color="000000"/>
              <w:right w:val="single" w:sz="8" w:space="0" w:color="000000"/>
            </w:tcBorders>
            <w:vAlign w:val="center"/>
            <w:hideMark/>
          </w:tcPr>
          <w:p w14:paraId="309D6006" w14:textId="77777777" w:rsidR="00766373" w:rsidRPr="000B1BD8" w:rsidRDefault="00766373" w:rsidP="00766373">
            <w:pPr>
              <w:spacing w:after="0" w:line="240" w:lineRule="auto"/>
              <w:rPr>
                <w:rFonts w:eastAsia="Times New Roman" w:cs="Calibri"/>
                <w:color w:val="000000"/>
              </w:rPr>
            </w:pPr>
          </w:p>
        </w:tc>
        <w:tc>
          <w:tcPr>
            <w:tcW w:w="926" w:type="pct"/>
            <w:vMerge w:val="restart"/>
            <w:tcBorders>
              <w:top w:val="nil"/>
              <w:left w:val="single" w:sz="8" w:space="0" w:color="auto"/>
              <w:bottom w:val="single" w:sz="8" w:space="0" w:color="000000"/>
              <w:right w:val="single" w:sz="8" w:space="0" w:color="auto"/>
            </w:tcBorders>
            <w:shd w:val="clear" w:color="auto" w:fill="auto"/>
            <w:vAlign w:val="center"/>
            <w:hideMark/>
          </w:tcPr>
          <w:p w14:paraId="20798AAB" w14:textId="77777777" w:rsidR="00766373" w:rsidRPr="000B1BD8" w:rsidRDefault="00766373" w:rsidP="00766373">
            <w:pPr>
              <w:spacing w:after="0" w:line="240" w:lineRule="auto"/>
              <w:jc w:val="center"/>
              <w:rPr>
                <w:rFonts w:eastAsia="Times New Roman" w:cs="Calibri"/>
                <w:color w:val="000000"/>
              </w:rPr>
            </w:pPr>
            <w:r w:rsidRPr="000B1BD8">
              <w:rPr>
                <w:rFonts w:eastAsia="Times New Roman" w:cs="Calibri"/>
                <w:color w:val="000000"/>
              </w:rPr>
              <w:t>1 (zanemarljiva)</w:t>
            </w:r>
          </w:p>
        </w:tc>
        <w:tc>
          <w:tcPr>
            <w:tcW w:w="623" w:type="pct"/>
            <w:vMerge w:val="restart"/>
            <w:tcBorders>
              <w:top w:val="nil"/>
              <w:left w:val="single" w:sz="8" w:space="0" w:color="auto"/>
              <w:bottom w:val="single" w:sz="8" w:space="0" w:color="000000"/>
              <w:right w:val="single" w:sz="8" w:space="0" w:color="auto"/>
            </w:tcBorders>
            <w:shd w:val="clear" w:color="auto" w:fill="auto"/>
            <w:vAlign w:val="center"/>
            <w:hideMark/>
          </w:tcPr>
          <w:p w14:paraId="71C97658" w14:textId="77777777" w:rsidR="00766373" w:rsidRPr="000B1BD8" w:rsidRDefault="00766373" w:rsidP="00766373">
            <w:pPr>
              <w:spacing w:after="0" w:line="240" w:lineRule="auto"/>
              <w:jc w:val="center"/>
              <w:rPr>
                <w:rFonts w:eastAsia="Times New Roman" w:cs="Calibri"/>
                <w:color w:val="000000"/>
              </w:rPr>
            </w:pPr>
            <w:r w:rsidRPr="000B1BD8">
              <w:rPr>
                <w:rFonts w:eastAsia="Times New Roman" w:cs="Calibri"/>
                <w:color w:val="000000"/>
              </w:rPr>
              <w:t>2 (majhna)</w:t>
            </w:r>
          </w:p>
        </w:tc>
        <w:tc>
          <w:tcPr>
            <w:tcW w:w="620" w:type="pct"/>
            <w:vMerge w:val="restart"/>
            <w:tcBorders>
              <w:top w:val="nil"/>
              <w:left w:val="single" w:sz="8" w:space="0" w:color="auto"/>
              <w:bottom w:val="single" w:sz="8" w:space="0" w:color="000000"/>
              <w:right w:val="single" w:sz="8" w:space="0" w:color="auto"/>
            </w:tcBorders>
            <w:shd w:val="clear" w:color="auto" w:fill="auto"/>
            <w:vAlign w:val="center"/>
            <w:hideMark/>
          </w:tcPr>
          <w:p w14:paraId="58CDFEF6" w14:textId="77777777" w:rsidR="00766373" w:rsidRPr="000B1BD8" w:rsidRDefault="00766373" w:rsidP="00766373">
            <w:pPr>
              <w:spacing w:after="0" w:line="240" w:lineRule="auto"/>
              <w:jc w:val="center"/>
              <w:rPr>
                <w:rFonts w:eastAsia="Times New Roman" w:cs="Calibri"/>
                <w:color w:val="000000"/>
              </w:rPr>
            </w:pPr>
            <w:r w:rsidRPr="000B1BD8">
              <w:rPr>
                <w:rFonts w:eastAsia="Times New Roman" w:cs="Calibri"/>
                <w:color w:val="000000"/>
              </w:rPr>
              <w:t>3 (zmerna)</w:t>
            </w:r>
          </w:p>
        </w:tc>
        <w:tc>
          <w:tcPr>
            <w:tcW w:w="538" w:type="pct"/>
            <w:vMerge w:val="restart"/>
            <w:tcBorders>
              <w:top w:val="nil"/>
              <w:left w:val="single" w:sz="8" w:space="0" w:color="auto"/>
              <w:bottom w:val="single" w:sz="8" w:space="0" w:color="000000"/>
              <w:right w:val="single" w:sz="8" w:space="0" w:color="auto"/>
            </w:tcBorders>
            <w:shd w:val="clear" w:color="auto" w:fill="auto"/>
            <w:vAlign w:val="center"/>
            <w:hideMark/>
          </w:tcPr>
          <w:p w14:paraId="71BAF9E8" w14:textId="77777777" w:rsidR="00766373" w:rsidRPr="000B1BD8" w:rsidRDefault="00766373" w:rsidP="00766373">
            <w:pPr>
              <w:spacing w:after="0" w:line="240" w:lineRule="auto"/>
              <w:jc w:val="center"/>
              <w:rPr>
                <w:rFonts w:eastAsia="Times New Roman" w:cs="Calibri"/>
                <w:color w:val="000000"/>
              </w:rPr>
            </w:pPr>
            <w:r w:rsidRPr="000B1BD8">
              <w:rPr>
                <w:rFonts w:eastAsia="Times New Roman" w:cs="Calibri"/>
                <w:color w:val="000000"/>
              </w:rPr>
              <w:t>4 (velika)</w:t>
            </w:r>
          </w:p>
        </w:tc>
        <w:tc>
          <w:tcPr>
            <w:tcW w:w="784" w:type="pct"/>
            <w:vMerge w:val="restart"/>
            <w:tcBorders>
              <w:top w:val="nil"/>
              <w:left w:val="single" w:sz="8" w:space="0" w:color="auto"/>
              <w:bottom w:val="single" w:sz="8" w:space="0" w:color="000000"/>
              <w:right w:val="single" w:sz="8" w:space="0" w:color="auto"/>
            </w:tcBorders>
            <w:shd w:val="clear" w:color="auto" w:fill="auto"/>
            <w:vAlign w:val="center"/>
            <w:hideMark/>
          </w:tcPr>
          <w:p w14:paraId="2D12319E" w14:textId="77777777" w:rsidR="00766373" w:rsidRPr="000B1BD8" w:rsidRDefault="00766373" w:rsidP="00766373">
            <w:pPr>
              <w:spacing w:after="0" w:line="240" w:lineRule="auto"/>
              <w:jc w:val="center"/>
              <w:rPr>
                <w:rFonts w:eastAsia="Times New Roman" w:cs="Calibri"/>
                <w:color w:val="000000"/>
              </w:rPr>
            </w:pPr>
            <w:r w:rsidRPr="000B1BD8">
              <w:rPr>
                <w:rFonts w:eastAsia="Times New Roman" w:cs="Calibri"/>
                <w:color w:val="000000"/>
              </w:rPr>
              <w:t xml:space="preserve">5 </w:t>
            </w:r>
          </w:p>
          <w:p w14:paraId="2E064973" w14:textId="77777777" w:rsidR="00766373" w:rsidRPr="000B1BD8" w:rsidRDefault="00766373" w:rsidP="00766373">
            <w:pPr>
              <w:spacing w:after="0" w:line="240" w:lineRule="auto"/>
              <w:jc w:val="center"/>
              <w:rPr>
                <w:rFonts w:eastAsia="Times New Roman" w:cs="Calibri"/>
                <w:color w:val="000000"/>
              </w:rPr>
            </w:pPr>
            <w:r w:rsidRPr="000B1BD8">
              <w:rPr>
                <w:rFonts w:eastAsia="Times New Roman" w:cs="Calibri"/>
                <w:color w:val="000000"/>
              </w:rPr>
              <w:t>(zelo velika)</w:t>
            </w:r>
          </w:p>
        </w:tc>
      </w:tr>
      <w:tr w:rsidR="00766373" w:rsidRPr="000B1BD8" w14:paraId="2F0CF3E7" w14:textId="77777777" w:rsidTr="00766373">
        <w:trPr>
          <w:trHeight w:val="450"/>
        </w:trPr>
        <w:tc>
          <w:tcPr>
            <w:tcW w:w="1509" w:type="pct"/>
            <w:gridSpan w:val="2"/>
            <w:vMerge/>
            <w:tcBorders>
              <w:top w:val="single" w:sz="8" w:space="0" w:color="auto"/>
              <w:left w:val="single" w:sz="8" w:space="0" w:color="auto"/>
              <w:bottom w:val="single" w:sz="8" w:space="0" w:color="000000"/>
              <w:right w:val="single" w:sz="8" w:space="0" w:color="000000"/>
            </w:tcBorders>
            <w:vAlign w:val="center"/>
            <w:hideMark/>
          </w:tcPr>
          <w:p w14:paraId="27E52984" w14:textId="77777777" w:rsidR="00766373" w:rsidRPr="000B1BD8" w:rsidRDefault="00766373" w:rsidP="00766373">
            <w:pPr>
              <w:spacing w:after="0" w:line="240" w:lineRule="auto"/>
              <w:rPr>
                <w:rFonts w:eastAsia="Times New Roman" w:cs="Calibri"/>
                <w:color w:val="000000"/>
              </w:rPr>
            </w:pPr>
          </w:p>
        </w:tc>
        <w:tc>
          <w:tcPr>
            <w:tcW w:w="926" w:type="pct"/>
            <w:vMerge/>
            <w:tcBorders>
              <w:top w:val="nil"/>
              <w:left w:val="single" w:sz="8" w:space="0" w:color="auto"/>
              <w:bottom w:val="single" w:sz="8" w:space="0" w:color="000000"/>
              <w:right w:val="single" w:sz="8" w:space="0" w:color="auto"/>
            </w:tcBorders>
            <w:vAlign w:val="center"/>
            <w:hideMark/>
          </w:tcPr>
          <w:p w14:paraId="1D766B98" w14:textId="77777777" w:rsidR="00766373" w:rsidRPr="000B1BD8" w:rsidRDefault="00766373" w:rsidP="00766373">
            <w:pPr>
              <w:spacing w:after="0" w:line="240" w:lineRule="auto"/>
              <w:rPr>
                <w:rFonts w:eastAsia="Times New Roman" w:cs="Calibri"/>
                <w:color w:val="000000"/>
              </w:rPr>
            </w:pPr>
          </w:p>
        </w:tc>
        <w:tc>
          <w:tcPr>
            <w:tcW w:w="623" w:type="pct"/>
            <w:vMerge/>
            <w:tcBorders>
              <w:top w:val="nil"/>
              <w:left w:val="single" w:sz="8" w:space="0" w:color="auto"/>
              <w:bottom w:val="single" w:sz="8" w:space="0" w:color="000000"/>
              <w:right w:val="single" w:sz="8" w:space="0" w:color="auto"/>
            </w:tcBorders>
            <w:vAlign w:val="center"/>
            <w:hideMark/>
          </w:tcPr>
          <w:p w14:paraId="630A7A5D" w14:textId="77777777" w:rsidR="00766373" w:rsidRPr="000B1BD8" w:rsidRDefault="00766373" w:rsidP="00766373">
            <w:pPr>
              <w:spacing w:after="0" w:line="240" w:lineRule="auto"/>
              <w:rPr>
                <w:rFonts w:eastAsia="Times New Roman" w:cs="Calibri"/>
                <w:color w:val="000000"/>
              </w:rPr>
            </w:pPr>
          </w:p>
        </w:tc>
        <w:tc>
          <w:tcPr>
            <w:tcW w:w="620" w:type="pct"/>
            <w:vMerge/>
            <w:tcBorders>
              <w:top w:val="nil"/>
              <w:left w:val="single" w:sz="8" w:space="0" w:color="auto"/>
              <w:bottom w:val="single" w:sz="8" w:space="0" w:color="000000"/>
              <w:right w:val="single" w:sz="8" w:space="0" w:color="auto"/>
            </w:tcBorders>
            <w:vAlign w:val="center"/>
            <w:hideMark/>
          </w:tcPr>
          <w:p w14:paraId="24051AF4" w14:textId="77777777" w:rsidR="00766373" w:rsidRPr="000B1BD8" w:rsidRDefault="00766373" w:rsidP="00766373">
            <w:pPr>
              <w:spacing w:after="0" w:line="240" w:lineRule="auto"/>
              <w:rPr>
                <w:rFonts w:eastAsia="Times New Roman" w:cs="Calibri"/>
                <w:color w:val="000000"/>
              </w:rPr>
            </w:pPr>
          </w:p>
        </w:tc>
        <w:tc>
          <w:tcPr>
            <w:tcW w:w="538" w:type="pct"/>
            <w:vMerge/>
            <w:tcBorders>
              <w:top w:val="nil"/>
              <w:left w:val="single" w:sz="8" w:space="0" w:color="auto"/>
              <w:bottom w:val="single" w:sz="8" w:space="0" w:color="000000"/>
              <w:right w:val="single" w:sz="8" w:space="0" w:color="auto"/>
            </w:tcBorders>
            <w:vAlign w:val="center"/>
            <w:hideMark/>
          </w:tcPr>
          <w:p w14:paraId="72E7BBF5" w14:textId="77777777" w:rsidR="00766373" w:rsidRPr="000B1BD8" w:rsidRDefault="00766373" w:rsidP="00766373">
            <w:pPr>
              <w:spacing w:after="0" w:line="240" w:lineRule="auto"/>
              <w:rPr>
                <w:rFonts w:eastAsia="Times New Roman" w:cs="Calibri"/>
                <w:color w:val="000000"/>
              </w:rPr>
            </w:pPr>
          </w:p>
        </w:tc>
        <w:tc>
          <w:tcPr>
            <w:tcW w:w="784" w:type="pct"/>
            <w:vMerge/>
            <w:tcBorders>
              <w:top w:val="nil"/>
              <w:left w:val="single" w:sz="8" w:space="0" w:color="auto"/>
              <w:bottom w:val="single" w:sz="8" w:space="0" w:color="000000"/>
              <w:right w:val="single" w:sz="8" w:space="0" w:color="auto"/>
            </w:tcBorders>
            <w:vAlign w:val="center"/>
            <w:hideMark/>
          </w:tcPr>
          <w:p w14:paraId="3F22A47C" w14:textId="77777777" w:rsidR="00766373" w:rsidRPr="000B1BD8" w:rsidRDefault="00766373" w:rsidP="00766373">
            <w:pPr>
              <w:spacing w:after="0" w:line="240" w:lineRule="auto"/>
              <w:rPr>
                <w:rFonts w:eastAsia="Times New Roman" w:cs="Calibri"/>
                <w:color w:val="000000"/>
              </w:rPr>
            </w:pPr>
          </w:p>
        </w:tc>
      </w:tr>
      <w:tr w:rsidR="00766373" w:rsidRPr="000B1BD8" w14:paraId="7500959E" w14:textId="77777777" w:rsidTr="00766373">
        <w:trPr>
          <w:trHeight w:val="345"/>
        </w:trPr>
        <w:tc>
          <w:tcPr>
            <w:tcW w:w="471"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14:paraId="1EF5AA01" w14:textId="77777777" w:rsidR="00766373" w:rsidRPr="000B1BD8" w:rsidRDefault="00766373" w:rsidP="00766373">
            <w:pPr>
              <w:spacing w:after="0" w:line="240" w:lineRule="auto"/>
              <w:jc w:val="center"/>
              <w:rPr>
                <w:rFonts w:eastAsia="Times New Roman" w:cs="Calibri"/>
                <w:color w:val="000000"/>
              </w:rPr>
            </w:pPr>
            <w:r w:rsidRPr="000B1BD8">
              <w:rPr>
                <w:rFonts w:eastAsia="Times New Roman" w:cs="Calibri"/>
                <w:color w:val="000000"/>
              </w:rPr>
              <w:t>Ranljivost v prihodnosti</w:t>
            </w:r>
          </w:p>
        </w:tc>
        <w:tc>
          <w:tcPr>
            <w:tcW w:w="1038" w:type="pct"/>
            <w:tcBorders>
              <w:top w:val="nil"/>
              <w:left w:val="nil"/>
              <w:bottom w:val="nil"/>
              <w:right w:val="single" w:sz="8" w:space="0" w:color="auto"/>
            </w:tcBorders>
            <w:shd w:val="clear" w:color="auto" w:fill="auto"/>
            <w:vAlign w:val="center"/>
            <w:hideMark/>
          </w:tcPr>
          <w:p w14:paraId="5187ADF9" w14:textId="77777777" w:rsidR="00766373" w:rsidRPr="000B1BD8" w:rsidRDefault="00766373" w:rsidP="00766373">
            <w:pPr>
              <w:spacing w:after="0" w:line="240" w:lineRule="auto"/>
              <w:rPr>
                <w:rFonts w:eastAsia="Times New Roman" w:cs="Calibri"/>
                <w:color w:val="000000"/>
              </w:rPr>
            </w:pPr>
            <w:r w:rsidRPr="000B1BD8">
              <w:rPr>
                <w:rFonts w:eastAsia="Times New Roman" w:cs="Calibri"/>
                <w:color w:val="000000"/>
              </w:rPr>
              <w:t>1 (zanemarljiva)</w:t>
            </w:r>
          </w:p>
        </w:tc>
        <w:tc>
          <w:tcPr>
            <w:tcW w:w="926" w:type="pct"/>
            <w:tcBorders>
              <w:top w:val="nil"/>
              <w:left w:val="nil"/>
              <w:bottom w:val="single" w:sz="8" w:space="0" w:color="auto"/>
              <w:right w:val="single" w:sz="8" w:space="0" w:color="auto"/>
            </w:tcBorders>
            <w:shd w:val="clear" w:color="auto" w:fill="7FE300"/>
            <w:vAlign w:val="center"/>
          </w:tcPr>
          <w:p w14:paraId="5D29F97B" w14:textId="77777777" w:rsidR="00766373" w:rsidRPr="000B1BD8" w:rsidRDefault="00766373" w:rsidP="00766373">
            <w:pPr>
              <w:spacing w:after="0" w:line="240" w:lineRule="auto"/>
              <w:jc w:val="center"/>
              <w:rPr>
                <w:rFonts w:eastAsia="Times New Roman" w:cs="Calibri"/>
                <w:color w:val="000000"/>
              </w:rPr>
            </w:pPr>
            <w:r>
              <w:rPr>
                <w:rFonts w:cs="Calibri"/>
                <w:color w:val="000000"/>
              </w:rPr>
              <w:t>1</w:t>
            </w:r>
          </w:p>
        </w:tc>
        <w:tc>
          <w:tcPr>
            <w:tcW w:w="623" w:type="pct"/>
            <w:tcBorders>
              <w:top w:val="nil"/>
              <w:left w:val="nil"/>
              <w:bottom w:val="single" w:sz="8" w:space="0" w:color="auto"/>
              <w:right w:val="single" w:sz="8" w:space="0" w:color="auto"/>
            </w:tcBorders>
            <w:shd w:val="clear" w:color="auto" w:fill="7FE300"/>
            <w:vAlign w:val="center"/>
          </w:tcPr>
          <w:p w14:paraId="2E54BD39" w14:textId="77777777" w:rsidR="00766373" w:rsidRPr="000B1BD8" w:rsidRDefault="00766373" w:rsidP="00766373">
            <w:pPr>
              <w:spacing w:after="0" w:line="240" w:lineRule="auto"/>
              <w:jc w:val="center"/>
              <w:rPr>
                <w:rFonts w:eastAsia="Times New Roman" w:cs="Calibri"/>
                <w:color w:val="000000"/>
              </w:rPr>
            </w:pPr>
            <w:r>
              <w:rPr>
                <w:rFonts w:cs="Calibri"/>
                <w:color w:val="000000"/>
              </w:rPr>
              <w:t>1</w:t>
            </w:r>
          </w:p>
        </w:tc>
        <w:tc>
          <w:tcPr>
            <w:tcW w:w="620" w:type="pct"/>
            <w:tcBorders>
              <w:top w:val="nil"/>
              <w:left w:val="nil"/>
              <w:bottom w:val="single" w:sz="8" w:space="0" w:color="auto"/>
              <w:right w:val="single" w:sz="8" w:space="0" w:color="auto"/>
            </w:tcBorders>
            <w:shd w:val="clear" w:color="auto" w:fill="7FE300"/>
            <w:vAlign w:val="center"/>
          </w:tcPr>
          <w:p w14:paraId="03EC0FDF" w14:textId="77777777" w:rsidR="00766373" w:rsidRPr="000B1BD8" w:rsidRDefault="00766373" w:rsidP="00766373">
            <w:pPr>
              <w:spacing w:after="0" w:line="240" w:lineRule="auto"/>
              <w:jc w:val="center"/>
              <w:rPr>
                <w:rFonts w:eastAsia="Times New Roman" w:cs="Calibri"/>
                <w:color w:val="000000"/>
              </w:rPr>
            </w:pPr>
            <w:r>
              <w:rPr>
                <w:rFonts w:cs="Calibri"/>
                <w:color w:val="000000"/>
              </w:rPr>
              <w:t>1</w:t>
            </w:r>
          </w:p>
        </w:tc>
        <w:tc>
          <w:tcPr>
            <w:tcW w:w="538" w:type="pct"/>
            <w:tcBorders>
              <w:top w:val="nil"/>
              <w:left w:val="nil"/>
              <w:bottom w:val="single" w:sz="8" w:space="0" w:color="auto"/>
              <w:right w:val="single" w:sz="8" w:space="0" w:color="auto"/>
            </w:tcBorders>
            <w:shd w:val="clear" w:color="auto" w:fill="7FE300"/>
            <w:vAlign w:val="center"/>
          </w:tcPr>
          <w:p w14:paraId="1229A186" w14:textId="77777777" w:rsidR="00766373" w:rsidRPr="000B1BD8" w:rsidRDefault="00766373" w:rsidP="00766373">
            <w:pPr>
              <w:spacing w:after="0" w:line="240" w:lineRule="auto"/>
              <w:jc w:val="center"/>
              <w:rPr>
                <w:rFonts w:eastAsia="Times New Roman" w:cs="Calibri"/>
                <w:color w:val="000000"/>
              </w:rPr>
            </w:pPr>
            <w:r>
              <w:rPr>
                <w:rFonts w:cs="Calibri"/>
                <w:color w:val="000000"/>
              </w:rPr>
              <w:t>1</w:t>
            </w:r>
          </w:p>
        </w:tc>
        <w:tc>
          <w:tcPr>
            <w:tcW w:w="784" w:type="pct"/>
            <w:tcBorders>
              <w:top w:val="nil"/>
              <w:left w:val="nil"/>
              <w:bottom w:val="single" w:sz="8" w:space="0" w:color="auto"/>
              <w:right w:val="single" w:sz="8" w:space="0" w:color="auto"/>
            </w:tcBorders>
            <w:shd w:val="clear" w:color="auto" w:fill="7FE300"/>
            <w:vAlign w:val="center"/>
          </w:tcPr>
          <w:p w14:paraId="62265E68" w14:textId="77777777" w:rsidR="00766373" w:rsidRPr="000B1BD8" w:rsidRDefault="00766373" w:rsidP="00766373">
            <w:pPr>
              <w:spacing w:after="0" w:line="240" w:lineRule="auto"/>
              <w:jc w:val="center"/>
              <w:rPr>
                <w:rFonts w:eastAsia="Times New Roman" w:cs="Calibri"/>
                <w:color w:val="000000"/>
              </w:rPr>
            </w:pPr>
            <w:r>
              <w:rPr>
                <w:rFonts w:cs="Calibri"/>
                <w:color w:val="000000"/>
              </w:rPr>
              <w:t>1</w:t>
            </w:r>
          </w:p>
        </w:tc>
      </w:tr>
      <w:tr w:rsidR="00766373" w:rsidRPr="000B1BD8" w14:paraId="3D1785BB" w14:textId="77777777" w:rsidTr="00766373">
        <w:trPr>
          <w:trHeight w:val="345"/>
        </w:trPr>
        <w:tc>
          <w:tcPr>
            <w:tcW w:w="471" w:type="pct"/>
            <w:vMerge/>
            <w:tcBorders>
              <w:top w:val="nil"/>
              <w:left w:val="single" w:sz="8" w:space="0" w:color="auto"/>
              <w:bottom w:val="single" w:sz="8" w:space="0" w:color="000000"/>
              <w:right w:val="single" w:sz="8" w:space="0" w:color="auto"/>
            </w:tcBorders>
            <w:vAlign w:val="center"/>
            <w:hideMark/>
          </w:tcPr>
          <w:p w14:paraId="3278C66F" w14:textId="77777777" w:rsidR="00766373" w:rsidRPr="000B1BD8" w:rsidRDefault="00766373" w:rsidP="00766373">
            <w:pPr>
              <w:spacing w:after="0" w:line="240" w:lineRule="auto"/>
              <w:rPr>
                <w:rFonts w:eastAsia="Times New Roman" w:cs="Calibri"/>
                <w:color w:val="000000"/>
              </w:rPr>
            </w:pPr>
          </w:p>
        </w:tc>
        <w:tc>
          <w:tcPr>
            <w:tcW w:w="1038" w:type="pct"/>
            <w:tcBorders>
              <w:top w:val="single" w:sz="8" w:space="0" w:color="auto"/>
              <w:left w:val="nil"/>
              <w:bottom w:val="nil"/>
              <w:right w:val="single" w:sz="8" w:space="0" w:color="auto"/>
            </w:tcBorders>
            <w:shd w:val="clear" w:color="auto" w:fill="auto"/>
            <w:vAlign w:val="center"/>
            <w:hideMark/>
          </w:tcPr>
          <w:p w14:paraId="5E6169DD" w14:textId="77777777" w:rsidR="00766373" w:rsidRPr="000B1BD8" w:rsidRDefault="00766373" w:rsidP="00766373">
            <w:pPr>
              <w:spacing w:after="0" w:line="240" w:lineRule="auto"/>
              <w:rPr>
                <w:rFonts w:eastAsia="Times New Roman" w:cs="Calibri"/>
                <w:color w:val="000000"/>
              </w:rPr>
            </w:pPr>
            <w:r w:rsidRPr="000B1BD8">
              <w:rPr>
                <w:rFonts w:eastAsia="Times New Roman" w:cs="Calibri"/>
                <w:color w:val="000000"/>
              </w:rPr>
              <w:t>2 (majhna)</w:t>
            </w:r>
          </w:p>
        </w:tc>
        <w:tc>
          <w:tcPr>
            <w:tcW w:w="926" w:type="pct"/>
            <w:tcBorders>
              <w:top w:val="nil"/>
              <w:left w:val="nil"/>
              <w:bottom w:val="single" w:sz="8" w:space="0" w:color="auto"/>
              <w:right w:val="single" w:sz="8" w:space="0" w:color="auto"/>
            </w:tcBorders>
            <w:shd w:val="clear" w:color="auto" w:fill="E1E100"/>
            <w:vAlign w:val="center"/>
          </w:tcPr>
          <w:p w14:paraId="5A271F72" w14:textId="65190594" w:rsidR="00766373" w:rsidRPr="000B1BD8" w:rsidRDefault="00766373" w:rsidP="00766373">
            <w:pPr>
              <w:spacing w:after="0" w:line="240" w:lineRule="auto"/>
              <w:jc w:val="center"/>
              <w:rPr>
                <w:rFonts w:eastAsia="Times New Roman" w:cs="Calibri"/>
                <w:color w:val="000000"/>
              </w:rPr>
            </w:pPr>
            <w:r>
              <w:rPr>
                <w:rFonts w:eastAsia="Times New Roman" w:cs="Calibri"/>
                <w:color w:val="000000"/>
              </w:rPr>
              <w:t>3</w:t>
            </w:r>
          </w:p>
        </w:tc>
        <w:tc>
          <w:tcPr>
            <w:tcW w:w="623" w:type="pct"/>
            <w:tcBorders>
              <w:top w:val="nil"/>
              <w:left w:val="nil"/>
              <w:bottom w:val="single" w:sz="8" w:space="0" w:color="auto"/>
              <w:right w:val="single" w:sz="8" w:space="0" w:color="auto"/>
            </w:tcBorders>
            <w:shd w:val="clear" w:color="auto" w:fill="BFF100"/>
            <w:vAlign w:val="center"/>
          </w:tcPr>
          <w:p w14:paraId="29EE424A" w14:textId="77777777" w:rsidR="00766373" w:rsidRPr="000B1BD8" w:rsidRDefault="00766373" w:rsidP="00766373">
            <w:pPr>
              <w:spacing w:after="0" w:line="240" w:lineRule="auto"/>
              <w:jc w:val="center"/>
              <w:rPr>
                <w:rFonts w:eastAsia="Times New Roman" w:cs="Calibri"/>
                <w:color w:val="000000"/>
              </w:rPr>
            </w:pPr>
            <w:r>
              <w:rPr>
                <w:rFonts w:cs="Calibri"/>
                <w:color w:val="000000"/>
              </w:rPr>
              <w:t>2</w:t>
            </w:r>
          </w:p>
        </w:tc>
        <w:tc>
          <w:tcPr>
            <w:tcW w:w="620" w:type="pct"/>
            <w:tcBorders>
              <w:top w:val="nil"/>
              <w:left w:val="nil"/>
              <w:bottom w:val="single" w:sz="8" w:space="0" w:color="auto"/>
              <w:right w:val="single" w:sz="8" w:space="0" w:color="auto"/>
            </w:tcBorders>
            <w:shd w:val="clear" w:color="auto" w:fill="BFF100"/>
            <w:vAlign w:val="center"/>
          </w:tcPr>
          <w:p w14:paraId="3471DD9C" w14:textId="77777777" w:rsidR="00766373" w:rsidRPr="000B1BD8" w:rsidRDefault="00766373" w:rsidP="00766373">
            <w:pPr>
              <w:spacing w:after="0" w:line="240" w:lineRule="auto"/>
              <w:jc w:val="center"/>
              <w:rPr>
                <w:rFonts w:eastAsia="Times New Roman" w:cs="Calibri"/>
                <w:color w:val="000000"/>
              </w:rPr>
            </w:pPr>
            <w:r>
              <w:rPr>
                <w:rFonts w:cs="Calibri"/>
                <w:color w:val="000000"/>
              </w:rPr>
              <w:t>2</w:t>
            </w:r>
          </w:p>
        </w:tc>
        <w:tc>
          <w:tcPr>
            <w:tcW w:w="538" w:type="pct"/>
            <w:tcBorders>
              <w:top w:val="nil"/>
              <w:left w:val="nil"/>
              <w:bottom w:val="single" w:sz="8" w:space="0" w:color="auto"/>
              <w:right w:val="single" w:sz="8" w:space="0" w:color="auto"/>
            </w:tcBorders>
            <w:shd w:val="clear" w:color="auto" w:fill="BFF100"/>
            <w:vAlign w:val="center"/>
          </w:tcPr>
          <w:p w14:paraId="0F4F8384" w14:textId="77777777" w:rsidR="00766373" w:rsidRPr="000B1BD8" w:rsidRDefault="00766373" w:rsidP="00766373">
            <w:pPr>
              <w:spacing w:after="0" w:line="240" w:lineRule="auto"/>
              <w:jc w:val="center"/>
              <w:rPr>
                <w:rFonts w:eastAsia="Times New Roman" w:cs="Calibri"/>
                <w:color w:val="000000"/>
              </w:rPr>
            </w:pPr>
            <w:r>
              <w:rPr>
                <w:rFonts w:cs="Calibri"/>
                <w:color w:val="000000"/>
              </w:rPr>
              <w:t>2</w:t>
            </w:r>
          </w:p>
        </w:tc>
        <w:tc>
          <w:tcPr>
            <w:tcW w:w="784" w:type="pct"/>
            <w:tcBorders>
              <w:top w:val="nil"/>
              <w:left w:val="nil"/>
              <w:bottom w:val="single" w:sz="8" w:space="0" w:color="auto"/>
              <w:right w:val="single" w:sz="8" w:space="0" w:color="auto"/>
            </w:tcBorders>
            <w:shd w:val="clear" w:color="auto" w:fill="BFF100"/>
            <w:vAlign w:val="center"/>
          </w:tcPr>
          <w:p w14:paraId="78750A42" w14:textId="77777777" w:rsidR="00766373" w:rsidRPr="000B1BD8" w:rsidRDefault="00766373" w:rsidP="00766373">
            <w:pPr>
              <w:spacing w:after="0" w:line="240" w:lineRule="auto"/>
              <w:jc w:val="center"/>
              <w:rPr>
                <w:rFonts w:eastAsia="Times New Roman" w:cs="Calibri"/>
                <w:color w:val="000000"/>
              </w:rPr>
            </w:pPr>
            <w:r>
              <w:rPr>
                <w:rFonts w:cs="Calibri"/>
                <w:color w:val="000000"/>
              </w:rPr>
              <w:t>2</w:t>
            </w:r>
          </w:p>
        </w:tc>
      </w:tr>
      <w:tr w:rsidR="00766373" w:rsidRPr="000B1BD8" w14:paraId="625E3DEC" w14:textId="77777777" w:rsidTr="00766373">
        <w:trPr>
          <w:trHeight w:val="345"/>
        </w:trPr>
        <w:tc>
          <w:tcPr>
            <w:tcW w:w="471" w:type="pct"/>
            <w:vMerge/>
            <w:tcBorders>
              <w:top w:val="nil"/>
              <w:left w:val="single" w:sz="8" w:space="0" w:color="auto"/>
              <w:bottom w:val="single" w:sz="8" w:space="0" w:color="000000"/>
              <w:right w:val="single" w:sz="8" w:space="0" w:color="auto"/>
            </w:tcBorders>
            <w:vAlign w:val="center"/>
            <w:hideMark/>
          </w:tcPr>
          <w:p w14:paraId="4A72253C" w14:textId="77777777" w:rsidR="00766373" w:rsidRPr="000B1BD8" w:rsidRDefault="00766373" w:rsidP="00766373">
            <w:pPr>
              <w:spacing w:after="0" w:line="240" w:lineRule="auto"/>
              <w:rPr>
                <w:rFonts w:eastAsia="Times New Roman" w:cs="Calibri"/>
                <w:color w:val="000000"/>
              </w:rPr>
            </w:pPr>
          </w:p>
        </w:tc>
        <w:tc>
          <w:tcPr>
            <w:tcW w:w="1038" w:type="pct"/>
            <w:tcBorders>
              <w:top w:val="single" w:sz="8" w:space="0" w:color="auto"/>
              <w:left w:val="nil"/>
              <w:bottom w:val="nil"/>
              <w:right w:val="single" w:sz="8" w:space="0" w:color="auto"/>
            </w:tcBorders>
            <w:shd w:val="clear" w:color="auto" w:fill="auto"/>
            <w:vAlign w:val="center"/>
            <w:hideMark/>
          </w:tcPr>
          <w:p w14:paraId="180B4185" w14:textId="77777777" w:rsidR="00766373" w:rsidRPr="000B1BD8" w:rsidRDefault="00766373" w:rsidP="00766373">
            <w:pPr>
              <w:spacing w:after="0" w:line="240" w:lineRule="auto"/>
              <w:rPr>
                <w:rFonts w:eastAsia="Times New Roman" w:cs="Calibri"/>
                <w:color w:val="000000"/>
              </w:rPr>
            </w:pPr>
            <w:r w:rsidRPr="000B1BD8">
              <w:rPr>
                <w:rFonts w:eastAsia="Times New Roman" w:cs="Calibri"/>
                <w:color w:val="000000"/>
              </w:rPr>
              <w:t>3 (zmerna)</w:t>
            </w:r>
          </w:p>
        </w:tc>
        <w:tc>
          <w:tcPr>
            <w:tcW w:w="926" w:type="pct"/>
            <w:tcBorders>
              <w:top w:val="nil"/>
              <w:left w:val="nil"/>
              <w:bottom w:val="single" w:sz="8" w:space="0" w:color="auto"/>
              <w:right w:val="single" w:sz="8" w:space="0" w:color="auto"/>
            </w:tcBorders>
            <w:shd w:val="clear" w:color="auto" w:fill="FFCC00"/>
            <w:vAlign w:val="center"/>
          </w:tcPr>
          <w:p w14:paraId="02DD532D" w14:textId="2080235E" w:rsidR="00766373" w:rsidRPr="000B1BD8" w:rsidRDefault="00766373" w:rsidP="00766373">
            <w:pPr>
              <w:spacing w:after="0" w:line="240" w:lineRule="auto"/>
              <w:jc w:val="center"/>
              <w:rPr>
                <w:rFonts w:eastAsia="Times New Roman" w:cs="Calibri"/>
                <w:color w:val="000000"/>
              </w:rPr>
            </w:pPr>
            <w:r>
              <w:rPr>
                <w:rFonts w:eastAsia="Times New Roman" w:cs="Calibri"/>
                <w:color w:val="000000"/>
              </w:rPr>
              <w:t>4</w:t>
            </w:r>
          </w:p>
        </w:tc>
        <w:tc>
          <w:tcPr>
            <w:tcW w:w="623" w:type="pct"/>
            <w:tcBorders>
              <w:top w:val="nil"/>
              <w:left w:val="nil"/>
              <w:bottom w:val="single" w:sz="8" w:space="0" w:color="auto"/>
              <w:right w:val="single" w:sz="8" w:space="0" w:color="auto"/>
            </w:tcBorders>
            <w:shd w:val="clear" w:color="auto" w:fill="FFCC00"/>
            <w:vAlign w:val="center"/>
          </w:tcPr>
          <w:p w14:paraId="7FCCA03D" w14:textId="77777777" w:rsidR="00766373" w:rsidRPr="000B1BD8" w:rsidRDefault="00766373" w:rsidP="00766373">
            <w:pPr>
              <w:spacing w:after="0" w:line="240" w:lineRule="auto"/>
              <w:jc w:val="center"/>
              <w:rPr>
                <w:rFonts w:eastAsia="Times New Roman" w:cs="Calibri"/>
                <w:color w:val="000000"/>
              </w:rPr>
            </w:pPr>
            <w:r>
              <w:rPr>
                <w:rFonts w:eastAsia="Times New Roman" w:cs="Calibri"/>
                <w:color w:val="000000"/>
              </w:rPr>
              <w:t>4</w:t>
            </w:r>
          </w:p>
        </w:tc>
        <w:tc>
          <w:tcPr>
            <w:tcW w:w="620" w:type="pct"/>
            <w:tcBorders>
              <w:top w:val="nil"/>
              <w:left w:val="nil"/>
              <w:bottom w:val="single" w:sz="8" w:space="0" w:color="auto"/>
              <w:right w:val="single" w:sz="8" w:space="0" w:color="auto"/>
            </w:tcBorders>
            <w:shd w:val="clear" w:color="auto" w:fill="E1E100"/>
            <w:vAlign w:val="center"/>
          </w:tcPr>
          <w:p w14:paraId="682C3B85" w14:textId="77777777" w:rsidR="00766373" w:rsidRPr="000B1BD8" w:rsidRDefault="00766373" w:rsidP="00766373">
            <w:pPr>
              <w:spacing w:after="0" w:line="240" w:lineRule="auto"/>
              <w:jc w:val="center"/>
              <w:rPr>
                <w:rFonts w:eastAsia="Times New Roman" w:cs="Calibri"/>
                <w:color w:val="000000"/>
              </w:rPr>
            </w:pPr>
            <w:r>
              <w:rPr>
                <w:rFonts w:cs="Calibri"/>
                <w:color w:val="000000"/>
              </w:rPr>
              <w:t>3</w:t>
            </w:r>
          </w:p>
        </w:tc>
        <w:tc>
          <w:tcPr>
            <w:tcW w:w="538" w:type="pct"/>
            <w:tcBorders>
              <w:top w:val="nil"/>
              <w:left w:val="nil"/>
              <w:bottom w:val="single" w:sz="8" w:space="0" w:color="auto"/>
              <w:right w:val="single" w:sz="8" w:space="0" w:color="auto"/>
            </w:tcBorders>
            <w:shd w:val="clear" w:color="auto" w:fill="E1E100"/>
            <w:vAlign w:val="center"/>
          </w:tcPr>
          <w:p w14:paraId="03F45BB9" w14:textId="77777777" w:rsidR="00766373" w:rsidRPr="000B1BD8" w:rsidRDefault="00766373" w:rsidP="00766373">
            <w:pPr>
              <w:spacing w:after="0" w:line="240" w:lineRule="auto"/>
              <w:jc w:val="center"/>
              <w:rPr>
                <w:rFonts w:eastAsia="Times New Roman" w:cs="Calibri"/>
                <w:color w:val="000000"/>
              </w:rPr>
            </w:pPr>
            <w:r>
              <w:rPr>
                <w:rFonts w:eastAsia="Times New Roman" w:cs="Calibri"/>
                <w:color w:val="000000"/>
              </w:rPr>
              <w:t>3</w:t>
            </w:r>
          </w:p>
        </w:tc>
        <w:tc>
          <w:tcPr>
            <w:tcW w:w="784" w:type="pct"/>
            <w:tcBorders>
              <w:top w:val="nil"/>
              <w:left w:val="nil"/>
              <w:bottom w:val="single" w:sz="8" w:space="0" w:color="auto"/>
              <w:right w:val="single" w:sz="8" w:space="0" w:color="auto"/>
            </w:tcBorders>
            <w:shd w:val="clear" w:color="auto" w:fill="BFF100"/>
            <w:vAlign w:val="center"/>
          </w:tcPr>
          <w:p w14:paraId="506F8C17" w14:textId="77777777" w:rsidR="00766373" w:rsidRPr="000B1BD8" w:rsidRDefault="00766373" w:rsidP="00766373">
            <w:pPr>
              <w:spacing w:after="0" w:line="240" w:lineRule="auto"/>
              <w:jc w:val="center"/>
              <w:rPr>
                <w:rFonts w:eastAsia="Times New Roman" w:cs="Calibri"/>
                <w:color w:val="000000"/>
              </w:rPr>
            </w:pPr>
            <w:r>
              <w:rPr>
                <w:rFonts w:cs="Calibri"/>
                <w:color w:val="000000"/>
              </w:rPr>
              <w:t>2</w:t>
            </w:r>
          </w:p>
        </w:tc>
      </w:tr>
      <w:tr w:rsidR="00766373" w:rsidRPr="000B1BD8" w14:paraId="6B0C3BFA" w14:textId="77777777" w:rsidTr="00766373">
        <w:trPr>
          <w:trHeight w:val="345"/>
        </w:trPr>
        <w:tc>
          <w:tcPr>
            <w:tcW w:w="471" w:type="pct"/>
            <w:vMerge/>
            <w:tcBorders>
              <w:top w:val="nil"/>
              <w:left w:val="single" w:sz="8" w:space="0" w:color="auto"/>
              <w:bottom w:val="single" w:sz="8" w:space="0" w:color="000000"/>
              <w:right w:val="single" w:sz="8" w:space="0" w:color="auto"/>
            </w:tcBorders>
            <w:vAlign w:val="center"/>
            <w:hideMark/>
          </w:tcPr>
          <w:p w14:paraId="547A7255" w14:textId="77777777" w:rsidR="00766373" w:rsidRPr="000B1BD8" w:rsidRDefault="00766373" w:rsidP="00766373">
            <w:pPr>
              <w:spacing w:after="0" w:line="240" w:lineRule="auto"/>
              <w:rPr>
                <w:rFonts w:eastAsia="Times New Roman" w:cs="Calibri"/>
                <w:color w:val="000000"/>
              </w:rPr>
            </w:pPr>
          </w:p>
        </w:tc>
        <w:tc>
          <w:tcPr>
            <w:tcW w:w="1038" w:type="pct"/>
            <w:tcBorders>
              <w:top w:val="single" w:sz="8" w:space="0" w:color="auto"/>
              <w:left w:val="nil"/>
              <w:bottom w:val="nil"/>
              <w:right w:val="single" w:sz="8" w:space="0" w:color="auto"/>
            </w:tcBorders>
            <w:shd w:val="clear" w:color="auto" w:fill="auto"/>
            <w:vAlign w:val="center"/>
            <w:hideMark/>
          </w:tcPr>
          <w:p w14:paraId="7880FA6C" w14:textId="77777777" w:rsidR="00766373" w:rsidRPr="000B1BD8" w:rsidRDefault="00766373" w:rsidP="00766373">
            <w:pPr>
              <w:spacing w:after="0" w:line="240" w:lineRule="auto"/>
              <w:rPr>
                <w:rFonts w:eastAsia="Times New Roman" w:cs="Calibri"/>
                <w:color w:val="000000"/>
              </w:rPr>
            </w:pPr>
            <w:r w:rsidRPr="000B1BD8">
              <w:rPr>
                <w:rFonts w:eastAsia="Times New Roman" w:cs="Calibri"/>
                <w:color w:val="000000"/>
              </w:rPr>
              <w:t>4 (velika)</w:t>
            </w:r>
          </w:p>
        </w:tc>
        <w:tc>
          <w:tcPr>
            <w:tcW w:w="926" w:type="pct"/>
            <w:tcBorders>
              <w:top w:val="nil"/>
              <w:left w:val="nil"/>
              <w:bottom w:val="single" w:sz="8" w:space="0" w:color="auto"/>
              <w:right w:val="single" w:sz="8" w:space="0" w:color="auto"/>
            </w:tcBorders>
            <w:shd w:val="clear" w:color="auto" w:fill="FF3F00"/>
            <w:vAlign w:val="center"/>
          </w:tcPr>
          <w:p w14:paraId="0713EF62" w14:textId="77777777" w:rsidR="00766373" w:rsidRPr="000B1BD8" w:rsidRDefault="00766373" w:rsidP="00766373">
            <w:pPr>
              <w:spacing w:after="0" w:line="240" w:lineRule="auto"/>
              <w:jc w:val="center"/>
              <w:rPr>
                <w:rFonts w:eastAsia="Times New Roman" w:cs="Calibri"/>
                <w:color w:val="000000"/>
              </w:rPr>
            </w:pPr>
            <w:r>
              <w:rPr>
                <w:rFonts w:eastAsia="Times New Roman" w:cs="Calibri"/>
                <w:color w:val="000000"/>
              </w:rPr>
              <w:t>5</w:t>
            </w:r>
          </w:p>
        </w:tc>
        <w:tc>
          <w:tcPr>
            <w:tcW w:w="623" w:type="pct"/>
            <w:tcBorders>
              <w:top w:val="nil"/>
              <w:left w:val="nil"/>
              <w:bottom w:val="single" w:sz="8" w:space="0" w:color="auto"/>
              <w:right w:val="single" w:sz="8" w:space="0" w:color="auto"/>
            </w:tcBorders>
            <w:shd w:val="clear" w:color="auto" w:fill="FF3F00"/>
            <w:vAlign w:val="center"/>
          </w:tcPr>
          <w:p w14:paraId="22D336AE" w14:textId="77777777" w:rsidR="00766373" w:rsidRPr="000B1BD8" w:rsidRDefault="00766373" w:rsidP="00766373">
            <w:pPr>
              <w:spacing w:after="0" w:line="240" w:lineRule="auto"/>
              <w:jc w:val="center"/>
              <w:rPr>
                <w:rFonts w:eastAsia="Times New Roman" w:cs="Calibri"/>
                <w:color w:val="000000"/>
              </w:rPr>
            </w:pPr>
            <w:r>
              <w:rPr>
                <w:rFonts w:cs="Calibri"/>
                <w:color w:val="000000"/>
              </w:rPr>
              <w:t>5</w:t>
            </w:r>
          </w:p>
        </w:tc>
        <w:tc>
          <w:tcPr>
            <w:tcW w:w="620" w:type="pct"/>
            <w:tcBorders>
              <w:top w:val="nil"/>
              <w:left w:val="nil"/>
              <w:bottom w:val="single" w:sz="8" w:space="0" w:color="auto"/>
              <w:right w:val="single" w:sz="8" w:space="0" w:color="auto"/>
            </w:tcBorders>
            <w:shd w:val="clear" w:color="auto" w:fill="FFCC00"/>
            <w:vAlign w:val="center"/>
          </w:tcPr>
          <w:p w14:paraId="1BE56DE8" w14:textId="77777777" w:rsidR="00766373" w:rsidRPr="000B1BD8" w:rsidRDefault="00766373" w:rsidP="00766373">
            <w:pPr>
              <w:spacing w:after="0" w:line="240" w:lineRule="auto"/>
              <w:jc w:val="center"/>
              <w:rPr>
                <w:rFonts w:eastAsia="Times New Roman" w:cs="Calibri"/>
                <w:color w:val="000000"/>
              </w:rPr>
            </w:pPr>
            <w:r>
              <w:rPr>
                <w:rFonts w:cs="Calibri"/>
                <w:color w:val="000000"/>
              </w:rPr>
              <w:t>4</w:t>
            </w:r>
          </w:p>
        </w:tc>
        <w:tc>
          <w:tcPr>
            <w:tcW w:w="538" w:type="pct"/>
            <w:tcBorders>
              <w:top w:val="nil"/>
              <w:left w:val="nil"/>
              <w:bottom w:val="single" w:sz="8" w:space="0" w:color="auto"/>
              <w:right w:val="single" w:sz="8" w:space="0" w:color="auto"/>
            </w:tcBorders>
            <w:shd w:val="clear" w:color="auto" w:fill="FFCC00"/>
            <w:vAlign w:val="center"/>
          </w:tcPr>
          <w:p w14:paraId="4BB615B4" w14:textId="77777777" w:rsidR="00766373" w:rsidRPr="000B1BD8" w:rsidRDefault="00766373" w:rsidP="00766373">
            <w:pPr>
              <w:spacing w:after="0" w:line="240" w:lineRule="auto"/>
              <w:jc w:val="center"/>
              <w:rPr>
                <w:rFonts w:eastAsia="Times New Roman" w:cs="Calibri"/>
                <w:color w:val="000000"/>
              </w:rPr>
            </w:pPr>
            <w:r>
              <w:rPr>
                <w:rFonts w:eastAsia="Times New Roman" w:cs="Calibri"/>
                <w:color w:val="000000"/>
              </w:rPr>
              <w:t>4</w:t>
            </w:r>
          </w:p>
        </w:tc>
        <w:tc>
          <w:tcPr>
            <w:tcW w:w="784" w:type="pct"/>
            <w:tcBorders>
              <w:top w:val="nil"/>
              <w:left w:val="nil"/>
              <w:bottom w:val="single" w:sz="8" w:space="0" w:color="auto"/>
              <w:right w:val="single" w:sz="8" w:space="0" w:color="auto"/>
            </w:tcBorders>
            <w:shd w:val="clear" w:color="auto" w:fill="E1E100"/>
            <w:vAlign w:val="center"/>
          </w:tcPr>
          <w:p w14:paraId="236B6B9D" w14:textId="77777777" w:rsidR="00766373" w:rsidRPr="000B1BD8" w:rsidRDefault="00766373" w:rsidP="00766373">
            <w:pPr>
              <w:spacing w:after="0" w:line="240" w:lineRule="auto"/>
              <w:jc w:val="center"/>
              <w:rPr>
                <w:rFonts w:eastAsia="Times New Roman" w:cs="Calibri"/>
                <w:color w:val="000000"/>
              </w:rPr>
            </w:pPr>
            <w:r>
              <w:rPr>
                <w:rFonts w:eastAsia="Times New Roman" w:cs="Calibri"/>
                <w:color w:val="000000"/>
              </w:rPr>
              <w:t>3</w:t>
            </w:r>
          </w:p>
        </w:tc>
      </w:tr>
      <w:tr w:rsidR="00766373" w:rsidRPr="000B1BD8" w14:paraId="721B1352" w14:textId="77777777" w:rsidTr="00766373">
        <w:trPr>
          <w:trHeight w:val="345"/>
        </w:trPr>
        <w:tc>
          <w:tcPr>
            <w:tcW w:w="471" w:type="pct"/>
            <w:vMerge/>
            <w:tcBorders>
              <w:top w:val="nil"/>
              <w:left w:val="single" w:sz="8" w:space="0" w:color="auto"/>
              <w:bottom w:val="single" w:sz="8" w:space="0" w:color="000000"/>
              <w:right w:val="single" w:sz="8" w:space="0" w:color="auto"/>
            </w:tcBorders>
            <w:vAlign w:val="center"/>
            <w:hideMark/>
          </w:tcPr>
          <w:p w14:paraId="4F65CCC5" w14:textId="77777777" w:rsidR="00766373" w:rsidRPr="000B1BD8" w:rsidRDefault="00766373" w:rsidP="00766373">
            <w:pPr>
              <w:spacing w:after="0" w:line="240" w:lineRule="auto"/>
              <w:rPr>
                <w:rFonts w:eastAsia="Times New Roman" w:cs="Calibri"/>
                <w:color w:val="000000"/>
              </w:rPr>
            </w:pPr>
          </w:p>
        </w:tc>
        <w:tc>
          <w:tcPr>
            <w:tcW w:w="1038" w:type="pct"/>
            <w:tcBorders>
              <w:top w:val="single" w:sz="8" w:space="0" w:color="auto"/>
              <w:left w:val="nil"/>
              <w:bottom w:val="single" w:sz="8" w:space="0" w:color="auto"/>
              <w:right w:val="single" w:sz="8" w:space="0" w:color="auto"/>
            </w:tcBorders>
            <w:shd w:val="clear" w:color="auto" w:fill="auto"/>
            <w:vAlign w:val="center"/>
            <w:hideMark/>
          </w:tcPr>
          <w:p w14:paraId="0F6D9196" w14:textId="77777777" w:rsidR="00766373" w:rsidRPr="000B1BD8" w:rsidRDefault="00766373" w:rsidP="00766373">
            <w:pPr>
              <w:spacing w:after="0" w:line="240" w:lineRule="auto"/>
              <w:rPr>
                <w:rFonts w:eastAsia="Times New Roman" w:cs="Calibri"/>
                <w:color w:val="000000"/>
              </w:rPr>
            </w:pPr>
            <w:r w:rsidRPr="000B1BD8">
              <w:rPr>
                <w:rFonts w:eastAsia="Times New Roman" w:cs="Calibri"/>
                <w:color w:val="000000"/>
              </w:rPr>
              <w:t>5 (zelo velika)</w:t>
            </w:r>
          </w:p>
        </w:tc>
        <w:tc>
          <w:tcPr>
            <w:tcW w:w="926" w:type="pct"/>
            <w:tcBorders>
              <w:top w:val="nil"/>
              <w:left w:val="nil"/>
              <w:bottom w:val="single" w:sz="8" w:space="0" w:color="auto"/>
              <w:right w:val="single" w:sz="8" w:space="0" w:color="auto"/>
            </w:tcBorders>
            <w:shd w:val="clear" w:color="auto" w:fill="FF3F00"/>
            <w:vAlign w:val="center"/>
          </w:tcPr>
          <w:p w14:paraId="7976F02B" w14:textId="77777777" w:rsidR="00766373" w:rsidRPr="00F50341" w:rsidRDefault="00766373" w:rsidP="00766373">
            <w:pPr>
              <w:spacing w:after="0" w:line="240" w:lineRule="auto"/>
              <w:jc w:val="center"/>
              <w:rPr>
                <w:rFonts w:eastAsia="Times New Roman" w:cs="Calibri"/>
                <w:color w:val="000000"/>
                <w:highlight w:val="red"/>
              </w:rPr>
            </w:pPr>
            <w:r w:rsidRPr="009A00D5">
              <w:rPr>
                <w:rFonts w:eastAsia="Times New Roman" w:cs="Calibri"/>
                <w:color w:val="000000"/>
              </w:rPr>
              <w:t>5</w:t>
            </w:r>
          </w:p>
        </w:tc>
        <w:tc>
          <w:tcPr>
            <w:tcW w:w="623" w:type="pct"/>
            <w:tcBorders>
              <w:top w:val="nil"/>
              <w:left w:val="nil"/>
              <w:bottom w:val="single" w:sz="8" w:space="0" w:color="auto"/>
              <w:right w:val="single" w:sz="8" w:space="0" w:color="auto"/>
            </w:tcBorders>
            <w:shd w:val="clear" w:color="auto" w:fill="FF3F00"/>
            <w:vAlign w:val="center"/>
          </w:tcPr>
          <w:p w14:paraId="62E8A92A" w14:textId="77777777" w:rsidR="00766373" w:rsidRPr="00F50341" w:rsidRDefault="00766373" w:rsidP="00766373">
            <w:pPr>
              <w:spacing w:after="0" w:line="240" w:lineRule="auto"/>
              <w:jc w:val="center"/>
              <w:rPr>
                <w:rFonts w:eastAsia="Times New Roman" w:cs="Calibri"/>
                <w:color w:val="000000"/>
                <w:highlight w:val="red"/>
              </w:rPr>
            </w:pPr>
            <w:r w:rsidRPr="009A00D5">
              <w:rPr>
                <w:rFonts w:eastAsia="Times New Roman" w:cs="Calibri"/>
                <w:color w:val="000000"/>
              </w:rPr>
              <w:t>5</w:t>
            </w:r>
          </w:p>
        </w:tc>
        <w:tc>
          <w:tcPr>
            <w:tcW w:w="620" w:type="pct"/>
            <w:tcBorders>
              <w:top w:val="nil"/>
              <w:left w:val="nil"/>
              <w:bottom w:val="single" w:sz="8" w:space="0" w:color="auto"/>
              <w:right w:val="single" w:sz="8" w:space="0" w:color="auto"/>
            </w:tcBorders>
            <w:shd w:val="clear" w:color="auto" w:fill="FF3F00"/>
            <w:vAlign w:val="center"/>
          </w:tcPr>
          <w:p w14:paraId="12AEA0BA" w14:textId="77777777" w:rsidR="00766373" w:rsidRPr="00F50341" w:rsidRDefault="00766373" w:rsidP="00766373">
            <w:pPr>
              <w:spacing w:after="0" w:line="240" w:lineRule="auto"/>
              <w:jc w:val="center"/>
              <w:rPr>
                <w:rFonts w:eastAsia="Times New Roman" w:cs="Calibri"/>
                <w:color w:val="000000"/>
                <w:highlight w:val="red"/>
              </w:rPr>
            </w:pPr>
            <w:r>
              <w:rPr>
                <w:rFonts w:cs="Calibri"/>
                <w:color w:val="000000"/>
              </w:rPr>
              <w:t>5</w:t>
            </w:r>
          </w:p>
        </w:tc>
        <w:tc>
          <w:tcPr>
            <w:tcW w:w="538" w:type="pct"/>
            <w:tcBorders>
              <w:top w:val="nil"/>
              <w:left w:val="nil"/>
              <w:bottom w:val="single" w:sz="8" w:space="0" w:color="auto"/>
              <w:right w:val="single" w:sz="8" w:space="0" w:color="auto"/>
            </w:tcBorders>
            <w:shd w:val="clear" w:color="auto" w:fill="FFCC00"/>
            <w:vAlign w:val="center"/>
          </w:tcPr>
          <w:p w14:paraId="5058CBB2" w14:textId="77777777" w:rsidR="00766373" w:rsidRPr="000B1BD8" w:rsidRDefault="00766373" w:rsidP="00766373">
            <w:pPr>
              <w:spacing w:after="0" w:line="240" w:lineRule="auto"/>
              <w:jc w:val="center"/>
              <w:rPr>
                <w:rFonts w:eastAsia="Times New Roman" w:cs="Calibri"/>
                <w:color w:val="000000"/>
              </w:rPr>
            </w:pPr>
            <w:r>
              <w:rPr>
                <w:rFonts w:eastAsia="Times New Roman" w:cs="Calibri"/>
                <w:color w:val="000000"/>
              </w:rPr>
              <w:t>4</w:t>
            </w:r>
          </w:p>
        </w:tc>
        <w:tc>
          <w:tcPr>
            <w:tcW w:w="784" w:type="pct"/>
            <w:tcBorders>
              <w:top w:val="nil"/>
              <w:left w:val="nil"/>
              <w:bottom w:val="single" w:sz="8" w:space="0" w:color="auto"/>
              <w:right w:val="single" w:sz="8" w:space="0" w:color="auto"/>
            </w:tcBorders>
            <w:shd w:val="clear" w:color="auto" w:fill="FFCC00"/>
            <w:vAlign w:val="center"/>
          </w:tcPr>
          <w:p w14:paraId="798B5A7B" w14:textId="77777777" w:rsidR="00766373" w:rsidRPr="000B1BD8" w:rsidRDefault="00766373" w:rsidP="00766373">
            <w:pPr>
              <w:spacing w:after="0" w:line="240" w:lineRule="auto"/>
              <w:jc w:val="center"/>
              <w:rPr>
                <w:rFonts w:eastAsia="Times New Roman" w:cs="Calibri"/>
                <w:color w:val="000000"/>
              </w:rPr>
            </w:pPr>
            <w:r>
              <w:rPr>
                <w:rFonts w:eastAsia="Times New Roman" w:cs="Calibri"/>
                <w:color w:val="000000"/>
              </w:rPr>
              <w:t>4</w:t>
            </w:r>
          </w:p>
        </w:tc>
      </w:tr>
      <w:tr w:rsidR="00766373" w:rsidRPr="000B1BD8" w14:paraId="658C4A84" w14:textId="77777777" w:rsidTr="00766373">
        <w:trPr>
          <w:trHeight w:val="315"/>
        </w:trPr>
        <w:tc>
          <w:tcPr>
            <w:tcW w:w="471" w:type="pct"/>
            <w:tcBorders>
              <w:top w:val="nil"/>
              <w:left w:val="nil"/>
              <w:bottom w:val="nil"/>
              <w:right w:val="nil"/>
            </w:tcBorders>
            <w:shd w:val="clear" w:color="auto" w:fill="auto"/>
            <w:noWrap/>
            <w:vAlign w:val="center"/>
            <w:hideMark/>
          </w:tcPr>
          <w:p w14:paraId="13C12DB3" w14:textId="77777777" w:rsidR="00766373" w:rsidRPr="000B1BD8" w:rsidRDefault="00766373" w:rsidP="00766373">
            <w:pPr>
              <w:spacing w:after="0" w:line="240" w:lineRule="auto"/>
              <w:jc w:val="center"/>
              <w:rPr>
                <w:rFonts w:eastAsia="Times New Roman" w:cs="Calibri"/>
                <w:color w:val="000000"/>
              </w:rPr>
            </w:pPr>
          </w:p>
        </w:tc>
        <w:tc>
          <w:tcPr>
            <w:tcW w:w="1038" w:type="pct"/>
            <w:tcBorders>
              <w:top w:val="nil"/>
              <w:left w:val="nil"/>
              <w:bottom w:val="nil"/>
              <w:right w:val="nil"/>
            </w:tcBorders>
            <w:shd w:val="clear" w:color="auto" w:fill="auto"/>
            <w:noWrap/>
            <w:vAlign w:val="bottom"/>
            <w:hideMark/>
          </w:tcPr>
          <w:p w14:paraId="7502D7B5" w14:textId="77777777" w:rsidR="00766373" w:rsidRPr="000B1BD8" w:rsidRDefault="00766373" w:rsidP="00766373">
            <w:pPr>
              <w:spacing w:after="0" w:line="240" w:lineRule="auto"/>
              <w:rPr>
                <w:rFonts w:ascii="Times New Roman" w:eastAsia="Times New Roman" w:hAnsi="Times New Roman" w:cs="Times New Roman"/>
                <w:sz w:val="20"/>
                <w:szCs w:val="20"/>
              </w:rPr>
            </w:pPr>
          </w:p>
        </w:tc>
        <w:tc>
          <w:tcPr>
            <w:tcW w:w="926" w:type="pct"/>
            <w:tcBorders>
              <w:top w:val="nil"/>
              <w:left w:val="nil"/>
              <w:bottom w:val="nil"/>
              <w:right w:val="nil"/>
            </w:tcBorders>
            <w:shd w:val="clear" w:color="auto" w:fill="auto"/>
            <w:noWrap/>
            <w:vAlign w:val="center"/>
            <w:hideMark/>
          </w:tcPr>
          <w:p w14:paraId="091A36FD" w14:textId="77777777" w:rsidR="00766373" w:rsidRPr="000B1BD8" w:rsidRDefault="00766373" w:rsidP="00766373">
            <w:pPr>
              <w:spacing w:after="0" w:line="240" w:lineRule="auto"/>
              <w:rPr>
                <w:rFonts w:ascii="Times New Roman" w:eastAsia="Times New Roman" w:hAnsi="Times New Roman" w:cs="Times New Roman"/>
                <w:sz w:val="20"/>
                <w:szCs w:val="20"/>
              </w:rPr>
            </w:pPr>
            <w:r>
              <w:rPr>
                <w:rFonts w:cs="Calibri"/>
                <w:color w:val="000000"/>
              </w:rPr>
              <w:t> </w:t>
            </w:r>
          </w:p>
        </w:tc>
        <w:tc>
          <w:tcPr>
            <w:tcW w:w="623" w:type="pct"/>
            <w:tcBorders>
              <w:top w:val="nil"/>
              <w:left w:val="nil"/>
              <w:bottom w:val="nil"/>
              <w:right w:val="nil"/>
            </w:tcBorders>
            <w:shd w:val="clear" w:color="auto" w:fill="auto"/>
            <w:noWrap/>
            <w:vAlign w:val="center"/>
            <w:hideMark/>
          </w:tcPr>
          <w:p w14:paraId="4DBC41AE" w14:textId="77777777" w:rsidR="00766373" w:rsidRPr="000B1BD8" w:rsidRDefault="00766373" w:rsidP="00766373">
            <w:pPr>
              <w:spacing w:after="0" w:line="240" w:lineRule="auto"/>
              <w:rPr>
                <w:rFonts w:ascii="Times New Roman" w:eastAsia="Times New Roman" w:hAnsi="Times New Roman" w:cs="Times New Roman"/>
                <w:sz w:val="20"/>
                <w:szCs w:val="20"/>
              </w:rPr>
            </w:pPr>
            <w:r>
              <w:rPr>
                <w:rFonts w:cs="Calibri"/>
                <w:color w:val="000000"/>
              </w:rPr>
              <w:t> </w:t>
            </w:r>
          </w:p>
        </w:tc>
        <w:tc>
          <w:tcPr>
            <w:tcW w:w="620" w:type="pct"/>
            <w:tcBorders>
              <w:top w:val="nil"/>
              <w:left w:val="nil"/>
              <w:bottom w:val="nil"/>
              <w:right w:val="nil"/>
            </w:tcBorders>
            <w:shd w:val="clear" w:color="auto" w:fill="auto"/>
            <w:noWrap/>
            <w:vAlign w:val="center"/>
            <w:hideMark/>
          </w:tcPr>
          <w:p w14:paraId="4A308BC6" w14:textId="77777777" w:rsidR="00766373" w:rsidRPr="000B1BD8" w:rsidRDefault="00766373" w:rsidP="00766373">
            <w:pPr>
              <w:spacing w:after="0" w:line="240" w:lineRule="auto"/>
              <w:rPr>
                <w:rFonts w:ascii="Times New Roman" w:eastAsia="Times New Roman" w:hAnsi="Times New Roman" w:cs="Times New Roman"/>
                <w:sz w:val="20"/>
                <w:szCs w:val="20"/>
              </w:rPr>
            </w:pPr>
            <w:r>
              <w:rPr>
                <w:rFonts w:cs="Calibri"/>
                <w:color w:val="000000"/>
              </w:rPr>
              <w:t> </w:t>
            </w:r>
          </w:p>
        </w:tc>
        <w:tc>
          <w:tcPr>
            <w:tcW w:w="538" w:type="pct"/>
            <w:tcBorders>
              <w:top w:val="nil"/>
              <w:left w:val="nil"/>
              <w:bottom w:val="nil"/>
              <w:right w:val="nil"/>
            </w:tcBorders>
            <w:shd w:val="clear" w:color="auto" w:fill="auto"/>
            <w:noWrap/>
            <w:vAlign w:val="center"/>
            <w:hideMark/>
          </w:tcPr>
          <w:p w14:paraId="436F036C" w14:textId="77777777" w:rsidR="00766373" w:rsidRPr="000B1BD8" w:rsidRDefault="00766373" w:rsidP="00766373">
            <w:pPr>
              <w:spacing w:after="0" w:line="240" w:lineRule="auto"/>
              <w:rPr>
                <w:rFonts w:ascii="Times New Roman" w:eastAsia="Times New Roman" w:hAnsi="Times New Roman" w:cs="Times New Roman"/>
                <w:sz w:val="20"/>
                <w:szCs w:val="20"/>
              </w:rPr>
            </w:pPr>
            <w:r>
              <w:rPr>
                <w:rFonts w:cs="Calibri"/>
                <w:color w:val="000000"/>
              </w:rPr>
              <w:t> </w:t>
            </w:r>
          </w:p>
        </w:tc>
        <w:tc>
          <w:tcPr>
            <w:tcW w:w="784" w:type="pct"/>
            <w:tcBorders>
              <w:top w:val="nil"/>
              <w:left w:val="nil"/>
              <w:bottom w:val="nil"/>
              <w:right w:val="nil"/>
            </w:tcBorders>
            <w:shd w:val="clear" w:color="auto" w:fill="auto"/>
            <w:noWrap/>
            <w:vAlign w:val="center"/>
            <w:hideMark/>
          </w:tcPr>
          <w:p w14:paraId="14E30D92" w14:textId="77777777" w:rsidR="00766373" w:rsidRPr="000B1BD8" w:rsidRDefault="00766373" w:rsidP="00766373">
            <w:pPr>
              <w:spacing w:after="0" w:line="240" w:lineRule="auto"/>
              <w:rPr>
                <w:rFonts w:ascii="Times New Roman" w:eastAsia="Times New Roman" w:hAnsi="Times New Roman" w:cs="Times New Roman"/>
                <w:sz w:val="20"/>
                <w:szCs w:val="20"/>
              </w:rPr>
            </w:pPr>
            <w:r>
              <w:rPr>
                <w:rFonts w:cs="Calibri"/>
                <w:color w:val="000000"/>
              </w:rPr>
              <w:t> </w:t>
            </w:r>
          </w:p>
        </w:tc>
      </w:tr>
      <w:tr w:rsidR="00766373" w:rsidRPr="000B1BD8" w14:paraId="1431AA34" w14:textId="77777777" w:rsidTr="00766373">
        <w:trPr>
          <w:trHeight w:val="280"/>
        </w:trPr>
        <w:tc>
          <w:tcPr>
            <w:tcW w:w="1509"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521397CC" w14:textId="77777777" w:rsidR="00766373" w:rsidRPr="000B1BD8" w:rsidRDefault="00766373" w:rsidP="00766373">
            <w:pPr>
              <w:spacing w:after="0" w:line="240" w:lineRule="auto"/>
              <w:jc w:val="center"/>
              <w:rPr>
                <w:rFonts w:eastAsia="Times New Roman" w:cs="Calibri"/>
                <w:color w:val="000000"/>
              </w:rPr>
            </w:pPr>
            <w:r w:rsidRPr="000B1BD8">
              <w:rPr>
                <w:rFonts w:eastAsia="Times New Roman" w:cs="Calibri"/>
                <w:color w:val="000000"/>
              </w:rPr>
              <w:t>TVEGANJE</w:t>
            </w:r>
          </w:p>
        </w:tc>
        <w:tc>
          <w:tcPr>
            <w:tcW w:w="926" w:type="pct"/>
            <w:tcBorders>
              <w:top w:val="single" w:sz="8" w:space="0" w:color="auto"/>
              <w:left w:val="nil"/>
              <w:bottom w:val="nil"/>
              <w:right w:val="single" w:sz="8" w:space="0" w:color="auto"/>
            </w:tcBorders>
            <w:shd w:val="clear" w:color="auto" w:fill="7FE300"/>
            <w:vAlign w:val="center"/>
            <w:hideMark/>
          </w:tcPr>
          <w:p w14:paraId="54B351E3" w14:textId="77777777" w:rsidR="00766373" w:rsidRPr="000B1BD8" w:rsidRDefault="00766373" w:rsidP="00766373">
            <w:pPr>
              <w:spacing w:after="0" w:line="240" w:lineRule="auto"/>
              <w:jc w:val="center"/>
              <w:rPr>
                <w:rFonts w:eastAsia="Times New Roman" w:cs="Calibri"/>
                <w:color w:val="000000"/>
              </w:rPr>
            </w:pPr>
            <w:r w:rsidRPr="000B1BD8">
              <w:rPr>
                <w:rFonts w:eastAsia="Times New Roman" w:cs="Calibri"/>
                <w:color w:val="000000"/>
              </w:rPr>
              <w:t>1</w:t>
            </w:r>
          </w:p>
        </w:tc>
        <w:tc>
          <w:tcPr>
            <w:tcW w:w="623" w:type="pct"/>
            <w:tcBorders>
              <w:top w:val="single" w:sz="8" w:space="0" w:color="auto"/>
              <w:left w:val="nil"/>
              <w:bottom w:val="nil"/>
              <w:right w:val="single" w:sz="8" w:space="0" w:color="auto"/>
            </w:tcBorders>
            <w:shd w:val="clear" w:color="auto" w:fill="BFF100"/>
            <w:vAlign w:val="center"/>
            <w:hideMark/>
          </w:tcPr>
          <w:p w14:paraId="7E595710" w14:textId="77777777" w:rsidR="00766373" w:rsidRPr="000B1BD8" w:rsidRDefault="00766373" w:rsidP="00766373">
            <w:pPr>
              <w:spacing w:after="0" w:line="240" w:lineRule="auto"/>
              <w:jc w:val="center"/>
              <w:rPr>
                <w:rFonts w:eastAsia="Times New Roman" w:cs="Calibri"/>
                <w:color w:val="000000"/>
              </w:rPr>
            </w:pPr>
            <w:r w:rsidRPr="000B1BD8">
              <w:rPr>
                <w:rFonts w:eastAsia="Times New Roman" w:cs="Calibri"/>
                <w:color w:val="000000"/>
              </w:rPr>
              <w:t>2</w:t>
            </w:r>
          </w:p>
        </w:tc>
        <w:tc>
          <w:tcPr>
            <w:tcW w:w="620" w:type="pct"/>
            <w:tcBorders>
              <w:top w:val="single" w:sz="8" w:space="0" w:color="auto"/>
              <w:left w:val="nil"/>
              <w:bottom w:val="nil"/>
              <w:right w:val="single" w:sz="8" w:space="0" w:color="auto"/>
            </w:tcBorders>
            <w:shd w:val="clear" w:color="000000" w:fill="FFFF00"/>
            <w:vAlign w:val="center"/>
            <w:hideMark/>
          </w:tcPr>
          <w:p w14:paraId="446E0CB4" w14:textId="77777777" w:rsidR="00766373" w:rsidRPr="000B1BD8" w:rsidRDefault="00766373" w:rsidP="00766373">
            <w:pPr>
              <w:spacing w:after="0" w:line="240" w:lineRule="auto"/>
              <w:jc w:val="center"/>
              <w:rPr>
                <w:rFonts w:eastAsia="Times New Roman" w:cs="Calibri"/>
                <w:color w:val="000000"/>
              </w:rPr>
            </w:pPr>
            <w:r w:rsidRPr="000B1BD8">
              <w:rPr>
                <w:rFonts w:eastAsia="Times New Roman" w:cs="Calibri"/>
                <w:color w:val="000000"/>
              </w:rPr>
              <w:t>3</w:t>
            </w:r>
          </w:p>
        </w:tc>
        <w:tc>
          <w:tcPr>
            <w:tcW w:w="538" w:type="pct"/>
            <w:tcBorders>
              <w:top w:val="single" w:sz="8" w:space="0" w:color="auto"/>
              <w:left w:val="nil"/>
              <w:bottom w:val="nil"/>
              <w:right w:val="single" w:sz="8" w:space="0" w:color="auto"/>
            </w:tcBorders>
            <w:shd w:val="clear" w:color="000000" w:fill="FFCC00"/>
            <w:vAlign w:val="center"/>
            <w:hideMark/>
          </w:tcPr>
          <w:p w14:paraId="4CEA3406" w14:textId="77777777" w:rsidR="00766373" w:rsidRPr="000B1BD8" w:rsidRDefault="00766373" w:rsidP="00766373">
            <w:pPr>
              <w:spacing w:after="0" w:line="240" w:lineRule="auto"/>
              <w:jc w:val="center"/>
              <w:rPr>
                <w:rFonts w:eastAsia="Times New Roman" w:cs="Calibri"/>
                <w:color w:val="000000"/>
              </w:rPr>
            </w:pPr>
            <w:r w:rsidRPr="000B1BD8">
              <w:rPr>
                <w:rFonts w:eastAsia="Times New Roman" w:cs="Calibri"/>
                <w:color w:val="000000"/>
              </w:rPr>
              <w:t>4</w:t>
            </w:r>
          </w:p>
        </w:tc>
        <w:tc>
          <w:tcPr>
            <w:tcW w:w="784" w:type="pct"/>
            <w:tcBorders>
              <w:top w:val="single" w:sz="8" w:space="0" w:color="auto"/>
              <w:left w:val="nil"/>
              <w:bottom w:val="nil"/>
              <w:right w:val="single" w:sz="8" w:space="0" w:color="auto"/>
            </w:tcBorders>
            <w:shd w:val="clear" w:color="000000" w:fill="FF3F00"/>
            <w:vAlign w:val="center"/>
            <w:hideMark/>
          </w:tcPr>
          <w:p w14:paraId="4FDAB3D4" w14:textId="77777777" w:rsidR="00766373" w:rsidRPr="000B1BD8" w:rsidRDefault="00766373" w:rsidP="00766373">
            <w:pPr>
              <w:spacing w:after="0" w:line="240" w:lineRule="auto"/>
              <w:jc w:val="center"/>
              <w:rPr>
                <w:rFonts w:eastAsia="Times New Roman" w:cs="Calibri"/>
                <w:color w:val="000000"/>
              </w:rPr>
            </w:pPr>
            <w:r w:rsidRPr="000B1BD8">
              <w:rPr>
                <w:rFonts w:eastAsia="Times New Roman" w:cs="Calibri"/>
                <w:color w:val="000000"/>
              </w:rPr>
              <w:t>5</w:t>
            </w:r>
          </w:p>
        </w:tc>
      </w:tr>
      <w:tr w:rsidR="00766373" w:rsidRPr="000B1BD8" w14:paraId="563E8AE9" w14:textId="77777777" w:rsidTr="00766373">
        <w:trPr>
          <w:trHeight w:val="345"/>
        </w:trPr>
        <w:tc>
          <w:tcPr>
            <w:tcW w:w="1509" w:type="pct"/>
            <w:gridSpan w:val="2"/>
            <w:vMerge/>
            <w:tcBorders>
              <w:top w:val="single" w:sz="8" w:space="0" w:color="auto"/>
              <w:left w:val="single" w:sz="8" w:space="0" w:color="auto"/>
              <w:bottom w:val="single" w:sz="8" w:space="0" w:color="000000"/>
              <w:right w:val="single" w:sz="8" w:space="0" w:color="000000"/>
            </w:tcBorders>
            <w:vAlign w:val="center"/>
            <w:hideMark/>
          </w:tcPr>
          <w:p w14:paraId="505B4CBB" w14:textId="77777777" w:rsidR="00766373" w:rsidRPr="000B1BD8" w:rsidRDefault="00766373" w:rsidP="00766373">
            <w:pPr>
              <w:spacing w:after="0" w:line="240" w:lineRule="auto"/>
              <w:rPr>
                <w:rFonts w:eastAsia="Times New Roman" w:cs="Calibri"/>
                <w:color w:val="000000"/>
              </w:rPr>
            </w:pPr>
          </w:p>
        </w:tc>
        <w:tc>
          <w:tcPr>
            <w:tcW w:w="926" w:type="pct"/>
            <w:tcBorders>
              <w:top w:val="nil"/>
              <w:left w:val="nil"/>
              <w:bottom w:val="single" w:sz="8" w:space="0" w:color="auto"/>
              <w:right w:val="single" w:sz="8" w:space="0" w:color="auto"/>
            </w:tcBorders>
            <w:shd w:val="clear" w:color="000000" w:fill="7FE300"/>
            <w:vAlign w:val="center"/>
            <w:hideMark/>
          </w:tcPr>
          <w:p w14:paraId="599B727B" w14:textId="0C4F5953" w:rsidR="00766373" w:rsidRPr="000B1BD8" w:rsidRDefault="00766373" w:rsidP="00766373">
            <w:pPr>
              <w:spacing w:after="0" w:line="240" w:lineRule="auto"/>
              <w:jc w:val="center"/>
              <w:rPr>
                <w:rFonts w:eastAsia="Times New Roman" w:cs="Calibri"/>
                <w:color w:val="000000"/>
              </w:rPr>
            </w:pPr>
            <w:r>
              <w:rPr>
                <w:rFonts w:cs="Calibri"/>
                <w:color w:val="000000"/>
              </w:rPr>
              <w:t>tveganja ni</w:t>
            </w:r>
          </w:p>
        </w:tc>
        <w:tc>
          <w:tcPr>
            <w:tcW w:w="623" w:type="pct"/>
            <w:tcBorders>
              <w:top w:val="nil"/>
              <w:left w:val="nil"/>
              <w:bottom w:val="single" w:sz="8" w:space="0" w:color="auto"/>
              <w:right w:val="single" w:sz="8" w:space="0" w:color="auto"/>
            </w:tcBorders>
            <w:shd w:val="clear" w:color="000000" w:fill="BFF100"/>
            <w:vAlign w:val="center"/>
            <w:hideMark/>
          </w:tcPr>
          <w:p w14:paraId="3B83BCA3" w14:textId="77777777" w:rsidR="00766373" w:rsidRPr="000B1BD8" w:rsidRDefault="00766373" w:rsidP="00766373">
            <w:pPr>
              <w:spacing w:after="0" w:line="240" w:lineRule="auto"/>
              <w:jc w:val="center"/>
              <w:rPr>
                <w:rFonts w:eastAsia="Times New Roman" w:cs="Calibri"/>
                <w:color w:val="000000"/>
              </w:rPr>
            </w:pPr>
            <w:r w:rsidRPr="000B1BD8">
              <w:rPr>
                <w:rFonts w:cs="Calibri"/>
                <w:color w:val="000000"/>
              </w:rPr>
              <w:t>majhno</w:t>
            </w:r>
          </w:p>
        </w:tc>
        <w:tc>
          <w:tcPr>
            <w:tcW w:w="620" w:type="pct"/>
            <w:tcBorders>
              <w:top w:val="nil"/>
              <w:left w:val="nil"/>
              <w:bottom w:val="single" w:sz="8" w:space="0" w:color="auto"/>
              <w:right w:val="single" w:sz="8" w:space="0" w:color="auto"/>
            </w:tcBorders>
            <w:shd w:val="clear" w:color="000000" w:fill="FFFF00"/>
            <w:vAlign w:val="center"/>
            <w:hideMark/>
          </w:tcPr>
          <w:p w14:paraId="47E89EE4" w14:textId="77777777" w:rsidR="00766373" w:rsidRPr="000B1BD8" w:rsidRDefault="00766373" w:rsidP="00766373">
            <w:pPr>
              <w:spacing w:after="0" w:line="240" w:lineRule="auto"/>
              <w:jc w:val="center"/>
              <w:rPr>
                <w:rFonts w:eastAsia="Times New Roman" w:cs="Calibri"/>
                <w:color w:val="000000"/>
              </w:rPr>
            </w:pPr>
            <w:r>
              <w:rPr>
                <w:rFonts w:eastAsia="Times New Roman" w:cs="Calibri"/>
                <w:color w:val="000000"/>
              </w:rPr>
              <w:t>zmerno</w:t>
            </w:r>
          </w:p>
        </w:tc>
        <w:tc>
          <w:tcPr>
            <w:tcW w:w="538" w:type="pct"/>
            <w:tcBorders>
              <w:top w:val="nil"/>
              <w:left w:val="nil"/>
              <w:bottom w:val="single" w:sz="8" w:space="0" w:color="auto"/>
              <w:right w:val="single" w:sz="8" w:space="0" w:color="auto"/>
            </w:tcBorders>
            <w:shd w:val="clear" w:color="000000" w:fill="FFCC00"/>
            <w:vAlign w:val="center"/>
            <w:hideMark/>
          </w:tcPr>
          <w:p w14:paraId="42247D53" w14:textId="77777777" w:rsidR="00766373" w:rsidRPr="000B1BD8" w:rsidRDefault="00766373" w:rsidP="00766373">
            <w:pPr>
              <w:spacing w:after="0" w:line="240" w:lineRule="auto"/>
              <w:jc w:val="center"/>
              <w:rPr>
                <w:rFonts w:eastAsia="Times New Roman" w:cs="Calibri"/>
                <w:color w:val="000000"/>
              </w:rPr>
            </w:pPr>
            <w:r w:rsidRPr="000B1BD8">
              <w:rPr>
                <w:rFonts w:cs="Calibri"/>
                <w:color w:val="000000"/>
              </w:rPr>
              <w:t>veliko</w:t>
            </w:r>
          </w:p>
        </w:tc>
        <w:tc>
          <w:tcPr>
            <w:tcW w:w="784" w:type="pct"/>
            <w:tcBorders>
              <w:top w:val="nil"/>
              <w:left w:val="nil"/>
              <w:bottom w:val="single" w:sz="8" w:space="0" w:color="auto"/>
              <w:right w:val="single" w:sz="8" w:space="0" w:color="auto"/>
            </w:tcBorders>
            <w:shd w:val="clear" w:color="000000" w:fill="FF3F00"/>
            <w:vAlign w:val="center"/>
            <w:hideMark/>
          </w:tcPr>
          <w:p w14:paraId="0CE8B398" w14:textId="77777777" w:rsidR="00766373" w:rsidRPr="000B1BD8" w:rsidRDefault="00766373" w:rsidP="00766373">
            <w:pPr>
              <w:spacing w:after="0" w:line="240" w:lineRule="auto"/>
              <w:jc w:val="center"/>
              <w:rPr>
                <w:rFonts w:eastAsia="Times New Roman" w:cs="Calibri"/>
                <w:color w:val="000000"/>
              </w:rPr>
            </w:pPr>
            <w:r w:rsidRPr="000B1BD8">
              <w:rPr>
                <w:rFonts w:cs="Calibri"/>
                <w:color w:val="000000"/>
              </w:rPr>
              <w:t>zelo veliko</w:t>
            </w:r>
          </w:p>
        </w:tc>
      </w:tr>
    </w:tbl>
    <w:p w14:paraId="3863EB6E" w14:textId="77777777" w:rsidR="00766373" w:rsidRDefault="00766373" w:rsidP="00766373">
      <w:pPr>
        <w:spacing w:after="0"/>
      </w:pPr>
    </w:p>
    <w:p w14:paraId="6C4BAC2E" w14:textId="77777777" w:rsidR="00766373" w:rsidRDefault="00766373" w:rsidP="00766373">
      <w:pPr>
        <w:spacing w:after="0"/>
      </w:pPr>
      <w:r>
        <w:t xml:space="preserve">Tveganje za sektor je enako ranljivosti v prihodnosti, razen v primeru velikih povečanj ranljivosti, in sicer: </w:t>
      </w:r>
    </w:p>
    <w:p w14:paraId="2E195D05" w14:textId="77777777" w:rsidR="00766373" w:rsidRDefault="00766373" w:rsidP="00766373">
      <w:pPr>
        <w:spacing w:after="0"/>
      </w:pPr>
      <w:r>
        <w:t>Če se ranljivost v prihodnosti poveča za eno stopnjo, je tveganje enako prihodnji ranljivosti.</w:t>
      </w:r>
    </w:p>
    <w:p w14:paraId="1E12497B" w14:textId="77777777" w:rsidR="00766373" w:rsidRDefault="00766373" w:rsidP="00766373">
      <w:pPr>
        <w:spacing w:after="0"/>
      </w:pPr>
      <w:r>
        <w:t>Če se ranljivost v prihodnosti poveča za 2 stopnji, je tveganje veliko.</w:t>
      </w:r>
    </w:p>
    <w:p w14:paraId="3E99C428" w14:textId="77777777" w:rsidR="00766373" w:rsidRDefault="00766373" w:rsidP="00766373">
      <w:pPr>
        <w:spacing w:after="0"/>
      </w:pPr>
      <w:r>
        <w:t>Če se ranljivost v prihodnosti poveča za 3 stopnje, je tveganje zelo veliko.</w:t>
      </w:r>
    </w:p>
    <w:p w14:paraId="2C070F85" w14:textId="77777777" w:rsidR="00766373" w:rsidRDefault="00766373" w:rsidP="00766373">
      <w:pPr>
        <w:spacing w:after="0"/>
      </w:pPr>
      <w:r>
        <w:t>Na področjih, kjer bo ranljivost v prihodnosti zanemarljiva, je tveganje zanemarljivo.</w:t>
      </w:r>
    </w:p>
    <w:p w14:paraId="25EB24C1" w14:textId="77777777" w:rsidR="00766373" w:rsidRDefault="00766373" w:rsidP="00766373">
      <w:pPr>
        <w:spacing w:after="0"/>
      </w:pPr>
      <w:r>
        <w:t>Na področjih, kjer bo ranljivost v prihodnosti zelo velika, je tveganje zelo veliko.</w:t>
      </w:r>
    </w:p>
    <w:p w14:paraId="48EDC5DF" w14:textId="77777777" w:rsidR="00766373" w:rsidRDefault="00766373" w:rsidP="00766373">
      <w:pPr>
        <w:spacing w:after="0"/>
      </w:pPr>
      <w:r>
        <w:t>Kjer se ranljivost v prihodnosti zmanjša, je tveganje enako ranljivosti v prihodnosti.</w:t>
      </w:r>
    </w:p>
    <w:p w14:paraId="64CCD9F8" w14:textId="77777777" w:rsidR="00766373" w:rsidRDefault="00766373" w:rsidP="00766373">
      <w:r>
        <w:t>Kjer ranljivost ostane enaka, je tveganje enako ranljivosti (referenčni in prihodnji).</w:t>
      </w:r>
    </w:p>
    <w:p w14:paraId="35512706" w14:textId="77777777" w:rsidR="00766373" w:rsidRDefault="00766373" w:rsidP="00766373">
      <w:r w:rsidRPr="00E50D48">
        <w:lastRenderedPageBreak/>
        <w:t xml:space="preserve">Pri interpretaciji ocene tveganja se je potrebno zavedati, da je ocena podana pri predpostavki, da se ne izvajajo ukrepi za prilagajanje podnebnim spremembam in služi kot podlaga za predlagane ukrepe za posamezni sektor podane v poglavju </w:t>
      </w:r>
      <w:r>
        <w:t>7</w:t>
      </w:r>
      <w:r w:rsidRPr="00E50D48">
        <w:t xml:space="preserve"> in njihovo prioritetno listo.</w:t>
      </w:r>
    </w:p>
    <w:p w14:paraId="5A67E0F8" w14:textId="77777777" w:rsidR="00766373" w:rsidRDefault="00766373" w:rsidP="00766373"/>
    <w:p w14:paraId="5E2E67AD" w14:textId="77777777" w:rsidR="00766373" w:rsidRDefault="00766373" w:rsidP="00766373">
      <w:pPr>
        <w:pStyle w:val="Naslov2"/>
      </w:pPr>
      <w:bookmarkStart w:id="105" w:name="_Toc54953814"/>
      <w:bookmarkStart w:id="106" w:name="_Toc97026744"/>
      <w:r>
        <w:t>Viri</w:t>
      </w:r>
      <w:bookmarkEnd w:id="105"/>
      <w:bookmarkEnd w:id="106"/>
    </w:p>
    <w:p w14:paraId="354C5308" w14:textId="77777777" w:rsidR="00766373" w:rsidRDefault="00766373" w:rsidP="00766373">
      <w:r>
        <w:t xml:space="preserve">Bertoldi P. (editor), </w:t>
      </w:r>
      <w:proofErr w:type="spellStart"/>
      <w:r>
        <w:t>Guidebook</w:t>
      </w:r>
      <w:proofErr w:type="spellEnd"/>
      <w:r>
        <w:t xml:space="preserve"> 'How to </w:t>
      </w:r>
      <w:proofErr w:type="spellStart"/>
      <w:r>
        <w:t>develop</w:t>
      </w:r>
      <w:proofErr w:type="spellEnd"/>
      <w:r>
        <w:t xml:space="preserve"> a </w:t>
      </w:r>
      <w:proofErr w:type="spellStart"/>
      <w:r>
        <w:t>Sustainable</w:t>
      </w:r>
      <w:proofErr w:type="spellEnd"/>
      <w:r>
        <w:t xml:space="preserve"> </w:t>
      </w:r>
      <w:proofErr w:type="spellStart"/>
      <w:r>
        <w:t>Energy</w:t>
      </w:r>
      <w:proofErr w:type="spellEnd"/>
      <w:r>
        <w:t xml:space="preserve"> </w:t>
      </w:r>
      <w:proofErr w:type="spellStart"/>
      <w:r>
        <w:t>and</w:t>
      </w:r>
      <w:proofErr w:type="spellEnd"/>
      <w:r>
        <w:t xml:space="preserve"> </w:t>
      </w:r>
      <w:proofErr w:type="spellStart"/>
      <w:r>
        <w:t>Climate</w:t>
      </w:r>
      <w:proofErr w:type="spellEnd"/>
      <w:r>
        <w:t xml:space="preserve"> </w:t>
      </w:r>
      <w:proofErr w:type="spellStart"/>
      <w:r>
        <w:t>Action</w:t>
      </w:r>
      <w:proofErr w:type="spellEnd"/>
      <w:r>
        <w:t xml:space="preserve"> Plan (SECAP) – Part 2 - </w:t>
      </w:r>
      <w:proofErr w:type="spellStart"/>
      <w:r>
        <w:t>Baseline</w:t>
      </w:r>
      <w:proofErr w:type="spellEnd"/>
      <w:r>
        <w:t xml:space="preserve"> </w:t>
      </w:r>
      <w:proofErr w:type="spellStart"/>
      <w:r>
        <w:t>Emission</w:t>
      </w:r>
      <w:proofErr w:type="spellEnd"/>
      <w:r>
        <w:t xml:space="preserve"> </w:t>
      </w:r>
      <w:proofErr w:type="spellStart"/>
      <w:r>
        <w:t>Inventory</w:t>
      </w:r>
      <w:proofErr w:type="spellEnd"/>
      <w:r>
        <w:t xml:space="preserve"> (BEI) </w:t>
      </w:r>
      <w:proofErr w:type="spellStart"/>
      <w:r>
        <w:t>and</w:t>
      </w:r>
      <w:proofErr w:type="spellEnd"/>
      <w:r>
        <w:t xml:space="preserve"> </w:t>
      </w:r>
      <w:proofErr w:type="spellStart"/>
      <w:r>
        <w:t>Risk</w:t>
      </w:r>
      <w:proofErr w:type="spellEnd"/>
      <w:r>
        <w:t xml:space="preserve"> </w:t>
      </w:r>
      <w:proofErr w:type="spellStart"/>
      <w:r>
        <w:t>and</w:t>
      </w:r>
      <w:proofErr w:type="spellEnd"/>
      <w:r>
        <w:t xml:space="preserve"> </w:t>
      </w:r>
      <w:proofErr w:type="spellStart"/>
      <w:r>
        <w:t>Vulnerability</w:t>
      </w:r>
      <w:proofErr w:type="spellEnd"/>
      <w:r>
        <w:t xml:space="preserve"> </w:t>
      </w:r>
      <w:proofErr w:type="spellStart"/>
      <w:r>
        <w:t>Assessment</w:t>
      </w:r>
      <w:proofErr w:type="spellEnd"/>
      <w:r>
        <w:t xml:space="preserve"> (RVA), EUR 29412 EN, </w:t>
      </w:r>
      <w:proofErr w:type="spellStart"/>
      <w:r>
        <w:t>Publications</w:t>
      </w:r>
      <w:proofErr w:type="spellEnd"/>
      <w:r>
        <w:t xml:space="preserve"> Office of </w:t>
      </w:r>
      <w:proofErr w:type="spellStart"/>
      <w:r>
        <w:t>the</w:t>
      </w:r>
      <w:proofErr w:type="spellEnd"/>
      <w:r>
        <w:t xml:space="preserve"> </w:t>
      </w:r>
      <w:proofErr w:type="spellStart"/>
      <w:r>
        <w:t>European</w:t>
      </w:r>
      <w:proofErr w:type="spellEnd"/>
      <w:r>
        <w:t xml:space="preserve"> Union, Luxembourg, 2018.</w:t>
      </w:r>
    </w:p>
    <w:p w14:paraId="4C1A250F" w14:textId="77777777" w:rsidR="00766373" w:rsidRPr="00B14994" w:rsidRDefault="00766373" w:rsidP="00766373">
      <w:pPr>
        <w:rPr>
          <w:lang w:eastAsia="sl-SI"/>
        </w:rPr>
      </w:pPr>
    </w:p>
    <w:p w14:paraId="6B67B27C" w14:textId="2EF73AD5" w:rsidR="006B7E34" w:rsidRPr="00B14994" w:rsidRDefault="00476628">
      <w:pPr>
        <w:rPr>
          <w:rFonts w:eastAsia="Calibri" w:cstheme="majorBidi"/>
          <w:b/>
          <w:bCs/>
          <w:color w:val="2F5496" w:themeColor="accent1" w:themeShade="BF"/>
          <w:sz w:val="32"/>
          <w:szCs w:val="32"/>
          <w:lang w:eastAsia="sl-SI"/>
        </w:rPr>
      </w:pPr>
      <w:r w:rsidRPr="00B14994">
        <w:rPr>
          <w:rFonts w:eastAsia="Calibri"/>
          <w:lang w:eastAsia="sl-SI"/>
        </w:rPr>
        <w:br w:type="page"/>
      </w:r>
    </w:p>
    <w:p w14:paraId="48495CB4" w14:textId="004ADDF8" w:rsidR="00FC7B8E" w:rsidRDefault="00FC7B8E" w:rsidP="006B7E34">
      <w:pPr>
        <w:pStyle w:val="Naslov1"/>
        <w:rPr>
          <w:rFonts w:eastAsia="Calibri"/>
          <w:lang w:eastAsia="sl-SI"/>
        </w:rPr>
      </w:pPr>
      <w:bookmarkStart w:id="107" w:name="_Toc97026745"/>
      <w:r w:rsidRPr="00B14994">
        <w:rPr>
          <w:rFonts w:eastAsia="Calibri"/>
          <w:lang w:eastAsia="sl-SI"/>
        </w:rPr>
        <w:lastRenderedPageBreak/>
        <w:t xml:space="preserve">Analiza ranljivosti na podnebne spremembe in </w:t>
      </w:r>
      <w:r w:rsidR="00A43187">
        <w:rPr>
          <w:rFonts w:eastAsia="Calibri"/>
          <w:lang w:eastAsia="sl-SI"/>
        </w:rPr>
        <w:t xml:space="preserve">ocena </w:t>
      </w:r>
      <w:r w:rsidRPr="00B14994">
        <w:rPr>
          <w:rFonts w:eastAsia="Calibri"/>
          <w:lang w:eastAsia="sl-SI"/>
        </w:rPr>
        <w:t>tveganja za posamezne sektorje</w:t>
      </w:r>
      <w:bookmarkEnd w:id="107"/>
    </w:p>
    <w:p w14:paraId="01C39504" w14:textId="1648B088" w:rsidR="005913CE" w:rsidRDefault="00885C8F" w:rsidP="00F95F02">
      <w:pPr>
        <w:rPr>
          <w:lang w:eastAsia="sl-SI"/>
        </w:rPr>
      </w:pPr>
      <w:r>
        <w:rPr>
          <w:lang w:eastAsia="sl-SI"/>
        </w:rPr>
        <w:t>V</w:t>
      </w:r>
      <w:r w:rsidRPr="00885C8F">
        <w:rPr>
          <w:lang w:eastAsia="sl-SI"/>
        </w:rPr>
        <w:t xml:space="preserve"> Analiz</w:t>
      </w:r>
      <w:r>
        <w:rPr>
          <w:lang w:eastAsia="sl-SI"/>
        </w:rPr>
        <w:t>i</w:t>
      </w:r>
      <w:r w:rsidRPr="00885C8F">
        <w:rPr>
          <w:lang w:eastAsia="sl-SI"/>
        </w:rPr>
        <w:t xml:space="preserve"> ranljivosti </w:t>
      </w:r>
      <w:r w:rsidR="00BA3D1F">
        <w:rPr>
          <w:lang w:eastAsia="sl-SI"/>
        </w:rPr>
        <w:t>in tveganja zaradi</w:t>
      </w:r>
      <w:r w:rsidRPr="00885C8F">
        <w:rPr>
          <w:lang w:eastAsia="sl-SI"/>
        </w:rPr>
        <w:t xml:space="preserve"> podnebn</w:t>
      </w:r>
      <w:r w:rsidR="00BA3D1F">
        <w:rPr>
          <w:lang w:eastAsia="sl-SI"/>
        </w:rPr>
        <w:t>ih</w:t>
      </w:r>
      <w:r w:rsidRPr="00885C8F">
        <w:rPr>
          <w:lang w:eastAsia="sl-SI"/>
        </w:rPr>
        <w:t xml:space="preserve"> sprememb</w:t>
      </w:r>
      <w:r>
        <w:rPr>
          <w:lang w:eastAsia="sl-SI"/>
        </w:rPr>
        <w:t xml:space="preserve"> </w:t>
      </w:r>
      <w:r w:rsidRPr="00885C8F">
        <w:rPr>
          <w:lang w:eastAsia="sl-SI"/>
        </w:rPr>
        <w:t xml:space="preserve">je ločeno obravnavnih </w:t>
      </w:r>
      <w:r w:rsidR="00766373">
        <w:rPr>
          <w:lang w:eastAsia="sl-SI"/>
        </w:rPr>
        <w:t>sedem</w:t>
      </w:r>
      <w:r w:rsidRPr="00885C8F">
        <w:rPr>
          <w:lang w:eastAsia="sl-SI"/>
        </w:rPr>
        <w:t xml:space="preserve"> sektorjev: kmetijstvo, gozdarstvo, zdravstvo, turizem, vodni viri</w:t>
      </w:r>
      <w:r w:rsidR="00766373">
        <w:rPr>
          <w:lang w:eastAsia="sl-SI"/>
        </w:rPr>
        <w:t xml:space="preserve">, vodovod in </w:t>
      </w:r>
      <w:r w:rsidRPr="00885C8F">
        <w:rPr>
          <w:lang w:eastAsia="sl-SI"/>
        </w:rPr>
        <w:t>po</w:t>
      </w:r>
      <w:r w:rsidR="00D81CDF">
        <w:rPr>
          <w:lang w:eastAsia="sl-SI"/>
        </w:rPr>
        <w:t>plavna varnost, k</w:t>
      </w:r>
      <w:r w:rsidRPr="00885C8F">
        <w:rPr>
          <w:lang w:eastAsia="sl-SI"/>
        </w:rPr>
        <w:t>i so bili prepoznani kot sektorji z največjim vplivom podnebnih sprememb.</w:t>
      </w:r>
    </w:p>
    <w:p w14:paraId="22570267" w14:textId="77777777" w:rsidR="004A4840" w:rsidRDefault="004A4840" w:rsidP="00766373">
      <w:pPr>
        <w:rPr>
          <w:lang w:eastAsia="sl-SI"/>
        </w:rPr>
      </w:pPr>
    </w:p>
    <w:p w14:paraId="68A6A92B" w14:textId="7EAB568D" w:rsidR="004A4840" w:rsidRPr="004A4840" w:rsidRDefault="00A43187" w:rsidP="00CE43D7">
      <w:pPr>
        <w:pStyle w:val="Naslov2"/>
      </w:pPr>
      <w:bookmarkStart w:id="108" w:name="_Toc97026746"/>
      <w:r>
        <w:rPr>
          <w:rFonts w:eastAsia="Calibri"/>
          <w:lang w:eastAsia="sl-SI"/>
        </w:rPr>
        <w:t xml:space="preserve">Sektor </w:t>
      </w:r>
      <w:r w:rsidRPr="004F4D57">
        <w:t>k</w:t>
      </w:r>
      <w:r w:rsidR="00FC7B8E" w:rsidRPr="004F4D57">
        <w:t>metijstvo</w:t>
      </w:r>
      <w:bookmarkEnd w:id="108"/>
    </w:p>
    <w:p w14:paraId="285C5A09" w14:textId="4299E3B5" w:rsidR="00FA4E45" w:rsidRDefault="00FA4E45" w:rsidP="004F4D57">
      <w:pPr>
        <w:pStyle w:val="Naslov3"/>
      </w:pPr>
      <w:bookmarkStart w:id="109" w:name="_Toc41636201"/>
      <w:bookmarkStart w:id="110" w:name="_Toc97026747"/>
      <w:r w:rsidRPr="004F4D57">
        <w:t>Metodologija</w:t>
      </w:r>
      <w:r w:rsidRPr="00B464E1">
        <w:t xml:space="preserve"> sektorja</w:t>
      </w:r>
      <w:bookmarkEnd w:id="109"/>
      <w:r w:rsidR="00A43187">
        <w:t xml:space="preserve"> kmetijstvo</w:t>
      </w:r>
      <w:bookmarkEnd w:id="110"/>
    </w:p>
    <w:p w14:paraId="666F88C9" w14:textId="77777777" w:rsidR="00A920F6" w:rsidRDefault="00A920F6" w:rsidP="00A920F6">
      <w:r>
        <w:t>Pred pričetkom analize smo na podlagi delavnice z lokalnimi deležniki, ki je potekala 6. 10. 2020 prek spleta, opredelili nekaj težav v kmetijstvu v Mestni občini Nova Gorica:</w:t>
      </w:r>
    </w:p>
    <w:p w14:paraId="5FDF734A" w14:textId="77777777" w:rsidR="00A920F6" w:rsidRPr="0038741D" w:rsidRDefault="00A920F6" w:rsidP="00A920F6">
      <w:r>
        <w:t>1)</w:t>
      </w:r>
      <w:r w:rsidRPr="0038741D">
        <w:t xml:space="preserve"> </w:t>
      </w:r>
      <w:r>
        <w:t>Velika težava so spremenljivi ekstremi padavin – po eni strani s</w:t>
      </w:r>
      <w:r w:rsidRPr="0038741D">
        <w:t>uše</w:t>
      </w:r>
      <w:r>
        <w:t xml:space="preserve">, po drugi strani pa poplave ob Vipavi ob presežkih padavin, oboje se </w:t>
      </w:r>
      <w:r w:rsidRPr="0038741D">
        <w:t>s podnebnimi spremembami slabša</w:t>
      </w:r>
      <w:r>
        <w:t>.</w:t>
      </w:r>
      <w:r w:rsidRPr="00FD2064">
        <w:t xml:space="preserve"> </w:t>
      </w:r>
      <w:r w:rsidRPr="003E597F">
        <w:t>Tla v občini so zelo raznolika, zato prihaj</w:t>
      </w:r>
      <w:r>
        <w:t>a do težav z zalogo vode v tleh</w:t>
      </w:r>
      <w:r w:rsidRPr="003E597F">
        <w:t>. Kmetje se trudijo za racionalno namakanje s kapljičnim sistemom</w:t>
      </w:r>
      <w:r w:rsidRPr="0038741D">
        <w:t xml:space="preserve">, </w:t>
      </w:r>
      <w:r>
        <w:t>pri čemer pa veliko težavo povzroča pomanjkanje vodnih virov, ureditev stanja z za</w:t>
      </w:r>
      <w:r w:rsidRPr="003E597F">
        <w:t>drževalnik</w:t>
      </w:r>
      <w:r>
        <w:t>om</w:t>
      </w:r>
      <w:r w:rsidRPr="003E597F">
        <w:t xml:space="preserve"> </w:t>
      </w:r>
      <w:proofErr w:type="spellStart"/>
      <w:r w:rsidRPr="003E597F">
        <w:t>Vogršček</w:t>
      </w:r>
      <w:proofErr w:type="spellEnd"/>
      <w:r>
        <w:t xml:space="preserve"> pa </w:t>
      </w:r>
      <w:r w:rsidRPr="003E597F">
        <w:t>bi pripomogl</w:t>
      </w:r>
      <w:r>
        <w:t>a</w:t>
      </w:r>
      <w:r w:rsidRPr="003E597F">
        <w:t xml:space="preserve"> k </w:t>
      </w:r>
      <w:r>
        <w:t>izboljšanj</w:t>
      </w:r>
      <w:r w:rsidRPr="003E597F">
        <w:t>u</w:t>
      </w:r>
      <w:r>
        <w:t xml:space="preserve"> stanja. </w:t>
      </w:r>
    </w:p>
    <w:p w14:paraId="1A56C9C8" w14:textId="77777777" w:rsidR="00A920F6" w:rsidRDefault="00A920F6" w:rsidP="00A920F6">
      <w:r>
        <w:t>2)</w:t>
      </w:r>
      <w:r w:rsidRPr="0038741D">
        <w:t xml:space="preserve"> </w:t>
      </w:r>
      <w:r>
        <w:t>Druga velika težava je v</w:t>
      </w:r>
      <w:r w:rsidRPr="003E597F">
        <w:t>eter</w:t>
      </w:r>
      <w:r>
        <w:t>, ki povzroča vetrno erozijo; sledijo še tujerodne invazivne rastline in škoda, ki jo povzroča divjad.</w:t>
      </w:r>
    </w:p>
    <w:p w14:paraId="0E87C6B7" w14:textId="77777777" w:rsidR="00A920F6" w:rsidRPr="0038741D" w:rsidRDefault="00A920F6" w:rsidP="00A920F6">
      <w:r>
        <w:t>3) Z organizacijskega vidika je največja težava z organiziranim odkupom.</w:t>
      </w:r>
      <w:r w:rsidRPr="003E597F">
        <w:t xml:space="preserve"> </w:t>
      </w:r>
    </w:p>
    <w:p w14:paraId="09DF11C8" w14:textId="77777777" w:rsidR="00A920F6" w:rsidRDefault="00A920F6" w:rsidP="00A920F6">
      <w:r>
        <w:t>Pristop, uporabljen za določitev ranljivosti, temelji na metodologiji IPCC (</w:t>
      </w:r>
      <w:proofErr w:type="spellStart"/>
      <w:r>
        <w:t>Parry</w:t>
      </w:r>
      <w:proofErr w:type="spellEnd"/>
      <w:r>
        <w:t xml:space="preserve"> in sod., 2007), na kateri sloni tudi Konvencija županov, pri kateri za določanje ranljivosti upoštevamo sposobnost prilagajanja, občutljivost in izpostavljenost. Velika izpostavljenost in občutljivost skupaj z omejenimi možnostmi prilagajanja naredita območje zelo ranljivo, v nasprotnem primeru pa dobre možnosti prilagajanja ter majhna izpostavljenost in občutljivost pomenijo manjšo ranljivost. Z dodanimi projekcijami podnebnih sprememb lahko iz ranljivosti določimo stopnjo tveganja.</w:t>
      </w:r>
    </w:p>
    <w:p w14:paraId="4DB9DB14" w14:textId="77777777" w:rsidR="00A920F6" w:rsidRDefault="00A920F6" w:rsidP="00A920F6">
      <w:pPr>
        <w:pStyle w:val="Naslov4"/>
      </w:pPr>
      <w:bookmarkStart w:id="111" w:name="_Toc39744519"/>
      <w:r>
        <w:t xml:space="preserve">Kazalnik izpostavljenosti kmetijstva na podnebne </w:t>
      </w:r>
      <w:r w:rsidRPr="00A920F6">
        <w:t>spremembe</w:t>
      </w:r>
      <w:bookmarkEnd w:id="111"/>
    </w:p>
    <w:p w14:paraId="6E167BA9" w14:textId="77777777" w:rsidR="00A920F6" w:rsidRDefault="00A920F6" w:rsidP="00A920F6">
      <w:r>
        <w:t>Z izračunom kazalnika izpostavljenosti kmetijstva podnebnim vplivom (IKP) določamo, kakšen vpliv imajo različni podnebni dejavniki na kmetijstvo na izbranem območju glede na razmere v celotni Sloveniji. Lestvica je enaka kot pri kazalniku potencialnih vplivov. Pri tem smo za določanje izpostavljenosti uporabili klimatološke modelske podatke o stanju v referenčnem obdobju 1981</w:t>
      </w:r>
      <w:r>
        <w:rPr>
          <w:rFonts w:asciiTheme="minorHAnsi" w:hAnsiTheme="minorHAnsi"/>
        </w:rPr>
        <w:t>–</w:t>
      </w:r>
      <w:r>
        <w:t xml:space="preserve">2010 na območju Mestne občine Nova Gorica (povprečje za celotno območje), ki so nam bili na voljo tudi v projekcijah prihodnjega podnebja, da z njimi lahko opredelimo pričakovano tveganje. Za standardizacijo spremenljivk smo kot najmanjšo in največjo vrednost uporabili izmerjene vrednosti v Sloveniji v obravnavanem obdobju. Te smo pridobili v arhivu ARSO in njihovi publikaciji </w:t>
      </w:r>
      <w:r w:rsidRPr="006B4A38">
        <w:t xml:space="preserve">Podnebna spremenljivost Slovenije </w:t>
      </w:r>
      <w:r>
        <w:t xml:space="preserve">(Vertačnik in </w:t>
      </w:r>
      <w:proofErr w:type="spellStart"/>
      <w:r>
        <w:t>Bertalanič</w:t>
      </w:r>
      <w:proofErr w:type="spellEnd"/>
      <w:r>
        <w:t>, 2017). Ker za nekatere spremenljivke teh vrednosti ni na voljo, jih nismo vključili v izračun kazalnika izpostavljenosti, ampak smo jih predstavili le opisno glede na njihov doprinos k ranljivosti. Večinoma obravnavamo spremenljivke v glavni rastni dobi, torej spomladi in poleti, ko je kmetijstvo najbolj izpostavljeno morebitnim negativnim podnebnim vplivom.</w:t>
      </w:r>
    </w:p>
    <w:p w14:paraId="6F92E3B9" w14:textId="77777777" w:rsidR="00A920F6" w:rsidRDefault="00A920F6" w:rsidP="00A920F6">
      <w:r>
        <w:lastRenderedPageBreak/>
        <w:t xml:space="preserve">Kot osnovne spremenljivke smo glede preskrbljenosti kmetijskih rastlin z vodo v času rasti in razvoja uporabili povprečno pomladno in poletno količino padavin ter povprečno poletno referenčno </w:t>
      </w:r>
      <w:proofErr w:type="spellStart"/>
      <w:r>
        <w:t>evapotranspiracijo</w:t>
      </w:r>
      <w:proofErr w:type="spellEnd"/>
      <w:r>
        <w:t>. Slednja predstavlja izhlapelo vodo z vodnih površin in iz rastlin, kar ob visokih vrednostih v kombinaciji z nizkimi količinami padavin pomeni izpostavljenost suši. Razporejenost padavin tekom leta opišemo s številom dni s padavinami. V kazalnik smo vključili tudi povprečno poletno temperaturo zraka in povprečno letno število vročih dni (dnevna najvišja temperatura preseže 30 °C), ki predstavljata izpostavljenost vročini. Za kmetijski pridelek so kritične visoke temperature v daljšem časovnem obdobju, ki povzročajo motnje fotosinteze, zmanjšano rast biomase zelenjadnic, prizadeta je tudi kakovost pridelka (Sušnik in Pogačar, 2011).</w:t>
      </w:r>
    </w:p>
    <w:p w14:paraId="71372E9C" w14:textId="77777777" w:rsidR="00A920F6" w:rsidRDefault="00A920F6" w:rsidP="00A920F6">
      <w:r>
        <w:t>Izpostavljenost veliki količini padavin pomeni možnost poplavljenih kmetijskih zemljišč, v tem primeru smo obravnavali povprečno letno število dni s padavinami nad 50 mm. Poplave povzročijo mehanično uničenje, onesnaženje pridelka, povečano verjetnost pojava nekaterih bolezni in škodljivcev, slabšo rast posevka zaradi spremenjenih lastnosti tal in težave pri spravilu pridelkov. Ker nismo mogli pridobiti podatkov o številu neviht ali viharnem vetru, za katere projekcije še niso na voljo, izpostavljenosti neurjem nismo ocenili. Predvsem v poletnem času je škoda v kmetijstvu zaradi neurij z močnimi padavinami, močnim vetrom ali v kombinaciji s točo lahko zelo velika, vendar gre za izrazito lokalen pojav, zato je uporaba povprečnih vrednosti za oceno izpostavljenosti zelo nezanesljiva.</w:t>
      </w:r>
    </w:p>
    <w:p w14:paraId="6D0400FE" w14:textId="77777777" w:rsidR="00A920F6" w:rsidRDefault="00A920F6" w:rsidP="00A920F6">
      <w:r>
        <w:t xml:space="preserve">Sočasno z globalnim segrevanjem se podaljšuje rastna doba. </w:t>
      </w:r>
      <w:r w:rsidRPr="00E52FF2">
        <w:t xml:space="preserve">Dolžina rastne dobe je število dni med nastopom spomladanskega in jesenskega temperaturnega praga (5 °C). Spomladanski temperaturni prag nastopi na prvi dan vsaj 6 dni dolgega obdobja v spomladanskem obdobju leta, po katerem povprečna dnevna temperatura zraka najmanj 6 zaporednih </w:t>
      </w:r>
      <w:r>
        <w:t xml:space="preserve">dni </w:t>
      </w:r>
      <w:r w:rsidRPr="00E52FF2">
        <w:t>ni več nižja od 5 °C. S tem so izločene vsaj 6 dni trajajoče zgodnje zimske otoplitve. Jesenski temperaturni prag je presežen, ko je jeseni vsaj šest dni zaporedoma povprečna dnevna temperatura zraka nižja od 5 °C.</w:t>
      </w:r>
      <w:r>
        <w:t xml:space="preserve"> Podaljševanje rastne dobe lahko v krajih z nižjimi dosedanjimi temperaturami pomeni možnost novih kultur, zgodnejšega sajenja, dveh zaporednih setev in podaljševanja rasti v jesen, kar obravnavamo s spremenljivko dolžina rastne dobe za temperaturni prag 5 °C. Hkrati zgodnejša setev in razvoj pomenita dodatno tveganje za škodo zaradi pozebe, ki je v Sloveniji lokalno pogosta. Posebej občutljive kulture so oljka, vinska trta in sadno drevje, zato je v kazalniku dodano tudi število dni s pomladansko pozebo (prag 0 °C).</w:t>
      </w:r>
    </w:p>
    <w:p w14:paraId="4DA706E2" w14:textId="77777777" w:rsidR="00A920F6" w:rsidRDefault="00A920F6" w:rsidP="00A920F6">
      <w:r>
        <w:t>Dodatno smo obravnavali izpostavljenost vetru, ki je na Goriškem večjega pomena.</w:t>
      </w:r>
    </w:p>
    <w:p w14:paraId="1BBFFAA0" w14:textId="77777777" w:rsidR="00A920F6" w:rsidRPr="00704750" w:rsidRDefault="00A920F6" w:rsidP="00A920F6">
      <w:pPr>
        <w:pStyle w:val="Naslov4"/>
        <w:ind w:left="1701"/>
      </w:pPr>
      <w:bookmarkStart w:id="112" w:name="_Toc39744520"/>
      <w:r>
        <w:t>Kazalnik občutljivosti kmetijstva na podnebje</w:t>
      </w:r>
      <w:bookmarkEnd w:id="112"/>
    </w:p>
    <w:p w14:paraId="2EFE7C88" w14:textId="5596896B" w:rsidR="00A920F6" w:rsidRPr="00DB67D9" w:rsidRDefault="00A920F6" w:rsidP="00A920F6">
      <w:r w:rsidRPr="00476159">
        <w:t xml:space="preserve">Kazalnik občutljivosti kmetijstva na podnebje </w:t>
      </w:r>
      <w:r>
        <w:t>(</w:t>
      </w:r>
      <w:r>
        <w:fldChar w:fldCharType="begin"/>
      </w:r>
      <w:r>
        <w:instrText xml:space="preserve"> REF _Ref38613923 \h </w:instrText>
      </w:r>
      <w:r>
        <w:fldChar w:fldCharType="separate"/>
      </w:r>
      <w:r w:rsidR="004700D5" w:rsidRPr="00357962">
        <w:t xml:space="preserve">Preglednica </w:t>
      </w:r>
      <w:r w:rsidR="004700D5">
        <w:rPr>
          <w:noProof/>
        </w:rPr>
        <w:t>6</w:t>
      </w:r>
      <w:r w:rsidR="004700D5">
        <w:t>.</w:t>
      </w:r>
      <w:r w:rsidR="004700D5">
        <w:rPr>
          <w:noProof/>
        </w:rPr>
        <w:t>1</w:t>
      </w:r>
      <w:r>
        <w:fldChar w:fldCharType="end"/>
      </w:r>
      <w:r>
        <w:t xml:space="preserve">) (prirejeno po Kociper, 2020) </w:t>
      </w:r>
      <w:r w:rsidRPr="00476159">
        <w:t>nam pove, do katere stopnje je kmetijstvo prizadeto zaradi podnebja.</w:t>
      </w:r>
      <w:r>
        <w:t xml:space="preserve"> Lestvica je enaka kot pri kazalniku potencialnih vplivov.</w:t>
      </w:r>
      <w:r w:rsidRPr="00DB67D9">
        <w:t xml:space="preserve"> Kazalnik</w:t>
      </w:r>
      <w:r>
        <w:t xml:space="preserve"> </w:t>
      </w:r>
      <w:r w:rsidRPr="00DB67D9">
        <w:t xml:space="preserve">je sestavljen iz treh </w:t>
      </w:r>
      <w:proofErr w:type="spellStart"/>
      <w:r w:rsidRPr="00DB67D9">
        <w:t>podkazalnikov</w:t>
      </w:r>
      <w:proofErr w:type="spellEnd"/>
      <w:r w:rsidRPr="00DB67D9">
        <w:t xml:space="preserve">: </w:t>
      </w:r>
      <w:r>
        <w:t xml:space="preserve">(i) </w:t>
      </w:r>
      <w:r w:rsidRPr="00DB67D9">
        <w:t xml:space="preserve">ogroženost zaradi naravnih pogojev, </w:t>
      </w:r>
      <w:r>
        <w:t xml:space="preserve">(ii) </w:t>
      </w:r>
      <w:r w:rsidRPr="00DB67D9">
        <w:t>spremembe v kmeti</w:t>
      </w:r>
      <w:r>
        <w:t>jstvu in (iii) starostna struktura prebivalstva ter njihovih spremenljivk.</w:t>
      </w:r>
    </w:p>
    <w:p w14:paraId="73FC2DEB" w14:textId="77777777" w:rsidR="00A920F6" w:rsidRPr="006472E0" w:rsidRDefault="00A920F6" w:rsidP="00A920F6">
      <w:proofErr w:type="spellStart"/>
      <w:r w:rsidRPr="006472E0">
        <w:t>Podkazalnik</w:t>
      </w:r>
      <w:proofErr w:type="spellEnd"/>
      <w:r w:rsidRPr="006472E0">
        <w:t xml:space="preserve"> (i) ogroženost zaradi naravnih pogojev sestavljajo štiri spremenljivke:</w:t>
      </w:r>
    </w:p>
    <w:p w14:paraId="2C7A7946" w14:textId="77777777" w:rsidR="00A920F6" w:rsidRPr="0007185F" w:rsidRDefault="00A920F6" w:rsidP="00A920F6">
      <w:pPr>
        <w:pStyle w:val="Odstavekseznama"/>
        <w:numPr>
          <w:ilvl w:val="0"/>
          <w:numId w:val="8"/>
        </w:numPr>
      </w:pPr>
      <w:r w:rsidRPr="003D6B4D">
        <w:rPr>
          <w:rFonts w:ascii="Trebuchet MS" w:hAnsi="Trebuchet MS"/>
        </w:rPr>
        <w:t>delež poplavno ogroženih kmetijskih zemljišč (%) leta 2017,</w:t>
      </w:r>
    </w:p>
    <w:p w14:paraId="718B314B" w14:textId="77777777" w:rsidR="00A920F6" w:rsidRPr="0007185F" w:rsidRDefault="00A920F6" w:rsidP="00A920F6">
      <w:pPr>
        <w:pStyle w:val="Odstavekseznama"/>
        <w:numPr>
          <w:ilvl w:val="0"/>
          <w:numId w:val="8"/>
        </w:numPr>
      </w:pPr>
      <w:r w:rsidRPr="003D6B4D">
        <w:rPr>
          <w:rFonts w:ascii="Trebuchet MS" w:hAnsi="Trebuchet MS"/>
        </w:rPr>
        <w:t>boniteta kmetijskih zemljišč kot odstotek zemljišč z boniteto manjšo kot 40,</w:t>
      </w:r>
    </w:p>
    <w:p w14:paraId="03EEF34D" w14:textId="77777777" w:rsidR="00A920F6" w:rsidRPr="0007185F" w:rsidRDefault="00A920F6" w:rsidP="00A920F6">
      <w:pPr>
        <w:pStyle w:val="Odstavekseznama"/>
        <w:numPr>
          <w:ilvl w:val="0"/>
          <w:numId w:val="8"/>
        </w:numPr>
      </w:pPr>
      <w:r w:rsidRPr="003D6B4D">
        <w:rPr>
          <w:rFonts w:ascii="Trebuchet MS" w:hAnsi="Trebuchet MS"/>
        </w:rPr>
        <w:lastRenderedPageBreak/>
        <w:t>delež kmetijskih zemljišč v uporabi v območjih z omejenimi možnostmi za kmetijsko dejavnosti (OMD) (%) leta 2016, in</w:t>
      </w:r>
    </w:p>
    <w:p w14:paraId="00F87791" w14:textId="77777777" w:rsidR="00A920F6" w:rsidRPr="00E154A7" w:rsidRDefault="00A920F6" w:rsidP="00A920F6">
      <w:pPr>
        <w:pStyle w:val="Odstavekseznama"/>
        <w:numPr>
          <w:ilvl w:val="0"/>
          <w:numId w:val="8"/>
        </w:numPr>
      </w:pPr>
      <w:r w:rsidRPr="003D6B4D">
        <w:rPr>
          <w:rFonts w:ascii="Trebuchet MS" w:hAnsi="Trebuchet MS"/>
        </w:rPr>
        <w:t>delež povprečne letne škode zaradi vremensko pogojenih naravnih nesreč v povprečnem bruto domačem proizvodu (%) v obdobju 2009</w:t>
      </w:r>
      <w:r w:rsidRPr="00904912">
        <w:rPr>
          <w:rFonts w:asciiTheme="minorHAnsi" w:eastAsiaTheme="minorHAnsi" w:hAnsiTheme="minorHAnsi" w:cstheme="minorBidi"/>
        </w:rPr>
        <w:t>–</w:t>
      </w:r>
      <w:r w:rsidRPr="003D6B4D">
        <w:rPr>
          <w:rFonts w:ascii="Trebuchet MS" w:hAnsi="Trebuchet MS"/>
        </w:rPr>
        <w:t xml:space="preserve">2016. </w:t>
      </w:r>
    </w:p>
    <w:p w14:paraId="570F97B1" w14:textId="77777777" w:rsidR="00A920F6" w:rsidRDefault="00A920F6" w:rsidP="00A920F6">
      <w:r w:rsidRPr="00DB67D9">
        <w:t xml:space="preserve">Večji </w:t>
      </w:r>
      <w:r>
        <w:t>d</w:t>
      </w:r>
      <w:r w:rsidRPr="00DA1D9C">
        <w:t>elež poplavno ogrož</w:t>
      </w:r>
      <w:r>
        <w:t>enih kmetijskih zemljišč</w:t>
      </w:r>
      <w:r w:rsidRPr="00DB67D9">
        <w:t xml:space="preserve"> pomeni večjo občutljivost kmetijstva na </w:t>
      </w:r>
      <w:r>
        <w:t xml:space="preserve">negativne </w:t>
      </w:r>
      <w:r w:rsidRPr="001A3B64">
        <w:t>učinke poplav</w:t>
      </w:r>
      <w:r>
        <w:t>, ki so lahko posredni (npr. onesnaženje pridelka) ali neposredni (npr. fizično uničenje posevka, pridelka) (Kociper, 2020)</w:t>
      </w:r>
      <w:r w:rsidRPr="001A3B64">
        <w:t xml:space="preserve">. </w:t>
      </w:r>
      <w:r>
        <w:t>Boniteta zemljišča je podatek o pridelovalni sposobnosti zemljišča, ki se določi v obliki bonitetnih točk. Če je d</w:t>
      </w:r>
      <w:r w:rsidRPr="00172E3E">
        <w:t>elež kmetijski</w:t>
      </w:r>
      <w:r>
        <w:t>h zemljišč z nizko boniteto veli</w:t>
      </w:r>
      <w:r w:rsidRPr="00172E3E">
        <w:t xml:space="preserve">k, </w:t>
      </w:r>
      <w:r>
        <w:t>to</w:t>
      </w:r>
      <w:r w:rsidRPr="00172E3E">
        <w:t xml:space="preserve"> pomeni da ima veliko kmetijskih zemljišč na območju nizko proizvodno sposobnost zaradi neugodnih lastnosti tal, klime, reliefa in posebnih vplivov</w:t>
      </w:r>
      <w:r>
        <w:t xml:space="preserve"> (Pintar in sod., 2012)</w:t>
      </w:r>
      <w:r w:rsidRPr="00172E3E">
        <w:t>.</w:t>
      </w:r>
      <w:r>
        <w:t xml:space="preserve"> S spremenljivko d</w:t>
      </w:r>
      <w:r w:rsidRPr="00DA1D9C">
        <w:t xml:space="preserve">elež </w:t>
      </w:r>
      <w:r>
        <w:t>kmetijskih zemljišč v uporabi</w:t>
      </w:r>
      <w:r w:rsidRPr="00DA1D9C">
        <w:t xml:space="preserve"> </w:t>
      </w:r>
      <w:r>
        <w:t>na</w:t>
      </w:r>
      <w:r w:rsidRPr="00DA1D9C">
        <w:t xml:space="preserve"> </w:t>
      </w:r>
      <w:r>
        <w:t>OMD ugotavljamo, kolikšna površina kmetijskih zemljišč v uporabi spada v</w:t>
      </w:r>
      <w:r w:rsidRPr="00DB67D9">
        <w:t xml:space="preserve"> območja z omejenimi možnostmi za kmetijstvo</w:t>
      </w:r>
      <w:r>
        <w:t xml:space="preserve">. Večji delež kmetijskih zemljišč v uporabi na OMD pomeni večjo občutljivost kmetijstva. </w:t>
      </w:r>
      <w:r w:rsidRPr="00DB67D9">
        <w:t>Na teh območjih prevladujejo kmetijska zemljišča z nižjim pri</w:t>
      </w:r>
      <w:r>
        <w:t>del</w:t>
      </w:r>
      <w:r w:rsidRPr="00DB67D9">
        <w:t>o</w:t>
      </w:r>
      <w:r>
        <w:t>val</w:t>
      </w:r>
      <w:r w:rsidRPr="00DB67D9">
        <w:t xml:space="preserve">nim </w:t>
      </w:r>
      <w:r w:rsidRPr="00965995">
        <w:t>potencialom. S spremenljivko deleža povprečne letne škode zaradi vremensko pogojenih naravnih nesreč v povprečnem BDP (2009</w:t>
      </w:r>
      <w:r w:rsidRPr="00E154A7">
        <w:rPr>
          <w:rFonts w:asciiTheme="minorHAnsi" w:hAnsiTheme="minorHAnsi"/>
        </w:rPr>
        <w:t>–</w:t>
      </w:r>
      <w:r w:rsidRPr="00965995">
        <w:t>2016) opisujemo, kako občutljivo je kmetijstvo zaradi poplav, suš, neurij z močnim vetrom, toče, pozebe. Škoda v kmetijstvu se kaže s škodo, nastalo na osnovnih sredstvih (trajni nasadi, živina, zemljišča), tekoči kmetijski proizvodnji (pridelkih) in dobrinah (</w:t>
      </w:r>
      <w:r>
        <w:t>Kociper, 2020</w:t>
      </w:r>
      <w:r w:rsidRPr="00965995">
        <w:t>).</w:t>
      </w:r>
    </w:p>
    <w:p w14:paraId="0C3B4CFA" w14:textId="77777777" w:rsidR="00A920F6" w:rsidRPr="005C4B64" w:rsidRDefault="00A920F6" w:rsidP="00A920F6">
      <w:proofErr w:type="spellStart"/>
      <w:r w:rsidRPr="00E154A7">
        <w:t>Podkazalnik</w:t>
      </w:r>
      <w:proofErr w:type="spellEnd"/>
      <w:r w:rsidRPr="00E154A7">
        <w:t xml:space="preserve"> (ii) spremembe v kmetijstvu gradita spremenljivki:</w:t>
      </w:r>
    </w:p>
    <w:p w14:paraId="5A04D26F" w14:textId="77777777" w:rsidR="00A920F6" w:rsidRPr="005C4B64" w:rsidRDefault="00A920F6" w:rsidP="00A920F6">
      <w:pPr>
        <w:pStyle w:val="Odstavekseznama"/>
        <w:numPr>
          <w:ilvl w:val="0"/>
          <w:numId w:val="8"/>
        </w:numPr>
        <w:rPr>
          <w:rFonts w:ascii="Trebuchet MS" w:hAnsi="Trebuchet MS"/>
        </w:rPr>
      </w:pPr>
      <w:r w:rsidRPr="005C4B64">
        <w:rPr>
          <w:rFonts w:ascii="Trebuchet MS" w:hAnsi="Trebuchet MS"/>
        </w:rPr>
        <w:t>indeks rasti števila zaposlenih v kmetijski dejavnosti leta 2016 glede na 2007 in</w:t>
      </w:r>
    </w:p>
    <w:p w14:paraId="0609CE56" w14:textId="77777777" w:rsidR="00A920F6" w:rsidRPr="005C4B64" w:rsidRDefault="00A920F6" w:rsidP="00A920F6">
      <w:pPr>
        <w:pStyle w:val="Odstavekseznama"/>
        <w:numPr>
          <w:ilvl w:val="0"/>
          <w:numId w:val="8"/>
        </w:numPr>
        <w:rPr>
          <w:rFonts w:ascii="Trebuchet MS" w:hAnsi="Trebuchet MS"/>
        </w:rPr>
      </w:pPr>
      <w:r w:rsidRPr="005C4B64">
        <w:rPr>
          <w:rFonts w:ascii="Trebuchet MS" w:hAnsi="Trebuchet MS"/>
        </w:rPr>
        <w:t>indeks rasti obsega kmetijskih zemljišč v uporabi leta 2016 glede na 2007.</w:t>
      </w:r>
    </w:p>
    <w:p w14:paraId="413D5CD5" w14:textId="77777777" w:rsidR="00A920F6" w:rsidRDefault="00A920F6" w:rsidP="00A920F6">
      <w:r w:rsidRPr="00DB67D9">
        <w:t xml:space="preserve">V regijah, kjer </w:t>
      </w:r>
      <w:r>
        <w:t xml:space="preserve">upada </w:t>
      </w:r>
      <w:r w:rsidRPr="00DB67D9">
        <w:t>zap</w:t>
      </w:r>
      <w:r>
        <w:t>oslenost</w:t>
      </w:r>
      <w:r w:rsidRPr="00DB67D9">
        <w:t xml:space="preserve"> v kmetijski dejavnosti in </w:t>
      </w:r>
      <w:r>
        <w:t>se zmanjšujejo površine kmetijskih zemljišč v uporabi</w:t>
      </w:r>
      <w:r w:rsidRPr="00DB67D9">
        <w:t>, je kmetijstvo bolj občutljivo</w:t>
      </w:r>
      <w:r>
        <w:t xml:space="preserve"> na podnebne spremembe</w:t>
      </w:r>
      <w:r w:rsidRPr="00DB67D9">
        <w:t xml:space="preserve">. Glede dolgoročne strategije samooskrbe z lokalnimi </w:t>
      </w:r>
      <w:r>
        <w:t xml:space="preserve">pridelki in </w:t>
      </w:r>
      <w:r w:rsidRPr="00DB67D9">
        <w:t xml:space="preserve">proizvodi, kar bistveno zmanjšuje emisije toplogrednih plinov zaradi </w:t>
      </w:r>
      <w:r>
        <w:t>skrajšane</w:t>
      </w:r>
      <w:r w:rsidRPr="00DB67D9">
        <w:t xml:space="preserve"> poti (in časa) transporta, </w:t>
      </w:r>
      <w:r>
        <w:t xml:space="preserve">razumemo </w:t>
      </w:r>
      <w:r w:rsidRPr="00DB67D9">
        <w:t>zmanjševanje obsega kmetijskih zemljišč (in zaposlenosti prebivalstva v kmetijskih panogah)</w:t>
      </w:r>
      <w:r>
        <w:t xml:space="preserve"> </w:t>
      </w:r>
      <w:r w:rsidRPr="00DB67D9">
        <w:t xml:space="preserve">na nekem območju </w:t>
      </w:r>
      <w:r>
        <w:t xml:space="preserve">kot </w:t>
      </w:r>
      <w:r w:rsidRPr="00DB67D9">
        <w:t>negativ</w:t>
      </w:r>
      <w:r>
        <w:t>en vpliv</w:t>
      </w:r>
      <w:r w:rsidRPr="00DB67D9">
        <w:t xml:space="preserve"> na bilanco pridelave </w:t>
      </w:r>
      <w:r>
        <w:t>ter</w:t>
      </w:r>
      <w:r w:rsidRPr="00DB67D9">
        <w:t xml:space="preserve"> </w:t>
      </w:r>
      <w:r>
        <w:t xml:space="preserve">potencial </w:t>
      </w:r>
      <w:r w:rsidRPr="00DB67D9">
        <w:t>samooskrbe neke</w:t>
      </w:r>
      <w:r>
        <w:t>ga</w:t>
      </w:r>
      <w:r w:rsidRPr="00DB67D9">
        <w:t xml:space="preserve"> </w:t>
      </w:r>
      <w:r>
        <w:t>območja (Kociper, 2020)</w:t>
      </w:r>
      <w:r w:rsidRPr="00DB67D9">
        <w:t>.</w:t>
      </w:r>
    </w:p>
    <w:p w14:paraId="6A1F3BEE" w14:textId="77777777" w:rsidR="00A920F6" w:rsidRDefault="00A920F6" w:rsidP="00A920F6">
      <w:proofErr w:type="spellStart"/>
      <w:r w:rsidRPr="00DB67D9">
        <w:t>Podkazalnik</w:t>
      </w:r>
      <w:proofErr w:type="spellEnd"/>
      <w:r w:rsidRPr="00DB67D9">
        <w:t xml:space="preserve"> </w:t>
      </w:r>
      <w:r>
        <w:t>(iii) starostna struktura prebivalstva gradita spremenljivki:</w:t>
      </w:r>
    </w:p>
    <w:p w14:paraId="4B4B1086" w14:textId="77777777" w:rsidR="00A920F6" w:rsidRPr="005C4B64" w:rsidRDefault="00A920F6" w:rsidP="00A920F6">
      <w:pPr>
        <w:pStyle w:val="Odstavekseznama"/>
        <w:numPr>
          <w:ilvl w:val="0"/>
          <w:numId w:val="8"/>
        </w:numPr>
        <w:rPr>
          <w:rFonts w:ascii="Trebuchet MS" w:hAnsi="Trebuchet MS"/>
        </w:rPr>
      </w:pPr>
      <w:r w:rsidRPr="005C4B64">
        <w:rPr>
          <w:rFonts w:ascii="Trebuchet MS" w:hAnsi="Trebuchet MS"/>
        </w:rPr>
        <w:t>povprečna starost nosilca kmetijskega gospodarstva leta 2016 in</w:t>
      </w:r>
    </w:p>
    <w:p w14:paraId="19C5B036" w14:textId="77777777" w:rsidR="00A920F6" w:rsidRPr="005C4B64" w:rsidRDefault="00A920F6" w:rsidP="00A920F6">
      <w:pPr>
        <w:pStyle w:val="Odstavekseznama"/>
        <w:numPr>
          <w:ilvl w:val="0"/>
          <w:numId w:val="8"/>
        </w:numPr>
        <w:rPr>
          <w:rFonts w:ascii="Trebuchet MS" w:hAnsi="Trebuchet MS"/>
        </w:rPr>
      </w:pPr>
      <w:r w:rsidRPr="005C4B64">
        <w:rPr>
          <w:rFonts w:ascii="Trebuchet MS" w:hAnsi="Trebuchet MS"/>
        </w:rPr>
        <w:t>povprečna starost članov kmetijskega gospodarstva leta 2016.</w:t>
      </w:r>
    </w:p>
    <w:p w14:paraId="5005BEB0" w14:textId="0EC6122A" w:rsidR="00A920F6" w:rsidRDefault="00A920F6" w:rsidP="00A920F6">
      <w:r w:rsidRPr="005C4B64">
        <w:t>Starostno</w:t>
      </w:r>
      <w:r>
        <w:t xml:space="preserve"> strukturo</w:t>
      </w:r>
      <w:r w:rsidRPr="00965995">
        <w:t xml:space="preserve"> prebivalstva določa</w:t>
      </w:r>
      <w:r>
        <w:t>ta</w:t>
      </w:r>
      <w:r w:rsidRPr="00965995">
        <w:t xml:space="preserve"> starostna sestava nosilcev in članov kmetijskega gospodarstva. Kot bolj občutljivo razumemo kmetijstvo z manj ugodno starostno sestavo (višja starost nosilca in članov kmetijskega gospodarstva), saj so starejši v povprečju manj izobraženi kot mladi, poleg tega so mladi bolj motivirani, inovativni in s tem bolj nagnjeni k uvajanju ukrepov, povezanih tudi s prilagajanjem kmetijskega gospodarstva na podnebje (</w:t>
      </w:r>
      <w:r>
        <w:t>Kociper, 2020</w:t>
      </w:r>
      <w:r w:rsidRPr="00965995">
        <w:t>).</w:t>
      </w:r>
    </w:p>
    <w:p w14:paraId="07715330" w14:textId="77777777" w:rsidR="00A920F6" w:rsidRDefault="00A920F6" w:rsidP="00A920F6">
      <w:pPr>
        <w:pStyle w:val="Naslov4"/>
        <w:ind w:left="1701"/>
      </w:pPr>
      <w:bookmarkStart w:id="113" w:name="_Toc39744521"/>
      <w:r>
        <w:t>Kazalnik sposobnosti prilagajanja kmetijstva na podnebje</w:t>
      </w:r>
      <w:bookmarkEnd w:id="113"/>
    </w:p>
    <w:p w14:paraId="21910579" w14:textId="4511CC1C" w:rsidR="00A920F6" w:rsidRDefault="00A920F6" w:rsidP="00A920F6">
      <w:r>
        <w:t>Kazalnik sposobnosti prilagajanja kmetijstva na podnebje (</w:t>
      </w:r>
      <w:r>
        <w:fldChar w:fldCharType="begin"/>
      </w:r>
      <w:r>
        <w:instrText xml:space="preserve"> REF _Ref38613936 \h </w:instrText>
      </w:r>
      <w:r>
        <w:fldChar w:fldCharType="separate"/>
      </w:r>
      <w:r w:rsidR="004700D5" w:rsidRPr="00357962">
        <w:t xml:space="preserve">Preglednica </w:t>
      </w:r>
      <w:r w:rsidR="004700D5">
        <w:rPr>
          <w:noProof/>
        </w:rPr>
        <w:t>6</w:t>
      </w:r>
      <w:r w:rsidR="004700D5">
        <w:t>.</w:t>
      </w:r>
      <w:r w:rsidR="004700D5">
        <w:rPr>
          <w:noProof/>
        </w:rPr>
        <w:t>2</w:t>
      </w:r>
      <w:r>
        <w:fldChar w:fldCharType="end"/>
      </w:r>
      <w:r>
        <w:t xml:space="preserve">) nam pove, </w:t>
      </w:r>
      <w:r w:rsidRPr="00DB67D9">
        <w:t xml:space="preserve">do katere mere lahko zmanjšamo </w:t>
      </w:r>
      <w:r>
        <w:t xml:space="preserve">podnebno </w:t>
      </w:r>
      <w:r w:rsidRPr="00DB67D9">
        <w:t>ranljivost</w:t>
      </w:r>
      <w:r>
        <w:t xml:space="preserve"> kmetijstva</w:t>
      </w:r>
      <w:r w:rsidRPr="00DB67D9">
        <w:t xml:space="preserve">. </w:t>
      </w:r>
      <w:r>
        <w:t xml:space="preserve">Sestavljajo ga trije </w:t>
      </w:r>
      <w:proofErr w:type="spellStart"/>
      <w:r>
        <w:t>podkazalniki</w:t>
      </w:r>
      <w:proofErr w:type="spellEnd"/>
      <w:r>
        <w:t xml:space="preserve"> (i) prihodek, (ii) </w:t>
      </w:r>
      <w:r w:rsidRPr="00DB67D9">
        <w:t>trajnostno gospodarjenje</w:t>
      </w:r>
      <w:r>
        <w:t xml:space="preserve"> in (iii) naravni viri.</w:t>
      </w:r>
    </w:p>
    <w:p w14:paraId="56D0386B" w14:textId="77777777" w:rsidR="008334B2" w:rsidRDefault="008334B2" w:rsidP="00A920F6"/>
    <w:p w14:paraId="30711701" w14:textId="77777777" w:rsidR="00A920F6" w:rsidRDefault="00A920F6" w:rsidP="00A920F6">
      <w:proofErr w:type="spellStart"/>
      <w:r>
        <w:lastRenderedPageBreak/>
        <w:t>Podkazalnik</w:t>
      </w:r>
      <w:proofErr w:type="spellEnd"/>
      <w:r>
        <w:t xml:space="preserve"> (i) prihodek sestavljajo štiri spremenljivke:</w:t>
      </w:r>
    </w:p>
    <w:p w14:paraId="7D8C55BB" w14:textId="77777777" w:rsidR="00A920F6" w:rsidRPr="003D6B4D" w:rsidRDefault="00A920F6" w:rsidP="00A920F6">
      <w:pPr>
        <w:pStyle w:val="Odstavekseznama"/>
        <w:numPr>
          <w:ilvl w:val="0"/>
          <w:numId w:val="8"/>
        </w:numPr>
        <w:rPr>
          <w:rFonts w:ascii="Trebuchet MS" w:hAnsi="Trebuchet MS"/>
        </w:rPr>
      </w:pPr>
      <w:r w:rsidRPr="003D6B4D">
        <w:rPr>
          <w:rFonts w:ascii="Trebuchet MS" w:hAnsi="Trebuchet MS"/>
        </w:rPr>
        <w:t>delež bruto dodane vrednosti (BDV) kmetijske dejavnosti v skupni bruto dodani vrednosti (%) leta 2016,</w:t>
      </w:r>
    </w:p>
    <w:p w14:paraId="0BC1D502" w14:textId="77777777" w:rsidR="00A920F6" w:rsidRPr="003D6B4D" w:rsidRDefault="00A920F6" w:rsidP="00A920F6">
      <w:pPr>
        <w:pStyle w:val="Odstavekseznama"/>
        <w:numPr>
          <w:ilvl w:val="0"/>
          <w:numId w:val="8"/>
        </w:numPr>
        <w:rPr>
          <w:rFonts w:ascii="Trebuchet MS" w:hAnsi="Trebuchet MS"/>
        </w:rPr>
      </w:pPr>
      <w:r w:rsidRPr="003D6B4D">
        <w:rPr>
          <w:rFonts w:ascii="Trebuchet MS" w:hAnsi="Trebuchet MS"/>
        </w:rPr>
        <w:t>razmerje med standardnim prihodkom (SO) in polnovredno delovno močjo (PDM) kmetijskega gospodarstva</w:t>
      </w:r>
      <w:r>
        <w:rPr>
          <w:rFonts w:ascii="Trebuchet MS" w:hAnsi="Trebuchet MS"/>
        </w:rPr>
        <w:t xml:space="preserve"> (KMG)</w:t>
      </w:r>
      <w:r w:rsidRPr="003D6B4D">
        <w:rPr>
          <w:rFonts w:ascii="Trebuchet MS" w:hAnsi="Trebuchet MS"/>
        </w:rPr>
        <w:t xml:space="preserve"> (1000 EUR) leta 2016, in</w:t>
      </w:r>
    </w:p>
    <w:p w14:paraId="26155AC3" w14:textId="77777777" w:rsidR="00A920F6" w:rsidRPr="003D6B4D" w:rsidRDefault="00A920F6" w:rsidP="00A920F6">
      <w:pPr>
        <w:pStyle w:val="Odstavekseznama"/>
        <w:numPr>
          <w:ilvl w:val="0"/>
          <w:numId w:val="8"/>
        </w:numPr>
        <w:rPr>
          <w:rFonts w:ascii="Trebuchet MS" w:hAnsi="Trebuchet MS"/>
        </w:rPr>
      </w:pPr>
      <w:r w:rsidRPr="003D6B4D">
        <w:rPr>
          <w:rFonts w:ascii="Trebuchet MS" w:hAnsi="Trebuchet MS"/>
        </w:rPr>
        <w:t>delež kmetijskih gospodarstev z dopolnilnimi dejavnostmi (%) leta 2016,</w:t>
      </w:r>
    </w:p>
    <w:p w14:paraId="1C47A4B0" w14:textId="77777777" w:rsidR="00A920F6" w:rsidRPr="003D6B4D" w:rsidRDefault="00A920F6" w:rsidP="00A920F6">
      <w:pPr>
        <w:pStyle w:val="Odstavekseznama"/>
        <w:numPr>
          <w:ilvl w:val="0"/>
          <w:numId w:val="8"/>
        </w:numPr>
        <w:rPr>
          <w:rFonts w:ascii="Trebuchet MS" w:hAnsi="Trebuchet MS"/>
        </w:rPr>
      </w:pPr>
      <w:r w:rsidRPr="003D6B4D">
        <w:rPr>
          <w:rFonts w:ascii="Trebuchet MS" w:hAnsi="Trebuchet MS"/>
        </w:rPr>
        <w:t>razmerje med povprečnimi plačili ukrepov kmetijske politike in povprečno površino kmetijskih zemljišč v uporabi (1000 EUR/ha) v obdobju 2007</w:t>
      </w:r>
      <w:r>
        <w:rPr>
          <w:rFonts w:asciiTheme="minorHAnsi" w:eastAsiaTheme="minorHAnsi" w:hAnsiTheme="minorHAnsi" w:cstheme="minorBidi"/>
        </w:rPr>
        <w:t>–</w:t>
      </w:r>
      <w:r w:rsidRPr="003D6B4D">
        <w:rPr>
          <w:rFonts w:ascii="Trebuchet MS" w:hAnsi="Trebuchet MS"/>
        </w:rPr>
        <w:t>2016.</w:t>
      </w:r>
    </w:p>
    <w:p w14:paraId="0385B01C" w14:textId="77777777" w:rsidR="00A920F6" w:rsidRDefault="00A920F6" w:rsidP="00A920F6">
      <w:pPr>
        <w:spacing w:after="0"/>
      </w:pPr>
    </w:p>
    <w:p w14:paraId="3AC1D02E" w14:textId="77777777" w:rsidR="00A920F6" w:rsidRPr="00DB67D9" w:rsidRDefault="00A920F6" w:rsidP="00A920F6">
      <w:r>
        <w:t>Večje kot so vrednosti spremenljivk, večja je vrednost kmetijske dejavnosti. Večja ekonomska moč</w:t>
      </w:r>
      <w:r w:rsidRPr="00DB67D9">
        <w:t xml:space="preserve"> </w:t>
      </w:r>
      <w:r>
        <w:t>pomeni boljšo</w:t>
      </w:r>
      <w:r w:rsidRPr="00DB67D9">
        <w:t xml:space="preserve"> sposobno prilagaja</w:t>
      </w:r>
      <w:r>
        <w:t>nja</w:t>
      </w:r>
      <w:r w:rsidRPr="00DB67D9">
        <w:t>.</w:t>
      </w:r>
      <w:r>
        <w:t xml:space="preserve"> </w:t>
      </w:r>
      <w:r w:rsidRPr="00990878">
        <w:t xml:space="preserve">Delež BDV kmetijske dejavnosti </w:t>
      </w:r>
      <w:r>
        <w:t>(</w:t>
      </w:r>
      <w:r w:rsidRPr="004665CE">
        <w:t>kmetijstvo, lov, gozdarstvo in ribištvo</w:t>
      </w:r>
      <w:r>
        <w:t xml:space="preserve">) </w:t>
      </w:r>
      <w:r w:rsidRPr="00990878">
        <w:t>v skupni BDV</w:t>
      </w:r>
      <w:r w:rsidRPr="00DB67D9">
        <w:t xml:space="preserve"> </w:t>
      </w:r>
      <w:r>
        <w:t xml:space="preserve">je indikator </w:t>
      </w:r>
      <w:r w:rsidRPr="00DB67D9">
        <w:t xml:space="preserve">ekonomske pomembnosti sektorja glede na </w:t>
      </w:r>
      <w:r>
        <w:t>preostale</w:t>
      </w:r>
      <w:r w:rsidRPr="00DB67D9">
        <w:t xml:space="preserve"> sektorje. Ekonomski učinek kmetijskega </w:t>
      </w:r>
      <w:r w:rsidRPr="00583890">
        <w:t xml:space="preserve">gospodarstva </w:t>
      </w:r>
      <w:r>
        <w:t>je upoštevan</w:t>
      </w:r>
      <w:r w:rsidRPr="00583890">
        <w:t xml:space="preserve"> kot razmerje med SO in PDM KMG v 1000 EUR v letu 2016. Izražanje obsega dela v koeficientih polnovrednih </w:t>
      </w:r>
      <w:r w:rsidRPr="00DB67D9">
        <w:t>delovnih moči temelji na razmerju med številom ur, letno porabljenih za delo v kmetijski dejavnosti, in enoletnim obsegom dela polno zaposlene osebe (1800 ur).</w:t>
      </w:r>
      <w:r>
        <w:t xml:space="preserve"> Za boljšo učinkovitost kmetijskega gospodarstva je bistveno, da z manjšim vložkom - PDM ustvarja večjo ekonomsko velikost - SO (Kociper, 2020). Obseg d</w:t>
      </w:r>
      <w:r w:rsidRPr="00DB67D9">
        <w:t>opolniln</w:t>
      </w:r>
      <w:r>
        <w:t>ih</w:t>
      </w:r>
      <w:r w:rsidRPr="00DB67D9">
        <w:t xml:space="preserve"> dejavnost</w:t>
      </w:r>
      <w:r>
        <w:t>i</w:t>
      </w:r>
      <w:r w:rsidRPr="00DB67D9">
        <w:t xml:space="preserve"> na kmet</w:t>
      </w:r>
      <w:r>
        <w:t>ijskih gospodarstvih</w:t>
      </w:r>
      <w:r w:rsidRPr="00DB67D9">
        <w:t xml:space="preserve"> </w:t>
      </w:r>
      <w:r>
        <w:t>izrazimo z d</w:t>
      </w:r>
      <w:r w:rsidRPr="00DA1D9C">
        <w:t>elež</w:t>
      </w:r>
      <w:r>
        <w:t>em gospodarstev z dopolnilnimi dejavnostmi. Dopolnilna dejavnost na kmetiji, npr. predelava, turizem na kmetiji in druge storitve,</w:t>
      </w:r>
      <w:r w:rsidRPr="00DB67D9">
        <w:t xml:space="preserve"> omogoča</w:t>
      </w:r>
      <w:r>
        <w:t>jo</w:t>
      </w:r>
      <w:r w:rsidRPr="00DB67D9">
        <w:t xml:space="preserve"> boljšo rabo proizvodnih zmoglj</w:t>
      </w:r>
      <w:r>
        <w:t xml:space="preserve">ivosti in delovnih moči, so </w:t>
      </w:r>
      <w:r w:rsidRPr="00DB67D9">
        <w:t>dodat</w:t>
      </w:r>
      <w:r>
        <w:t>en</w:t>
      </w:r>
      <w:r w:rsidRPr="00DB67D9">
        <w:t xml:space="preserve"> </w:t>
      </w:r>
      <w:r>
        <w:t>pri</w:t>
      </w:r>
      <w:r w:rsidRPr="00DB67D9">
        <w:t>hod</w:t>
      </w:r>
      <w:r>
        <w:t>ek kmetije in omogočajo boljše</w:t>
      </w:r>
      <w:r w:rsidRPr="00DB67D9">
        <w:t xml:space="preserve"> preživetje kmetijskih gospodarstev</w:t>
      </w:r>
      <w:r>
        <w:t xml:space="preserve">. </w:t>
      </w:r>
      <w:r w:rsidRPr="00E31612">
        <w:t>Višje razmerje med povprečnimi plačili ukrepov kmetijske politike in povprečno površino kmetijskih zemljišč v uporabi (1000 EUR/ha) za obdobje 2007</w:t>
      </w:r>
      <w:r>
        <w:rPr>
          <w:rFonts w:asciiTheme="minorHAnsi" w:hAnsiTheme="minorHAnsi"/>
        </w:rPr>
        <w:t>–</w:t>
      </w:r>
      <w:r w:rsidRPr="00E31612">
        <w:t>2016 pomeni večjo sposobnost prilagajanja kmetijske dejavnosti na podnebje, saj se s temi naložbami v kmetijstvu vzpodbuja znanje, kakovost in trajnost (Kociper, 2020).</w:t>
      </w:r>
      <w:r>
        <w:t xml:space="preserve"> V mislih pa moramo imeti, da to ni vedno res, saj so naložbe žal kdaj tudi v nasprotju s trajnostjo – razen pri ukrepih KOPOP, kjer se zagotavlja pozitiven vpliv na okolje in podnebje.</w:t>
      </w:r>
    </w:p>
    <w:p w14:paraId="385C3C6B" w14:textId="77777777" w:rsidR="00A920F6" w:rsidRDefault="00A920F6" w:rsidP="00A920F6">
      <w:proofErr w:type="spellStart"/>
      <w:r>
        <w:t>Podkazalnik</w:t>
      </w:r>
      <w:proofErr w:type="spellEnd"/>
      <w:r>
        <w:t xml:space="preserve"> (ii) t</w:t>
      </w:r>
      <w:r w:rsidRPr="00DB67D9">
        <w:t xml:space="preserve">rajnostno gospodarjenje </w:t>
      </w:r>
      <w:r>
        <w:t xml:space="preserve">sestavljajo delež povprečnih letnih investicij za </w:t>
      </w:r>
      <w:r w:rsidRPr="00965995">
        <w:t xml:space="preserve">varstvo okolja (izbrane investicije v varstvo zraka in </w:t>
      </w:r>
      <w:r>
        <w:t>podnebja</w:t>
      </w:r>
      <w:r w:rsidRPr="00965995">
        <w:t xml:space="preserve"> ter varstvo in izboljšave tal,</w:t>
      </w:r>
      <w:r w:rsidRPr="00DB67D9">
        <w:t xml:space="preserve"> podtalnice in površinskih voda</w:t>
      </w:r>
      <w:r>
        <w:t xml:space="preserve">) v povprečnem letnem bruto domačem proizvodu (%) v obdobju 2007–2016 in delež kmetijskih gospodarstev z ekološkim kmetovanjem ali v preusmeritvi (%) leta 2016. </w:t>
      </w:r>
      <w:r w:rsidRPr="00DB67D9">
        <w:t>Večj</w:t>
      </w:r>
      <w:r>
        <w:t>e</w:t>
      </w:r>
      <w:r w:rsidRPr="00DB67D9">
        <w:t xml:space="preserve"> investicij</w:t>
      </w:r>
      <w:r>
        <w:t>e</w:t>
      </w:r>
      <w:r w:rsidRPr="00DB67D9">
        <w:t xml:space="preserve"> v varstvo okolja in večj</w:t>
      </w:r>
      <w:r>
        <w:t>a razširjenost</w:t>
      </w:r>
      <w:r w:rsidRPr="00DB67D9">
        <w:t xml:space="preserve"> ekološk</w:t>
      </w:r>
      <w:r>
        <w:t>ega</w:t>
      </w:r>
      <w:r w:rsidRPr="00DB67D9">
        <w:t xml:space="preserve"> kmetij</w:t>
      </w:r>
      <w:r>
        <w:t>stva</w:t>
      </w:r>
      <w:r w:rsidRPr="00DB67D9">
        <w:t xml:space="preserve"> prispevajo k večji sposobnosti prilagajanja kmetijstva na podnebn</w:t>
      </w:r>
      <w:r>
        <w:t>o spremenljivost (Kociper, 2020), vendar pa se moramo zavedati, da gre za vse investicije za varstvo okolja in ne izključno za kmetijstvo.</w:t>
      </w:r>
    </w:p>
    <w:p w14:paraId="4586A831" w14:textId="35D66C08" w:rsidR="00A920F6" w:rsidRDefault="00A920F6" w:rsidP="00A920F6">
      <w:proofErr w:type="spellStart"/>
      <w:r w:rsidRPr="00965995">
        <w:t>Podkazalnik</w:t>
      </w:r>
      <w:proofErr w:type="spellEnd"/>
      <w:r w:rsidRPr="00965995">
        <w:t xml:space="preserve"> (iii) naravni viri predstavlja spremenljivka: delež kmetijskih zemljišč z namakalnimi sistemi (%) leta 2017. Ob poviševanju povprečne temperature zraka in upadanju padavin poleti je namakanje pomemben dejavnik rastlinske pridelave, ki ne omogoča samo oskrbe rastlin z vodo, ampak tudi bolj učinkovito rabo hranil in zmanjšano tveganje za spiranje hranil skozi talni profil ali s površinskim odtokom v vodne vire (</w:t>
      </w:r>
      <w:r>
        <w:t>Kociper, 2020</w:t>
      </w:r>
      <w:r w:rsidRPr="00965995">
        <w:t>; Pintar</w:t>
      </w:r>
      <w:r>
        <w:t xml:space="preserve"> in sod., 2012).</w:t>
      </w:r>
    </w:p>
    <w:p w14:paraId="7DFB5029" w14:textId="2D3F2C42" w:rsidR="008334B2" w:rsidRDefault="008334B2" w:rsidP="00A920F6"/>
    <w:p w14:paraId="6B91A116" w14:textId="77777777" w:rsidR="008334B2" w:rsidRDefault="008334B2" w:rsidP="00A920F6"/>
    <w:p w14:paraId="59EF390A" w14:textId="23265DE6" w:rsidR="00A920F6" w:rsidRPr="00357962" w:rsidRDefault="00A920F6" w:rsidP="00A920F6">
      <w:pPr>
        <w:pStyle w:val="Napis"/>
      </w:pPr>
      <w:bookmarkStart w:id="114" w:name="_Ref38613923"/>
      <w:bookmarkStart w:id="115" w:name="_Toc97026954"/>
      <w:r w:rsidRPr="00357962">
        <w:lastRenderedPageBreak/>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1</w:t>
      </w:r>
      <w:r w:rsidR="00976D80">
        <w:fldChar w:fldCharType="end"/>
      </w:r>
      <w:bookmarkEnd w:id="114"/>
      <w:r w:rsidRPr="00357962">
        <w:t>: Kazalnik občutljivosti kmetijstva na podnebje (prirejeno po Kociper, 2020).</w:t>
      </w:r>
      <w:bookmarkEnd w:id="115"/>
    </w:p>
    <w:tbl>
      <w:tblPr>
        <w:tblW w:w="5000" w:type="pct"/>
        <w:tblCellMar>
          <w:left w:w="70" w:type="dxa"/>
          <w:right w:w="70" w:type="dxa"/>
        </w:tblCellMar>
        <w:tblLook w:val="04A0" w:firstRow="1" w:lastRow="0" w:firstColumn="1" w:lastColumn="0" w:noHBand="0" w:noVBand="1"/>
      </w:tblPr>
      <w:tblGrid>
        <w:gridCol w:w="1344"/>
        <w:gridCol w:w="1350"/>
        <w:gridCol w:w="1546"/>
        <w:gridCol w:w="2101"/>
        <w:gridCol w:w="1313"/>
        <w:gridCol w:w="1146"/>
        <w:gridCol w:w="828"/>
      </w:tblGrid>
      <w:tr w:rsidR="00A920F6" w:rsidRPr="0041649B" w14:paraId="55CA09F6" w14:textId="77777777" w:rsidTr="00A920F6">
        <w:trPr>
          <w:trHeight w:val="310"/>
        </w:trPr>
        <w:tc>
          <w:tcPr>
            <w:tcW w:w="6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6C1B49"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Kazalnik</w:t>
            </w:r>
          </w:p>
        </w:tc>
        <w:tc>
          <w:tcPr>
            <w:tcW w:w="701" w:type="pct"/>
            <w:tcBorders>
              <w:top w:val="single" w:sz="4" w:space="0" w:color="auto"/>
              <w:left w:val="nil"/>
              <w:bottom w:val="single" w:sz="4" w:space="0" w:color="auto"/>
              <w:right w:val="single" w:sz="4" w:space="0" w:color="auto"/>
            </w:tcBorders>
            <w:shd w:val="clear" w:color="auto" w:fill="auto"/>
            <w:vAlign w:val="center"/>
            <w:hideMark/>
          </w:tcPr>
          <w:p w14:paraId="535F9383" w14:textId="77777777" w:rsidR="00A920F6" w:rsidRPr="0041649B" w:rsidRDefault="00A920F6" w:rsidP="00A920F6">
            <w:pPr>
              <w:spacing w:after="0" w:line="240" w:lineRule="auto"/>
              <w:rPr>
                <w:rFonts w:eastAsia="Times New Roman" w:cs="Calibri"/>
                <w:sz w:val="20"/>
                <w:szCs w:val="20"/>
              </w:rPr>
            </w:pPr>
            <w:proofErr w:type="spellStart"/>
            <w:r>
              <w:rPr>
                <w:rFonts w:eastAsia="Times New Roman" w:cs="Calibri"/>
                <w:sz w:val="20"/>
                <w:szCs w:val="20"/>
              </w:rPr>
              <w:t>Podkazalnik</w:t>
            </w:r>
            <w:proofErr w:type="spellEnd"/>
            <w:r>
              <w:rPr>
                <w:rFonts w:eastAsia="Times New Roman" w:cs="Calibri"/>
                <w:sz w:val="20"/>
                <w:szCs w:val="20"/>
              </w:rPr>
              <w:t xml:space="preserve"> </w:t>
            </w:r>
          </w:p>
        </w:tc>
        <w:tc>
          <w:tcPr>
            <w:tcW w:w="803" w:type="pct"/>
            <w:tcBorders>
              <w:top w:val="single" w:sz="4" w:space="0" w:color="auto"/>
              <w:left w:val="nil"/>
              <w:bottom w:val="single" w:sz="4" w:space="0" w:color="auto"/>
              <w:right w:val="single" w:sz="4" w:space="0" w:color="auto"/>
            </w:tcBorders>
            <w:shd w:val="clear" w:color="auto" w:fill="auto"/>
            <w:vAlign w:val="center"/>
            <w:hideMark/>
          </w:tcPr>
          <w:p w14:paraId="14AAFA2F"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Spremenljivka</w:t>
            </w:r>
          </w:p>
        </w:tc>
        <w:tc>
          <w:tcPr>
            <w:tcW w:w="1091" w:type="pct"/>
            <w:tcBorders>
              <w:top w:val="single" w:sz="4" w:space="0" w:color="auto"/>
              <w:left w:val="nil"/>
              <w:bottom w:val="single" w:sz="4" w:space="0" w:color="auto"/>
              <w:right w:val="single" w:sz="4" w:space="0" w:color="auto"/>
            </w:tcBorders>
            <w:shd w:val="clear" w:color="auto" w:fill="auto"/>
            <w:vAlign w:val="center"/>
            <w:hideMark/>
          </w:tcPr>
          <w:p w14:paraId="7E4C9EA2"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Opredelitev spremenljivke</w:t>
            </w:r>
          </w:p>
        </w:tc>
        <w:tc>
          <w:tcPr>
            <w:tcW w:w="682" w:type="pct"/>
            <w:tcBorders>
              <w:top w:val="single" w:sz="4" w:space="0" w:color="auto"/>
              <w:left w:val="nil"/>
              <w:bottom w:val="single" w:sz="4" w:space="0" w:color="auto"/>
              <w:right w:val="single" w:sz="4" w:space="0" w:color="auto"/>
            </w:tcBorders>
            <w:shd w:val="clear" w:color="auto" w:fill="auto"/>
            <w:vAlign w:val="center"/>
            <w:hideMark/>
          </w:tcPr>
          <w:p w14:paraId="5C6EAA94"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P</w:t>
            </w:r>
            <w:r w:rsidRPr="0041649B">
              <w:rPr>
                <w:rFonts w:eastAsia="Times New Roman" w:cs="Calibri"/>
                <w:sz w:val="20"/>
                <w:szCs w:val="20"/>
              </w:rPr>
              <w:t>odatki</w:t>
            </w:r>
          </w:p>
        </w:tc>
        <w:tc>
          <w:tcPr>
            <w:tcW w:w="595" w:type="pct"/>
            <w:tcBorders>
              <w:top w:val="single" w:sz="4" w:space="0" w:color="auto"/>
              <w:left w:val="nil"/>
              <w:bottom w:val="single" w:sz="4" w:space="0" w:color="auto"/>
              <w:right w:val="single" w:sz="4" w:space="0" w:color="auto"/>
            </w:tcBorders>
            <w:shd w:val="clear" w:color="auto" w:fill="auto"/>
            <w:vAlign w:val="center"/>
            <w:hideMark/>
          </w:tcPr>
          <w:p w14:paraId="1C92E82E"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O</w:t>
            </w:r>
            <w:r w:rsidRPr="0041649B">
              <w:rPr>
                <w:rFonts w:eastAsia="Times New Roman" w:cs="Calibri"/>
                <w:sz w:val="20"/>
                <w:szCs w:val="20"/>
              </w:rPr>
              <w:t>blika</w:t>
            </w:r>
          </w:p>
        </w:tc>
        <w:tc>
          <w:tcPr>
            <w:tcW w:w="430" w:type="pct"/>
            <w:tcBorders>
              <w:top w:val="single" w:sz="4" w:space="0" w:color="auto"/>
              <w:left w:val="nil"/>
              <w:bottom w:val="single" w:sz="4" w:space="0" w:color="auto"/>
              <w:right w:val="single" w:sz="4" w:space="0" w:color="auto"/>
            </w:tcBorders>
            <w:shd w:val="clear" w:color="auto" w:fill="auto"/>
            <w:vAlign w:val="center"/>
            <w:hideMark/>
          </w:tcPr>
          <w:p w14:paraId="4AE1DC37"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R</w:t>
            </w:r>
            <w:r w:rsidRPr="0041649B">
              <w:rPr>
                <w:rFonts w:eastAsia="Times New Roman" w:cs="Calibri"/>
                <w:sz w:val="20"/>
                <w:szCs w:val="20"/>
              </w:rPr>
              <w:t>aven</w:t>
            </w:r>
          </w:p>
        </w:tc>
      </w:tr>
      <w:tr w:rsidR="00A920F6" w:rsidRPr="0041649B" w14:paraId="1BCE8842" w14:textId="77777777" w:rsidTr="00A920F6">
        <w:trPr>
          <w:trHeight w:val="620"/>
        </w:trPr>
        <w:tc>
          <w:tcPr>
            <w:tcW w:w="698" w:type="pct"/>
            <w:vMerge w:val="restart"/>
            <w:tcBorders>
              <w:top w:val="nil"/>
              <w:left w:val="single" w:sz="4" w:space="0" w:color="auto"/>
              <w:bottom w:val="single" w:sz="4" w:space="0" w:color="000000"/>
              <w:right w:val="single" w:sz="4" w:space="0" w:color="auto"/>
            </w:tcBorders>
            <w:shd w:val="clear" w:color="auto" w:fill="auto"/>
            <w:hideMark/>
          </w:tcPr>
          <w:p w14:paraId="42ED165B"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O</w:t>
            </w:r>
            <w:r w:rsidRPr="0041649B">
              <w:rPr>
                <w:rFonts w:eastAsia="Times New Roman" w:cs="Calibri"/>
                <w:sz w:val="20"/>
                <w:szCs w:val="20"/>
              </w:rPr>
              <w:t>bčutljivost</w:t>
            </w:r>
          </w:p>
        </w:tc>
        <w:tc>
          <w:tcPr>
            <w:tcW w:w="701" w:type="pct"/>
            <w:vMerge w:val="restart"/>
            <w:tcBorders>
              <w:top w:val="nil"/>
              <w:left w:val="single" w:sz="4" w:space="0" w:color="auto"/>
              <w:bottom w:val="single" w:sz="4" w:space="0" w:color="000000"/>
              <w:right w:val="single" w:sz="4" w:space="0" w:color="auto"/>
            </w:tcBorders>
            <w:shd w:val="clear" w:color="auto" w:fill="auto"/>
            <w:hideMark/>
          </w:tcPr>
          <w:p w14:paraId="1C7F81CB"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O</w:t>
            </w:r>
            <w:r w:rsidRPr="0041649B">
              <w:rPr>
                <w:rFonts w:eastAsia="Times New Roman" w:cs="Calibri"/>
                <w:sz w:val="20"/>
                <w:szCs w:val="20"/>
              </w:rPr>
              <w:t>groženost zaradi naravnih pogojev</w:t>
            </w:r>
          </w:p>
        </w:tc>
        <w:tc>
          <w:tcPr>
            <w:tcW w:w="803" w:type="pct"/>
            <w:vMerge w:val="restart"/>
            <w:tcBorders>
              <w:top w:val="nil"/>
              <w:left w:val="nil"/>
              <w:right w:val="single" w:sz="4" w:space="0" w:color="auto"/>
            </w:tcBorders>
            <w:shd w:val="clear" w:color="auto" w:fill="auto"/>
            <w:hideMark/>
          </w:tcPr>
          <w:p w14:paraId="62A30F54"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Poplavna ogroženost</w:t>
            </w:r>
          </w:p>
          <w:p w14:paraId="248FE767"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 </w:t>
            </w:r>
          </w:p>
        </w:tc>
        <w:tc>
          <w:tcPr>
            <w:tcW w:w="1091" w:type="pct"/>
            <w:vMerge w:val="restart"/>
            <w:tcBorders>
              <w:top w:val="nil"/>
              <w:left w:val="nil"/>
              <w:right w:val="single" w:sz="4" w:space="0" w:color="auto"/>
            </w:tcBorders>
            <w:shd w:val="clear" w:color="auto" w:fill="auto"/>
            <w:hideMark/>
          </w:tcPr>
          <w:p w14:paraId="3FAD24BF"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Delež poplavno ogroženih kmetijskih zemljišč (%), 2017</w:t>
            </w:r>
          </w:p>
          <w:p w14:paraId="7067946B"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 </w:t>
            </w:r>
          </w:p>
        </w:tc>
        <w:tc>
          <w:tcPr>
            <w:tcW w:w="682" w:type="pct"/>
            <w:tcBorders>
              <w:top w:val="nil"/>
              <w:left w:val="nil"/>
              <w:bottom w:val="single" w:sz="4" w:space="0" w:color="auto"/>
              <w:right w:val="single" w:sz="4" w:space="0" w:color="auto"/>
            </w:tcBorders>
            <w:shd w:val="clear" w:color="auto" w:fill="auto"/>
            <w:hideMark/>
          </w:tcPr>
          <w:p w14:paraId="50B5AF54"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 xml:space="preserve">Opozorilna karta poplav </w:t>
            </w:r>
          </w:p>
        </w:tc>
        <w:tc>
          <w:tcPr>
            <w:tcW w:w="595" w:type="pct"/>
            <w:tcBorders>
              <w:top w:val="nil"/>
              <w:left w:val="nil"/>
              <w:bottom w:val="single" w:sz="4" w:space="0" w:color="auto"/>
              <w:right w:val="single" w:sz="4" w:space="0" w:color="auto"/>
            </w:tcBorders>
            <w:shd w:val="clear" w:color="auto" w:fill="auto"/>
            <w:hideMark/>
          </w:tcPr>
          <w:p w14:paraId="6513F711"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V</w:t>
            </w:r>
            <w:r w:rsidRPr="0041649B">
              <w:rPr>
                <w:rFonts w:eastAsia="Times New Roman" w:cs="Calibri"/>
                <w:sz w:val="20"/>
                <w:szCs w:val="20"/>
              </w:rPr>
              <w:t>ektorski sloj</w:t>
            </w:r>
          </w:p>
        </w:tc>
        <w:tc>
          <w:tcPr>
            <w:tcW w:w="430" w:type="pct"/>
            <w:tcBorders>
              <w:top w:val="nil"/>
              <w:left w:val="nil"/>
              <w:bottom w:val="single" w:sz="4" w:space="0" w:color="auto"/>
              <w:right w:val="single" w:sz="4" w:space="0" w:color="auto"/>
            </w:tcBorders>
            <w:shd w:val="clear" w:color="auto" w:fill="auto"/>
            <w:hideMark/>
          </w:tcPr>
          <w:p w14:paraId="49FA20F1"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O</w:t>
            </w:r>
            <w:r w:rsidRPr="0041649B">
              <w:rPr>
                <w:rFonts w:eastAsia="Times New Roman" w:cs="Calibri"/>
                <w:sz w:val="20"/>
                <w:szCs w:val="20"/>
              </w:rPr>
              <w:t>bčina</w:t>
            </w:r>
          </w:p>
        </w:tc>
      </w:tr>
      <w:tr w:rsidR="00A920F6" w:rsidRPr="0041649B" w14:paraId="3F2DE719" w14:textId="77777777" w:rsidTr="00A920F6">
        <w:trPr>
          <w:trHeight w:val="930"/>
        </w:trPr>
        <w:tc>
          <w:tcPr>
            <w:tcW w:w="698" w:type="pct"/>
            <w:vMerge/>
            <w:tcBorders>
              <w:top w:val="nil"/>
              <w:left w:val="single" w:sz="4" w:space="0" w:color="auto"/>
              <w:bottom w:val="single" w:sz="4" w:space="0" w:color="000000"/>
              <w:right w:val="single" w:sz="4" w:space="0" w:color="auto"/>
            </w:tcBorders>
            <w:shd w:val="clear" w:color="auto" w:fill="auto"/>
            <w:vAlign w:val="center"/>
            <w:hideMark/>
          </w:tcPr>
          <w:p w14:paraId="5D4E031F" w14:textId="77777777" w:rsidR="00A920F6" w:rsidRPr="0041649B" w:rsidRDefault="00A920F6" w:rsidP="00A920F6">
            <w:pPr>
              <w:spacing w:after="0" w:line="240" w:lineRule="auto"/>
              <w:rPr>
                <w:rFonts w:eastAsia="Times New Roman" w:cs="Calibri"/>
                <w:sz w:val="20"/>
                <w:szCs w:val="20"/>
              </w:rPr>
            </w:pPr>
          </w:p>
        </w:tc>
        <w:tc>
          <w:tcPr>
            <w:tcW w:w="701" w:type="pct"/>
            <w:vMerge/>
            <w:tcBorders>
              <w:top w:val="nil"/>
              <w:left w:val="single" w:sz="4" w:space="0" w:color="auto"/>
              <w:bottom w:val="single" w:sz="4" w:space="0" w:color="000000"/>
              <w:right w:val="single" w:sz="4" w:space="0" w:color="auto"/>
            </w:tcBorders>
            <w:shd w:val="clear" w:color="auto" w:fill="auto"/>
            <w:vAlign w:val="center"/>
            <w:hideMark/>
          </w:tcPr>
          <w:p w14:paraId="14DAB07A" w14:textId="77777777" w:rsidR="00A920F6" w:rsidRPr="0041649B" w:rsidRDefault="00A920F6" w:rsidP="00A920F6">
            <w:pPr>
              <w:spacing w:after="0" w:line="240" w:lineRule="auto"/>
              <w:rPr>
                <w:rFonts w:eastAsia="Times New Roman" w:cs="Calibri"/>
                <w:sz w:val="20"/>
                <w:szCs w:val="20"/>
              </w:rPr>
            </w:pPr>
          </w:p>
        </w:tc>
        <w:tc>
          <w:tcPr>
            <w:tcW w:w="803" w:type="pct"/>
            <w:vMerge/>
            <w:tcBorders>
              <w:left w:val="nil"/>
              <w:bottom w:val="single" w:sz="4" w:space="0" w:color="auto"/>
              <w:right w:val="single" w:sz="4" w:space="0" w:color="auto"/>
            </w:tcBorders>
            <w:shd w:val="clear" w:color="auto" w:fill="auto"/>
            <w:hideMark/>
          </w:tcPr>
          <w:p w14:paraId="24B10799" w14:textId="77777777" w:rsidR="00A920F6" w:rsidRPr="0041649B" w:rsidRDefault="00A920F6" w:rsidP="00A920F6">
            <w:pPr>
              <w:spacing w:after="0" w:line="240" w:lineRule="auto"/>
              <w:rPr>
                <w:rFonts w:eastAsia="Times New Roman" w:cs="Calibri"/>
                <w:sz w:val="20"/>
                <w:szCs w:val="20"/>
              </w:rPr>
            </w:pPr>
          </w:p>
        </w:tc>
        <w:tc>
          <w:tcPr>
            <w:tcW w:w="1091" w:type="pct"/>
            <w:vMerge/>
            <w:tcBorders>
              <w:left w:val="nil"/>
              <w:bottom w:val="single" w:sz="4" w:space="0" w:color="auto"/>
              <w:right w:val="single" w:sz="4" w:space="0" w:color="auto"/>
            </w:tcBorders>
            <w:shd w:val="clear" w:color="auto" w:fill="auto"/>
            <w:hideMark/>
          </w:tcPr>
          <w:p w14:paraId="367D32CD" w14:textId="77777777" w:rsidR="00A920F6" w:rsidRPr="0041649B" w:rsidRDefault="00A920F6" w:rsidP="00A920F6">
            <w:pPr>
              <w:spacing w:after="0" w:line="240" w:lineRule="auto"/>
              <w:rPr>
                <w:rFonts w:eastAsia="Times New Roman" w:cs="Calibri"/>
                <w:sz w:val="20"/>
                <w:szCs w:val="20"/>
              </w:rPr>
            </w:pPr>
          </w:p>
        </w:tc>
        <w:tc>
          <w:tcPr>
            <w:tcW w:w="682" w:type="pct"/>
            <w:tcBorders>
              <w:top w:val="nil"/>
              <w:left w:val="nil"/>
              <w:bottom w:val="single" w:sz="4" w:space="0" w:color="auto"/>
              <w:right w:val="single" w:sz="4" w:space="0" w:color="auto"/>
            </w:tcBorders>
            <w:shd w:val="clear" w:color="auto" w:fill="auto"/>
            <w:hideMark/>
          </w:tcPr>
          <w:p w14:paraId="7C12C17A"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 xml:space="preserve">Integralna karta razredov poplavne nevarnosti </w:t>
            </w:r>
          </w:p>
        </w:tc>
        <w:tc>
          <w:tcPr>
            <w:tcW w:w="595" w:type="pct"/>
            <w:tcBorders>
              <w:top w:val="nil"/>
              <w:left w:val="nil"/>
              <w:bottom w:val="single" w:sz="4" w:space="0" w:color="auto"/>
              <w:right w:val="single" w:sz="4" w:space="0" w:color="auto"/>
            </w:tcBorders>
            <w:shd w:val="clear" w:color="auto" w:fill="auto"/>
            <w:hideMark/>
          </w:tcPr>
          <w:p w14:paraId="769571CF"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V</w:t>
            </w:r>
            <w:r w:rsidRPr="0041649B">
              <w:rPr>
                <w:rFonts w:eastAsia="Times New Roman" w:cs="Calibri"/>
                <w:sz w:val="20"/>
                <w:szCs w:val="20"/>
              </w:rPr>
              <w:t>ektorski sloj</w:t>
            </w:r>
          </w:p>
        </w:tc>
        <w:tc>
          <w:tcPr>
            <w:tcW w:w="430" w:type="pct"/>
            <w:tcBorders>
              <w:top w:val="nil"/>
              <w:left w:val="nil"/>
              <w:bottom w:val="single" w:sz="4" w:space="0" w:color="auto"/>
              <w:right w:val="single" w:sz="4" w:space="0" w:color="auto"/>
            </w:tcBorders>
            <w:shd w:val="clear" w:color="auto" w:fill="auto"/>
            <w:hideMark/>
          </w:tcPr>
          <w:p w14:paraId="5E3C0237"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O</w:t>
            </w:r>
            <w:r w:rsidRPr="0041649B">
              <w:rPr>
                <w:rFonts w:eastAsia="Times New Roman" w:cs="Calibri"/>
                <w:sz w:val="20"/>
                <w:szCs w:val="20"/>
              </w:rPr>
              <w:t>bčina</w:t>
            </w:r>
          </w:p>
        </w:tc>
      </w:tr>
      <w:tr w:rsidR="00A920F6" w:rsidRPr="0041649B" w14:paraId="39F5D814" w14:textId="77777777" w:rsidTr="00A920F6">
        <w:trPr>
          <w:trHeight w:val="620"/>
        </w:trPr>
        <w:tc>
          <w:tcPr>
            <w:tcW w:w="698" w:type="pct"/>
            <w:vMerge/>
            <w:tcBorders>
              <w:top w:val="nil"/>
              <w:left w:val="single" w:sz="4" w:space="0" w:color="auto"/>
              <w:bottom w:val="single" w:sz="4" w:space="0" w:color="000000"/>
              <w:right w:val="single" w:sz="4" w:space="0" w:color="auto"/>
            </w:tcBorders>
            <w:shd w:val="clear" w:color="auto" w:fill="auto"/>
            <w:vAlign w:val="center"/>
            <w:hideMark/>
          </w:tcPr>
          <w:p w14:paraId="5F07923B" w14:textId="77777777" w:rsidR="00A920F6" w:rsidRPr="0041649B" w:rsidRDefault="00A920F6" w:rsidP="00A920F6">
            <w:pPr>
              <w:spacing w:after="0" w:line="240" w:lineRule="auto"/>
              <w:rPr>
                <w:rFonts w:eastAsia="Times New Roman" w:cs="Calibri"/>
                <w:sz w:val="20"/>
                <w:szCs w:val="20"/>
              </w:rPr>
            </w:pPr>
          </w:p>
        </w:tc>
        <w:tc>
          <w:tcPr>
            <w:tcW w:w="701" w:type="pct"/>
            <w:vMerge/>
            <w:tcBorders>
              <w:top w:val="nil"/>
              <w:left w:val="single" w:sz="4" w:space="0" w:color="auto"/>
              <w:bottom w:val="single" w:sz="4" w:space="0" w:color="000000"/>
              <w:right w:val="single" w:sz="4" w:space="0" w:color="auto"/>
            </w:tcBorders>
            <w:shd w:val="clear" w:color="auto" w:fill="auto"/>
            <w:vAlign w:val="center"/>
            <w:hideMark/>
          </w:tcPr>
          <w:p w14:paraId="4081CDB5" w14:textId="77777777" w:rsidR="00A920F6" w:rsidRPr="0041649B" w:rsidRDefault="00A920F6" w:rsidP="00A920F6">
            <w:pPr>
              <w:spacing w:after="0" w:line="240" w:lineRule="auto"/>
              <w:rPr>
                <w:rFonts w:eastAsia="Times New Roman" w:cs="Calibri"/>
                <w:sz w:val="20"/>
                <w:szCs w:val="20"/>
              </w:rPr>
            </w:pPr>
          </w:p>
        </w:tc>
        <w:tc>
          <w:tcPr>
            <w:tcW w:w="803" w:type="pct"/>
            <w:tcBorders>
              <w:top w:val="nil"/>
              <w:left w:val="nil"/>
              <w:bottom w:val="single" w:sz="4" w:space="0" w:color="auto"/>
              <w:right w:val="single" w:sz="4" w:space="0" w:color="auto"/>
            </w:tcBorders>
            <w:shd w:val="clear" w:color="auto" w:fill="auto"/>
            <w:hideMark/>
          </w:tcPr>
          <w:p w14:paraId="4EBD5E49"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Boniteta tal</w:t>
            </w:r>
          </w:p>
        </w:tc>
        <w:tc>
          <w:tcPr>
            <w:tcW w:w="1091" w:type="pct"/>
            <w:tcBorders>
              <w:top w:val="nil"/>
              <w:left w:val="nil"/>
              <w:bottom w:val="single" w:sz="4" w:space="0" w:color="auto"/>
              <w:right w:val="single" w:sz="4" w:space="0" w:color="auto"/>
            </w:tcBorders>
            <w:shd w:val="clear" w:color="auto" w:fill="auto"/>
            <w:hideMark/>
          </w:tcPr>
          <w:p w14:paraId="51D705F0"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 xml:space="preserve">Delež kmetijskih zemljišč z boniteto </w:t>
            </w:r>
            <w:r>
              <w:rPr>
                <w:rFonts w:eastAsia="Times New Roman" w:cs="Calibri"/>
                <w:sz w:val="20"/>
                <w:szCs w:val="20"/>
              </w:rPr>
              <w:t xml:space="preserve">pod </w:t>
            </w:r>
            <w:r w:rsidRPr="0041649B">
              <w:rPr>
                <w:rFonts w:eastAsia="Times New Roman" w:cs="Calibri"/>
                <w:sz w:val="20"/>
                <w:szCs w:val="20"/>
              </w:rPr>
              <w:t>40</w:t>
            </w:r>
          </w:p>
        </w:tc>
        <w:tc>
          <w:tcPr>
            <w:tcW w:w="682" w:type="pct"/>
            <w:tcBorders>
              <w:top w:val="nil"/>
              <w:left w:val="nil"/>
              <w:bottom w:val="single" w:sz="4" w:space="0" w:color="auto"/>
              <w:right w:val="single" w:sz="4" w:space="0" w:color="auto"/>
            </w:tcBorders>
            <w:shd w:val="clear" w:color="auto" w:fill="auto"/>
            <w:hideMark/>
          </w:tcPr>
          <w:p w14:paraId="410BA5D9"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Boniteta kmetijskih zemljišč</w:t>
            </w:r>
          </w:p>
        </w:tc>
        <w:tc>
          <w:tcPr>
            <w:tcW w:w="595" w:type="pct"/>
            <w:tcBorders>
              <w:top w:val="nil"/>
              <w:left w:val="nil"/>
              <w:bottom w:val="single" w:sz="4" w:space="0" w:color="auto"/>
              <w:right w:val="single" w:sz="4" w:space="0" w:color="auto"/>
            </w:tcBorders>
            <w:shd w:val="clear" w:color="auto" w:fill="auto"/>
            <w:hideMark/>
          </w:tcPr>
          <w:p w14:paraId="76E6519E"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R</w:t>
            </w:r>
            <w:r w:rsidRPr="0041649B">
              <w:rPr>
                <w:rFonts w:eastAsia="Times New Roman" w:cs="Calibri"/>
                <w:sz w:val="20"/>
                <w:szCs w:val="20"/>
              </w:rPr>
              <w:t>astrski ali vektorski sloj</w:t>
            </w:r>
          </w:p>
        </w:tc>
        <w:tc>
          <w:tcPr>
            <w:tcW w:w="430" w:type="pct"/>
            <w:tcBorders>
              <w:top w:val="nil"/>
              <w:left w:val="nil"/>
              <w:bottom w:val="single" w:sz="4" w:space="0" w:color="auto"/>
              <w:right w:val="single" w:sz="4" w:space="0" w:color="auto"/>
            </w:tcBorders>
            <w:shd w:val="clear" w:color="auto" w:fill="auto"/>
            <w:hideMark/>
          </w:tcPr>
          <w:p w14:paraId="7CD607CA"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O</w:t>
            </w:r>
            <w:r w:rsidRPr="0041649B">
              <w:rPr>
                <w:rFonts w:eastAsia="Times New Roman" w:cs="Calibri"/>
                <w:sz w:val="20"/>
                <w:szCs w:val="20"/>
              </w:rPr>
              <w:t>bčina</w:t>
            </w:r>
          </w:p>
        </w:tc>
      </w:tr>
      <w:tr w:rsidR="00A920F6" w:rsidRPr="0041649B" w14:paraId="4DC1CAD6" w14:textId="77777777" w:rsidTr="00A920F6">
        <w:trPr>
          <w:trHeight w:val="620"/>
        </w:trPr>
        <w:tc>
          <w:tcPr>
            <w:tcW w:w="698" w:type="pct"/>
            <w:vMerge/>
            <w:tcBorders>
              <w:top w:val="nil"/>
              <w:left w:val="single" w:sz="4" w:space="0" w:color="auto"/>
              <w:bottom w:val="single" w:sz="4" w:space="0" w:color="000000"/>
              <w:right w:val="single" w:sz="4" w:space="0" w:color="auto"/>
            </w:tcBorders>
            <w:shd w:val="clear" w:color="auto" w:fill="auto"/>
            <w:vAlign w:val="center"/>
          </w:tcPr>
          <w:p w14:paraId="276F4F4F" w14:textId="77777777" w:rsidR="00A920F6" w:rsidRPr="0041649B" w:rsidRDefault="00A920F6" w:rsidP="00A920F6">
            <w:pPr>
              <w:spacing w:after="0" w:line="240" w:lineRule="auto"/>
              <w:rPr>
                <w:rFonts w:eastAsia="Times New Roman" w:cs="Calibri"/>
                <w:sz w:val="20"/>
                <w:szCs w:val="20"/>
              </w:rPr>
            </w:pPr>
          </w:p>
        </w:tc>
        <w:tc>
          <w:tcPr>
            <w:tcW w:w="701" w:type="pct"/>
            <w:vMerge/>
            <w:tcBorders>
              <w:top w:val="nil"/>
              <w:left w:val="single" w:sz="4" w:space="0" w:color="auto"/>
              <w:bottom w:val="single" w:sz="4" w:space="0" w:color="000000"/>
              <w:right w:val="single" w:sz="4" w:space="0" w:color="auto"/>
            </w:tcBorders>
            <w:shd w:val="clear" w:color="auto" w:fill="auto"/>
            <w:vAlign w:val="center"/>
          </w:tcPr>
          <w:p w14:paraId="74424D95" w14:textId="77777777" w:rsidR="00A920F6" w:rsidRPr="0041649B" w:rsidRDefault="00A920F6" w:rsidP="00A920F6">
            <w:pPr>
              <w:spacing w:after="0" w:line="240" w:lineRule="auto"/>
              <w:rPr>
                <w:rFonts w:eastAsia="Times New Roman" w:cs="Calibri"/>
                <w:sz w:val="20"/>
                <w:szCs w:val="20"/>
              </w:rPr>
            </w:pPr>
          </w:p>
        </w:tc>
        <w:tc>
          <w:tcPr>
            <w:tcW w:w="803" w:type="pct"/>
            <w:tcBorders>
              <w:top w:val="nil"/>
              <w:left w:val="nil"/>
              <w:bottom w:val="single" w:sz="4" w:space="0" w:color="auto"/>
              <w:right w:val="single" w:sz="4" w:space="0" w:color="auto"/>
            </w:tcBorders>
            <w:shd w:val="clear" w:color="auto" w:fill="auto"/>
          </w:tcPr>
          <w:p w14:paraId="2EA73CB3"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OMD</w:t>
            </w:r>
          </w:p>
        </w:tc>
        <w:tc>
          <w:tcPr>
            <w:tcW w:w="1091" w:type="pct"/>
            <w:tcBorders>
              <w:top w:val="nil"/>
              <w:left w:val="nil"/>
              <w:bottom w:val="single" w:sz="4" w:space="0" w:color="auto"/>
              <w:right w:val="single" w:sz="4" w:space="0" w:color="auto"/>
            </w:tcBorders>
            <w:shd w:val="clear" w:color="auto" w:fill="auto"/>
          </w:tcPr>
          <w:p w14:paraId="60D06456"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D</w:t>
            </w:r>
            <w:r w:rsidRPr="00994C25">
              <w:rPr>
                <w:rFonts w:eastAsia="Times New Roman" w:cs="Calibri"/>
                <w:sz w:val="20"/>
                <w:szCs w:val="20"/>
              </w:rPr>
              <w:t xml:space="preserve">elež kmetijskih zemljišč v uporabi v območjih z omejenimi možnostmi za kmetijsko </w:t>
            </w:r>
            <w:r w:rsidRPr="00E154A7">
              <w:rPr>
                <w:rFonts w:eastAsia="Times New Roman" w:cs="Calibri"/>
                <w:sz w:val="20"/>
                <w:szCs w:val="20"/>
              </w:rPr>
              <w:t>dejavnost</w:t>
            </w:r>
            <w:r w:rsidRPr="00994C25">
              <w:rPr>
                <w:rFonts w:eastAsia="Times New Roman" w:cs="Calibri"/>
                <w:sz w:val="20"/>
                <w:szCs w:val="20"/>
              </w:rPr>
              <w:t xml:space="preserve"> (OMD) (%)</w:t>
            </w:r>
            <w:r>
              <w:rPr>
                <w:rFonts w:eastAsia="Times New Roman" w:cs="Calibri"/>
                <w:sz w:val="20"/>
                <w:szCs w:val="20"/>
              </w:rPr>
              <w:t xml:space="preserve">, </w:t>
            </w:r>
            <w:r w:rsidRPr="00994C25">
              <w:rPr>
                <w:rFonts w:eastAsia="Times New Roman" w:cs="Calibri"/>
                <w:sz w:val="20"/>
                <w:szCs w:val="20"/>
              </w:rPr>
              <w:t>2016</w:t>
            </w:r>
          </w:p>
        </w:tc>
        <w:tc>
          <w:tcPr>
            <w:tcW w:w="682" w:type="pct"/>
            <w:tcBorders>
              <w:top w:val="nil"/>
              <w:left w:val="nil"/>
              <w:bottom w:val="single" w:sz="4" w:space="0" w:color="auto"/>
              <w:right w:val="single" w:sz="4" w:space="0" w:color="auto"/>
            </w:tcBorders>
            <w:shd w:val="clear" w:color="auto" w:fill="auto"/>
          </w:tcPr>
          <w:p w14:paraId="35A611C2"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OMD zemljišča</w:t>
            </w:r>
          </w:p>
        </w:tc>
        <w:tc>
          <w:tcPr>
            <w:tcW w:w="595" w:type="pct"/>
            <w:tcBorders>
              <w:top w:val="nil"/>
              <w:left w:val="nil"/>
              <w:bottom w:val="single" w:sz="4" w:space="0" w:color="auto"/>
              <w:right w:val="single" w:sz="4" w:space="0" w:color="auto"/>
            </w:tcBorders>
            <w:shd w:val="clear" w:color="auto" w:fill="auto"/>
          </w:tcPr>
          <w:p w14:paraId="3F040323" w14:textId="77777777" w:rsidR="00A920F6" w:rsidRDefault="00A920F6" w:rsidP="00A920F6">
            <w:pPr>
              <w:spacing w:after="0" w:line="240" w:lineRule="auto"/>
              <w:rPr>
                <w:rFonts w:eastAsia="Times New Roman" w:cs="Calibri"/>
                <w:sz w:val="20"/>
                <w:szCs w:val="20"/>
              </w:rPr>
            </w:pPr>
            <w:r>
              <w:rPr>
                <w:rFonts w:eastAsia="Times New Roman" w:cs="Calibri"/>
                <w:sz w:val="20"/>
                <w:szCs w:val="20"/>
              </w:rPr>
              <w:t>Rastrski ali vektorski sloj</w:t>
            </w:r>
          </w:p>
        </w:tc>
        <w:tc>
          <w:tcPr>
            <w:tcW w:w="430" w:type="pct"/>
            <w:tcBorders>
              <w:top w:val="nil"/>
              <w:left w:val="nil"/>
              <w:bottom w:val="single" w:sz="4" w:space="0" w:color="auto"/>
              <w:right w:val="single" w:sz="4" w:space="0" w:color="auto"/>
            </w:tcBorders>
            <w:shd w:val="clear" w:color="auto" w:fill="auto"/>
          </w:tcPr>
          <w:p w14:paraId="17F93061" w14:textId="77777777" w:rsidR="00A920F6" w:rsidRDefault="00A920F6" w:rsidP="00A920F6">
            <w:pPr>
              <w:spacing w:after="0" w:line="240" w:lineRule="auto"/>
              <w:rPr>
                <w:rFonts w:eastAsia="Times New Roman" w:cs="Calibri"/>
                <w:sz w:val="20"/>
                <w:szCs w:val="20"/>
              </w:rPr>
            </w:pPr>
            <w:r>
              <w:rPr>
                <w:rFonts w:eastAsia="Times New Roman" w:cs="Calibri"/>
                <w:sz w:val="20"/>
                <w:szCs w:val="20"/>
              </w:rPr>
              <w:t>Občina</w:t>
            </w:r>
          </w:p>
        </w:tc>
      </w:tr>
      <w:tr w:rsidR="00A920F6" w:rsidRPr="0041649B" w14:paraId="7A781BAB" w14:textId="77777777" w:rsidTr="00A920F6">
        <w:trPr>
          <w:trHeight w:val="930"/>
        </w:trPr>
        <w:tc>
          <w:tcPr>
            <w:tcW w:w="698" w:type="pct"/>
            <w:vMerge/>
            <w:tcBorders>
              <w:top w:val="nil"/>
              <w:left w:val="single" w:sz="4" w:space="0" w:color="auto"/>
              <w:bottom w:val="single" w:sz="4" w:space="0" w:color="000000"/>
              <w:right w:val="single" w:sz="4" w:space="0" w:color="auto"/>
            </w:tcBorders>
            <w:shd w:val="clear" w:color="auto" w:fill="auto"/>
            <w:vAlign w:val="center"/>
            <w:hideMark/>
          </w:tcPr>
          <w:p w14:paraId="1E8F462A" w14:textId="77777777" w:rsidR="00A920F6" w:rsidRPr="0041649B" w:rsidRDefault="00A920F6" w:rsidP="00A920F6">
            <w:pPr>
              <w:spacing w:after="0" w:line="240" w:lineRule="auto"/>
              <w:rPr>
                <w:rFonts w:eastAsia="Times New Roman" w:cs="Calibri"/>
                <w:sz w:val="20"/>
                <w:szCs w:val="20"/>
              </w:rPr>
            </w:pPr>
          </w:p>
        </w:tc>
        <w:tc>
          <w:tcPr>
            <w:tcW w:w="701" w:type="pct"/>
            <w:vMerge/>
            <w:tcBorders>
              <w:top w:val="nil"/>
              <w:left w:val="single" w:sz="4" w:space="0" w:color="auto"/>
              <w:bottom w:val="single" w:sz="4" w:space="0" w:color="000000"/>
              <w:right w:val="single" w:sz="4" w:space="0" w:color="auto"/>
            </w:tcBorders>
            <w:shd w:val="clear" w:color="auto" w:fill="auto"/>
            <w:vAlign w:val="center"/>
            <w:hideMark/>
          </w:tcPr>
          <w:p w14:paraId="79838B9A" w14:textId="77777777" w:rsidR="00A920F6" w:rsidRPr="0041649B" w:rsidRDefault="00A920F6" w:rsidP="00A920F6">
            <w:pPr>
              <w:spacing w:after="0" w:line="240" w:lineRule="auto"/>
              <w:rPr>
                <w:rFonts w:eastAsia="Times New Roman" w:cs="Calibri"/>
                <w:sz w:val="20"/>
                <w:szCs w:val="20"/>
              </w:rPr>
            </w:pPr>
          </w:p>
        </w:tc>
        <w:tc>
          <w:tcPr>
            <w:tcW w:w="803" w:type="pct"/>
            <w:vMerge w:val="restart"/>
            <w:tcBorders>
              <w:top w:val="nil"/>
              <w:left w:val="nil"/>
              <w:right w:val="single" w:sz="4" w:space="0" w:color="auto"/>
            </w:tcBorders>
            <w:shd w:val="clear" w:color="auto" w:fill="auto"/>
            <w:hideMark/>
          </w:tcPr>
          <w:p w14:paraId="468F84B0"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Škoda zaradi naravnih nesreč</w:t>
            </w:r>
          </w:p>
          <w:p w14:paraId="0AE22397"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 </w:t>
            </w:r>
          </w:p>
        </w:tc>
        <w:tc>
          <w:tcPr>
            <w:tcW w:w="1091" w:type="pct"/>
            <w:vMerge w:val="restart"/>
            <w:tcBorders>
              <w:top w:val="nil"/>
              <w:left w:val="nil"/>
              <w:right w:val="single" w:sz="4" w:space="0" w:color="auto"/>
            </w:tcBorders>
            <w:shd w:val="clear" w:color="auto" w:fill="auto"/>
            <w:hideMark/>
          </w:tcPr>
          <w:p w14:paraId="207C0E8E"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Delež povprečne letne škode zaradi vremensko pogojenih naravnih nesreč v povprečnem bruto domačem proizvodu (%), 2009</w:t>
            </w:r>
            <w:r>
              <w:rPr>
                <w:rFonts w:asciiTheme="minorHAnsi" w:hAnsiTheme="minorHAnsi"/>
              </w:rPr>
              <w:t>–</w:t>
            </w:r>
            <w:r w:rsidRPr="0041649B">
              <w:rPr>
                <w:rFonts w:eastAsia="Times New Roman" w:cs="Calibri"/>
                <w:sz w:val="20"/>
                <w:szCs w:val="20"/>
              </w:rPr>
              <w:t>2016</w:t>
            </w:r>
          </w:p>
          <w:p w14:paraId="524727FD"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 </w:t>
            </w:r>
          </w:p>
        </w:tc>
        <w:tc>
          <w:tcPr>
            <w:tcW w:w="682" w:type="pct"/>
            <w:tcBorders>
              <w:top w:val="nil"/>
              <w:left w:val="nil"/>
              <w:bottom w:val="single" w:sz="4" w:space="0" w:color="auto"/>
              <w:right w:val="single" w:sz="4" w:space="0" w:color="auto"/>
            </w:tcBorders>
            <w:shd w:val="clear" w:color="auto" w:fill="auto"/>
            <w:hideMark/>
          </w:tcPr>
          <w:p w14:paraId="0ED5FCEA"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Škoda zaradi naravnih nesreč (8-letni podatki iz aplikacije AJDA)</w:t>
            </w:r>
          </w:p>
        </w:tc>
        <w:tc>
          <w:tcPr>
            <w:tcW w:w="595" w:type="pct"/>
            <w:tcBorders>
              <w:top w:val="nil"/>
              <w:left w:val="nil"/>
              <w:bottom w:val="single" w:sz="4" w:space="0" w:color="auto"/>
              <w:right w:val="single" w:sz="4" w:space="0" w:color="auto"/>
            </w:tcBorders>
            <w:shd w:val="clear" w:color="auto" w:fill="auto"/>
            <w:hideMark/>
          </w:tcPr>
          <w:p w14:paraId="425454FB"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Tabelirani podatki</w:t>
            </w:r>
          </w:p>
        </w:tc>
        <w:tc>
          <w:tcPr>
            <w:tcW w:w="430" w:type="pct"/>
            <w:tcBorders>
              <w:top w:val="nil"/>
              <w:left w:val="nil"/>
              <w:bottom w:val="single" w:sz="4" w:space="0" w:color="auto"/>
              <w:right w:val="single" w:sz="4" w:space="0" w:color="auto"/>
            </w:tcBorders>
            <w:shd w:val="clear" w:color="auto" w:fill="auto"/>
            <w:hideMark/>
          </w:tcPr>
          <w:p w14:paraId="384CEEF6"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R</w:t>
            </w:r>
            <w:r w:rsidRPr="0041649B">
              <w:rPr>
                <w:rFonts w:eastAsia="Times New Roman" w:cs="Calibri"/>
                <w:sz w:val="20"/>
                <w:szCs w:val="20"/>
              </w:rPr>
              <w:t>egija</w:t>
            </w:r>
          </w:p>
        </w:tc>
      </w:tr>
      <w:tr w:rsidR="00A920F6" w:rsidRPr="0041649B" w14:paraId="7FAD20F8" w14:textId="77777777" w:rsidTr="00A920F6">
        <w:trPr>
          <w:trHeight w:val="620"/>
        </w:trPr>
        <w:tc>
          <w:tcPr>
            <w:tcW w:w="698" w:type="pct"/>
            <w:vMerge/>
            <w:tcBorders>
              <w:top w:val="nil"/>
              <w:left w:val="single" w:sz="4" w:space="0" w:color="auto"/>
              <w:bottom w:val="single" w:sz="4" w:space="0" w:color="000000"/>
              <w:right w:val="single" w:sz="4" w:space="0" w:color="auto"/>
            </w:tcBorders>
            <w:shd w:val="clear" w:color="auto" w:fill="auto"/>
            <w:vAlign w:val="center"/>
            <w:hideMark/>
          </w:tcPr>
          <w:p w14:paraId="6CCA7A30" w14:textId="77777777" w:rsidR="00A920F6" w:rsidRPr="0041649B" w:rsidRDefault="00A920F6" w:rsidP="00A920F6">
            <w:pPr>
              <w:spacing w:after="0" w:line="240" w:lineRule="auto"/>
              <w:rPr>
                <w:rFonts w:eastAsia="Times New Roman" w:cs="Calibri"/>
                <w:sz w:val="20"/>
                <w:szCs w:val="20"/>
              </w:rPr>
            </w:pPr>
          </w:p>
        </w:tc>
        <w:tc>
          <w:tcPr>
            <w:tcW w:w="701" w:type="pct"/>
            <w:vMerge/>
            <w:tcBorders>
              <w:top w:val="nil"/>
              <w:left w:val="single" w:sz="4" w:space="0" w:color="auto"/>
              <w:bottom w:val="single" w:sz="4" w:space="0" w:color="000000"/>
              <w:right w:val="single" w:sz="4" w:space="0" w:color="auto"/>
            </w:tcBorders>
            <w:shd w:val="clear" w:color="auto" w:fill="auto"/>
            <w:vAlign w:val="center"/>
            <w:hideMark/>
          </w:tcPr>
          <w:p w14:paraId="2EBE6213" w14:textId="77777777" w:rsidR="00A920F6" w:rsidRPr="0041649B" w:rsidRDefault="00A920F6" w:rsidP="00A920F6">
            <w:pPr>
              <w:spacing w:after="0" w:line="240" w:lineRule="auto"/>
              <w:rPr>
                <w:rFonts w:eastAsia="Times New Roman" w:cs="Calibri"/>
                <w:sz w:val="20"/>
                <w:szCs w:val="20"/>
              </w:rPr>
            </w:pPr>
          </w:p>
        </w:tc>
        <w:tc>
          <w:tcPr>
            <w:tcW w:w="803" w:type="pct"/>
            <w:vMerge/>
            <w:tcBorders>
              <w:left w:val="nil"/>
              <w:bottom w:val="single" w:sz="4" w:space="0" w:color="auto"/>
              <w:right w:val="single" w:sz="4" w:space="0" w:color="auto"/>
            </w:tcBorders>
            <w:shd w:val="clear" w:color="auto" w:fill="auto"/>
            <w:hideMark/>
          </w:tcPr>
          <w:p w14:paraId="58C53643" w14:textId="77777777" w:rsidR="00A920F6" w:rsidRPr="0041649B" w:rsidRDefault="00A920F6" w:rsidP="00A920F6">
            <w:pPr>
              <w:spacing w:after="0" w:line="240" w:lineRule="auto"/>
              <w:rPr>
                <w:rFonts w:eastAsia="Times New Roman" w:cs="Calibri"/>
                <w:sz w:val="20"/>
                <w:szCs w:val="20"/>
              </w:rPr>
            </w:pPr>
          </w:p>
        </w:tc>
        <w:tc>
          <w:tcPr>
            <w:tcW w:w="1091" w:type="pct"/>
            <w:vMerge/>
            <w:tcBorders>
              <w:left w:val="nil"/>
              <w:bottom w:val="single" w:sz="4" w:space="0" w:color="auto"/>
              <w:right w:val="single" w:sz="4" w:space="0" w:color="auto"/>
            </w:tcBorders>
            <w:shd w:val="clear" w:color="auto" w:fill="auto"/>
            <w:hideMark/>
          </w:tcPr>
          <w:p w14:paraId="20BF8D7F" w14:textId="77777777" w:rsidR="00A920F6" w:rsidRPr="0041649B" w:rsidRDefault="00A920F6" w:rsidP="00A920F6">
            <w:pPr>
              <w:spacing w:after="0" w:line="240" w:lineRule="auto"/>
              <w:rPr>
                <w:rFonts w:eastAsia="Times New Roman" w:cs="Calibri"/>
                <w:sz w:val="20"/>
                <w:szCs w:val="20"/>
              </w:rPr>
            </w:pPr>
          </w:p>
        </w:tc>
        <w:tc>
          <w:tcPr>
            <w:tcW w:w="682" w:type="pct"/>
            <w:tcBorders>
              <w:top w:val="nil"/>
              <w:left w:val="nil"/>
              <w:bottom w:val="single" w:sz="4" w:space="0" w:color="auto"/>
              <w:right w:val="single" w:sz="4" w:space="0" w:color="auto"/>
            </w:tcBorders>
            <w:shd w:val="clear" w:color="auto" w:fill="auto"/>
            <w:hideMark/>
          </w:tcPr>
          <w:p w14:paraId="6FA3FCDA"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Bruto domači proizvod (BDP)</w:t>
            </w:r>
          </w:p>
        </w:tc>
        <w:tc>
          <w:tcPr>
            <w:tcW w:w="595" w:type="pct"/>
            <w:tcBorders>
              <w:top w:val="nil"/>
              <w:left w:val="nil"/>
              <w:bottom w:val="single" w:sz="4" w:space="0" w:color="auto"/>
              <w:right w:val="single" w:sz="4" w:space="0" w:color="auto"/>
            </w:tcBorders>
            <w:shd w:val="clear" w:color="auto" w:fill="auto"/>
            <w:hideMark/>
          </w:tcPr>
          <w:p w14:paraId="01282E7C"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Tabelirani podatki</w:t>
            </w:r>
          </w:p>
        </w:tc>
        <w:tc>
          <w:tcPr>
            <w:tcW w:w="430" w:type="pct"/>
            <w:tcBorders>
              <w:top w:val="nil"/>
              <w:left w:val="nil"/>
              <w:bottom w:val="single" w:sz="4" w:space="0" w:color="auto"/>
              <w:right w:val="single" w:sz="4" w:space="0" w:color="auto"/>
            </w:tcBorders>
            <w:shd w:val="clear" w:color="auto" w:fill="auto"/>
            <w:hideMark/>
          </w:tcPr>
          <w:p w14:paraId="7D8C051D"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R</w:t>
            </w:r>
            <w:r w:rsidRPr="0041649B">
              <w:rPr>
                <w:rFonts w:eastAsia="Times New Roman" w:cs="Calibri"/>
                <w:sz w:val="20"/>
                <w:szCs w:val="20"/>
              </w:rPr>
              <w:t>egija</w:t>
            </w:r>
          </w:p>
        </w:tc>
      </w:tr>
      <w:tr w:rsidR="00A920F6" w:rsidRPr="0041649B" w14:paraId="3AEC4A0B" w14:textId="77777777" w:rsidTr="00A920F6">
        <w:trPr>
          <w:trHeight w:val="620"/>
        </w:trPr>
        <w:tc>
          <w:tcPr>
            <w:tcW w:w="698" w:type="pct"/>
            <w:vMerge/>
            <w:tcBorders>
              <w:top w:val="nil"/>
              <w:left w:val="single" w:sz="4" w:space="0" w:color="auto"/>
              <w:bottom w:val="single" w:sz="4" w:space="0" w:color="000000"/>
              <w:right w:val="single" w:sz="4" w:space="0" w:color="auto"/>
            </w:tcBorders>
            <w:shd w:val="clear" w:color="auto" w:fill="auto"/>
            <w:vAlign w:val="center"/>
            <w:hideMark/>
          </w:tcPr>
          <w:p w14:paraId="2FD6C401" w14:textId="77777777" w:rsidR="00A920F6" w:rsidRPr="0041649B" w:rsidRDefault="00A920F6" w:rsidP="00A920F6">
            <w:pPr>
              <w:spacing w:after="0" w:line="240" w:lineRule="auto"/>
              <w:rPr>
                <w:rFonts w:eastAsia="Times New Roman" w:cs="Calibri"/>
                <w:sz w:val="20"/>
                <w:szCs w:val="20"/>
              </w:rPr>
            </w:pPr>
          </w:p>
        </w:tc>
        <w:tc>
          <w:tcPr>
            <w:tcW w:w="701" w:type="pct"/>
            <w:vMerge w:val="restart"/>
            <w:tcBorders>
              <w:top w:val="nil"/>
              <w:left w:val="single" w:sz="4" w:space="0" w:color="auto"/>
              <w:bottom w:val="single" w:sz="4" w:space="0" w:color="000000"/>
              <w:right w:val="single" w:sz="4" w:space="0" w:color="auto"/>
            </w:tcBorders>
            <w:shd w:val="clear" w:color="auto" w:fill="auto"/>
            <w:hideMark/>
          </w:tcPr>
          <w:p w14:paraId="5D2A2238"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 xml:space="preserve">Spremembe </w:t>
            </w:r>
            <w:r w:rsidRPr="0041649B">
              <w:rPr>
                <w:rFonts w:eastAsia="Times New Roman" w:cs="Calibri"/>
                <w:sz w:val="20"/>
                <w:szCs w:val="20"/>
              </w:rPr>
              <w:t>v kmetijstvu</w:t>
            </w:r>
          </w:p>
        </w:tc>
        <w:tc>
          <w:tcPr>
            <w:tcW w:w="803" w:type="pct"/>
            <w:tcBorders>
              <w:top w:val="nil"/>
              <w:left w:val="nil"/>
              <w:bottom w:val="single" w:sz="4" w:space="0" w:color="auto"/>
              <w:right w:val="single" w:sz="4" w:space="0" w:color="auto"/>
            </w:tcBorders>
            <w:shd w:val="clear" w:color="auto" w:fill="auto"/>
            <w:hideMark/>
          </w:tcPr>
          <w:p w14:paraId="346F9F9A"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Zaposlenost v kmetijstvu</w:t>
            </w:r>
          </w:p>
        </w:tc>
        <w:tc>
          <w:tcPr>
            <w:tcW w:w="1091" w:type="pct"/>
            <w:tcBorders>
              <w:top w:val="nil"/>
              <w:left w:val="nil"/>
              <w:bottom w:val="single" w:sz="4" w:space="0" w:color="auto"/>
              <w:right w:val="single" w:sz="4" w:space="0" w:color="auto"/>
            </w:tcBorders>
            <w:shd w:val="clear" w:color="auto" w:fill="auto"/>
            <w:hideMark/>
          </w:tcPr>
          <w:p w14:paraId="394AA7F2"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Indeks rasti števila zaposlenih v kmetijski dejavnosti, 2016/2007</w:t>
            </w:r>
          </w:p>
        </w:tc>
        <w:tc>
          <w:tcPr>
            <w:tcW w:w="682" w:type="pct"/>
            <w:tcBorders>
              <w:top w:val="nil"/>
              <w:left w:val="nil"/>
              <w:bottom w:val="single" w:sz="4" w:space="0" w:color="auto"/>
              <w:right w:val="single" w:sz="4" w:space="0" w:color="auto"/>
            </w:tcBorders>
            <w:shd w:val="clear" w:color="auto" w:fill="auto"/>
            <w:hideMark/>
          </w:tcPr>
          <w:p w14:paraId="0019AFF5"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Zaposlenost v kmetijski dejavnosti</w:t>
            </w:r>
          </w:p>
        </w:tc>
        <w:tc>
          <w:tcPr>
            <w:tcW w:w="595" w:type="pct"/>
            <w:tcBorders>
              <w:top w:val="nil"/>
              <w:left w:val="nil"/>
              <w:bottom w:val="single" w:sz="4" w:space="0" w:color="auto"/>
              <w:right w:val="single" w:sz="4" w:space="0" w:color="auto"/>
            </w:tcBorders>
            <w:shd w:val="clear" w:color="auto" w:fill="auto"/>
            <w:hideMark/>
          </w:tcPr>
          <w:p w14:paraId="747FF097"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Tabelirani podatki</w:t>
            </w:r>
          </w:p>
        </w:tc>
        <w:tc>
          <w:tcPr>
            <w:tcW w:w="430" w:type="pct"/>
            <w:tcBorders>
              <w:top w:val="nil"/>
              <w:left w:val="nil"/>
              <w:bottom w:val="single" w:sz="4" w:space="0" w:color="auto"/>
              <w:right w:val="single" w:sz="4" w:space="0" w:color="auto"/>
            </w:tcBorders>
            <w:shd w:val="clear" w:color="auto" w:fill="auto"/>
            <w:hideMark/>
          </w:tcPr>
          <w:p w14:paraId="6B3DBF99"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R</w:t>
            </w:r>
            <w:r w:rsidRPr="0041649B">
              <w:rPr>
                <w:rFonts w:eastAsia="Times New Roman" w:cs="Calibri"/>
                <w:sz w:val="20"/>
                <w:szCs w:val="20"/>
              </w:rPr>
              <w:t>egija</w:t>
            </w:r>
          </w:p>
        </w:tc>
      </w:tr>
      <w:tr w:rsidR="00A920F6" w:rsidRPr="0041649B" w14:paraId="0EBEC532" w14:textId="77777777" w:rsidTr="00A920F6">
        <w:trPr>
          <w:trHeight w:val="1500"/>
        </w:trPr>
        <w:tc>
          <w:tcPr>
            <w:tcW w:w="698" w:type="pct"/>
            <w:vMerge/>
            <w:tcBorders>
              <w:top w:val="nil"/>
              <w:left w:val="single" w:sz="4" w:space="0" w:color="auto"/>
              <w:bottom w:val="single" w:sz="4" w:space="0" w:color="000000"/>
              <w:right w:val="single" w:sz="4" w:space="0" w:color="auto"/>
            </w:tcBorders>
            <w:shd w:val="clear" w:color="auto" w:fill="auto"/>
            <w:vAlign w:val="center"/>
            <w:hideMark/>
          </w:tcPr>
          <w:p w14:paraId="15E14C69" w14:textId="77777777" w:rsidR="00A920F6" w:rsidRPr="0041649B" w:rsidRDefault="00A920F6" w:rsidP="00A920F6">
            <w:pPr>
              <w:spacing w:after="0" w:line="240" w:lineRule="auto"/>
              <w:rPr>
                <w:rFonts w:eastAsia="Times New Roman" w:cs="Calibri"/>
                <w:sz w:val="20"/>
                <w:szCs w:val="20"/>
              </w:rPr>
            </w:pPr>
          </w:p>
        </w:tc>
        <w:tc>
          <w:tcPr>
            <w:tcW w:w="701" w:type="pct"/>
            <w:vMerge/>
            <w:tcBorders>
              <w:top w:val="nil"/>
              <w:left w:val="single" w:sz="4" w:space="0" w:color="auto"/>
              <w:bottom w:val="single" w:sz="4" w:space="0" w:color="000000"/>
              <w:right w:val="single" w:sz="4" w:space="0" w:color="auto"/>
            </w:tcBorders>
            <w:shd w:val="clear" w:color="auto" w:fill="auto"/>
            <w:vAlign w:val="center"/>
            <w:hideMark/>
          </w:tcPr>
          <w:p w14:paraId="7F3D0566" w14:textId="77777777" w:rsidR="00A920F6" w:rsidRPr="0041649B" w:rsidRDefault="00A920F6" w:rsidP="00A920F6">
            <w:pPr>
              <w:spacing w:after="0" w:line="240" w:lineRule="auto"/>
              <w:rPr>
                <w:rFonts w:eastAsia="Times New Roman" w:cs="Calibri"/>
                <w:sz w:val="20"/>
                <w:szCs w:val="20"/>
              </w:rPr>
            </w:pPr>
          </w:p>
        </w:tc>
        <w:tc>
          <w:tcPr>
            <w:tcW w:w="803" w:type="pct"/>
            <w:tcBorders>
              <w:top w:val="nil"/>
              <w:left w:val="nil"/>
              <w:bottom w:val="single" w:sz="4" w:space="0" w:color="auto"/>
              <w:right w:val="single" w:sz="4" w:space="0" w:color="auto"/>
            </w:tcBorders>
            <w:shd w:val="clear" w:color="auto" w:fill="auto"/>
            <w:hideMark/>
          </w:tcPr>
          <w:p w14:paraId="63050F2A"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Obseg kmetijskih zemljišč</w:t>
            </w:r>
          </w:p>
        </w:tc>
        <w:tc>
          <w:tcPr>
            <w:tcW w:w="1091" w:type="pct"/>
            <w:tcBorders>
              <w:top w:val="nil"/>
              <w:left w:val="nil"/>
              <w:bottom w:val="single" w:sz="4" w:space="0" w:color="auto"/>
              <w:right w:val="single" w:sz="4" w:space="0" w:color="auto"/>
            </w:tcBorders>
            <w:shd w:val="clear" w:color="auto" w:fill="auto"/>
            <w:hideMark/>
          </w:tcPr>
          <w:p w14:paraId="5423BADD"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Indeks rasti kmetijskih zemljišč v uporabi, 2016/2007</w:t>
            </w:r>
          </w:p>
        </w:tc>
        <w:tc>
          <w:tcPr>
            <w:tcW w:w="682" w:type="pct"/>
            <w:tcBorders>
              <w:top w:val="nil"/>
              <w:left w:val="nil"/>
              <w:bottom w:val="single" w:sz="4" w:space="0" w:color="auto"/>
              <w:right w:val="single" w:sz="4" w:space="0" w:color="auto"/>
            </w:tcBorders>
            <w:shd w:val="clear" w:color="auto" w:fill="auto"/>
            <w:hideMark/>
          </w:tcPr>
          <w:p w14:paraId="79C48CBE"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Površina kmetijskih zemljišč v uporabi (KZU) KZU = GERK</w:t>
            </w:r>
          </w:p>
        </w:tc>
        <w:tc>
          <w:tcPr>
            <w:tcW w:w="595" w:type="pct"/>
            <w:tcBorders>
              <w:top w:val="nil"/>
              <w:left w:val="nil"/>
              <w:bottom w:val="single" w:sz="4" w:space="0" w:color="auto"/>
              <w:right w:val="single" w:sz="4" w:space="0" w:color="auto"/>
            </w:tcBorders>
            <w:shd w:val="clear" w:color="auto" w:fill="auto"/>
            <w:hideMark/>
          </w:tcPr>
          <w:p w14:paraId="04585AC6"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Vektorski sloji GERK (10 let)</w:t>
            </w:r>
          </w:p>
        </w:tc>
        <w:tc>
          <w:tcPr>
            <w:tcW w:w="430" w:type="pct"/>
            <w:tcBorders>
              <w:top w:val="nil"/>
              <w:left w:val="nil"/>
              <w:bottom w:val="single" w:sz="4" w:space="0" w:color="auto"/>
              <w:right w:val="single" w:sz="4" w:space="0" w:color="auto"/>
            </w:tcBorders>
            <w:shd w:val="clear" w:color="auto" w:fill="auto"/>
            <w:hideMark/>
          </w:tcPr>
          <w:p w14:paraId="4C9F1A3F"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R</w:t>
            </w:r>
            <w:r w:rsidRPr="0041649B">
              <w:rPr>
                <w:rFonts w:eastAsia="Times New Roman" w:cs="Calibri"/>
                <w:sz w:val="20"/>
                <w:szCs w:val="20"/>
              </w:rPr>
              <w:t>egija</w:t>
            </w:r>
          </w:p>
        </w:tc>
      </w:tr>
      <w:tr w:rsidR="00A920F6" w:rsidRPr="0041649B" w14:paraId="06E7D48F" w14:textId="77777777" w:rsidTr="00A920F6">
        <w:trPr>
          <w:trHeight w:val="620"/>
        </w:trPr>
        <w:tc>
          <w:tcPr>
            <w:tcW w:w="698" w:type="pct"/>
            <w:vMerge/>
            <w:tcBorders>
              <w:top w:val="nil"/>
              <w:left w:val="single" w:sz="4" w:space="0" w:color="auto"/>
              <w:bottom w:val="single" w:sz="4" w:space="0" w:color="000000"/>
              <w:right w:val="single" w:sz="4" w:space="0" w:color="auto"/>
            </w:tcBorders>
            <w:shd w:val="clear" w:color="auto" w:fill="auto"/>
            <w:vAlign w:val="center"/>
            <w:hideMark/>
          </w:tcPr>
          <w:p w14:paraId="479FCEA1" w14:textId="77777777" w:rsidR="00A920F6" w:rsidRPr="0041649B" w:rsidRDefault="00A920F6" w:rsidP="00A920F6">
            <w:pPr>
              <w:spacing w:after="0" w:line="240" w:lineRule="auto"/>
              <w:rPr>
                <w:rFonts w:eastAsia="Times New Roman" w:cs="Calibri"/>
                <w:sz w:val="20"/>
                <w:szCs w:val="20"/>
              </w:rPr>
            </w:pPr>
          </w:p>
        </w:tc>
        <w:tc>
          <w:tcPr>
            <w:tcW w:w="701" w:type="pct"/>
            <w:vMerge w:val="restart"/>
            <w:tcBorders>
              <w:top w:val="nil"/>
              <w:left w:val="single" w:sz="4" w:space="0" w:color="auto"/>
              <w:bottom w:val="single" w:sz="4" w:space="0" w:color="auto"/>
              <w:right w:val="single" w:sz="4" w:space="0" w:color="auto"/>
            </w:tcBorders>
            <w:shd w:val="clear" w:color="auto" w:fill="auto"/>
            <w:hideMark/>
          </w:tcPr>
          <w:p w14:paraId="58C6CA8E"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Starostna struktura</w:t>
            </w:r>
            <w:r w:rsidRPr="0041649B">
              <w:rPr>
                <w:rFonts w:eastAsia="Times New Roman" w:cs="Calibri"/>
                <w:sz w:val="20"/>
                <w:szCs w:val="20"/>
              </w:rPr>
              <w:t xml:space="preserve"> prebivalstva</w:t>
            </w:r>
          </w:p>
        </w:tc>
        <w:tc>
          <w:tcPr>
            <w:tcW w:w="803" w:type="pct"/>
            <w:tcBorders>
              <w:top w:val="nil"/>
              <w:left w:val="nil"/>
              <w:bottom w:val="single" w:sz="4" w:space="0" w:color="auto"/>
              <w:right w:val="single" w:sz="4" w:space="0" w:color="auto"/>
            </w:tcBorders>
            <w:shd w:val="clear" w:color="auto" w:fill="auto"/>
            <w:hideMark/>
          </w:tcPr>
          <w:p w14:paraId="5D55A225"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Starost nosilca kmetijskega gospodarstva</w:t>
            </w:r>
          </w:p>
        </w:tc>
        <w:tc>
          <w:tcPr>
            <w:tcW w:w="1091" w:type="pct"/>
            <w:tcBorders>
              <w:top w:val="nil"/>
              <w:left w:val="nil"/>
              <w:bottom w:val="single" w:sz="4" w:space="0" w:color="auto"/>
              <w:right w:val="single" w:sz="4" w:space="0" w:color="auto"/>
            </w:tcBorders>
            <w:shd w:val="clear" w:color="auto" w:fill="auto"/>
            <w:hideMark/>
          </w:tcPr>
          <w:p w14:paraId="393A493F"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Povprečna starost nosilca kmetijskega gospodarstva (v letih), 2016</w:t>
            </w:r>
          </w:p>
        </w:tc>
        <w:tc>
          <w:tcPr>
            <w:tcW w:w="682" w:type="pct"/>
            <w:tcBorders>
              <w:top w:val="nil"/>
              <w:left w:val="nil"/>
              <w:bottom w:val="single" w:sz="4" w:space="0" w:color="auto"/>
              <w:right w:val="single" w:sz="4" w:space="0" w:color="auto"/>
            </w:tcBorders>
            <w:shd w:val="clear" w:color="auto" w:fill="auto"/>
            <w:hideMark/>
          </w:tcPr>
          <w:p w14:paraId="0C18CDA2"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 xml:space="preserve">Starost nosilca kmetije </w:t>
            </w:r>
          </w:p>
        </w:tc>
        <w:tc>
          <w:tcPr>
            <w:tcW w:w="595" w:type="pct"/>
            <w:tcBorders>
              <w:top w:val="nil"/>
              <w:left w:val="nil"/>
              <w:bottom w:val="single" w:sz="4" w:space="0" w:color="auto"/>
              <w:right w:val="single" w:sz="4" w:space="0" w:color="auto"/>
            </w:tcBorders>
            <w:shd w:val="clear" w:color="auto" w:fill="auto"/>
            <w:hideMark/>
          </w:tcPr>
          <w:p w14:paraId="2E9567DD"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 xml:space="preserve">Vektorski sloj RKG </w:t>
            </w:r>
          </w:p>
        </w:tc>
        <w:tc>
          <w:tcPr>
            <w:tcW w:w="430" w:type="pct"/>
            <w:tcBorders>
              <w:top w:val="nil"/>
              <w:left w:val="nil"/>
              <w:bottom w:val="single" w:sz="4" w:space="0" w:color="auto"/>
              <w:right w:val="single" w:sz="4" w:space="0" w:color="auto"/>
            </w:tcBorders>
            <w:shd w:val="clear" w:color="auto" w:fill="auto"/>
            <w:hideMark/>
          </w:tcPr>
          <w:p w14:paraId="34BE62FA"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O</w:t>
            </w:r>
            <w:r w:rsidRPr="0041649B">
              <w:rPr>
                <w:rFonts w:eastAsia="Times New Roman" w:cs="Calibri"/>
                <w:sz w:val="20"/>
                <w:szCs w:val="20"/>
              </w:rPr>
              <w:t>bčina</w:t>
            </w:r>
          </w:p>
        </w:tc>
      </w:tr>
      <w:tr w:rsidR="00A920F6" w:rsidRPr="0041649B" w14:paraId="5ADE8C3D" w14:textId="77777777" w:rsidTr="00A920F6">
        <w:trPr>
          <w:trHeight w:val="620"/>
        </w:trPr>
        <w:tc>
          <w:tcPr>
            <w:tcW w:w="698" w:type="pct"/>
            <w:vMerge/>
            <w:tcBorders>
              <w:top w:val="nil"/>
              <w:left w:val="single" w:sz="4" w:space="0" w:color="auto"/>
              <w:bottom w:val="single" w:sz="4" w:space="0" w:color="000000"/>
              <w:right w:val="single" w:sz="4" w:space="0" w:color="auto"/>
            </w:tcBorders>
            <w:shd w:val="clear" w:color="auto" w:fill="auto"/>
            <w:vAlign w:val="center"/>
            <w:hideMark/>
          </w:tcPr>
          <w:p w14:paraId="06D22D39" w14:textId="77777777" w:rsidR="00A920F6" w:rsidRPr="0041649B" w:rsidRDefault="00A920F6" w:rsidP="00A920F6">
            <w:pPr>
              <w:spacing w:after="0" w:line="240" w:lineRule="auto"/>
              <w:rPr>
                <w:rFonts w:eastAsia="Times New Roman" w:cs="Calibri"/>
                <w:sz w:val="20"/>
                <w:szCs w:val="20"/>
              </w:rPr>
            </w:pPr>
          </w:p>
        </w:tc>
        <w:tc>
          <w:tcPr>
            <w:tcW w:w="701" w:type="pct"/>
            <w:vMerge/>
            <w:tcBorders>
              <w:top w:val="nil"/>
              <w:left w:val="single" w:sz="4" w:space="0" w:color="auto"/>
              <w:bottom w:val="single" w:sz="4" w:space="0" w:color="auto"/>
              <w:right w:val="single" w:sz="4" w:space="0" w:color="auto"/>
            </w:tcBorders>
            <w:shd w:val="clear" w:color="auto" w:fill="auto"/>
            <w:vAlign w:val="center"/>
            <w:hideMark/>
          </w:tcPr>
          <w:p w14:paraId="481D8AD2" w14:textId="77777777" w:rsidR="00A920F6" w:rsidRPr="0041649B" w:rsidRDefault="00A920F6" w:rsidP="00A920F6">
            <w:pPr>
              <w:spacing w:after="0" w:line="240" w:lineRule="auto"/>
              <w:rPr>
                <w:rFonts w:eastAsia="Times New Roman" w:cs="Calibri"/>
                <w:sz w:val="20"/>
                <w:szCs w:val="20"/>
              </w:rPr>
            </w:pPr>
          </w:p>
        </w:tc>
        <w:tc>
          <w:tcPr>
            <w:tcW w:w="803" w:type="pct"/>
            <w:tcBorders>
              <w:top w:val="nil"/>
              <w:left w:val="nil"/>
              <w:bottom w:val="single" w:sz="4" w:space="0" w:color="auto"/>
              <w:right w:val="single" w:sz="4" w:space="0" w:color="auto"/>
            </w:tcBorders>
            <w:shd w:val="clear" w:color="auto" w:fill="auto"/>
            <w:hideMark/>
          </w:tcPr>
          <w:p w14:paraId="30636D16"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Starost članov kmetijskega gospodarstva</w:t>
            </w:r>
          </w:p>
        </w:tc>
        <w:tc>
          <w:tcPr>
            <w:tcW w:w="1091" w:type="pct"/>
            <w:tcBorders>
              <w:top w:val="nil"/>
              <w:left w:val="nil"/>
              <w:bottom w:val="single" w:sz="4" w:space="0" w:color="auto"/>
              <w:right w:val="single" w:sz="4" w:space="0" w:color="auto"/>
            </w:tcBorders>
            <w:shd w:val="clear" w:color="auto" w:fill="auto"/>
            <w:hideMark/>
          </w:tcPr>
          <w:p w14:paraId="715CB3D0"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Povprečna starost članov kmetijskega gospodarstva (v letih), 2016</w:t>
            </w:r>
          </w:p>
        </w:tc>
        <w:tc>
          <w:tcPr>
            <w:tcW w:w="682" w:type="pct"/>
            <w:tcBorders>
              <w:top w:val="nil"/>
              <w:left w:val="nil"/>
              <w:bottom w:val="single" w:sz="4" w:space="0" w:color="auto"/>
              <w:right w:val="single" w:sz="4" w:space="0" w:color="auto"/>
            </w:tcBorders>
            <w:shd w:val="clear" w:color="auto" w:fill="auto"/>
            <w:hideMark/>
          </w:tcPr>
          <w:p w14:paraId="0C6B3611"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Starost članov kmetije</w:t>
            </w:r>
          </w:p>
        </w:tc>
        <w:tc>
          <w:tcPr>
            <w:tcW w:w="595" w:type="pct"/>
            <w:tcBorders>
              <w:top w:val="nil"/>
              <w:left w:val="nil"/>
              <w:bottom w:val="single" w:sz="4" w:space="0" w:color="auto"/>
              <w:right w:val="single" w:sz="4" w:space="0" w:color="auto"/>
            </w:tcBorders>
            <w:shd w:val="clear" w:color="auto" w:fill="auto"/>
            <w:hideMark/>
          </w:tcPr>
          <w:p w14:paraId="0805D543" w14:textId="77777777" w:rsidR="00A920F6" w:rsidRPr="0041649B" w:rsidRDefault="00A920F6" w:rsidP="00A920F6">
            <w:pPr>
              <w:spacing w:after="0" w:line="240" w:lineRule="auto"/>
              <w:rPr>
                <w:rFonts w:eastAsia="Times New Roman" w:cs="Calibri"/>
                <w:sz w:val="20"/>
                <w:szCs w:val="20"/>
              </w:rPr>
            </w:pPr>
            <w:r w:rsidRPr="0041649B">
              <w:rPr>
                <w:rFonts w:eastAsia="Times New Roman" w:cs="Calibri"/>
                <w:sz w:val="20"/>
                <w:szCs w:val="20"/>
              </w:rPr>
              <w:t xml:space="preserve">Vektorski sloj RKG </w:t>
            </w:r>
          </w:p>
        </w:tc>
        <w:tc>
          <w:tcPr>
            <w:tcW w:w="430" w:type="pct"/>
            <w:tcBorders>
              <w:top w:val="nil"/>
              <w:left w:val="nil"/>
              <w:bottom w:val="single" w:sz="4" w:space="0" w:color="auto"/>
              <w:right w:val="single" w:sz="4" w:space="0" w:color="auto"/>
            </w:tcBorders>
            <w:shd w:val="clear" w:color="auto" w:fill="auto"/>
            <w:hideMark/>
          </w:tcPr>
          <w:p w14:paraId="62D32FD3" w14:textId="77777777" w:rsidR="00A920F6" w:rsidRPr="0041649B" w:rsidRDefault="00A920F6" w:rsidP="00A920F6">
            <w:pPr>
              <w:spacing w:after="0" w:line="240" w:lineRule="auto"/>
              <w:rPr>
                <w:rFonts w:eastAsia="Times New Roman" w:cs="Calibri"/>
                <w:sz w:val="20"/>
                <w:szCs w:val="20"/>
              </w:rPr>
            </w:pPr>
            <w:r>
              <w:rPr>
                <w:rFonts w:eastAsia="Times New Roman" w:cs="Calibri"/>
                <w:sz w:val="20"/>
                <w:szCs w:val="20"/>
              </w:rPr>
              <w:t>O</w:t>
            </w:r>
            <w:r w:rsidRPr="0041649B">
              <w:rPr>
                <w:rFonts w:eastAsia="Times New Roman" w:cs="Calibri"/>
                <w:sz w:val="20"/>
                <w:szCs w:val="20"/>
              </w:rPr>
              <w:t>bčina</w:t>
            </w:r>
          </w:p>
        </w:tc>
      </w:tr>
    </w:tbl>
    <w:p w14:paraId="534E3BB6" w14:textId="3F2C24A2" w:rsidR="00A920F6" w:rsidRPr="00357962" w:rsidRDefault="00A920F6" w:rsidP="00A920F6">
      <w:pPr>
        <w:pStyle w:val="Napis"/>
      </w:pPr>
      <w:bookmarkStart w:id="116" w:name="_Ref38613936"/>
      <w:bookmarkStart w:id="117" w:name="_Toc97026955"/>
      <w:r w:rsidRPr="00357962">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2</w:t>
      </w:r>
      <w:r w:rsidR="00976D80">
        <w:fldChar w:fldCharType="end"/>
      </w:r>
      <w:bookmarkEnd w:id="116"/>
      <w:r w:rsidRPr="00357962">
        <w:t>: Kazalnik sposobnosti prilagajanja kmetijstva na podnebje (prirejeno po Kociper, 2020).</w:t>
      </w:r>
      <w:bookmarkEnd w:id="117"/>
    </w:p>
    <w:tbl>
      <w:tblPr>
        <w:tblW w:w="5000" w:type="pct"/>
        <w:tblLayout w:type="fixed"/>
        <w:tblCellMar>
          <w:left w:w="70" w:type="dxa"/>
          <w:right w:w="70" w:type="dxa"/>
        </w:tblCellMar>
        <w:tblLook w:val="04A0" w:firstRow="1" w:lastRow="0" w:firstColumn="1" w:lastColumn="0" w:noHBand="0" w:noVBand="1"/>
      </w:tblPr>
      <w:tblGrid>
        <w:gridCol w:w="1332"/>
        <w:gridCol w:w="1292"/>
        <w:gridCol w:w="1458"/>
        <w:gridCol w:w="2263"/>
        <w:gridCol w:w="1348"/>
        <w:gridCol w:w="1042"/>
        <w:gridCol w:w="893"/>
      </w:tblGrid>
      <w:tr w:rsidR="00A920F6" w:rsidRPr="0041649B" w14:paraId="158AD87D" w14:textId="77777777" w:rsidTr="00A920F6">
        <w:trPr>
          <w:trHeight w:val="1200"/>
          <w:tblHeader/>
        </w:trPr>
        <w:tc>
          <w:tcPr>
            <w:tcW w:w="691" w:type="pct"/>
            <w:tcBorders>
              <w:top w:val="single" w:sz="4" w:space="0" w:color="auto"/>
              <w:left w:val="single" w:sz="4" w:space="0" w:color="auto"/>
              <w:bottom w:val="single" w:sz="4" w:space="0" w:color="000000"/>
              <w:right w:val="single" w:sz="4" w:space="0" w:color="auto"/>
            </w:tcBorders>
            <w:shd w:val="clear" w:color="auto" w:fill="auto"/>
            <w:hideMark/>
          </w:tcPr>
          <w:p w14:paraId="7B558716" w14:textId="77777777" w:rsidR="00A920F6" w:rsidRPr="003D6B4D" w:rsidRDefault="00A920F6" w:rsidP="00A920F6">
            <w:pPr>
              <w:spacing w:after="0" w:line="240" w:lineRule="auto"/>
              <w:rPr>
                <w:rFonts w:eastAsia="Times New Roman" w:cs="Times New Roman"/>
                <w:sz w:val="20"/>
                <w:szCs w:val="20"/>
              </w:rPr>
            </w:pPr>
            <w:r>
              <w:rPr>
                <w:rFonts w:eastAsia="Times New Roman" w:cs="Times New Roman"/>
                <w:sz w:val="20"/>
                <w:szCs w:val="20"/>
              </w:rPr>
              <w:lastRenderedPageBreak/>
              <w:t xml:space="preserve">Kazalnik </w:t>
            </w:r>
          </w:p>
        </w:tc>
        <w:tc>
          <w:tcPr>
            <w:tcW w:w="671" w:type="pct"/>
            <w:tcBorders>
              <w:top w:val="single" w:sz="4" w:space="0" w:color="auto"/>
              <w:left w:val="nil"/>
              <w:bottom w:val="single" w:sz="4" w:space="0" w:color="auto"/>
              <w:right w:val="single" w:sz="4" w:space="0" w:color="auto"/>
            </w:tcBorders>
            <w:shd w:val="clear" w:color="auto" w:fill="auto"/>
            <w:hideMark/>
          </w:tcPr>
          <w:p w14:paraId="1B2C4C42" w14:textId="77777777" w:rsidR="00A920F6" w:rsidRPr="003D6B4D" w:rsidRDefault="00A920F6" w:rsidP="00A920F6">
            <w:pPr>
              <w:spacing w:after="0" w:line="240" w:lineRule="auto"/>
              <w:rPr>
                <w:rFonts w:eastAsia="Times New Roman" w:cs="Times New Roman"/>
                <w:sz w:val="20"/>
                <w:szCs w:val="20"/>
              </w:rPr>
            </w:pPr>
            <w:proofErr w:type="spellStart"/>
            <w:r>
              <w:rPr>
                <w:rFonts w:eastAsia="Times New Roman" w:cs="Times New Roman"/>
                <w:sz w:val="20"/>
                <w:szCs w:val="20"/>
              </w:rPr>
              <w:t>Podkazalnik</w:t>
            </w:r>
            <w:proofErr w:type="spellEnd"/>
            <w:r>
              <w:rPr>
                <w:rFonts w:eastAsia="Times New Roman" w:cs="Times New Roman"/>
                <w:sz w:val="20"/>
                <w:szCs w:val="20"/>
              </w:rPr>
              <w:t xml:space="preserve"> </w:t>
            </w:r>
          </w:p>
        </w:tc>
        <w:tc>
          <w:tcPr>
            <w:tcW w:w="757" w:type="pct"/>
            <w:tcBorders>
              <w:top w:val="single" w:sz="4" w:space="0" w:color="auto"/>
              <w:left w:val="nil"/>
              <w:bottom w:val="single" w:sz="4" w:space="0" w:color="auto"/>
              <w:right w:val="single" w:sz="4" w:space="0" w:color="auto"/>
            </w:tcBorders>
            <w:shd w:val="clear" w:color="auto" w:fill="auto"/>
            <w:hideMark/>
          </w:tcPr>
          <w:p w14:paraId="0D763DCC" w14:textId="77777777" w:rsidR="00A920F6" w:rsidRPr="003D6B4D" w:rsidRDefault="00A920F6" w:rsidP="00A920F6">
            <w:pPr>
              <w:spacing w:after="0" w:line="240" w:lineRule="auto"/>
              <w:rPr>
                <w:rFonts w:eastAsia="Times New Roman" w:cs="Times New Roman"/>
                <w:sz w:val="20"/>
                <w:szCs w:val="20"/>
              </w:rPr>
            </w:pPr>
            <w:r w:rsidRPr="003D6B4D">
              <w:rPr>
                <w:rFonts w:eastAsia="Times New Roman" w:cs="Times New Roman"/>
                <w:sz w:val="20"/>
                <w:szCs w:val="20"/>
              </w:rPr>
              <w:t>Spremenljivka</w:t>
            </w:r>
          </w:p>
        </w:tc>
        <w:tc>
          <w:tcPr>
            <w:tcW w:w="1175" w:type="pct"/>
            <w:tcBorders>
              <w:top w:val="single" w:sz="4" w:space="0" w:color="auto"/>
              <w:left w:val="nil"/>
              <w:bottom w:val="single" w:sz="4" w:space="0" w:color="auto"/>
              <w:right w:val="single" w:sz="4" w:space="0" w:color="auto"/>
            </w:tcBorders>
            <w:shd w:val="clear" w:color="auto" w:fill="auto"/>
            <w:hideMark/>
          </w:tcPr>
          <w:p w14:paraId="0C2D68F8" w14:textId="77777777" w:rsidR="00A920F6" w:rsidRPr="003D6B4D" w:rsidRDefault="00A920F6" w:rsidP="00A920F6">
            <w:pPr>
              <w:spacing w:after="0" w:line="240" w:lineRule="auto"/>
              <w:rPr>
                <w:rFonts w:eastAsia="Times New Roman" w:cs="Times New Roman"/>
                <w:sz w:val="20"/>
                <w:szCs w:val="20"/>
              </w:rPr>
            </w:pPr>
            <w:r w:rsidRPr="003D6B4D">
              <w:rPr>
                <w:rFonts w:eastAsia="Times New Roman" w:cs="Times New Roman"/>
                <w:sz w:val="20"/>
                <w:szCs w:val="20"/>
              </w:rPr>
              <w:t>Opredelitev spremenljivke</w:t>
            </w:r>
          </w:p>
        </w:tc>
        <w:tc>
          <w:tcPr>
            <w:tcW w:w="700" w:type="pct"/>
            <w:tcBorders>
              <w:top w:val="single" w:sz="4" w:space="0" w:color="auto"/>
              <w:left w:val="nil"/>
              <w:bottom w:val="single" w:sz="4" w:space="0" w:color="auto"/>
              <w:right w:val="single" w:sz="4" w:space="0" w:color="auto"/>
            </w:tcBorders>
            <w:shd w:val="clear" w:color="auto" w:fill="auto"/>
            <w:hideMark/>
          </w:tcPr>
          <w:p w14:paraId="4520ABDD" w14:textId="77777777" w:rsidR="00A920F6" w:rsidRPr="003D6B4D" w:rsidRDefault="00A920F6" w:rsidP="00A920F6">
            <w:pPr>
              <w:spacing w:after="0" w:line="240" w:lineRule="auto"/>
              <w:rPr>
                <w:rFonts w:eastAsia="Times New Roman" w:cs="Times New Roman"/>
                <w:sz w:val="20"/>
                <w:szCs w:val="20"/>
              </w:rPr>
            </w:pPr>
            <w:r>
              <w:rPr>
                <w:rFonts w:eastAsia="Times New Roman" w:cs="Times New Roman"/>
                <w:sz w:val="20"/>
                <w:szCs w:val="20"/>
              </w:rPr>
              <w:t>P</w:t>
            </w:r>
            <w:r w:rsidRPr="003D6B4D">
              <w:rPr>
                <w:rFonts w:eastAsia="Times New Roman" w:cs="Times New Roman"/>
                <w:sz w:val="20"/>
                <w:szCs w:val="20"/>
              </w:rPr>
              <w:t>odatki</w:t>
            </w:r>
          </w:p>
        </w:tc>
        <w:tc>
          <w:tcPr>
            <w:tcW w:w="541" w:type="pct"/>
            <w:tcBorders>
              <w:top w:val="single" w:sz="4" w:space="0" w:color="auto"/>
              <w:left w:val="nil"/>
              <w:bottom w:val="single" w:sz="4" w:space="0" w:color="auto"/>
              <w:right w:val="single" w:sz="4" w:space="0" w:color="auto"/>
            </w:tcBorders>
            <w:shd w:val="clear" w:color="auto" w:fill="auto"/>
            <w:hideMark/>
          </w:tcPr>
          <w:p w14:paraId="116E18DA" w14:textId="77777777" w:rsidR="00A920F6" w:rsidRPr="003D6B4D" w:rsidRDefault="00A920F6" w:rsidP="00A920F6">
            <w:pPr>
              <w:spacing w:after="0" w:line="240" w:lineRule="auto"/>
              <w:rPr>
                <w:rFonts w:eastAsia="Times New Roman" w:cs="Times New Roman"/>
                <w:sz w:val="20"/>
                <w:szCs w:val="20"/>
              </w:rPr>
            </w:pPr>
            <w:r>
              <w:rPr>
                <w:rFonts w:eastAsia="Times New Roman" w:cs="Times New Roman"/>
                <w:sz w:val="20"/>
                <w:szCs w:val="20"/>
              </w:rPr>
              <w:t>O</w:t>
            </w:r>
            <w:r w:rsidRPr="003D6B4D">
              <w:rPr>
                <w:rFonts w:eastAsia="Times New Roman" w:cs="Times New Roman"/>
                <w:sz w:val="20"/>
                <w:szCs w:val="20"/>
              </w:rPr>
              <w:t>blika</w:t>
            </w:r>
          </w:p>
        </w:tc>
        <w:tc>
          <w:tcPr>
            <w:tcW w:w="464" w:type="pct"/>
            <w:tcBorders>
              <w:top w:val="single" w:sz="4" w:space="0" w:color="auto"/>
              <w:left w:val="nil"/>
              <w:bottom w:val="single" w:sz="4" w:space="0" w:color="auto"/>
              <w:right w:val="single" w:sz="4" w:space="0" w:color="auto"/>
            </w:tcBorders>
            <w:shd w:val="clear" w:color="auto" w:fill="auto"/>
            <w:hideMark/>
          </w:tcPr>
          <w:p w14:paraId="47BC1552" w14:textId="77777777" w:rsidR="00A920F6" w:rsidRPr="003D6B4D" w:rsidRDefault="00A920F6" w:rsidP="00A920F6">
            <w:pPr>
              <w:spacing w:after="0" w:line="240" w:lineRule="auto"/>
              <w:rPr>
                <w:rFonts w:eastAsia="Times New Roman" w:cs="Times New Roman"/>
                <w:sz w:val="20"/>
                <w:szCs w:val="20"/>
              </w:rPr>
            </w:pPr>
            <w:r>
              <w:rPr>
                <w:rFonts w:eastAsia="Times New Roman" w:cs="Times New Roman"/>
                <w:sz w:val="20"/>
                <w:szCs w:val="20"/>
              </w:rPr>
              <w:t>R</w:t>
            </w:r>
            <w:r w:rsidRPr="003D6B4D">
              <w:rPr>
                <w:rFonts w:eastAsia="Times New Roman" w:cs="Times New Roman"/>
                <w:sz w:val="20"/>
                <w:szCs w:val="20"/>
              </w:rPr>
              <w:t>aven</w:t>
            </w:r>
          </w:p>
        </w:tc>
      </w:tr>
      <w:tr w:rsidR="00A920F6" w:rsidRPr="00960B98" w14:paraId="235B261B" w14:textId="77777777" w:rsidTr="00A920F6">
        <w:trPr>
          <w:trHeight w:val="1200"/>
        </w:trPr>
        <w:tc>
          <w:tcPr>
            <w:tcW w:w="691" w:type="pct"/>
            <w:vMerge w:val="restart"/>
            <w:tcBorders>
              <w:top w:val="single" w:sz="4" w:space="0" w:color="auto"/>
              <w:left w:val="single" w:sz="4" w:space="0" w:color="auto"/>
              <w:bottom w:val="single" w:sz="4" w:space="0" w:color="000000"/>
              <w:right w:val="single" w:sz="4" w:space="0" w:color="auto"/>
            </w:tcBorders>
            <w:shd w:val="clear" w:color="auto" w:fill="auto"/>
            <w:hideMark/>
          </w:tcPr>
          <w:p w14:paraId="0A9FE3E4" w14:textId="77777777" w:rsidR="00A920F6" w:rsidRPr="003D6B4D" w:rsidRDefault="00A920F6" w:rsidP="00A920F6">
            <w:pPr>
              <w:spacing w:after="0" w:line="240" w:lineRule="auto"/>
              <w:rPr>
                <w:rFonts w:eastAsia="Times New Roman" w:cs="Times New Roman"/>
                <w:sz w:val="20"/>
                <w:szCs w:val="20"/>
              </w:rPr>
            </w:pPr>
            <w:r>
              <w:rPr>
                <w:rFonts w:eastAsia="Times New Roman" w:cs="Times New Roman"/>
                <w:sz w:val="20"/>
                <w:szCs w:val="20"/>
              </w:rPr>
              <w:t>S</w:t>
            </w:r>
            <w:r w:rsidRPr="003D6B4D">
              <w:rPr>
                <w:rFonts w:eastAsia="Times New Roman" w:cs="Times New Roman"/>
                <w:sz w:val="20"/>
                <w:szCs w:val="20"/>
              </w:rPr>
              <w:t>posobnost prilagajanja</w:t>
            </w:r>
          </w:p>
        </w:tc>
        <w:tc>
          <w:tcPr>
            <w:tcW w:w="671" w:type="pct"/>
            <w:vMerge w:val="restart"/>
            <w:tcBorders>
              <w:top w:val="single" w:sz="4" w:space="0" w:color="auto"/>
              <w:left w:val="nil"/>
              <w:right w:val="single" w:sz="4" w:space="0" w:color="auto"/>
            </w:tcBorders>
            <w:shd w:val="clear" w:color="auto" w:fill="auto"/>
            <w:hideMark/>
          </w:tcPr>
          <w:p w14:paraId="32F66950" w14:textId="77777777" w:rsidR="00A920F6" w:rsidRPr="003D6B4D" w:rsidRDefault="00A920F6" w:rsidP="00A920F6">
            <w:pPr>
              <w:spacing w:after="0" w:line="240" w:lineRule="auto"/>
              <w:rPr>
                <w:rFonts w:eastAsia="Times New Roman" w:cs="Times New Roman"/>
                <w:sz w:val="20"/>
                <w:szCs w:val="20"/>
              </w:rPr>
            </w:pPr>
            <w:r>
              <w:rPr>
                <w:rFonts w:eastAsia="Times New Roman" w:cs="Times New Roman"/>
                <w:sz w:val="20"/>
                <w:szCs w:val="20"/>
              </w:rPr>
              <w:t>P</w:t>
            </w:r>
            <w:r w:rsidRPr="003D6B4D">
              <w:rPr>
                <w:rFonts w:eastAsia="Times New Roman" w:cs="Times New Roman"/>
                <w:sz w:val="20"/>
                <w:szCs w:val="20"/>
              </w:rPr>
              <w:t>rihodek</w:t>
            </w:r>
          </w:p>
        </w:tc>
        <w:tc>
          <w:tcPr>
            <w:tcW w:w="757" w:type="pct"/>
            <w:tcBorders>
              <w:top w:val="single" w:sz="4" w:space="0" w:color="auto"/>
              <w:left w:val="nil"/>
              <w:bottom w:val="single" w:sz="4" w:space="0" w:color="auto"/>
              <w:right w:val="single" w:sz="4" w:space="0" w:color="auto"/>
            </w:tcBorders>
            <w:shd w:val="clear" w:color="auto" w:fill="auto"/>
            <w:hideMark/>
          </w:tcPr>
          <w:p w14:paraId="3232E07B" w14:textId="77777777" w:rsidR="00A920F6" w:rsidRPr="003D6B4D" w:rsidRDefault="00A920F6" w:rsidP="00A920F6">
            <w:pPr>
              <w:spacing w:after="0" w:line="240" w:lineRule="auto"/>
              <w:rPr>
                <w:rFonts w:eastAsia="Times New Roman" w:cs="Times New Roman"/>
                <w:sz w:val="20"/>
                <w:szCs w:val="20"/>
              </w:rPr>
            </w:pPr>
            <w:r w:rsidRPr="003D6B4D">
              <w:rPr>
                <w:rFonts w:eastAsia="Times New Roman" w:cs="Times New Roman"/>
                <w:sz w:val="20"/>
                <w:szCs w:val="20"/>
              </w:rPr>
              <w:t>Dodana vrednost kmetijske dejavnosti</w:t>
            </w:r>
          </w:p>
        </w:tc>
        <w:tc>
          <w:tcPr>
            <w:tcW w:w="1175" w:type="pct"/>
            <w:tcBorders>
              <w:top w:val="single" w:sz="4" w:space="0" w:color="auto"/>
              <w:left w:val="nil"/>
              <w:bottom w:val="single" w:sz="4" w:space="0" w:color="auto"/>
              <w:right w:val="single" w:sz="4" w:space="0" w:color="auto"/>
            </w:tcBorders>
            <w:shd w:val="clear" w:color="auto" w:fill="auto"/>
            <w:hideMark/>
          </w:tcPr>
          <w:p w14:paraId="64DA8DEC" w14:textId="77777777" w:rsidR="00A920F6" w:rsidRPr="003D6B4D" w:rsidRDefault="00A920F6" w:rsidP="00A920F6">
            <w:pPr>
              <w:spacing w:after="0" w:line="240" w:lineRule="auto"/>
              <w:rPr>
                <w:rFonts w:eastAsia="Times New Roman" w:cs="Times New Roman"/>
                <w:sz w:val="20"/>
                <w:szCs w:val="20"/>
              </w:rPr>
            </w:pPr>
            <w:r w:rsidRPr="003D6B4D">
              <w:rPr>
                <w:rFonts w:eastAsia="Times New Roman" w:cs="Times New Roman"/>
                <w:sz w:val="20"/>
                <w:szCs w:val="20"/>
              </w:rPr>
              <w:t>Delež bruto dodane vrednosti kmetijske dejavnosti v skupni bruto dodani vrednosti (%), 2016</w:t>
            </w:r>
          </w:p>
        </w:tc>
        <w:tc>
          <w:tcPr>
            <w:tcW w:w="700" w:type="pct"/>
            <w:tcBorders>
              <w:top w:val="single" w:sz="4" w:space="0" w:color="auto"/>
              <w:left w:val="nil"/>
              <w:bottom w:val="single" w:sz="4" w:space="0" w:color="auto"/>
              <w:right w:val="single" w:sz="4" w:space="0" w:color="auto"/>
            </w:tcBorders>
            <w:shd w:val="clear" w:color="auto" w:fill="auto"/>
            <w:hideMark/>
          </w:tcPr>
          <w:p w14:paraId="2F837C43" w14:textId="77777777" w:rsidR="00A920F6" w:rsidRPr="003D6B4D" w:rsidRDefault="00A920F6" w:rsidP="00A920F6">
            <w:pPr>
              <w:spacing w:after="0" w:line="240" w:lineRule="auto"/>
              <w:rPr>
                <w:rFonts w:eastAsia="Times New Roman" w:cs="Times New Roman"/>
                <w:sz w:val="20"/>
                <w:szCs w:val="20"/>
              </w:rPr>
            </w:pPr>
            <w:r w:rsidRPr="003D6B4D">
              <w:rPr>
                <w:rFonts w:eastAsia="Times New Roman" w:cs="Times New Roman"/>
                <w:sz w:val="20"/>
                <w:szCs w:val="20"/>
              </w:rPr>
              <w:t>Bruto dodana vrednost (BDV) vseh dejavnosti</w:t>
            </w:r>
          </w:p>
        </w:tc>
        <w:tc>
          <w:tcPr>
            <w:tcW w:w="541" w:type="pct"/>
            <w:tcBorders>
              <w:top w:val="single" w:sz="4" w:space="0" w:color="auto"/>
              <w:left w:val="nil"/>
              <w:bottom w:val="single" w:sz="4" w:space="0" w:color="auto"/>
              <w:right w:val="single" w:sz="4" w:space="0" w:color="auto"/>
            </w:tcBorders>
            <w:shd w:val="clear" w:color="auto" w:fill="auto"/>
            <w:hideMark/>
          </w:tcPr>
          <w:p w14:paraId="6242F4E6" w14:textId="77777777" w:rsidR="00A920F6" w:rsidRPr="003D6B4D" w:rsidRDefault="00A920F6" w:rsidP="00A920F6">
            <w:pPr>
              <w:spacing w:after="0" w:line="240" w:lineRule="auto"/>
              <w:rPr>
                <w:rFonts w:eastAsia="Times New Roman" w:cs="Times New Roman"/>
                <w:sz w:val="20"/>
                <w:szCs w:val="20"/>
              </w:rPr>
            </w:pPr>
            <w:r w:rsidRPr="003D6B4D">
              <w:rPr>
                <w:rFonts w:eastAsia="Times New Roman" w:cs="Times New Roman"/>
                <w:sz w:val="20"/>
                <w:szCs w:val="20"/>
              </w:rPr>
              <w:t>Obdelani tabelirani podatki</w:t>
            </w:r>
          </w:p>
        </w:tc>
        <w:tc>
          <w:tcPr>
            <w:tcW w:w="464" w:type="pct"/>
            <w:tcBorders>
              <w:top w:val="single" w:sz="4" w:space="0" w:color="auto"/>
              <w:left w:val="nil"/>
              <w:bottom w:val="single" w:sz="4" w:space="0" w:color="auto"/>
              <w:right w:val="single" w:sz="4" w:space="0" w:color="auto"/>
            </w:tcBorders>
            <w:shd w:val="clear" w:color="auto" w:fill="auto"/>
            <w:hideMark/>
          </w:tcPr>
          <w:p w14:paraId="3DB9FE3C" w14:textId="77777777" w:rsidR="00A920F6" w:rsidRPr="003D6B4D" w:rsidRDefault="00A920F6" w:rsidP="00A920F6">
            <w:pPr>
              <w:spacing w:after="0" w:line="240" w:lineRule="auto"/>
              <w:rPr>
                <w:rFonts w:eastAsia="Times New Roman" w:cs="Times New Roman"/>
                <w:sz w:val="20"/>
                <w:szCs w:val="20"/>
              </w:rPr>
            </w:pPr>
            <w:r>
              <w:rPr>
                <w:rFonts w:eastAsia="Times New Roman" w:cs="Times New Roman"/>
                <w:sz w:val="20"/>
                <w:szCs w:val="20"/>
              </w:rPr>
              <w:t>R</w:t>
            </w:r>
            <w:r w:rsidRPr="003D6B4D">
              <w:rPr>
                <w:rFonts w:eastAsia="Times New Roman" w:cs="Times New Roman"/>
                <w:sz w:val="20"/>
                <w:szCs w:val="20"/>
              </w:rPr>
              <w:t>egija</w:t>
            </w:r>
          </w:p>
        </w:tc>
      </w:tr>
      <w:tr w:rsidR="00A920F6" w:rsidRPr="00960B98" w14:paraId="67D2E4E7" w14:textId="77777777" w:rsidTr="00A920F6">
        <w:trPr>
          <w:trHeight w:val="930"/>
        </w:trPr>
        <w:tc>
          <w:tcPr>
            <w:tcW w:w="69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AD19945" w14:textId="77777777" w:rsidR="00A920F6" w:rsidRPr="003D6B4D" w:rsidRDefault="00A920F6" w:rsidP="00A920F6">
            <w:pPr>
              <w:spacing w:after="0" w:line="240" w:lineRule="auto"/>
              <w:rPr>
                <w:rFonts w:eastAsia="Times New Roman" w:cs="Times New Roman"/>
                <w:sz w:val="20"/>
                <w:szCs w:val="20"/>
              </w:rPr>
            </w:pPr>
          </w:p>
        </w:tc>
        <w:tc>
          <w:tcPr>
            <w:tcW w:w="671" w:type="pct"/>
            <w:vMerge/>
            <w:tcBorders>
              <w:left w:val="nil"/>
              <w:right w:val="single" w:sz="4" w:space="0" w:color="auto"/>
            </w:tcBorders>
            <w:shd w:val="clear" w:color="auto" w:fill="auto"/>
            <w:hideMark/>
          </w:tcPr>
          <w:p w14:paraId="55F1E680" w14:textId="77777777" w:rsidR="00A920F6" w:rsidRPr="003D6B4D" w:rsidRDefault="00A920F6" w:rsidP="00A920F6">
            <w:pPr>
              <w:spacing w:after="0" w:line="240" w:lineRule="auto"/>
              <w:rPr>
                <w:rFonts w:eastAsia="Times New Roman" w:cs="Times New Roman"/>
                <w:sz w:val="20"/>
                <w:szCs w:val="20"/>
              </w:rPr>
            </w:pPr>
          </w:p>
        </w:tc>
        <w:tc>
          <w:tcPr>
            <w:tcW w:w="757" w:type="pct"/>
            <w:tcBorders>
              <w:top w:val="nil"/>
              <w:left w:val="nil"/>
              <w:bottom w:val="single" w:sz="4" w:space="0" w:color="auto"/>
              <w:right w:val="single" w:sz="4" w:space="0" w:color="auto"/>
            </w:tcBorders>
            <w:shd w:val="clear" w:color="auto" w:fill="auto"/>
            <w:hideMark/>
          </w:tcPr>
          <w:p w14:paraId="3C248ED9" w14:textId="77777777" w:rsidR="00A920F6" w:rsidRPr="003D6B4D" w:rsidRDefault="00A920F6" w:rsidP="00A920F6">
            <w:pPr>
              <w:spacing w:after="0" w:line="240" w:lineRule="auto"/>
              <w:rPr>
                <w:rFonts w:eastAsia="Times New Roman" w:cs="Times New Roman"/>
                <w:sz w:val="20"/>
                <w:szCs w:val="20"/>
              </w:rPr>
            </w:pPr>
            <w:r w:rsidRPr="003D6B4D">
              <w:rPr>
                <w:rFonts w:eastAsia="Times New Roman" w:cs="Times New Roman"/>
                <w:sz w:val="20"/>
                <w:szCs w:val="20"/>
              </w:rPr>
              <w:t> </w:t>
            </w:r>
          </w:p>
        </w:tc>
        <w:tc>
          <w:tcPr>
            <w:tcW w:w="1175" w:type="pct"/>
            <w:tcBorders>
              <w:top w:val="nil"/>
              <w:left w:val="nil"/>
              <w:bottom w:val="single" w:sz="4" w:space="0" w:color="auto"/>
              <w:right w:val="single" w:sz="4" w:space="0" w:color="auto"/>
            </w:tcBorders>
            <w:shd w:val="clear" w:color="auto" w:fill="auto"/>
            <w:hideMark/>
          </w:tcPr>
          <w:p w14:paraId="6188E635" w14:textId="77777777" w:rsidR="00A920F6" w:rsidRPr="003D6B4D" w:rsidRDefault="00A920F6" w:rsidP="00A920F6">
            <w:pPr>
              <w:spacing w:after="0" w:line="240" w:lineRule="auto"/>
              <w:rPr>
                <w:rFonts w:eastAsia="Times New Roman" w:cs="Times New Roman"/>
                <w:sz w:val="20"/>
                <w:szCs w:val="20"/>
              </w:rPr>
            </w:pPr>
            <w:r w:rsidRPr="003D6B4D">
              <w:rPr>
                <w:rFonts w:eastAsia="Times New Roman" w:cs="Times New Roman"/>
                <w:sz w:val="20"/>
                <w:szCs w:val="20"/>
              </w:rPr>
              <w:t> </w:t>
            </w:r>
          </w:p>
        </w:tc>
        <w:tc>
          <w:tcPr>
            <w:tcW w:w="700" w:type="pct"/>
            <w:tcBorders>
              <w:top w:val="nil"/>
              <w:left w:val="nil"/>
              <w:bottom w:val="single" w:sz="4" w:space="0" w:color="auto"/>
              <w:right w:val="single" w:sz="4" w:space="0" w:color="auto"/>
            </w:tcBorders>
            <w:shd w:val="clear" w:color="auto" w:fill="auto"/>
            <w:hideMark/>
          </w:tcPr>
          <w:p w14:paraId="5BF4751D" w14:textId="77777777" w:rsidR="00A920F6" w:rsidRPr="003D6B4D" w:rsidRDefault="00A920F6" w:rsidP="00A920F6">
            <w:pPr>
              <w:spacing w:after="0" w:line="240" w:lineRule="auto"/>
              <w:rPr>
                <w:rFonts w:eastAsia="Times New Roman" w:cs="Times New Roman"/>
                <w:sz w:val="20"/>
                <w:szCs w:val="20"/>
              </w:rPr>
            </w:pPr>
            <w:r w:rsidRPr="003D6B4D">
              <w:rPr>
                <w:rFonts w:eastAsia="Times New Roman" w:cs="Times New Roman"/>
                <w:sz w:val="20"/>
                <w:szCs w:val="20"/>
              </w:rPr>
              <w:t>Bruto dodana vrednost (BDV) kmetijske dejavnosti</w:t>
            </w:r>
          </w:p>
        </w:tc>
        <w:tc>
          <w:tcPr>
            <w:tcW w:w="541" w:type="pct"/>
            <w:tcBorders>
              <w:top w:val="nil"/>
              <w:left w:val="nil"/>
              <w:bottom w:val="single" w:sz="4" w:space="0" w:color="auto"/>
              <w:right w:val="single" w:sz="4" w:space="0" w:color="auto"/>
            </w:tcBorders>
            <w:shd w:val="clear" w:color="auto" w:fill="auto"/>
            <w:hideMark/>
          </w:tcPr>
          <w:p w14:paraId="4C3DCF06" w14:textId="77777777" w:rsidR="00A920F6" w:rsidRPr="003D6B4D" w:rsidRDefault="00A920F6" w:rsidP="00A920F6">
            <w:pPr>
              <w:spacing w:after="0" w:line="240" w:lineRule="auto"/>
              <w:rPr>
                <w:rFonts w:eastAsia="Times New Roman" w:cs="Times New Roman"/>
                <w:sz w:val="20"/>
                <w:szCs w:val="20"/>
              </w:rPr>
            </w:pPr>
            <w:r w:rsidRPr="003D6B4D">
              <w:rPr>
                <w:rFonts w:eastAsia="Times New Roman" w:cs="Times New Roman"/>
                <w:sz w:val="20"/>
                <w:szCs w:val="20"/>
              </w:rPr>
              <w:t>Obdelani tabelirani podatki</w:t>
            </w:r>
          </w:p>
        </w:tc>
        <w:tc>
          <w:tcPr>
            <w:tcW w:w="464" w:type="pct"/>
            <w:tcBorders>
              <w:top w:val="nil"/>
              <w:left w:val="nil"/>
              <w:bottom w:val="single" w:sz="4" w:space="0" w:color="auto"/>
              <w:right w:val="single" w:sz="4" w:space="0" w:color="auto"/>
            </w:tcBorders>
            <w:shd w:val="clear" w:color="auto" w:fill="auto"/>
            <w:hideMark/>
          </w:tcPr>
          <w:p w14:paraId="7A3BEBD3" w14:textId="77777777" w:rsidR="00A920F6" w:rsidRPr="003D6B4D" w:rsidRDefault="00A920F6" w:rsidP="00A920F6">
            <w:pPr>
              <w:spacing w:after="0" w:line="240" w:lineRule="auto"/>
              <w:rPr>
                <w:rFonts w:eastAsia="Times New Roman" w:cs="Times New Roman"/>
                <w:sz w:val="20"/>
                <w:szCs w:val="20"/>
              </w:rPr>
            </w:pPr>
            <w:r>
              <w:rPr>
                <w:rFonts w:eastAsia="Times New Roman" w:cs="Times New Roman"/>
                <w:sz w:val="20"/>
                <w:szCs w:val="20"/>
              </w:rPr>
              <w:t>R</w:t>
            </w:r>
            <w:r w:rsidRPr="003D6B4D">
              <w:rPr>
                <w:rFonts w:eastAsia="Times New Roman" w:cs="Times New Roman"/>
                <w:sz w:val="20"/>
                <w:szCs w:val="20"/>
              </w:rPr>
              <w:t>egija</w:t>
            </w:r>
          </w:p>
        </w:tc>
      </w:tr>
      <w:tr w:rsidR="00A920F6" w:rsidRPr="00960B98" w14:paraId="6B5E6210" w14:textId="77777777" w:rsidTr="00A920F6">
        <w:trPr>
          <w:trHeight w:val="930"/>
        </w:trPr>
        <w:tc>
          <w:tcPr>
            <w:tcW w:w="69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0A45773" w14:textId="77777777" w:rsidR="00A920F6" w:rsidRPr="003D6B4D" w:rsidRDefault="00A920F6" w:rsidP="00A920F6">
            <w:pPr>
              <w:spacing w:after="0" w:line="240" w:lineRule="auto"/>
              <w:rPr>
                <w:rFonts w:eastAsia="Times New Roman" w:cs="Times New Roman"/>
                <w:sz w:val="20"/>
                <w:szCs w:val="20"/>
              </w:rPr>
            </w:pPr>
          </w:p>
        </w:tc>
        <w:tc>
          <w:tcPr>
            <w:tcW w:w="671" w:type="pct"/>
            <w:vMerge/>
            <w:tcBorders>
              <w:left w:val="nil"/>
              <w:right w:val="single" w:sz="4" w:space="0" w:color="auto"/>
            </w:tcBorders>
            <w:shd w:val="clear" w:color="auto" w:fill="auto"/>
            <w:hideMark/>
          </w:tcPr>
          <w:p w14:paraId="5BBB8EF9" w14:textId="77777777" w:rsidR="00A920F6" w:rsidRPr="003D6B4D" w:rsidRDefault="00A920F6" w:rsidP="00A920F6">
            <w:pPr>
              <w:spacing w:after="0" w:line="240" w:lineRule="auto"/>
              <w:rPr>
                <w:rFonts w:eastAsia="Times New Roman" w:cs="Times New Roman"/>
                <w:sz w:val="20"/>
                <w:szCs w:val="20"/>
              </w:rPr>
            </w:pPr>
          </w:p>
        </w:tc>
        <w:tc>
          <w:tcPr>
            <w:tcW w:w="757" w:type="pct"/>
            <w:tcBorders>
              <w:top w:val="nil"/>
              <w:left w:val="nil"/>
              <w:bottom w:val="single" w:sz="4" w:space="0" w:color="auto"/>
              <w:right w:val="single" w:sz="4" w:space="0" w:color="auto"/>
            </w:tcBorders>
            <w:shd w:val="clear" w:color="auto" w:fill="auto"/>
            <w:hideMark/>
          </w:tcPr>
          <w:p w14:paraId="4568C923" w14:textId="77777777" w:rsidR="00A920F6" w:rsidRPr="003D6B4D" w:rsidRDefault="00A920F6" w:rsidP="00A920F6">
            <w:pPr>
              <w:spacing w:after="0" w:line="240" w:lineRule="auto"/>
              <w:rPr>
                <w:rFonts w:eastAsia="Times New Roman" w:cs="Times New Roman"/>
                <w:sz w:val="20"/>
                <w:szCs w:val="20"/>
              </w:rPr>
            </w:pPr>
            <w:r w:rsidRPr="003D6B4D">
              <w:rPr>
                <w:rFonts w:eastAsia="Times New Roman" w:cs="Times New Roman"/>
                <w:sz w:val="20"/>
                <w:szCs w:val="20"/>
              </w:rPr>
              <w:t>Ekonomski učinek kmetijskega gospodarstva</w:t>
            </w:r>
          </w:p>
        </w:tc>
        <w:tc>
          <w:tcPr>
            <w:tcW w:w="1175" w:type="pct"/>
            <w:tcBorders>
              <w:top w:val="nil"/>
              <w:left w:val="nil"/>
              <w:bottom w:val="single" w:sz="4" w:space="0" w:color="auto"/>
              <w:right w:val="single" w:sz="4" w:space="0" w:color="auto"/>
            </w:tcBorders>
            <w:shd w:val="clear" w:color="auto" w:fill="auto"/>
            <w:hideMark/>
          </w:tcPr>
          <w:p w14:paraId="5FF92605" w14:textId="77777777" w:rsidR="00A920F6" w:rsidRPr="003D6B4D" w:rsidRDefault="00A920F6" w:rsidP="00A920F6">
            <w:pPr>
              <w:spacing w:after="0" w:line="240" w:lineRule="auto"/>
              <w:rPr>
                <w:rFonts w:eastAsia="Times New Roman" w:cs="Times New Roman"/>
                <w:sz w:val="20"/>
                <w:szCs w:val="20"/>
              </w:rPr>
            </w:pPr>
            <w:r w:rsidRPr="003D6B4D">
              <w:rPr>
                <w:rFonts w:eastAsia="Times New Roman" w:cs="Times New Roman"/>
                <w:sz w:val="20"/>
                <w:szCs w:val="20"/>
              </w:rPr>
              <w:t>Razmerje med standardnim prihodkom in polnovredno delovno močjo kmetijskega gospodarstva (1000 EUR), 2016</w:t>
            </w:r>
          </w:p>
        </w:tc>
        <w:tc>
          <w:tcPr>
            <w:tcW w:w="700" w:type="pct"/>
            <w:tcBorders>
              <w:top w:val="nil"/>
              <w:left w:val="nil"/>
              <w:bottom w:val="single" w:sz="4" w:space="0" w:color="auto"/>
              <w:right w:val="single" w:sz="4" w:space="0" w:color="auto"/>
            </w:tcBorders>
            <w:shd w:val="clear" w:color="auto" w:fill="auto"/>
            <w:hideMark/>
          </w:tcPr>
          <w:p w14:paraId="743473A4" w14:textId="77777777" w:rsidR="00A920F6" w:rsidRPr="003D6B4D" w:rsidRDefault="00A920F6" w:rsidP="00A920F6">
            <w:pPr>
              <w:spacing w:after="0" w:line="240" w:lineRule="auto"/>
              <w:rPr>
                <w:rFonts w:eastAsia="Times New Roman" w:cs="Times New Roman"/>
                <w:sz w:val="20"/>
                <w:szCs w:val="20"/>
              </w:rPr>
            </w:pPr>
            <w:r w:rsidRPr="003D6B4D">
              <w:rPr>
                <w:rFonts w:eastAsia="Times New Roman" w:cs="Times New Roman"/>
                <w:sz w:val="20"/>
                <w:szCs w:val="20"/>
              </w:rPr>
              <w:t>Polnovredna delovna moč (PMD)</w:t>
            </w:r>
          </w:p>
        </w:tc>
        <w:tc>
          <w:tcPr>
            <w:tcW w:w="541" w:type="pct"/>
            <w:tcBorders>
              <w:top w:val="nil"/>
              <w:left w:val="nil"/>
              <w:bottom w:val="single" w:sz="4" w:space="0" w:color="auto"/>
              <w:right w:val="single" w:sz="4" w:space="0" w:color="auto"/>
            </w:tcBorders>
            <w:shd w:val="clear" w:color="auto" w:fill="auto"/>
            <w:hideMark/>
          </w:tcPr>
          <w:p w14:paraId="1B455503" w14:textId="77777777" w:rsidR="00A920F6" w:rsidRPr="003D6B4D" w:rsidRDefault="00A920F6" w:rsidP="00A920F6">
            <w:pPr>
              <w:spacing w:after="0" w:line="240" w:lineRule="auto"/>
              <w:rPr>
                <w:rFonts w:eastAsia="Times New Roman" w:cs="Times New Roman"/>
                <w:sz w:val="20"/>
                <w:szCs w:val="20"/>
              </w:rPr>
            </w:pPr>
            <w:r w:rsidRPr="003D6B4D">
              <w:rPr>
                <w:rFonts w:eastAsia="Times New Roman" w:cs="Times New Roman"/>
                <w:sz w:val="20"/>
                <w:szCs w:val="20"/>
              </w:rPr>
              <w:t>Obdelani tabelirani podatki</w:t>
            </w:r>
          </w:p>
        </w:tc>
        <w:tc>
          <w:tcPr>
            <w:tcW w:w="464" w:type="pct"/>
            <w:tcBorders>
              <w:top w:val="nil"/>
              <w:left w:val="nil"/>
              <w:bottom w:val="single" w:sz="4" w:space="0" w:color="auto"/>
              <w:right w:val="single" w:sz="4" w:space="0" w:color="auto"/>
            </w:tcBorders>
            <w:shd w:val="clear" w:color="auto" w:fill="auto"/>
            <w:hideMark/>
          </w:tcPr>
          <w:p w14:paraId="4DDB266F" w14:textId="77777777" w:rsidR="00A920F6" w:rsidRPr="003D6B4D" w:rsidRDefault="00A920F6" w:rsidP="00A920F6">
            <w:pPr>
              <w:spacing w:after="0" w:line="240" w:lineRule="auto"/>
              <w:rPr>
                <w:rFonts w:eastAsia="Times New Roman" w:cs="Times New Roman"/>
                <w:sz w:val="20"/>
                <w:szCs w:val="20"/>
              </w:rPr>
            </w:pPr>
            <w:r>
              <w:rPr>
                <w:rFonts w:eastAsia="Times New Roman" w:cs="Times New Roman"/>
                <w:sz w:val="20"/>
                <w:szCs w:val="20"/>
              </w:rPr>
              <w:t>R</w:t>
            </w:r>
            <w:r w:rsidRPr="003D6B4D">
              <w:rPr>
                <w:rFonts w:eastAsia="Times New Roman" w:cs="Times New Roman"/>
                <w:sz w:val="20"/>
                <w:szCs w:val="20"/>
              </w:rPr>
              <w:t>egija</w:t>
            </w:r>
          </w:p>
        </w:tc>
      </w:tr>
      <w:tr w:rsidR="00A920F6" w:rsidRPr="00960B98" w14:paraId="385BF280" w14:textId="77777777" w:rsidTr="00A920F6">
        <w:trPr>
          <w:trHeight w:val="930"/>
        </w:trPr>
        <w:tc>
          <w:tcPr>
            <w:tcW w:w="69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EE4F5AD" w14:textId="77777777" w:rsidR="00A920F6" w:rsidRPr="008A7CFD" w:rsidRDefault="00A920F6" w:rsidP="00A920F6">
            <w:pPr>
              <w:spacing w:after="0" w:line="240" w:lineRule="auto"/>
              <w:rPr>
                <w:rFonts w:eastAsia="Times New Roman" w:cs="Times New Roman"/>
                <w:sz w:val="20"/>
                <w:szCs w:val="20"/>
              </w:rPr>
            </w:pPr>
          </w:p>
        </w:tc>
        <w:tc>
          <w:tcPr>
            <w:tcW w:w="671" w:type="pct"/>
            <w:vMerge/>
            <w:tcBorders>
              <w:left w:val="nil"/>
              <w:right w:val="single" w:sz="4" w:space="0" w:color="auto"/>
            </w:tcBorders>
            <w:shd w:val="clear" w:color="auto" w:fill="auto"/>
            <w:hideMark/>
          </w:tcPr>
          <w:p w14:paraId="50B1BD0C" w14:textId="77777777" w:rsidR="00A920F6" w:rsidRPr="008A7CFD" w:rsidRDefault="00A920F6" w:rsidP="00A920F6">
            <w:pPr>
              <w:spacing w:after="0" w:line="240" w:lineRule="auto"/>
              <w:rPr>
                <w:rFonts w:eastAsia="Times New Roman" w:cs="Times New Roman"/>
                <w:sz w:val="20"/>
                <w:szCs w:val="20"/>
              </w:rPr>
            </w:pPr>
          </w:p>
        </w:tc>
        <w:tc>
          <w:tcPr>
            <w:tcW w:w="757" w:type="pct"/>
            <w:tcBorders>
              <w:top w:val="nil"/>
              <w:left w:val="nil"/>
              <w:bottom w:val="single" w:sz="4" w:space="0" w:color="auto"/>
              <w:right w:val="single" w:sz="4" w:space="0" w:color="auto"/>
            </w:tcBorders>
            <w:shd w:val="clear" w:color="auto" w:fill="auto"/>
            <w:hideMark/>
          </w:tcPr>
          <w:p w14:paraId="4DAE4EF9"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 </w:t>
            </w:r>
          </w:p>
        </w:tc>
        <w:tc>
          <w:tcPr>
            <w:tcW w:w="1175" w:type="pct"/>
            <w:tcBorders>
              <w:top w:val="nil"/>
              <w:left w:val="nil"/>
              <w:bottom w:val="single" w:sz="4" w:space="0" w:color="auto"/>
              <w:right w:val="single" w:sz="4" w:space="0" w:color="auto"/>
            </w:tcBorders>
            <w:shd w:val="clear" w:color="auto" w:fill="auto"/>
            <w:hideMark/>
          </w:tcPr>
          <w:p w14:paraId="33188997"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 </w:t>
            </w:r>
          </w:p>
        </w:tc>
        <w:tc>
          <w:tcPr>
            <w:tcW w:w="700" w:type="pct"/>
            <w:tcBorders>
              <w:top w:val="nil"/>
              <w:left w:val="nil"/>
              <w:bottom w:val="single" w:sz="4" w:space="0" w:color="auto"/>
              <w:right w:val="single" w:sz="4" w:space="0" w:color="auto"/>
            </w:tcBorders>
            <w:shd w:val="clear" w:color="auto" w:fill="auto"/>
            <w:hideMark/>
          </w:tcPr>
          <w:p w14:paraId="4F63253F"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Standardni prihodek kmetijskega gospodarstva (SO KMG)</w:t>
            </w:r>
          </w:p>
        </w:tc>
        <w:tc>
          <w:tcPr>
            <w:tcW w:w="541" w:type="pct"/>
            <w:tcBorders>
              <w:top w:val="nil"/>
              <w:left w:val="nil"/>
              <w:bottom w:val="single" w:sz="4" w:space="0" w:color="auto"/>
              <w:right w:val="single" w:sz="4" w:space="0" w:color="auto"/>
            </w:tcBorders>
            <w:shd w:val="clear" w:color="auto" w:fill="auto"/>
            <w:hideMark/>
          </w:tcPr>
          <w:p w14:paraId="2998AEFD"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Obdelani tabelirani podatki</w:t>
            </w:r>
          </w:p>
        </w:tc>
        <w:tc>
          <w:tcPr>
            <w:tcW w:w="464" w:type="pct"/>
            <w:tcBorders>
              <w:top w:val="nil"/>
              <w:left w:val="nil"/>
              <w:bottom w:val="single" w:sz="4" w:space="0" w:color="auto"/>
              <w:right w:val="single" w:sz="4" w:space="0" w:color="auto"/>
            </w:tcBorders>
            <w:shd w:val="clear" w:color="auto" w:fill="auto"/>
            <w:hideMark/>
          </w:tcPr>
          <w:p w14:paraId="617DF63A" w14:textId="77777777" w:rsidR="00A920F6" w:rsidRPr="008A7CFD" w:rsidRDefault="00A920F6" w:rsidP="00A920F6">
            <w:pPr>
              <w:spacing w:after="0" w:line="240" w:lineRule="auto"/>
              <w:rPr>
                <w:rFonts w:eastAsia="Times New Roman" w:cs="Times New Roman"/>
                <w:sz w:val="20"/>
                <w:szCs w:val="20"/>
              </w:rPr>
            </w:pPr>
            <w:r>
              <w:rPr>
                <w:rFonts w:eastAsia="Times New Roman" w:cs="Times New Roman"/>
                <w:sz w:val="20"/>
                <w:szCs w:val="20"/>
              </w:rPr>
              <w:t>R</w:t>
            </w:r>
            <w:r w:rsidRPr="008A7CFD">
              <w:rPr>
                <w:rFonts w:eastAsia="Times New Roman" w:cs="Times New Roman"/>
                <w:sz w:val="20"/>
                <w:szCs w:val="20"/>
              </w:rPr>
              <w:t>egija</w:t>
            </w:r>
          </w:p>
        </w:tc>
      </w:tr>
      <w:tr w:rsidR="00A920F6" w:rsidRPr="00960B98" w14:paraId="4AD0BD15" w14:textId="77777777" w:rsidTr="00A920F6">
        <w:trPr>
          <w:trHeight w:val="620"/>
        </w:trPr>
        <w:tc>
          <w:tcPr>
            <w:tcW w:w="69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A72F3C3" w14:textId="77777777" w:rsidR="00A920F6" w:rsidRPr="008A7CFD" w:rsidRDefault="00A920F6" w:rsidP="00A920F6">
            <w:pPr>
              <w:spacing w:after="0" w:line="240" w:lineRule="auto"/>
              <w:rPr>
                <w:rFonts w:eastAsia="Times New Roman" w:cs="Times New Roman"/>
                <w:sz w:val="20"/>
                <w:szCs w:val="20"/>
              </w:rPr>
            </w:pPr>
          </w:p>
        </w:tc>
        <w:tc>
          <w:tcPr>
            <w:tcW w:w="671" w:type="pct"/>
            <w:vMerge/>
            <w:tcBorders>
              <w:left w:val="nil"/>
              <w:right w:val="single" w:sz="4" w:space="0" w:color="auto"/>
            </w:tcBorders>
            <w:shd w:val="clear" w:color="auto" w:fill="auto"/>
            <w:hideMark/>
          </w:tcPr>
          <w:p w14:paraId="66FE62D1" w14:textId="77777777" w:rsidR="00A920F6" w:rsidRPr="008A7CFD" w:rsidRDefault="00A920F6" w:rsidP="00A920F6">
            <w:pPr>
              <w:spacing w:after="0" w:line="240" w:lineRule="auto"/>
              <w:rPr>
                <w:rFonts w:eastAsia="Times New Roman" w:cs="Times New Roman"/>
                <w:sz w:val="20"/>
                <w:szCs w:val="20"/>
              </w:rPr>
            </w:pPr>
          </w:p>
        </w:tc>
        <w:tc>
          <w:tcPr>
            <w:tcW w:w="757" w:type="pct"/>
            <w:tcBorders>
              <w:top w:val="nil"/>
              <w:left w:val="nil"/>
              <w:bottom w:val="single" w:sz="4" w:space="0" w:color="auto"/>
              <w:right w:val="single" w:sz="4" w:space="0" w:color="auto"/>
            </w:tcBorders>
            <w:shd w:val="clear" w:color="auto" w:fill="auto"/>
            <w:hideMark/>
          </w:tcPr>
          <w:p w14:paraId="4821EA1B"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Dopolnilna dejavnost na kmetiji</w:t>
            </w:r>
          </w:p>
        </w:tc>
        <w:tc>
          <w:tcPr>
            <w:tcW w:w="1175" w:type="pct"/>
            <w:tcBorders>
              <w:top w:val="nil"/>
              <w:left w:val="nil"/>
              <w:bottom w:val="single" w:sz="4" w:space="0" w:color="auto"/>
              <w:right w:val="single" w:sz="4" w:space="0" w:color="auto"/>
            </w:tcBorders>
            <w:shd w:val="clear" w:color="auto" w:fill="auto"/>
            <w:hideMark/>
          </w:tcPr>
          <w:p w14:paraId="581EE327"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Delež kmetijskih gospodarstev z dopolnilnimi dejavnostmi (%), 2016</w:t>
            </w:r>
          </w:p>
        </w:tc>
        <w:tc>
          <w:tcPr>
            <w:tcW w:w="700" w:type="pct"/>
            <w:tcBorders>
              <w:top w:val="nil"/>
              <w:left w:val="nil"/>
              <w:bottom w:val="single" w:sz="4" w:space="0" w:color="auto"/>
              <w:right w:val="single" w:sz="4" w:space="0" w:color="auto"/>
            </w:tcBorders>
            <w:shd w:val="clear" w:color="auto" w:fill="auto"/>
            <w:hideMark/>
          </w:tcPr>
          <w:p w14:paraId="33FD24BD"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 </w:t>
            </w:r>
          </w:p>
        </w:tc>
        <w:tc>
          <w:tcPr>
            <w:tcW w:w="541" w:type="pct"/>
            <w:tcBorders>
              <w:top w:val="nil"/>
              <w:left w:val="nil"/>
              <w:bottom w:val="single" w:sz="4" w:space="0" w:color="auto"/>
              <w:right w:val="single" w:sz="4" w:space="0" w:color="auto"/>
            </w:tcBorders>
            <w:shd w:val="clear" w:color="auto" w:fill="auto"/>
            <w:hideMark/>
          </w:tcPr>
          <w:p w14:paraId="11772AC6"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 </w:t>
            </w:r>
          </w:p>
        </w:tc>
        <w:tc>
          <w:tcPr>
            <w:tcW w:w="464" w:type="pct"/>
            <w:tcBorders>
              <w:top w:val="nil"/>
              <w:left w:val="nil"/>
              <w:bottom w:val="single" w:sz="4" w:space="0" w:color="auto"/>
              <w:right w:val="single" w:sz="4" w:space="0" w:color="auto"/>
            </w:tcBorders>
            <w:shd w:val="clear" w:color="auto" w:fill="auto"/>
            <w:hideMark/>
          </w:tcPr>
          <w:p w14:paraId="23B0A5AE" w14:textId="77777777" w:rsidR="00A920F6" w:rsidRPr="008A7CFD" w:rsidRDefault="00A920F6" w:rsidP="00A920F6">
            <w:pPr>
              <w:spacing w:after="0" w:line="240" w:lineRule="auto"/>
              <w:rPr>
                <w:rFonts w:eastAsia="Times New Roman" w:cs="Times New Roman"/>
                <w:sz w:val="20"/>
                <w:szCs w:val="20"/>
              </w:rPr>
            </w:pPr>
            <w:r>
              <w:rPr>
                <w:rFonts w:eastAsia="Times New Roman" w:cs="Times New Roman"/>
                <w:sz w:val="20"/>
                <w:szCs w:val="20"/>
              </w:rPr>
              <w:t>O</w:t>
            </w:r>
            <w:r w:rsidRPr="008A7CFD">
              <w:rPr>
                <w:rFonts w:eastAsia="Times New Roman" w:cs="Times New Roman"/>
                <w:sz w:val="20"/>
                <w:szCs w:val="20"/>
              </w:rPr>
              <w:t>bčina</w:t>
            </w:r>
          </w:p>
        </w:tc>
      </w:tr>
      <w:tr w:rsidR="00A920F6" w:rsidRPr="00960B98" w14:paraId="1FE7BBC3" w14:textId="77777777" w:rsidTr="00A920F6">
        <w:trPr>
          <w:trHeight w:val="1240"/>
        </w:trPr>
        <w:tc>
          <w:tcPr>
            <w:tcW w:w="69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4F2A34C" w14:textId="77777777" w:rsidR="00A920F6" w:rsidRPr="008A7CFD" w:rsidRDefault="00A920F6" w:rsidP="00A920F6">
            <w:pPr>
              <w:spacing w:after="0" w:line="240" w:lineRule="auto"/>
              <w:rPr>
                <w:rFonts w:eastAsia="Times New Roman" w:cs="Times New Roman"/>
                <w:sz w:val="20"/>
                <w:szCs w:val="20"/>
              </w:rPr>
            </w:pPr>
          </w:p>
        </w:tc>
        <w:tc>
          <w:tcPr>
            <w:tcW w:w="671" w:type="pct"/>
            <w:vMerge/>
            <w:tcBorders>
              <w:left w:val="nil"/>
              <w:bottom w:val="single" w:sz="4" w:space="0" w:color="auto"/>
              <w:right w:val="single" w:sz="4" w:space="0" w:color="auto"/>
            </w:tcBorders>
            <w:shd w:val="clear" w:color="auto" w:fill="auto"/>
            <w:hideMark/>
          </w:tcPr>
          <w:p w14:paraId="2B6F7E31" w14:textId="77777777" w:rsidR="00A920F6" w:rsidRPr="008A7CFD" w:rsidRDefault="00A920F6" w:rsidP="00A920F6">
            <w:pPr>
              <w:spacing w:after="0" w:line="240" w:lineRule="auto"/>
              <w:rPr>
                <w:rFonts w:eastAsia="Times New Roman" w:cs="Times New Roman"/>
                <w:sz w:val="20"/>
                <w:szCs w:val="20"/>
              </w:rPr>
            </w:pPr>
          </w:p>
        </w:tc>
        <w:tc>
          <w:tcPr>
            <w:tcW w:w="757" w:type="pct"/>
            <w:tcBorders>
              <w:top w:val="nil"/>
              <w:left w:val="nil"/>
              <w:bottom w:val="single" w:sz="4" w:space="0" w:color="auto"/>
              <w:right w:val="single" w:sz="4" w:space="0" w:color="auto"/>
            </w:tcBorders>
            <w:shd w:val="clear" w:color="auto" w:fill="auto"/>
            <w:hideMark/>
          </w:tcPr>
          <w:p w14:paraId="6F48E0A2"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Plačila ukrepov kmetijske politike</w:t>
            </w:r>
          </w:p>
        </w:tc>
        <w:tc>
          <w:tcPr>
            <w:tcW w:w="1175" w:type="pct"/>
            <w:tcBorders>
              <w:top w:val="nil"/>
              <w:left w:val="nil"/>
              <w:bottom w:val="single" w:sz="4" w:space="0" w:color="auto"/>
              <w:right w:val="single" w:sz="4" w:space="0" w:color="auto"/>
            </w:tcBorders>
            <w:shd w:val="clear" w:color="auto" w:fill="auto"/>
            <w:hideMark/>
          </w:tcPr>
          <w:p w14:paraId="59DEA7F4"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Razmerje med povprečnimi plačili ukrepov kmetijske politike in povprečno površino kmetijskih zemljišč v uporabi (1000 EUR/ha), 2007</w:t>
            </w:r>
            <w:r>
              <w:rPr>
                <w:rFonts w:asciiTheme="minorHAnsi" w:hAnsiTheme="minorHAnsi"/>
              </w:rPr>
              <w:t>–</w:t>
            </w:r>
            <w:r w:rsidRPr="008A7CFD">
              <w:rPr>
                <w:rFonts w:eastAsia="Times New Roman" w:cs="Times New Roman"/>
                <w:sz w:val="20"/>
                <w:szCs w:val="20"/>
              </w:rPr>
              <w:t>2016</w:t>
            </w:r>
          </w:p>
        </w:tc>
        <w:tc>
          <w:tcPr>
            <w:tcW w:w="700" w:type="pct"/>
            <w:tcBorders>
              <w:top w:val="nil"/>
              <w:left w:val="nil"/>
              <w:bottom w:val="single" w:sz="4" w:space="0" w:color="auto"/>
              <w:right w:val="single" w:sz="4" w:space="0" w:color="auto"/>
            </w:tcBorders>
            <w:shd w:val="clear" w:color="auto" w:fill="auto"/>
            <w:hideMark/>
          </w:tcPr>
          <w:p w14:paraId="4DDE1448"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Plačila ukrepov kmetijske politike</w:t>
            </w:r>
          </w:p>
        </w:tc>
        <w:tc>
          <w:tcPr>
            <w:tcW w:w="541" w:type="pct"/>
            <w:tcBorders>
              <w:top w:val="nil"/>
              <w:left w:val="nil"/>
              <w:bottom w:val="single" w:sz="4" w:space="0" w:color="auto"/>
              <w:right w:val="single" w:sz="4" w:space="0" w:color="auto"/>
            </w:tcBorders>
            <w:shd w:val="clear" w:color="auto" w:fill="auto"/>
            <w:hideMark/>
          </w:tcPr>
          <w:p w14:paraId="5BBCE36C"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Obdelani tabelirani podatki</w:t>
            </w:r>
          </w:p>
        </w:tc>
        <w:tc>
          <w:tcPr>
            <w:tcW w:w="464" w:type="pct"/>
            <w:tcBorders>
              <w:top w:val="nil"/>
              <w:left w:val="nil"/>
              <w:bottom w:val="single" w:sz="4" w:space="0" w:color="auto"/>
              <w:right w:val="single" w:sz="4" w:space="0" w:color="auto"/>
            </w:tcBorders>
            <w:shd w:val="clear" w:color="auto" w:fill="auto"/>
            <w:hideMark/>
          </w:tcPr>
          <w:p w14:paraId="786D9B32" w14:textId="77777777" w:rsidR="00A920F6" w:rsidRPr="008A7CFD" w:rsidRDefault="00A920F6" w:rsidP="00A920F6">
            <w:pPr>
              <w:spacing w:after="0" w:line="240" w:lineRule="auto"/>
              <w:rPr>
                <w:rFonts w:eastAsia="Times New Roman" w:cs="Times New Roman"/>
                <w:sz w:val="20"/>
                <w:szCs w:val="20"/>
              </w:rPr>
            </w:pPr>
            <w:r>
              <w:rPr>
                <w:rFonts w:eastAsia="Times New Roman" w:cs="Times New Roman"/>
                <w:sz w:val="20"/>
                <w:szCs w:val="20"/>
              </w:rPr>
              <w:t>R</w:t>
            </w:r>
            <w:r w:rsidRPr="008A7CFD">
              <w:rPr>
                <w:rFonts w:eastAsia="Times New Roman" w:cs="Times New Roman"/>
                <w:sz w:val="20"/>
                <w:szCs w:val="20"/>
              </w:rPr>
              <w:t>egija</w:t>
            </w:r>
          </w:p>
        </w:tc>
      </w:tr>
      <w:tr w:rsidR="00A920F6" w:rsidRPr="00960B98" w14:paraId="7E814A0C" w14:textId="77777777" w:rsidTr="00A920F6">
        <w:trPr>
          <w:trHeight w:val="1240"/>
        </w:trPr>
        <w:tc>
          <w:tcPr>
            <w:tcW w:w="69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81ADF37" w14:textId="77777777" w:rsidR="00A920F6" w:rsidRPr="008A7CFD" w:rsidRDefault="00A920F6" w:rsidP="00A920F6">
            <w:pPr>
              <w:spacing w:after="0" w:line="240" w:lineRule="auto"/>
              <w:rPr>
                <w:rFonts w:eastAsia="Times New Roman" w:cs="Times New Roman"/>
                <w:sz w:val="20"/>
                <w:szCs w:val="20"/>
              </w:rPr>
            </w:pPr>
          </w:p>
        </w:tc>
        <w:tc>
          <w:tcPr>
            <w:tcW w:w="671" w:type="pct"/>
            <w:vMerge w:val="restart"/>
            <w:tcBorders>
              <w:top w:val="nil"/>
              <w:left w:val="single" w:sz="4" w:space="0" w:color="auto"/>
              <w:bottom w:val="single" w:sz="4" w:space="0" w:color="auto"/>
              <w:right w:val="single" w:sz="4" w:space="0" w:color="auto"/>
            </w:tcBorders>
            <w:shd w:val="clear" w:color="auto" w:fill="auto"/>
            <w:hideMark/>
          </w:tcPr>
          <w:p w14:paraId="59F1FD5F" w14:textId="77777777" w:rsidR="00A920F6" w:rsidRPr="008A7CFD" w:rsidRDefault="00A920F6" w:rsidP="00A920F6">
            <w:pPr>
              <w:spacing w:after="0" w:line="240" w:lineRule="auto"/>
              <w:rPr>
                <w:rFonts w:eastAsia="Times New Roman" w:cs="Times New Roman"/>
                <w:sz w:val="20"/>
                <w:szCs w:val="20"/>
              </w:rPr>
            </w:pPr>
            <w:r>
              <w:rPr>
                <w:rFonts w:eastAsia="Times New Roman" w:cs="Times New Roman"/>
                <w:sz w:val="20"/>
                <w:szCs w:val="20"/>
              </w:rPr>
              <w:t>T</w:t>
            </w:r>
            <w:r w:rsidRPr="008A7CFD">
              <w:rPr>
                <w:rFonts w:eastAsia="Times New Roman" w:cs="Times New Roman"/>
                <w:sz w:val="20"/>
                <w:szCs w:val="20"/>
              </w:rPr>
              <w:t>rajnostno gospodarjenje</w:t>
            </w:r>
          </w:p>
        </w:tc>
        <w:tc>
          <w:tcPr>
            <w:tcW w:w="757" w:type="pct"/>
            <w:tcBorders>
              <w:top w:val="nil"/>
              <w:left w:val="nil"/>
              <w:bottom w:val="single" w:sz="4" w:space="0" w:color="auto"/>
              <w:right w:val="single" w:sz="4" w:space="0" w:color="auto"/>
            </w:tcBorders>
            <w:shd w:val="clear" w:color="auto" w:fill="auto"/>
            <w:hideMark/>
          </w:tcPr>
          <w:p w14:paraId="33920EC9"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Investicije za varstvo okolja</w:t>
            </w:r>
          </w:p>
        </w:tc>
        <w:tc>
          <w:tcPr>
            <w:tcW w:w="1175" w:type="pct"/>
            <w:tcBorders>
              <w:top w:val="nil"/>
              <w:left w:val="nil"/>
              <w:bottom w:val="single" w:sz="4" w:space="0" w:color="auto"/>
              <w:right w:val="single" w:sz="4" w:space="0" w:color="auto"/>
            </w:tcBorders>
            <w:shd w:val="clear" w:color="auto" w:fill="auto"/>
            <w:hideMark/>
          </w:tcPr>
          <w:p w14:paraId="054E16BB"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Delež povprečnih letnih investicij za varstvo okolja v povprečnem letnem bruto domačem proizvodu (%), 2007</w:t>
            </w:r>
            <w:r>
              <w:rPr>
                <w:rFonts w:asciiTheme="minorHAnsi" w:hAnsiTheme="minorHAnsi"/>
              </w:rPr>
              <w:t>–</w:t>
            </w:r>
            <w:r w:rsidRPr="008A7CFD">
              <w:rPr>
                <w:rFonts w:eastAsia="Times New Roman" w:cs="Times New Roman"/>
                <w:sz w:val="20"/>
                <w:szCs w:val="20"/>
              </w:rPr>
              <w:t>2016</w:t>
            </w:r>
          </w:p>
        </w:tc>
        <w:tc>
          <w:tcPr>
            <w:tcW w:w="700" w:type="pct"/>
            <w:tcBorders>
              <w:top w:val="nil"/>
              <w:left w:val="nil"/>
              <w:bottom w:val="single" w:sz="4" w:space="0" w:color="auto"/>
              <w:right w:val="single" w:sz="4" w:space="0" w:color="auto"/>
            </w:tcBorders>
            <w:shd w:val="clear" w:color="auto" w:fill="auto"/>
            <w:hideMark/>
          </w:tcPr>
          <w:p w14:paraId="1FCAB204"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 xml:space="preserve">Letna </w:t>
            </w:r>
            <w:r w:rsidRPr="003D27BA">
              <w:rPr>
                <w:rFonts w:eastAsia="Times New Roman" w:cs="Times New Roman"/>
                <w:sz w:val="20"/>
                <w:szCs w:val="20"/>
              </w:rPr>
              <w:t>sredstva,</w:t>
            </w:r>
            <w:r w:rsidRPr="008A7CFD">
              <w:rPr>
                <w:rFonts w:eastAsia="Times New Roman" w:cs="Times New Roman"/>
                <w:sz w:val="20"/>
                <w:szCs w:val="20"/>
              </w:rPr>
              <w:t xml:space="preserve"> namenjena za investicije za varstvo okolja</w:t>
            </w:r>
          </w:p>
        </w:tc>
        <w:tc>
          <w:tcPr>
            <w:tcW w:w="541" w:type="pct"/>
            <w:tcBorders>
              <w:top w:val="nil"/>
              <w:left w:val="nil"/>
              <w:bottom w:val="single" w:sz="4" w:space="0" w:color="auto"/>
              <w:right w:val="single" w:sz="4" w:space="0" w:color="auto"/>
            </w:tcBorders>
            <w:shd w:val="clear" w:color="auto" w:fill="auto"/>
            <w:hideMark/>
          </w:tcPr>
          <w:p w14:paraId="3E1C1221"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Obdelani tabelirani podatki</w:t>
            </w:r>
          </w:p>
        </w:tc>
        <w:tc>
          <w:tcPr>
            <w:tcW w:w="464" w:type="pct"/>
            <w:tcBorders>
              <w:top w:val="nil"/>
              <w:left w:val="nil"/>
              <w:bottom w:val="single" w:sz="4" w:space="0" w:color="auto"/>
              <w:right w:val="single" w:sz="4" w:space="0" w:color="auto"/>
            </w:tcBorders>
            <w:shd w:val="clear" w:color="auto" w:fill="auto"/>
            <w:hideMark/>
          </w:tcPr>
          <w:p w14:paraId="55F04B30" w14:textId="77777777" w:rsidR="00A920F6" w:rsidRPr="008A7CFD" w:rsidRDefault="00A920F6" w:rsidP="00A920F6">
            <w:pPr>
              <w:spacing w:after="0" w:line="240" w:lineRule="auto"/>
              <w:rPr>
                <w:rFonts w:eastAsia="Times New Roman" w:cs="Times New Roman"/>
                <w:sz w:val="20"/>
                <w:szCs w:val="20"/>
              </w:rPr>
            </w:pPr>
            <w:r>
              <w:rPr>
                <w:rFonts w:eastAsia="Times New Roman" w:cs="Times New Roman"/>
                <w:sz w:val="20"/>
                <w:szCs w:val="20"/>
              </w:rPr>
              <w:t>R</w:t>
            </w:r>
            <w:r w:rsidRPr="008A7CFD">
              <w:rPr>
                <w:rFonts w:eastAsia="Times New Roman" w:cs="Times New Roman"/>
                <w:sz w:val="20"/>
                <w:szCs w:val="20"/>
              </w:rPr>
              <w:t>egija</w:t>
            </w:r>
          </w:p>
        </w:tc>
      </w:tr>
      <w:tr w:rsidR="00A920F6" w:rsidRPr="00960B98" w14:paraId="31B371D7" w14:textId="77777777" w:rsidTr="00A920F6">
        <w:trPr>
          <w:trHeight w:val="1240"/>
        </w:trPr>
        <w:tc>
          <w:tcPr>
            <w:tcW w:w="69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102B7DA" w14:textId="77777777" w:rsidR="00A920F6" w:rsidRPr="008A7CFD" w:rsidRDefault="00A920F6" w:rsidP="00A920F6">
            <w:pPr>
              <w:spacing w:after="0" w:line="240" w:lineRule="auto"/>
              <w:rPr>
                <w:rFonts w:eastAsia="Times New Roman" w:cs="Times New Roman"/>
                <w:sz w:val="20"/>
                <w:szCs w:val="20"/>
              </w:rPr>
            </w:pPr>
          </w:p>
        </w:tc>
        <w:tc>
          <w:tcPr>
            <w:tcW w:w="671" w:type="pct"/>
            <w:vMerge/>
            <w:tcBorders>
              <w:top w:val="nil"/>
              <w:left w:val="single" w:sz="4" w:space="0" w:color="auto"/>
              <w:bottom w:val="single" w:sz="4" w:space="0" w:color="auto"/>
              <w:right w:val="single" w:sz="4" w:space="0" w:color="auto"/>
            </w:tcBorders>
            <w:shd w:val="clear" w:color="auto" w:fill="auto"/>
            <w:vAlign w:val="center"/>
            <w:hideMark/>
          </w:tcPr>
          <w:p w14:paraId="20540C06" w14:textId="77777777" w:rsidR="00A920F6" w:rsidRPr="008A7CFD" w:rsidRDefault="00A920F6" w:rsidP="00A920F6">
            <w:pPr>
              <w:spacing w:after="0" w:line="240" w:lineRule="auto"/>
              <w:rPr>
                <w:rFonts w:eastAsia="Times New Roman" w:cs="Times New Roman"/>
                <w:sz w:val="20"/>
                <w:szCs w:val="20"/>
              </w:rPr>
            </w:pPr>
          </w:p>
        </w:tc>
        <w:tc>
          <w:tcPr>
            <w:tcW w:w="757" w:type="pct"/>
            <w:tcBorders>
              <w:top w:val="nil"/>
              <w:left w:val="nil"/>
              <w:bottom w:val="single" w:sz="4" w:space="0" w:color="auto"/>
              <w:right w:val="single" w:sz="4" w:space="0" w:color="auto"/>
            </w:tcBorders>
            <w:shd w:val="clear" w:color="auto" w:fill="auto"/>
            <w:hideMark/>
          </w:tcPr>
          <w:p w14:paraId="535E1640"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Ekološko kmetovanje</w:t>
            </w:r>
          </w:p>
        </w:tc>
        <w:tc>
          <w:tcPr>
            <w:tcW w:w="1175" w:type="pct"/>
            <w:tcBorders>
              <w:top w:val="nil"/>
              <w:left w:val="nil"/>
              <w:bottom w:val="single" w:sz="4" w:space="0" w:color="auto"/>
              <w:right w:val="single" w:sz="4" w:space="0" w:color="auto"/>
            </w:tcBorders>
            <w:shd w:val="clear" w:color="auto" w:fill="auto"/>
            <w:hideMark/>
          </w:tcPr>
          <w:p w14:paraId="5B886772"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Delež kmetijskih gospodarstev z ekološkim kmetovanjem ali v preusmeritvi (%), 2016</w:t>
            </w:r>
          </w:p>
        </w:tc>
        <w:tc>
          <w:tcPr>
            <w:tcW w:w="700" w:type="pct"/>
            <w:tcBorders>
              <w:top w:val="nil"/>
              <w:left w:val="nil"/>
              <w:bottom w:val="single" w:sz="4" w:space="0" w:color="auto"/>
              <w:right w:val="single" w:sz="4" w:space="0" w:color="auto"/>
            </w:tcBorders>
            <w:shd w:val="clear" w:color="auto" w:fill="auto"/>
            <w:hideMark/>
          </w:tcPr>
          <w:p w14:paraId="1AF56439"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Število ekoloških kmetijskih gospodarstev in v preusmeritvi</w:t>
            </w:r>
          </w:p>
        </w:tc>
        <w:tc>
          <w:tcPr>
            <w:tcW w:w="541" w:type="pct"/>
            <w:tcBorders>
              <w:top w:val="nil"/>
              <w:left w:val="nil"/>
              <w:bottom w:val="single" w:sz="4" w:space="0" w:color="auto"/>
              <w:right w:val="single" w:sz="4" w:space="0" w:color="auto"/>
            </w:tcBorders>
            <w:shd w:val="clear" w:color="auto" w:fill="auto"/>
            <w:hideMark/>
          </w:tcPr>
          <w:p w14:paraId="53129015"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 xml:space="preserve">Vektorski sloj RKG </w:t>
            </w:r>
          </w:p>
        </w:tc>
        <w:tc>
          <w:tcPr>
            <w:tcW w:w="464" w:type="pct"/>
            <w:tcBorders>
              <w:top w:val="nil"/>
              <w:left w:val="nil"/>
              <w:bottom w:val="single" w:sz="4" w:space="0" w:color="auto"/>
              <w:right w:val="single" w:sz="4" w:space="0" w:color="auto"/>
            </w:tcBorders>
            <w:shd w:val="clear" w:color="auto" w:fill="auto"/>
            <w:hideMark/>
          </w:tcPr>
          <w:p w14:paraId="0A2E6A5F" w14:textId="77777777" w:rsidR="00A920F6" w:rsidRPr="008A7CFD" w:rsidRDefault="00A920F6" w:rsidP="00A920F6">
            <w:pPr>
              <w:spacing w:after="0" w:line="240" w:lineRule="auto"/>
              <w:rPr>
                <w:rFonts w:eastAsia="Times New Roman" w:cs="Times New Roman"/>
                <w:sz w:val="20"/>
                <w:szCs w:val="20"/>
              </w:rPr>
            </w:pPr>
            <w:r>
              <w:rPr>
                <w:rFonts w:eastAsia="Times New Roman" w:cs="Times New Roman"/>
                <w:sz w:val="20"/>
                <w:szCs w:val="20"/>
              </w:rPr>
              <w:t>O</w:t>
            </w:r>
            <w:r w:rsidRPr="008A7CFD">
              <w:rPr>
                <w:rFonts w:eastAsia="Times New Roman" w:cs="Times New Roman"/>
                <w:sz w:val="20"/>
                <w:szCs w:val="20"/>
              </w:rPr>
              <w:t>bčina</w:t>
            </w:r>
          </w:p>
        </w:tc>
      </w:tr>
      <w:tr w:rsidR="00A920F6" w:rsidRPr="00960B98" w14:paraId="388FCFAE" w14:textId="77777777" w:rsidTr="00A920F6">
        <w:trPr>
          <w:trHeight w:val="620"/>
        </w:trPr>
        <w:tc>
          <w:tcPr>
            <w:tcW w:w="69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C2308D7" w14:textId="77777777" w:rsidR="00A920F6" w:rsidRPr="008A7CFD" w:rsidRDefault="00A920F6" w:rsidP="00A920F6">
            <w:pPr>
              <w:spacing w:after="0" w:line="240" w:lineRule="auto"/>
              <w:rPr>
                <w:rFonts w:eastAsia="Times New Roman" w:cs="Times New Roman"/>
                <w:sz w:val="20"/>
                <w:szCs w:val="20"/>
              </w:rPr>
            </w:pPr>
          </w:p>
        </w:tc>
        <w:tc>
          <w:tcPr>
            <w:tcW w:w="671" w:type="pct"/>
            <w:vMerge w:val="restart"/>
            <w:tcBorders>
              <w:top w:val="nil"/>
              <w:left w:val="single" w:sz="4" w:space="0" w:color="auto"/>
              <w:bottom w:val="single" w:sz="4" w:space="0" w:color="auto"/>
              <w:right w:val="single" w:sz="4" w:space="0" w:color="auto"/>
            </w:tcBorders>
            <w:shd w:val="clear" w:color="auto" w:fill="auto"/>
            <w:hideMark/>
          </w:tcPr>
          <w:p w14:paraId="771701BC" w14:textId="77777777" w:rsidR="00A920F6" w:rsidRPr="008A7CFD" w:rsidRDefault="00A920F6" w:rsidP="00A920F6">
            <w:pPr>
              <w:spacing w:after="0" w:line="240" w:lineRule="auto"/>
              <w:rPr>
                <w:rFonts w:eastAsia="Times New Roman" w:cs="Times New Roman"/>
                <w:sz w:val="20"/>
                <w:szCs w:val="20"/>
              </w:rPr>
            </w:pPr>
            <w:r>
              <w:rPr>
                <w:rFonts w:eastAsia="Times New Roman" w:cs="Times New Roman"/>
                <w:sz w:val="20"/>
                <w:szCs w:val="20"/>
              </w:rPr>
              <w:t>N</w:t>
            </w:r>
            <w:r w:rsidRPr="008A7CFD">
              <w:rPr>
                <w:rFonts w:eastAsia="Times New Roman" w:cs="Times New Roman"/>
                <w:sz w:val="20"/>
                <w:szCs w:val="20"/>
              </w:rPr>
              <w:t>aravni viri</w:t>
            </w:r>
          </w:p>
        </w:tc>
        <w:tc>
          <w:tcPr>
            <w:tcW w:w="757" w:type="pct"/>
            <w:tcBorders>
              <w:top w:val="nil"/>
              <w:left w:val="nil"/>
              <w:bottom w:val="single" w:sz="4" w:space="0" w:color="auto"/>
              <w:right w:val="single" w:sz="4" w:space="0" w:color="auto"/>
            </w:tcBorders>
            <w:shd w:val="clear" w:color="auto" w:fill="auto"/>
            <w:hideMark/>
          </w:tcPr>
          <w:p w14:paraId="48AA7D23"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Vodni viri</w:t>
            </w:r>
          </w:p>
        </w:tc>
        <w:tc>
          <w:tcPr>
            <w:tcW w:w="1175" w:type="pct"/>
            <w:tcBorders>
              <w:top w:val="nil"/>
              <w:left w:val="nil"/>
              <w:bottom w:val="single" w:sz="4" w:space="0" w:color="auto"/>
              <w:right w:val="single" w:sz="4" w:space="0" w:color="auto"/>
            </w:tcBorders>
            <w:shd w:val="clear" w:color="auto" w:fill="auto"/>
            <w:hideMark/>
          </w:tcPr>
          <w:p w14:paraId="4F8F7AA9"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Delež kmetijskih zemljišč z namakalnimi sistemi (%), 2017</w:t>
            </w:r>
          </w:p>
        </w:tc>
        <w:tc>
          <w:tcPr>
            <w:tcW w:w="700" w:type="pct"/>
            <w:tcBorders>
              <w:top w:val="nil"/>
              <w:left w:val="nil"/>
              <w:bottom w:val="single" w:sz="4" w:space="0" w:color="auto"/>
              <w:right w:val="single" w:sz="4" w:space="0" w:color="auto"/>
            </w:tcBorders>
            <w:shd w:val="clear" w:color="auto" w:fill="auto"/>
            <w:hideMark/>
          </w:tcPr>
          <w:p w14:paraId="4E618228"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Veliki namakalni sistemi</w:t>
            </w:r>
          </w:p>
        </w:tc>
        <w:tc>
          <w:tcPr>
            <w:tcW w:w="541" w:type="pct"/>
            <w:tcBorders>
              <w:top w:val="nil"/>
              <w:left w:val="nil"/>
              <w:bottom w:val="single" w:sz="4" w:space="0" w:color="auto"/>
              <w:right w:val="single" w:sz="4" w:space="0" w:color="auto"/>
            </w:tcBorders>
            <w:shd w:val="clear" w:color="auto" w:fill="auto"/>
            <w:hideMark/>
          </w:tcPr>
          <w:p w14:paraId="0DCB0D6E"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 xml:space="preserve">Vektorski sloji </w:t>
            </w:r>
          </w:p>
        </w:tc>
        <w:tc>
          <w:tcPr>
            <w:tcW w:w="464" w:type="pct"/>
            <w:tcBorders>
              <w:top w:val="nil"/>
              <w:left w:val="nil"/>
              <w:bottom w:val="single" w:sz="4" w:space="0" w:color="auto"/>
              <w:right w:val="single" w:sz="4" w:space="0" w:color="auto"/>
            </w:tcBorders>
            <w:shd w:val="clear" w:color="auto" w:fill="auto"/>
            <w:hideMark/>
          </w:tcPr>
          <w:p w14:paraId="41CEE0B8" w14:textId="77777777" w:rsidR="00A920F6" w:rsidRPr="008A7CFD" w:rsidRDefault="00A920F6" w:rsidP="00A920F6">
            <w:pPr>
              <w:spacing w:after="0" w:line="240" w:lineRule="auto"/>
              <w:rPr>
                <w:rFonts w:eastAsia="Times New Roman" w:cs="Times New Roman"/>
                <w:sz w:val="20"/>
                <w:szCs w:val="20"/>
              </w:rPr>
            </w:pPr>
            <w:r>
              <w:rPr>
                <w:rFonts w:eastAsia="Times New Roman" w:cs="Times New Roman"/>
                <w:sz w:val="20"/>
                <w:szCs w:val="20"/>
              </w:rPr>
              <w:t>O</w:t>
            </w:r>
            <w:r w:rsidRPr="008A7CFD">
              <w:rPr>
                <w:rFonts w:eastAsia="Times New Roman" w:cs="Times New Roman"/>
                <w:sz w:val="20"/>
                <w:szCs w:val="20"/>
              </w:rPr>
              <w:t>bčina</w:t>
            </w:r>
          </w:p>
        </w:tc>
      </w:tr>
      <w:tr w:rsidR="00A920F6" w:rsidRPr="00960B98" w14:paraId="762A953D" w14:textId="77777777" w:rsidTr="00A920F6">
        <w:trPr>
          <w:trHeight w:val="310"/>
        </w:trPr>
        <w:tc>
          <w:tcPr>
            <w:tcW w:w="69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01F2214" w14:textId="77777777" w:rsidR="00A920F6" w:rsidRPr="008A7CFD" w:rsidRDefault="00A920F6" w:rsidP="00A920F6">
            <w:pPr>
              <w:spacing w:after="0" w:line="240" w:lineRule="auto"/>
              <w:rPr>
                <w:rFonts w:eastAsia="Times New Roman" w:cs="Times New Roman"/>
                <w:sz w:val="20"/>
                <w:szCs w:val="20"/>
              </w:rPr>
            </w:pPr>
          </w:p>
        </w:tc>
        <w:tc>
          <w:tcPr>
            <w:tcW w:w="671" w:type="pct"/>
            <w:vMerge/>
            <w:tcBorders>
              <w:top w:val="nil"/>
              <w:left w:val="single" w:sz="4" w:space="0" w:color="auto"/>
              <w:bottom w:val="single" w:sz="4" w:space="0" w:color="auto"/>
              <w:right w:val="single" w:sz="4" w:space="0" w:color="auto"/>
            </w:tcBorders>
            <w:shd w:val="clear" w:color="auto" w:fill="auto"/>
            <w:vAlign w:val="center"/>
            <w:hideMark/>
          </w:tcPr>
          <w:p w14:paraId="456B00E7" w14:textId="77777777" w:rsidR="00A920F6" w:rsidRPr="008A7CFD" w:rsidRDefault="00A920F6" w:rsidP="00A920F6">
            <w:pPr>
              <w:spacing w:after="0" w:line="240" w:lineRule="auto"/>
              <w:rPr>
                <w:rFonts w:eastAsia="Times New Roman" w:cs="Times New Roman"/>
                <w:sz w:val="20"/>
                <w:szCs w:val="20"/>
              </w:rPr>
            </w:pPr>
          </w:p>
        </w:tc>
        <w:tc>
          <w:tcPr>
            <w:tcW w:w="757" w:type="pct"/>
            <w:tcBorders>
              <w:top w:val="nil"/>
              <w:left w:val="nil"/>
              <w:bottom w:val="single" w:sz="4" w:space="0" w:color="auto"/>
              <w:right w:val="single" w:sz="4" w:space="0" w:color="auto"/>
            </w:tcBorders>
            <w:shd w:val="clear" w:color="auto" w:fill="auto"/>
            <w:hideMark/>
          </w:tcPr>
          <w:p w14:paraId="350E7B22"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 </w:t>
            </w:r>
          </w:p>
        </w:tc>
        <w:tc>
          <w:tcPr>
            <w:tcW w:w="1175" w:type="pct"/>
            <w:tcBorders>
              <w:top w:val="nil"/>
              <w:left w:val="nil"/>
              <w:bottom w:val="single" w:sz="4" w:space="0" w:color="auto"/>
              <w:right w:val="single" w:sz="4" w:space="0" w:color="auto"/>
            </w:tcBorders>
            <w:shd w:val="clear" w:color="auto" w:fill="auto"/>
            <w:hideMark/>
          </w:tcPr>
          <w:p w14:paraId="079687B8"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 </w:t>
            </w:r>
          </w:p>
        </w:tc>
        <w:tc>
          <w:tcPr>
            <w:tcW w:w="700" w:type="pct"/>
            <w:tcBorders>
              <w:top w:val="nil"/>
              <w:left w:val="nil"/>
              <w:bottom w:val="single" w:sz="4" w:space="0" w:color="auto"/>
              <w:right w:val="single" w:sz="4" w:space="0" w:color="auto"/>
            </w:tcBorders>
            <w:shd w:val="clear" w:color="auto" w:fill="auto"/>
            <w:hideMark/>
          </w:tcPr>
          <w:p w14:paraId="34E15272"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Mali namakalni sistemi</w:t>
            </w:r>
          </w:p>
        </w:tc>
        <w:tc>
          <w:tcPr>
            <w:tcW w:w="541" w:type="pct"/>
            <w:tcBorders>
              <w:top w:val="nil"/>
              <w:left w:val="nil"/>
              <w:bottom w:val="single" w:sz="4" w:space="0" w:color="auto"/>
              <w:right w:val="single" w:sz="4" w:space="0" w:color="auto"/>
            </w:tcBorders>
            <w:shd w:val="clear" w:color="auto" w:fill="auto"/>
            <w:hideMark/>
          </w:tcPr>
          <w:p w14:paraId="4324A685" w14:textId="77777777" w:rsidR="00A920F6" w:rsidRPr="008A7CFD" w:rsidRDefault="00A920F6" w:rsidP="00A920F6">
            <w:pPr>
              <w:spacing w:after="0" w:line="240" w:lineRule="auto"/>
              <w:rPr>
                <w:rFonts w:eastAsia="Times New Roman" w:cs="Times New Roman"/>
                <w:sz w:val="20"/>
                <w:szCs w:val="20"/>
              </w:rPr>
            </w:pPr>
            <w:r w:rsidRPr="008A7CFD">
              <w:rPr>
                <w:rFonts w:eastAsia="Times New Roman" w:cs="Times New Roman"/>
                <w:sz w:val="20"/>
                <w:szCs w:val="20"/>
              </w:rPr>
              <w:t xml:space="preserve">Vektorski sloji </w:t>
            </w:r>
          </w:p>
        </w:tc>
        <w:tc>
          <w:tcPr>
            <w:tcW w:w="464" w:type="pct"/>
            <w:tcBorders>
              <w:top w:val="nil"/>
              <w:left w:val="nil"/>
              <w:bottom w:val="single" w:sz="4" w:space="0" w:color="auto"/>
              <w:right w:val="single" w:sz="4" w:space="0" w:color="auto"/>
            </w:tcBorders>
            <w:shd w:val="clear" w:color="auto" w:fill="auto"/>
            <w:hideMark/>
          </w:tcPr>
          <w:p w14:paraId="7015249D" w14:textId="77777777" w:rsidR="00A920F6" w:rsidRPr="008A7CFD" w:rsidRDefault="00A920F6" w:rsidP="00A920F6">
            <w:pPr>
              <w:spacing w:after="0" w:line="240" w:lineRule="auto"/>
              <w:rPr>
                <w:rFonts w:eastAsia="Times New Roman" w:cs="Times New Roman"/>
                <w:sz w:val="20"/>
                <w:szCs w:val="20"/>
              </w:rPr>
            </w:pPr>
            <w:r>
              <w:rPr>
                <w:rFonts w:eastAsia="Times New Roman" w:cs="Times New Roman"/>
                <w:sz w:val="20"/>
                <w:szCs w:val="20"/>
              </w:rPr>
              <w:t>O</w:t>
            </w:r>
            <w:r w:rsidRPr="008A7CFD">
              <w:rPr>
                <w:rFonts w:eastAsia="Times New Roman" w:cs="Times New Roman"/>
                <w:sz w:val="20"/>
                <w:szCs w:val="20"/>
              </w:rPr>
              <w:t>bčina</w:t>
            </w:r>
          </w:p>
        </w:tc>
      </w:tr>
    </w:tbl>
    <w:p w14:paraId="5AAC4F40" w14:textId="77777777" w:rsidR="00A920F6" w:rsidRDefault="00A920F6" w:rsidP="00A920F6"/>
    <w:p w14:paraId="1F694177" w14:textId="77777777" w:rsidR="00A920F6" w:rsidRDefault="00A920F6" w:rsidP="00A920F6">
      <w:pPr>
        <w:pStyle w:val="Naslov4"/>
        <w:ind w:left="1701"/>
      </w:pPr>
      <w:bookmarkStart w:id="118" w:name="_Toc39744522"/>
      <w:r>
        <w:t>Standardizacija in končna ocena podnebne ranljivosti</w:t>
      </w:r>
      <w:bookmarkEnd w:id="118"/>
    </w:p>
    <w:p w14:paraId="24012555" w14:textId="77777777" w:rsidR="00A920F6" w:rsidRDefault="00A920F6" w:rsidP="00A920F6">
      <w:r>
        <w:t xml:space="preserve">Za oceno ranljivosti kmetijstva v občini smo privzeli metodo </w:t>
      </w:r>
      <w:r w:rsidRPr="00E154A7">
        <w:t>Kociprove (2020),</w:t>
      </w:r>
      <w:r>
        <w:t xml:space="preserve"> ki kazalnike, </w:t>
      </w:r>
      <w:proofErr w:type="spellStart"/>
      <w:r>
        <w:t>podkazalnike</w:t>
      </w:r>
      <w:proofErr w:type="spellEnd"/>
      <w:r>
        <w:t xml:space="preserve"> in spremenljivke obravnava na ravni statističnih regij. Ranljivost kmetijstva smo ocenili na ravni mestne občine Nova Gorica, kjer je to bilo smiselno. Privzeta je bila standardizacija, ki jo je za izračun indeksa človekovega razvoja (angl. Human </w:t>
      </w:r>
      <w:proofErr w:type="spellStart"/>
      <w:r>
        <w:t>development</w:t>
      </w:r>
      <w:proofErr w:type="spellEnd"/>
      <w:r>
        <w:t xml:space="preserve"> </w:t>
      </w:r>
      <w:proofErr w:type="spellStart"/>
      <w:r>
        <w:t>index</w:t>
      </w:r>
      <w:proofErr w:type="spellEnd"/>
      <w:r>
        <w:t>) predlagal Razvojni program Združenih narodov (</w:t>
      </w:r>
      <w:proofErr w:type="spellStart"/>
      <w:r>
        <w:t>United</w:t>
      </w:r>
      <w:proofErr w:type="spellEnd"/>
      <w:r>
        <w:t xml:space="preserve"> </w:t>
      </w:r>
      <w:proofErr w:type="spellStart"/>
      <w:r>
        <w:t>Nations</w:t>
      </w:r>
      <w:proofErr w:type="spellEnd"/>
      <w:r>
        <w:t xml:space="preserve"> </w:t>
      </w:r>
      <w:proofErr w:type="spellStart"/>
      <w:r>
        <w:t>Development</w:t>
      </w:r>
      <w:proofErr w:type="spellEnd"/>
      <w:r>
        <w:t xml:space="preserve"> </w:t>
      </w:r>
      <w:proofErr w:type="spellStart"/>
      <w:r>
        <w:t>Programme</w:t>
      </w:r>
      <w:proofErr w:type="spellEnd"/>
      <w:r>
        <w:t>).</w:t>
      </w:r>
    </w:p>
    <w:p w14:paraId="5B020312" w14:textId="1C7C5EA3" w:rsidR="00A920F6" w:rsidRDefault="00A920F6" w:rsidP="00A920F6">
      <w:r>
        <w:t>Spremenljivke smo na ravni občine standardizirali po enačbi (</w:t>
      </w:r>
      <w:r>
        <w:fldChar w:fldCharType="begin"/>
      </w:r>
      <w:r>
        <w:instrText xml:space="preserve"> REF _Ref37685615 \h </w:instrText>
      </w:r>
      <w:r>
        <w:fldChar w:fldCharType="separate"/>
      </w:r>
      <w:r w:rsidR="004700D5">
        <w:t xml:space="preserve">Enačba </w:t>
      </w:r>
      <w:r w:rsidR="004700D5">
        <w:rPr>
          <w:noProof/>
        </w:rPr>
        <w:t>6</w:t>
      </w:r>
      <w:r w:rsidR="004700D5">
        <w:t>.</w:t>
      </w:r>
      <w:r w:rsidR="004700D5">
        <w:rPr>
          <w:noProof/>
        </w:rPr>
        <w:t>1</w:t>
      </w:r>
      <w:r>
        <w:fldChar w:fldCharType="end"/>
      </w:r>
      <w:r>
        <w:t xml:space="preserve">): </w:t>
      </w:r>
    </w:p>
    <w:p w14:paraId="773CB788" w14:textId="36A195AA" w:rsidR="00A920F6" w:rsidRDefault="00A920F6" w:rsidP="00A920F6">
      <w:pPr>
        <w:pStyle w:val="Napis"/>
      </w:pPr>
      <w:bookmarkStart w:id="119" w:name="_Ref37685615"/>
      <w:r>
        <w:t xml:space="preserve">Enačba </w:t>
      </w:r>
      <w:r>
        <w:fldChar w:fldCharType="begin"/>
      </w:r>
      <w:r>
        <w:instrText xml:space="preserve"> STYLEREF 1 \s </w:instrText>
      </w:r>
      <w:r>
        <w:fldChar w:fldCharType="separate"/>
      </w:r>
      <w:r w:rsidR="004700D5">
        <w:rPr>
          <w:noProof/>
        </w:rPr>
        <w:t>6</w:t>
      </w:r>
      <w:r>
        <w:rPr>
          <w:noProof/>
        </w:rPr>
        <w:fldChar w:fldCharType="end"/>
      </w:r>
      <w:r>
        <w:t>.</w:t>
      </w:r>
      <w:r>
        <w:fldChar w:fldCharType="begin"/>
      </w:r>
      <w:r>
        <w:instrText xml:space="preserve"> SEQ Enačba \* ARABIC \s 1 </w:instrText>
      </w:r>
      <w:r>
        <w:fldChar w:fldCharType="separate"/>
      </w:r>
      <w:r w:rsidR="004700D5">
        <w:rPr>
          <w:noProof/>
        </w:rPr>
        <w:t>1</w:t>
      </w:r>
      <w:r>
        <w:rPr>
          <w:noProof/>
        </w:rPr>
        <w:fldChar w:fldCharType="end"/>
      </w:r>
      <w:bookmarkEnd w:id="119"/>
    </w:p>
    <w:p w14:paraId="6F59CF1E" w14:textId="77777777" w:rsidR="00A920F6" w:rsidRDefault="00A920F6" w:rsidP="00A920F6">
      <w:pPr>
        <w:rPr>
          <w:rFonts w:ascii="Cambria Math" w:eastAsia="Cambria Math" w:hAnsi="Cambria Math" w:cs="Cambria Math"/>
        </w:rPr>
      </w:pPr>
      <m:oMathPara>
        <m:oMath>
          <m:r>
            <w:rPr>
              <w:rFonts w:ascii="Cambria Math" w:eastAsia="Cambria Math" w:hAnsi="Cambria Math" w:cs="Cambria Math"/>
            </w:rPr>
            <m:t>Indeks = </m:t>
          </m:r>
          <m:f>
            <m:fPr>
              <m:ctrlPr>
                <w:rPr>
                  <w:rFonts w:ascii="Cambria Math" w:eastAsia="Cambria Math" w:hAnsi="Cambria Math" w:cs="Cambria Math"/>
                </w:rPr>
              </m:ctrlPr>
            </m:fPr>
            <m:num>
              <m:r>
                <w:rPr>
                  <w:rFonts w:ascii="Cambria Math" w:eastAsia="Cambria Math" w:hAnsi="Cambria Math" w:cs="Cambria Math"/>
                </w:rPr>
                <m:t>x-xmin</m:t>
              </m:r>
            </m:num>
            <m:den>
              <m:r>
                <w:rPr>
                  <w:rFonts w:ascii="Cambria Math" w:eastAsia="Cambria Math" w:hAnsi="Cambria Math" w:cs="Cambria Math"/>
                </w:rPr>
                <m:t>xmax-xmin</m:t>
              </m:r>
            </m:den>
          </m:f>
        </m:oMath>
      </m:oMathPara>
    </w:p>
    <w:p w14:paraId="636BB5B2" w14:textId="77777777" w:rsidR="00A920F6" w:rsidRDefault="00A920F6" w:rsidP="00A920F6">
      <w:r>
        <w:t xml:space="preserve">Kjer je:  x –  vrednost spremenljivke v občini, </w:t>
      </w:r>
      <w:proofErr w:type="spellStart"/>
      <w:r>
        <w:t>x</w:t>
      </w:r>
      <w:r>
        <w:rPr>
          <w:vertAlign w:val="subscript"/>
        </w:rPr>
        <w:t>min</w:t>
      </w:r>
      <w:proofErr w:type="spellEnd"/>
      <w:r>
        <w:rPr>
          <w:vertAlign w:val="subscript"/>
        </w:rPr>
        <w:t xml:space="preserve"> </w:t>
      </w:r>
      <w:r>
        <w:t xml:space="preserve">– najmanjša vrednost spremenljivke med občinami, </w:t>
      </w:r>
      <w:proofErr w:type="spellStart"/>
      <w:r>
        <w:t>x</w:t>
      </w:r>
      <w:r>
        <w:rPr>
          <w:vertAlign w:val="subscript"/>
        </w:rPr>
        <w:t>max</w:t>
      </w:r>
      <w:proofErr w:type="spellEnd"/>
      <w:r>
        <w:t xml:space="preserve"> – največja vrednost spremenljivke med občinami.</w:t>
      </w:r>
    </w:p>
    <w:p w14:paraId="36265AFC" w14:textId="77777777" w:rsidR="00A920F6" w:rsidRDefault="00A920F6" w:rsidP="00A920F6">
      <w:r>
        <w:t>V kolikor spremenljivke ni bilo smiselno izračunati na raven občine, smo privzeli vrednosti, ki jih za te spremenljivke navaja Kociprova (2020) za raven statistične regije, v katero spada ta občina (</w:t>
      </w:r>
      <w:proofErr w:type="spellStart"/>
      <w:r>
        <w:t>t.j</w:t>
      </w:r>
      <w:proofErr w:type="spellEnd"/>
      <w:r>
        <w:t xml:space="preserve">. Goriška statistična regija). </w:t>
      </w:r>
    </w:p>
    <w:p w14:paraId="787D4FE8" w14:textId="60AADE85" w:rsidR="00A920F6" w:rsidRDefault="00A920F6" w:rsidP="00A920F6">
      <w:r>
        <w:t>Za vsak kazalnik ranljivosti smo izračunali povprečno vrednost (</w:t>
      </w:r>
      <w:r>
        <w:fldChar w:fldCharType="begin"/>
      </w:r>
      <w:r>
        <w:instrText xml:space="preserve"> REF _Ref37685632 \h  \* MERGEFORMAT </w:instrText>
      </w:r>
      <w:r>
        <w:fldChar w:fldCharType="separate"/>
      </w:r>
      <w:r w:rsidR="004700D5">
        <w:t xml:space="preserve">Enačba </w:t>
      </w:r>
      <w:r w:rsidR="004700D5">
        <w:rPr>
          <w:noProof/>
        </w:rPr>
        <w:t>6.2</w:t>
      </w:r>
      <w:r>
        <w:fldChar w:fldCharType="end"/>
      </w:r>
      <w:r>
        <w:t xml:space="preserve">). Vsakemu kazalniku smo pripisali enako utež in prav tako spremenljivkam, ki gradijo posamezni kazalnik. </w:t>
      </w:r>
    </w:p>
    <w:p w14:paraId="7A6F79BA" w14:textId="067FBFA5" w:rsidR="00A920F6" w:rsidRDefault="00A920F6" w:rsidP="00A920F6">
      <w:pPr>
        <w:pStyle w:val="Napis"/>
      </w:pPr>
      <w:bookmarkStart w:id="120" w:name="_Ref37685632"/>
      <w:r>
        <w:t xml:space="preserve">Enačba </w:t>
      </w:r>
      <w:r>
        <w:fldChar w:fldCharType="begin"/>
      </w:r>
      <w:r>
        <w:instrText xml:space="preserve"> STYLEREF 1 \s </w:instrText>
      </w:r>
      <w:r>
        <w:fldChar w:fldCharType="separate"/>
      </w:r>
      <w:r w:rsidR="004700D5">
        <w:rPr>
          <w:noProof/>
        </w:rPr>
        <w:t>6</w:t>
      </w:r>
      <w:r>
        <w:rPr>
          <w:noProof/>
        </w:rPr>
        <w:fldChar w:fldCharType="end"/>
      </w:r>
      <w:r>
        <w:t>.</w:t>
      </w:r>
      <w:r>
        <w:fldChar w:fldCharType="begin"/>
      </w:r>
      <w:r>
        <w:instrText xml:space="preserve"> SEQ Enačba \* ARABIC \s 1 </w:instrText>
      </w:r>
      <w:r>
        <w:fldChar w:fldCharType="separate"/>
      </w:r>
      <w:r w:rsidR="004700D5">
        <w:rPr>
          <w:noProof/>
        </w:rPr>
        <w:t>2</w:t>
      </w:r>
      <w:r>
        <w:rPr>
          <w:noProof/>
        </w:rPr>
        <w:fldChar w:fldCharType="end"/>
      </w:r>
      <w:bookmarkEnd w:id="120"/>
    </w:p>
    <w:p w14:paraId="219DDDEB" w14:textId="77777777" w:rsidR="00A920F6" w:rsidRDefault="00A920F6" w:rsidP="00A920F6">
      <w:pPr>
        <w:spacing w:before="240" w:after="240"/>
      </w:pPr>
      <m:oMathPara>
        <m:oMath>
          <m:r>
            <w:rPr>
              <w:rFonts w:ascii="Cambria Math" w:hAnsi="Cambria Math"/>
            </w:rPr>
            <m:t xml:space="preserve">Povprečni kazalnik = </m:t>
          </m:r>
          <m:f>
            <m:fPr>
              <m:ctrlPr>
                <w:rPr>
                  <w:rFonts w:ascii="Cambria Math" w:hAnsi="Cambria Math"/>
                </w:rPr>
              </m:ctrlPr>
            </m:fPr>
            <m:num>
              <m:r>
                <w:rPr>
                  <w:rFonts w:ascii="Cambria Math" w:hAnsi="Cambria Math"/>
                </w:rPr>
                <m:t>(Spremenljivka 1+ ... + Spremenljivka y)</m:t>
              </m:r>
            </m:num>
            <m:den>
              <m:r>
                <w:rPr>
                  <w:rFonts w:ascii="Cambria Math" w:hAnsi="Cambria Math"/>
                </w:rPr>
                <m:t>y</m:t>
              </m:r>
            </m:den>
          </m:f>
        </m:oMath>
      </m:oMathPara>
    </w:p>
    <w:p w14:paraId="405731E6" w14:textId="77777777" w:rsidR="00A920F6" w:rsidRDefault="00A920F6" w:rsidP="00A920F6">
      <w:r>
        <w:t xml:space="preserve">  Y  je število  spremenljivk v posameznem kazalniku.</w:t>
      </w:r>
    </w:p>
    <w:p w14:paraId="6C2220DD" w14:textId="2BC927D0" w:rsidR="00A920F6" w:rsidRDefault="00A920F6" w:rsidP="00A920F6">
      <w:bookmarkStart w:id="121" w:name="_Ref37685672"/>
      <w:r w:rsidRPr="007C14F2">
        <w:t>V prvi fazi smo kazalnika izpostavljenosti kmetijstva na podnebje (IKP) in občutljivosti kmetijstva na podnebje (OKP) najprej združili kot povprečje v kazalnik potencialnih vplivov (PV) po kvantitativni metodi, tako da smo izračunali povprečje vseh spremenljivk.</w:t>
      </w:r>
      <w:bookmarkEnd w:id="121"/>
      <w:r w:rsidRPr="007C14F2">
        <w:t xml:space="preserve"> Kazalnik potencialnih vplivov smo združili s kazalnikom sposobnosti prilagajanja kmetijstva na podnebje (PKP), pri katerem uporabimo inverzno lestvico, v kazalnik podnebne ranljivosti kmetijstva (PRK). Pri tem smo prav tako uporabili kvantitativno metodo, pri enakih utežeh to pomeni povprečje. Za vse spremenljivke velja, da smo za pretvorbo standardizirane vrednosti v oceno uporabili enako lestvico (</w:t>
      </w:r>
      <w:r w:rsidRPr="007C14F2">
        <w:fldChar w:fldCharType="begin"/>
      </w:r>
      <w:r w:rsidRPr="007C14F2">
        <w:instrText xml:space="preserve"> REF _Ref41389621 </w:instrText>
      </w:r>
      <w:r>
        <w:rPr>
          <w:highlight w:val="yellow"/>
        </w:rPr>
        <w:instrText xml:space="preserve"> \* MERGEFORMAT </w:instrText>
      </w:r>
      <w:r w:rsidRPr="007C14F2">
        <w:fldChar w:fldCharType="separate"/>
      </w:r>
      <w:r w:rsidR="004700D5" w:rsidRPr="00357962">
        <w:t xml:space="preserve">Preglednica </w:t>
      </w:r>
      <w:r w:rsidR="004700D5">
        <w:rPr>
          <w:noProof/>
        </w:rPr>
        <w:t>6.3</w:t>
      </w:r>
      <w:r w:rsidRPr="007C14F2">
        <w:fldChar w:fldCharType="end"/>
      </w:r>
      <w:r w:rsidRPr="007C14F2">
        <w:t>).</w:t>
      </w:r>
    </w:p>
    <w:p w14:paraId="7453B618" w14:textId="1DC84F9A" w:rsidR="00A920F6" w:rsidRPr="00357962" w:rsidRDefault="00A920F6" w:rsidP="00A920F6">
      <w:pPr>
        <w:pStyle w:val="Napis"/>
      </w:pPr>
      <w:bookmarkStart w:id="122" w:name="_Ref41389621"/>
      <w:bookmarkStart w:id="123" w:name="_Toc97026956"/>
      <w:r w:rsidRPr="00357962">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3</w:t>
      </w:r>
      <w:r w:rsidR="00976D80">
        <w:fldChar w:fldCharType="end"/>
      </w:r>
      <w:bookmarkEnd w:id="122"/>
      <w:r w:rsidRPr="00357962">
        <w:t>: Določanje ocene izpostavljenosti, občutljivosti, potencialnega vpliva, sposobnosti prilagajanja in ranljivosti iz standardiziranih vrednosti spremenljivk (x)</w:t>
      </w:r>
      <w:bookmarkEnd w:id="123"/>
    </w:p>
    <w:tbl>
      <w:tblPr>
        <w:tblStyle w:val="Tabelamrea"/>
        <w:tblW w:w="0" w:type="auto"/>
        <w:tblLayout w:type="fixed"/>
        <w:tblLook w:val="04A0" w:firstRow="1" w:lastRow="0" w:firstColumn="1" w:lastColumn="0" w:noHBand="0" w:noVBand="1"/>
      </w:tblPr>
      <w:tblGrid>
        <w:gridCol w:w="2547"/>
        <w:gridCol w:w="992"/>
        <w:gridCol w:w="2835"/>
        <w:gridCol w:w="2126"/>
      </w:tblGrid>
      <w:tr w:rsidR="00A920F6" w:rsidRPr="008F69A3" w14:paraId="1BAA3B6E" w14:textId="77777777" w:rsidTr="00A920F6">
        <w:tc>
          <w:tcPr>
            <w:tcW w:w="2547" w:type="dxa"/>
          </w:tcPr>
          <w:p w14:paraId="4A7DA1A4" w14:textId="77777777" w:rsidR="00A920F6" w:rsidRPr="008F69A3" w:rsidRDefault="00A920F6" w:rsidP="00A920F6">
            <w:pPr>
              <w:rPr>
                <w:sz w:val="20"/>
                <w:szCs w:val="20"/>
              </w:rPr>
            </w:pPr>
            <w:r w:rsidRPr="008F69A3">
              <w:rPr>
                <w:sz w:val="20"/>
                <w:szCs w:val="20"/>
              </w:rPr>
              <w:lastRenderedPageBreak/>
              <w:t>Standardizirana vrednost spremenljivke (x)</w:t>
            </w:r>
          </w:p>
        </w:tc>
        <w:tc>
          <w:tcPr>
            <w:tcW w:w="992" w:type="dxa"/>
          </w:tcPr>
          <w:p w14:paraId="50AEF236" w14:textId="77777777" w:rsidR="00A920F6" w:rsidRPr="008F69A3" w:rsidRDefault="00A920F6" w:rsidP="00A920F6">
            <w:pPr>
              <w:rPr>
                <w:sz w:val="20"/>
                <w:szCs w:val="20"/>
              </w:rPr>
            </w:pPr>
            <w:r w:rsidRPr="008F69A3">
              <w:rPr>
                <w:sz w:val="20"/>
                <w:szCs w:val="20"/>
              </w:rPr>
              <w:t>Ocena</w:t>
            </w:r>
          </w:p>
        </w:tc>
        <w:tc>
          <w:tcPr>
            <w:tcW w:w="2835" w:type="dxa"/>
          </w:tcPr>
          <w:p w14:paraId="628ECF17" w14:textId="77777777" w:rsidR="00A920F6" w:rsidRPr="008F69A3" w:rsidRDefault="00A920F6" w:rsidP="00A920F6">
            <w:pPr>
              <w:rPr>
                <w:sz w:val="20"/>
                <w:szCs w:val="20"/>
              </w:rPr>
            </w:pPr>
            <w:r w:rsidRPr="008F69A3">
              <w:rPr>
                <w:sz w:val="20"/>
                <w:szCs w:val="20"/>
              </w:rPr>
              <w:t>Inverzna ocena</w:t>
            </w:r>
          </w:p>
          <w:p w14:paraId="1BAB9E84" w14:textId="77777777" w:rsidR="00A920F6" w:rsidRPr="008F69A3" w:rsidRDefault="00A920F6" w:rsidP="00A920F6">
            <w:pPr>
              <w:jc w:val="left"/>
              <w:rPr>
                <w:sz w:val="20"/>
                <w:szCs w:val="20"/>
              </w:rPr>
            </w:pPr>
            <w:r w:rsidRPr="008F69A3">
              <w:rPr>
                <w:sz w:val="20"/>
                <w:szCs w:val="20"/>
              </w:rPr>
              <w:t>(za sposobnost prilagajanja)</w:t>
            </w:r>
          </w:p>
        </w:tc>
        <w:tc>
          <w:tcPr>
            <w:tcW w:w="2126" w:type="dxa"/>
          </w:tcPr>
          <w:p w14:paraId="21ECFCC8" w14:textId="77777777" w:rsidR="00A920F6" w:rsidRPr="008F69A3" w:rsidRDefault="00A920F6" w:rsidP="00A920F6">
            <w:pPr>
              <w:rPr>
                <w:sz w:val="20"/>
                <w:szCs w:val="20"/>
              </w:rPr>
            </w:pPr>
            <w:r w:rsidRPr="008F69A3">
              <w:rPr>
                <w:sz w:val="20"/>
                <w:szCs w:val="20"/>
              </w:rPr>
              <w:t>Opisno poimenovanje</w:t>
            </w:r>
          </w:p>
        </w:tc>
      </w:tr>
      <w:tr w:rsidR="00A920F6" w:rsidRPr="008F69A3" w14:paraId="2420CE42" w14:textId="77777777" w:rsidTr="00A920F6">
        <w:tc>
          <w:tcPr>
            <w:tcW w:w="2547" w:type="dxa"/>
          </w:tcPr>
          <w:p w14:paraId="6CB6BC55" w14:textId="77777777" w:rsidR="00A920F6" w:rsidRPr="008F69A3" w:rsidRDefault="00A920F6" w:rsidP="00A920F6">
            <w:pPr>
              <w:rPr>
                <w:sz w:val="20"/>
                <w:szCs w:val="20"/>
              </w:rPr>
            </w:pPr>
            <w:r w:rsidRPr="008F69A3">
              <w:rPr>
                <w:sz w:val="20"/>
                <w:szCs w:val="20"/>
              </w:rPr>
              <w:t>0 – 0,2</w:t>
            </w:r>
          </w:p>
        </w:tc>
        <w:tc>
          <w:tcPr>
            <w:tcW w:w="992" w:type="dxa"/>
          </w:tcPr>
          <w:p w14:paraId="3963ECC2" w14:textId="77777777" w:rsidR="00A920F6" w:rsidRPr="008F69A3" w:rsidRDefault="00A920F6" w:rsidP="00A920F6">
            <w:pPr>
              <w:rPr>
                <w:sz w:val="20"/>
                <w:szCs w:val="20"/>
              </w:rPr>
            </w:pPr>
            <w:r w:rsidRPr="008F69A3">
              <w:rPr>
                <w:sz w:val="20"/>
                <w:szCs w:val="20"/>
              </w:rPr>
              <w:t>1</w:t>
            </w:r>
          </w:p>
        </w:tc>
        <w:tc>
          <w:tcPr>
            <w:tcW w:w="2835" w:type="dxa"/>
          </w:tcPr>
          <w:p w14:paraId="497EAD43" w14:textId="77777777" w:rsidR="00A920F6" w:rsidRPr="008F69A3" w:rsidRDefault="00A920F6" w:rsidP="00A920F6">
            <w:pPr>
              <w:rPr>
                <w:sz w:val="20"/>
                <w:szCs w:val="20"/>
              </w:rPr>
            </w:pPr>
            <w:r w:rsidRPr="008F69A3">
              <w:rPr>
                <w:sz w:val="20"/>
                <w:szCs w:val="20"/>
              </w:rPr>
              <w:t>5</w:t>
            </w:r>
          </w:p>
        </w:tc>
        <w:tc>
          <w:tcPr>
            <w:tcW w:w="2126" w:type="dxa"/>
          </w:tcPr>
          <w:p w14:paraId="1BC9B491" w14:textId="77777777" w:rsidR="00A920F6" w:rsidRPr="008F69A3" w:rsidRDefault="00A920F6" w:rsidP="00A920F6">
            <w:pPr>
              <w:rPr>
                <w:sz w:val="20"/>
                <w:szCs w:val="20"/>
              </w:rPr>
            </w:pPr>
            <w:r w:rsidRPr="008F69A3">
              <w:rPr>
                <w:sz w:val="20"/>
                <w:szCs w:val="20"/>
              </w:rPr>
              <w:t xml:space="preserve">Neznatna </w:t>
            </w:r>
          </w:p>
        </w:tc>
      </w:tr>
      <w:tr w:rsidR="00A920F6" w:rsidRPr="008F69A3" w14:paraId="72CF8FF9" w14:textId="77777777" w:rsidTr="00A920F6">
        <w:tc>
          <w:tcPr>
            <w:tcW w:w="2547" w:type="dxa"/>
          </w:tcPr>
          <w:p w14:paraId="19957A91" w14:textId="77777777" w:rsidR="00A920F6" w:rsidRPr="008F69A3" w:rsidRDefault="00A920F6" w:rsidP="00A920F6">
            <w:pPr>
              <w:rPr>
                <w:sz w:val="20"/>
                <w:szCs w:val="20"/>
              </w:rPr>
            </w:pPr>
            <w:r w:rsidRPr="008F69A3">
              <w:rPr>
                <w:sz w:val="20"/>
                <w:szCs w:val="20"/>
              </w:rPr>
              <w:t>0,21 – 0,4</w:t>
            </w:r>
          </w:p>
        </w:tc>
        <w:tc>
          <w:tcPr>
            <w:tcW w:w="992" w:type="dxa"/>
          </w:tcPr>
          <w:p w14:paraId="168BD62F" w14:textId="77777777" w:rsidR="00A920F6" w:rsidRPr="008F69A3" w:rsidRDefault="00A920F6" w:rsidP="00A920F6">
            <w:pPr>
              <w:rPr>
                <w:sz w:val="20"/>
                <w:szCs w:val="20"/>
              </w:rPr>
            </w:pPr>
            <w:r w:rsidRPr="008F69A3">
              <w:rPr>
                <w:sz w:val="20"/>
                <w:szCs w:val="20"/>
              </w:rPr>
              <w:t>2</w:t>
            </w:r>
          </w:p>
        </w:tc>
        <w:tc>
          <w:tcPr>
            <w:tcW w:w="2835" w:type="dxa"/>
          </w:tcPr>
          <w:p w14:paraId="0DA483D2" w14:textId="77777777" w:rsidR="00A920F6" w:rsidRPr="008F69A3" w:rsidRDefault="00A920F6" w:rsidP="00A920F6">
            <w:pPr>
              <w:rPr>
                <w:sz w:val="20"/>
                <w:szCs w:val="20"/>
              </w:rPr>
            </w:pPr>
            <w:r w:rsidRPr="008F69A3">
              <w:rPr>
                <w:sz w:val="20"/>
                <w:szCs w:val="20"/>
              </w:rPr>
              <w:t>4</w:t>
            </w:r>
          </w:p>
        </w:tc>
        <w:tc>
          <w:tcPr>
            <w:tcW w:w="2126" w:type="dxa"/>
          </w:tcPr>
          <w:p w14:paraId="7B61D259" w14:textId="77777777" w:rsidR="00A920F6" w:rsidRPr="008F69A3" w:rsidRDefault="00A920F6" w:rsidP="00A920F6">
            <w:pPr>
              <w:rPr>
                <w:sz w:val="20"/>
                <w:szCs w:val="20"/>
              </w:rPr>
            </w:pPr>
            <w:r w:rsidRPr="008F69A3">
              <w:rPr>
                <w:sz w:val="20"/>
                <w:szCs w:val="20"/>
              </w:rPr>
              <w:t>Majhna</w:t>
            </w:r>
          </w:p>
        </w:tc>
      </w:tr>
      <w:tr w:rsidR="00A920F6" w:rsidRPr="008F69A3" w14:paraId="17DC6C75" w14:textId="77777777" w:rsidTr="00A920F6">
        <w:tc>
          <w:tcPr>
            <w:tcW w:w="2547" w:type="dxa"/>
          </w:tcPr>
          <w:p w14:paraId="1FD3362D" w14:textId="77777777" w:rsidR="00A920F6" w:rsidRPr="008F69A3" w:rsidRDefault="00A920F6" w:rsidP="00A920F6">
            <w:pPr>
              <w:rPr>
                <w:sz w:val="20"/>
                <w:szCs w:val="20"/>
              </w:rPr>
            </w:pPr>
            <w:r w:rsidRPr="008F69A3">
              <w:rPr>
                <w:sz w:val="20"/>
                <w:szCs w:val="20"/>
              </w:rPr>
              <w:t>0,41-0,6</w:t>
            </w:r>
          </w:p>
        </w:tc>
        <w:tc>
          <w:tcPr>
            <w:tcW w:w="992" w:type="dxa"/>
          </w:tcPr>
          <w:p w14:paraId="04D2136D" w14:textId="77777777" w:rsidR="00A920F6" w:rsidRPr="008F69A3" w:rsidRDefault="00A920F6" w:rsidP="00A920F6">
            <w:pPr>
              <w:rPr>
                <w:sz w:val="20"/>
                <w:szCs w:val="20"/>
              </w:rPr>
            </w:pPr>
            <w:r w:rsidRPr="008F69A3">
              <w:rPr>
                <w:sz w:val="20"/>
                <w:szCs w:val="20"/>
              </w:rPr>
              <w:t>3</w:t>
            </w:r>
          </w:p>
        </w:tc>
        <w:tc>
          <w:tcPr>
            <w:tcW w:w="2835" w:type="dxa"/>
          </w:tcPr>
          <w:p w14:paraId="0A3FDD1F" w14:textId="77777777" w:rsidR="00A920F6" w:rsidRPr="008F69A3" w:rsidRDefault="00A920F6" w:rsidP="00A920F6">
            <w:pPr>
              <w:rPr>
                <w:sz w:val="20"/>
                <w:szCs w:val="20"/>
              </w:rPr>
            </w:pPr>
            <w:r w:rsidRPr="008F69A3">
              <w:rPr>
                <w:sz w:val="20"/>
                <w:szCs w:val="20"/>
              </w:rPr>
              <w:t>3</w:t>
            </w:r>
          </w:p>
        </w:tc>
        <w:tc>
          <w:tcPr>
            <w:tcW w:w="2126" w:type="dxa"/>
          </w:tcPr>
          <w:p w14:paraId="4F129B4B" w14:textId="77777777" w:rsidR="00A920F6" w:rsidRPr="008F69A3" w:rsidRDefault="00A920F6" w:rsidP="00A920F6">
            <w:pPr>
              <w:rPr>
                <w:sz w:val="20"/>
                <w:szCs w:val="20"/>
              </w:rPr>
            </w:pPr>
            <w:r w:rsidRPr="008F69A3">
              <w:rPr>
                <w:sz w:val="20"/>
                <w:szCs w:val="20"/>
              </w:rPr>
              <w:t>Zmerna</w:t>
            </w:r>
          </w:p>
        </w:tc>
      </w:tr>
      <w:tr w:rsidR="00A920F6" w:rsidRPr="008F69A3" w14:paraId="2ED68A13" w14:textId="77777777" w:rsidTr="00A920F6">
        <w:tc>
          <w:tcPr>
            <w:tcW w:w="2547" w:type="dxa"/>
          </w:tcPr>
          <w:p w14:paraId="7E3980AB" w14:textId="77777777" w:rsidR="00A920F6" w:rsidRPr="008F69A3" w:rsidRDefault="00A920F6" w:rsidP="00A920F6">
            <w:pPr>
              <w:rPr>
                <w:sz w:val="20"/>
                <w:szCs w:val="20"/>
              </w:rPr>
            </w:pPr>
            <w:r w:rsidRPr="008F69A3">
              <w:rPr>
                <w:sz w:val="20"/>
                <w:szCs w:val="20"/>
              </w:rPr>
              <w:t>0,61-0,8</w:t>
            </w:r>
          </w:p>
        </w:tc>
        <w:tc>
          <w:tcPr>
            <w:tcW w:w="992" w:type="dxa"/>
          </w:tcPr>
          <w:p w14:paraId="7F0A1ADA" w14:textId="77777777" w:rsidR="00A920F6" w:rsidRPr="008F69A3" w:rsidRDefault="00A920F6" w:rsidP="00A920F6">
            <w:pPr>
              <w:rPr>
                <w:sz w:val="20"/>
                <w:szCs w:val="20"/>
              </w:rPr>
            </w:pPr>
            <w:r w:rsidRPr="008F69A3">
              <w:rPr>
                <w:sz w:val="20"/>
                <w:szCs w:val="20"/>
              </w:rPr>
              <w:t>4</w:t>
            </w:r>
          </w:p>
        </w:tc>
        <w:tc>
          <w:tcPr>
            <w:tcW w:w="2835" w:type="dxa"/>
          </w:tcPr>
          <w:p w14:paraId="41B50B6A" w14:textId="77777777" w:rsidR="00A920F6" w:rsidRPr="008F69A3" w:rsidRDefault="00A920F6" w:rsidP="00A920F6">
            <w:pPr>
              <w:rPr>
                <w:sz w:val="20"/>
                <w:szCs w:val="20"/>
              </w:rPr>
            </w:pPr>
            <w:r w:rsidRPr="008F69A3">
              <w:rPr>
                <w:sz w:val="20"/>
                <w:szCs w:val="20"/>
              </w:rPr>
              <w:t>2</w:t>
            </w:r>
          </w:p>
        </w:tc>
        <w:tc>
          <w:tcPr>
            <w:tcW w:w="2126" w:type="dxa"/>
          </w:tcPr>
          <w:p w14:paraId="5983C2D7" w14:textId="77777777" w:rsidR="00A920F6" w:rsidRPr="008F69A3" w:rsidRDefault="00A920F6" w:rsidP="00A920F6">
            <w:pPr>
              <w:rPr>
                <w:sz w:val="20"/>
                <w:szCs w:val="20"/>
              </w:rPr>
            </w:pPr>
            <w:r w:rsidRPr="008F69A3">
              <w:rPr>
                <w:sz w:val="20"/>
                <w:szCs w:val="20"/>
              </w:rPr>
              <w:t>Velika</w:t>
            </w:r>
          </w:p>
        </w:tc>
      </w:tr>
      <w:tr w:rsidR="00A920F6" w:rsidRPr="008F69A3" w14:paraId="4740B362" w14:textId="77777777" w:rsidTr="00A920F6">
        <w:tc>
          <w:tcPr>
            <w:tcW w:w="2547" w:type="dxa"/>
          </w:tcPr>
          <w:p w14:paraId="777BB7D1" w14:textId="77777777" w:rsidR="00A920F6" w:rsidRPr="008F69A3" w:rsidRDefault="00A920F6" w:rsidP="00A920F6">
            <w:pPr>
              <w:rPr>
                <w:sz w:val="20"/>
                <w:szCs w:val="20"/>
              </w:rPr>
            </w:pPr>
            <w:r w:rsidRPr="008F69A3">
              <w:rPr>
                <w:sz w:val="20"/>
                <w:szCs w:val="20"/>
              </w:rPr>
              <w:t>0,81-1</w:t>
            </w:r>
          </w:p>
        </w:tc>
        <w:tc>
          <w:tcPr>
            <w:tcW w:w="992" w:type="dxa"/>
          </w:tcPr>
          <w:p w14:paraId="6047C09D" w14:textId="77777777" w:rsidR="00A920F6" w:rsidRPr="008F69A3" w:rsidRDefault="00A920F6" w:rsidP="00A920F6">
            <w:pPr>
              <w:rPr>
                <w:sz w:val="20"/>
                <w:szCs w:val="20"/>
              </w:rPr>
            </w:pPr>
            <w:r w:rsidRPr="008F69A3">
              <w:rPr>
                <w:sz w:val="20"/>
                <w:szCs w:val="20"/>
              </w:rPr>
              <w:t>5</w:t>
            </w:r>
          </w:p>
        </w:tc>
        <w:tc>
          <w:tcPr>
            <w:tcW w:w="2835" w:type="dxa"/>
          </w:tcPr>
          <w:p w14:paraId="3BB53242" w14:textId="77777777" w:rsidR="00A920F6" w:rsidRPr="008F69A3" w:rsidRDefault="00A920F6" w:rsidP="00A920F6">
            <w:pPr>
              <w:rPr>
                <w:sz w:val="20"/>
                <w:szCs w:val="20"/>
              </w:rPr>
            </w:pPr>
            <w:r w:rsidRPr="008F69A3">
              <w:rPr>
                <w:sz w:val="20"/>
                <w:szCs w:val="20"/>
              </w:rPr>
              <w:t>1</w:t>
            </w:r>
          </w:p>
        </w:tc>
        <w:tc>
          <w:tcPr>
            <w:tcW w:w="2126" w:type="dxa"/>
          </w:tcPr>
          <w:p w14:paraId="3155E50B" w14:textId="77777777" w:rsidR="00A920F6" w:rsidRPr="008F69A3" w:rsidRDefault="00A920F6" w:rsidP="00A920F6">
            <w:pPr>
              <w:rPr>
                <w:sz w:val="20"/>
                <w:szCs w:val="20"/>
              </w:rPr>
            </w:pPr>
            <w:r w:rsidRPr="008F69A3">
              <w:rPr>
                <w:sz w:val="20"/>
                <w:szCs w:val="20"/>
              </w:rPr>
              <w:t>Zelo velika</w:t>
            </w:r>
          </w:p>
        </w:tc>
      </w:tr>
    </w:tbl>
    <w:p w14:paraId="182E8F05" w14:textId="3180520F" w:rsidR="00A920F6" w:rsidRDefault="00A920F6" w:rsidP="00A920F6">
      <w:pPr>
        <w:spacing w:before="240" w:after="240"/>
      </w:pPr>
      <w:r>
        <w:t>V drugi fazi pa smo zaradi boljše preglednosti in poenostavitve ter poenotenja z ostalimi sektorji celotno oceno ranljivosti najprej razdelili na pet kazalnikov ranljivosti (y1-y5), ki smo jih poimenovali 'toplotna obremenitev in vročinski stres', 'suša – zaloge vode', 'rastna doba', 'neurja – poplave' in 'veter'. Za vsak posamezni kazalnik ranljivosti smo s pomočjo matrike (</w:t>
      </w:r>
      <w:r>
        <w:fldChar w:fldCharType="begin"/>
      </w:r>
      <w:r>
        <w:instrText xml:space="preserve"> REF _Ref39583385 \h </w:instrText>
      </w:r>
      <w:r>
        <w:fldChar w:fldCharType="separate"/>
      </w:r>
      <w:r w:rsidR="004700D5" w:rsidRPr="00161FE9">
        <w:t xml:space="preserve">Preglednica </w:t>
      </w:r>
      <w:r w:rsidR="004700D5">
        <w:rPr>
          <w:noProof/>
        </w:rPr>
        <w:t>6</w:t>
      </w:r>
      <w:r w:rsidR="004700D5">
        <w:t>.</w:t>
      </w:r>
      <w:r w:rsidR="004700D5">
        <w:rPr>
          <w:noProof/>
        </w:rPr>
        <w:t>4</w:t>
      </w:r>
      <w:r>
        <w:fldChar w:fldCharType="end"/>
      </w:r>
      <w:r>
        <w:t>) določili, katere spremenljivke IKP in OKP (dejavnik vpliva x1-x18) so zanj najpomembnejše ter izračunali potencialni vpliv kot povprečje standardiziranih vrednosti izbranih spremenljivk. Izbrane spremenljivke so v preglednici označene z znakom +.</w:t>
      </w:r>
    </w:p>
    <w:p w14:paraId="4D31732E" w14:textId="44A2C2DA" w:rsidR="00A920F6" w:rsidRPr="00161FE9" w:rsidRDefault="00A920F6" w:rsidP="00A920F6">
      <w:pPr>
        <w:pStyle w:val="Napis"/>
      </w:pPr>
      <w:bookmarkStart w:id="124" w:name="_Ref39583385"/>
      <w:bookmarkStart w:id="125" w:name="_Toc97026957"/>
      <w:r w:rsidRPr="00161FE9">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4</w:t>
      </w:r>
      <w:r w:rsidR="00976D80">
        <w:fldChar w:fldCharType="end"/>
      </w:r>
      <w:bookmarkEnd w:id="124"/>
      <w:r w:rsidRPr="00161FE9">
        <w:t>: Matrika izbora spremenljivk kazalnikov izpostavljenosti in občutljivosti kmeti</w:t>
      </w:r>
      <w:r>
        <w:t xml:space="preserve">jstva na podnebje (xi) za pet </w:t>
      </w:r>
      <w:r w:rsidRPr="00161FE9">
        <w:t>kazalnik</w:t>
      </w:r>
      <w:r>
        <w:t>ov</w:t>
      </w:r>
      <w:r w:rsidRPr="00161FE9">
        <w:t xml:space="preserve"> ranljivosti (</w:t>
      </w:r>
      <w:proofErr w:type="spellStart"/>
      <w:r w:rsidRPr="00161FE9">
        <w:t>yi</w:t>
      </w:r>
      <w:proofErr w:type="spellEnd"/>
      <w:r w:rsidRPr="00161FE9">
        <w:t>)</w:t>
      </w:r>
      <w:bookmarkEnd w:id="125"/>
    </w:p>
    <w:tbl>
      <w:tblPr>
        <w:tblW w:w="5000" w:type="pct"/>
        <w:tblCellMar>
          <w:left w:w="70" w:type="dxa"/>
          <w:right w:w="70" w:type="dxa"/>
        </w:tblCellMar>
        <w:tblLook w:val="04A0" w:firstRow="1" w:lastRow="0" w:firstColumn="1" w:lastColumn="0" w:noHBand="0" w:noVBand="1"/>
      </w:tblPr>
      <w:tblGrid>
        <w:gridCol w:w="1216"/>
        <w:gridCol w:w="1074"/>
        <w:gridCol w:w="2035"/>
        <w:gridCol w:w="1558"/>
        <w:gridCol w:w="953"/>
        <w:gridCol w:w="938"/>
        <w:gridCol w:w="1061"/>
        <w:gridCol w:w="793"/>
      </w:tblGrid>
      <w:tr w:rsidR="00A920F6" w:rsidRPr="008F69A3" w14:paraId="1A87012B" w14:textId="77777777" w:rsidTr="00A920F6">
        <w:trPr>
          <w:trHeight w:val="1084"/>
          <w:tblHeader/>
        </w:trPr>
        <w:tc>
          <w:tcPr>
            <w:tcW w:w="631" w:type="pct"/>
            <w:vMerge w:val="restart"/>
            <w:tcBorders>
              <w:top w:val="single" w:sz="4" w:space="0" w:color="auto"/>
              <w:left w:val="single" w:sz="4" w:space="0" w:color="auto"/>
              <w:right w:val="single" w:sz="4" w:space="0" w:color="auto"/>
            </w:tcBorders>
            <w:vAlign w:val="center"/>
          </w:tcPr>
          <w:p w14:paraId="7D1C86AC" w14:textId="77777777" w:rsidR="00A920F6" w:rsidRPr="008F69A3" w:rsidRDefault="00A920F6" w:rsidP="00A920F6">
            <w:pPr>
              <w:spacing w:after="0" w:line="240" w:lineRule="auto"/>
              <w:jc w:val="left"/>
              <w:rPr>
                <w:rFonts w:eastAsia="Times New Roman" w:cs="Calibri"/>
                <w:color w:val="000000"/>
                <w:sz w:val="20"/>
                <w:szCs w:val="20"/>
              </w:rPr>
            </w:pPr>
            <w:r>
              <w:rPr>
                <w:rFonts w:eastAsia="Times New Roman" w:cs="Calibri"/>
                <w:color w:val="000000"/>
                <w:sz w:val="20"/>
                <w:szCs w:val="20"/>
              </w:rPr>
              <w:t>V</w:t>
            </w:r>
            <w:r w:rsidRPr="008F69A3">
              <w:rPr>
                <w:rFonts w:eastAsia="Times New Roman" w:cs="Calibri"/>
                <w:color w:val="000000"/>
                <w:sz w:val="20"/>
                <w:szCs w:val="20"/>
              </w:rPr>
              <w:t>rsta dejavnika vpliva</w:t>
            </w:r>
          </w:p>
        </w:tc>
        <w:tc>
          <w:tcPr>
            <w:tcW w:w="55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6761F4" w14:textId="77777777" w:rsidR="00A920F6" w:rsidRPr="008F69A3" w:rsidRDefault="00A920F6" w:rsidP="00A920F6">
            <w:pPr>
              <w:spacing w:after="0" w:line="240" w:lineRule="auto"/>
              <w:jc w:val="left"/>
              <w:rPr>
                <w:rFonts w:eastAsia="Times New Roman" w:cs="Calibri"/>
                <w:color w:val="000000"/>
                <w:sz w:val="20"/>
                <w:szCs w:val="20"/>
              </w:rPr>
            </w:pPr>
            <w:r w:rsidRPr="008F69A3">
              <w:rPr>
                <w:rFonts w:eastAsia="Times New Roman" w:cs="Calibri"/>
                <w:color w:val="000000"/>
                <w:sz w:val="20"/>
                <w:szCs w:val="20"/>
              </w:rPr>
              <w:t>Dejavnik vpliva</w:t>
            </w:r>
          </w:p>
        </w:tc>
        <w:tc>
          <w:tcPr>
            <w:tcW w:w="10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25B603"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Kazalnik ranljivosti - izbor spremenljivk za izračun potencialnega vpliva</w:t>
            </w:r>
          </w:p>
        </w:tc>
        <w:tc>
          <w:tcPr>
            <w:tcW w:w="809" w:type="pct"/>
            <w:tcBorders>
              <w:top w:val="single" w:sz="4" w:space="0" w:color="auto"/>
              <w:left w:val="nil"/>
              <w:bottom w:val="single" w:sz="4" w:space="0" w:color="auto"/>
              <w:right w:val="single" w:sz="4" w:space="0" w:color="auto"/>
            </w:tcBorders>
            <w:shd w:val="clear" w:color="auto" w:fill="auto"/>
            <w:vAlign w:val="center"/>
            <w:hideMark/>
          </w:tcPr>
          <w:p w14:paraId="70C49243"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TOPLOTNA OBREMENITEV IN VROČINSKI STRES</w:t>
            </w:r>
          </w:p>
        </w:tc>
        <w:tc>
          <w:tcPr>
            <w:tcW w:w="495" w:type="pct"/>
            <w:tcBorders>
              <w:top w:val="single" w:sz="4" w:space="0" w:color="auto"/>
              <w:left w:val="nil"/>
              <w:bottom w:val="single" w:sz="4" w:space="0" w:color="auto"/>
              <w:right w:val="single" w:sz="4" w:space="0" w:color="auto"/>
            </w:tcBorders>
            <w:shd w:val="clear" w:color="auto" w:fill="auto"/>
            <w:vAlign w:val="center"/>
            <w:hideMark/>
          </w:tcPr>
          <w:p w14:paraId="402C1A3D"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SUŠA - ZALOGE VODE</w:t>
            </w:r>
          </w:p>
        </w:tc>
        <w:tc>
          <w:tcPr>
            <w:tcW w:w="487" w:type="pct"/>
            <w:tcBorders>
              <w:top w:val="single" w:sz="4" w:space="0" w:color="auto"/>
              <w:left w:val="nil"/>
              <w:bottom w:val="single" w:sz="4" w:space="0" w:color="auto"/>
              <w:right w:val="single" w:sz="4" w:space="0" w:color="auto"/>
            </w:tcBorders>
            <w:shd w:val="clear" w:color="auto" w:fill="auto"/>
            <w:vAlign w:val="center"/>
            <w:hideMark/>
          </w:tcPr>
          <w:p w14:paraId="76F76069"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RASTNA DOBA</w:t>
            </w:r>
          </w:p>
        </w:tc>
        <w:tc>
          <w:tcPr>
            <w:tcW w:w="551" w:type="pct"/>
            <w:tcBorders>
              <w:top w:val="single" w:sz="4" w:space="0" w:color="auto"/>
              <w:left w:val="nil"/>
              <w:bottom w:val="single" w:sz="4" w:space="0" w:color="auto"/>
              <w:right w:val="single" w:sz="4" w:space="0" w:color="auto"/>
            </w:tcBorders>
            <w:shd w:val="clear" w:color="auto" w:fill="auto"/>
            <w:vAlign w:val="center"/>
            <w:hideMark/>
          </w:tcPr>
          <w:p w14:paraId="0B3A9C93"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NEURJA - POPLAVE</w:t>
            </w:r>
          </w:p>
        </w:tc>
        <w:tc>
          <w:tcPr>
            <w:tcW w:w="412" w:type="pct"/>
            <w:tcBorders>
              <w:top w:val="single" w:sz="4" w:space="0" w:color="auto"/>
              <w:left w:val="nil"/>
              <w:bottom w:val="single" w:sz="4" w:space="0" w:color="auto"/>
              <w:right w:val="single" w:sz="4" w:space="0" w:color="auto"/>
            </w:tcBorders>
            <w:vAlign w:val="center"/>
          </w:tcPr>
          <w:p w14:paraId="629573C4"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VETER</w:t>
            </w:r>
          </w:p>
        </w:tc>
      </w:tr>
      <w:tr w:rsidR="00A920F6" w:rsidRPr="008F69A3" w14:paraId="5FACBD0C" w14:textId="77777777" w:rsidTr="00A920F6">
        <w:trPr>
          <w:trHeight w:val="300"/>
          <w:tblHeader/>
        </w:trPr>
        <w:tc>
          <w:tcPr>
            <w:tcW w:w="631" w:type="pct"/>
            <w:vMerge/>
            <w:tcBorders>
              <w:left w:val="single" w:sz="4" w:space="0" w:color="auto"/>
              <w:bottom w:val="single" w:sz="4" w:space="0" w:color="auto"/>
              <w:right w:val="single" w:sz="4" w:space="0" w:color="auto"/>
            </w:tcBorders>
          </w:tcPr>
          <w:p w14:paraId="484495BA" w14:textId="77777777" w:rsidR="00A920F6" w:rsidRPr="008F69A3" w:rsidRDefault="00A920F6" w:rsidP="00A920F6">
            <w:pPr>
              <w:spacing w:after="0" w:line="240" w:lineRule="auto"/>
              <w:rPr>
                <w:rFonts w:eastAsia="Times New Roman" w:cs="Calibri"/>
                <w:color w:val="000000"/>
                <w:sz w:val="20"/>
                <w:szCs w:val="20"/>
              </w:rPr>
            </w:pPr>
          </w:p>
        </w:tc>
        <w:tc>
          <w:tcPr>
            <w:tcW w:w="558" w:type="pct"/>
            <w:vMerge/>
            <w:tcBorders>
              <w:top w:val="single" w:sz="4" w:space="0" w:color="auto"/>
              <w:left w:val="single" w:sz="4" w:space="0" w:color="auto"/>
              <w:bottom w:val="single" w:sz="4" w:space="0" w:color="auto"/>
              <w:right w:val="single" w:sz="4" w:space="0" w:color="auto"/>
            </w:tcBorders>
            <w:hideMark/>
          </w:tcPr>
          <w:p w14:paraId="0A30E8E0" w14:textId="77777777" w:rsidR="00A920F6" w:rsidRPr="008F69A3" w:rsidRDefault="00A920F6" w:rsidP="00A920F6">
            <w:pPr>
              <w:spacing w:after="0" w:line="240" w:lineRule="auto"/>
              <w:jc w:val="left"/>
              <w:rPr>
                <w:rFonts w:eastAsia="Times New Roman" w:cs="Calibri"/>
                <w:color w:val="000000"/>
                <w:sz w:val="20"/>
                <w:szCs w:val="20"/>
              </w:rPr>
            </w:pPr>
          </w:p>
        </w:tc>
        <w:tc>
          <w:tcPr>
            <w:tcW w:w="1057" w:type="pct"/>
            <w:vMerge/>
            <w:tcBorders>
              <w:top w:val="single" w:sz="4" w:space="0" w:color="auto"/>
              <w:left w:val="single" w:sz="4" w:space="0" w:color="auto"/>
              <w:bottom w:val="single" w:sz="4" w:space="0" w:color="auto"/>
              <w:right w:val="single" w:sz="4" w:space="0" w:color="auto"/>
            </w:tcBorders>
            <w:vAlign w:val="center"/>
            <w:hideMark/>
          </w:tcPr>
          <w:p w14:paraId="116286DC" w14:textId="77777777" w:rsidR="00A920F6" w:rsidRPr="008F69A3" w:rsidRDefault="00A920F6" w:rsidP="00A920F6">
            <w:pPr>
              <w:spacing w:after="0" w:line="240" w:lineRule="auto"/>
              <w:rPr>
                <w:rFonts w:eastAsia="Times New Roman" w:cs="Calibri"/>
                <w:color w:val="000000"/>
                <w:sz w:val="20"/>
                <w:szCs w:val="20"/>
              </w:rPr>
            </w:pPr>
          </w:p>
        </w:tc>
        <w:tc>
          <w:tcPr>
            <w:tcW w:w="809" w:type="pct"/>
            <w:tcBorders>
              <w:top w:val="nil"/>
              <w:left w:val="nil"/>
              <w:bottom w:val="single" w:sz="4" w:space="0" w:color="auto"/>
              <w:right w:val="single" w:sz="4" w:space="0" w:color="auto"/>
            </w:tcBorders>
            <w:shd w:val="clear" w:color="auto" w:fill="auto"/>
            <w:vAlign w:val="center"/>
            <w:hideMark/>
          </w:tcPr>
          <w:p w14:paraId="0BDC6337"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y1</w:t>
            </w:r>
          </w:p>
        </w:tc>
        <w:tc>
          <w:tcPr>
            <w:tcW w:w="495" w:type="pct"/>
            <w:tcBorders>
              <w:top w:val="nil"/>
              <w:left w:val="nil"/>
              <w:bottom w:val="single" w:sz="4" w:space="0" w:color="auto"/>
              <w:right w:val="single" w:sz="4" w:space="0" w:color="auto"/>
            </w:tcBorders>
            <w:shd w:val="clear" w:color="auto" w:fill="auto"/>
            <w:vAlign w:val="center"/>
            <w:hideMark/>
          </w:tcPr>
          <w:p w14:paraId="20D6FEC9"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y2</w:t>
            </w:r>
          </w:p>
        </w:tc>
        <w:tc>
          <w:tcPr>
            <w:tcW w:w="487" w:type="pct"/>
            <w:tcBorders>
              <w:top w:val="nil"/>
              <w:left w:val="nil"/>
              <w:bottom w:val="single" w:sz="4" w:space="0" w:color="auto"/>
              <w:right w:val="single" w:sz="4" w:space="0" w:color="auto"/>
            </w:tcBorders>
            <w:shd w:val="clear" w:color="auto" w:fill="auto"/>
            <w:vAlign w:val="center"/>
            <w:hideMark/>
          </w:tcPr>
          <w:p w14:paraId="72F93BA2"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y3</w:t>
            </w:r>
          </w:p>
        </w:tc>
        <w:tc>
          <w:tcPr>
            <w:tcW w:w="551" w:type="pct"/>
            <w:tcBorders>
              <w:top w:val="nil"/>
              <w:left w:val="nil"/>
              <w:bottom w:val="single" w:sz="4" w:space="0" w:color="auto"/>
              <w:right w:val="single" w:sz="4" w:space="0" w:color="auto"/>
            </w:tcBorders>
            <w:shd w:val="clear" w:color="auto" w:fill="auto"/>
            <w:vAlign w:val="center"/>
            <w:hideMark/>
          </w:tcPr>
          <w:p w14:paraId="5E71B527"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y4</w:t>
            </w:r>
          </w:p>
        </w:tc>
        <w:tc>
          <w:tcPr>
            <w:tcW w:w="412" w:type="pct"/>
            <w:tcBorders>
              <w:top w:val="nil"/>
              <w:left w:val="nil"/>
              <w:bottom w:val="single" w:sz="4" w:space="0" w:color="auto"/>
              <w:right w:val="single" w:sz="4" w:space="0" w:color="auto"/>
            </w:tcBorders>
            <w:vAlign w:val="center"/>
          </w:tcPr>
          <w:p w14:paraId="4B3F8A62"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y5</w:t>
            </w:r>
          </w:p>
        </w:tc>
      </w:tr>
      <w:tr w:rsidR="00A920F6" w:rsidRPr="008F69A3" w14:paraId="24FD3D27" w14:textId="77777777" w:rsidTr="00A920F6">
        <w:trPr>
          <w:trHeight w:val="300"/>
        </w:trPr>
        <w:tc>
          <w:tcPr>
            <w:tcW w:w="631" w:type="pct"/>
            <w:vMerge w:val="restart"/>
            <w:tcBorders>
              <w:top w:val="nil"/>
              <w:left w:val="single" w:sz="4" w:space="0" w:color="auto"/>
              <w:right w:val="single" w:sz="4" w:space="0" w:color="auto"/>
            </w:tcBorders>
          </w:tcPr>
          <w:p w14:paraId="00DD6156" w14:textId="77777777" w:rsidR="00A920F6" w:rsidRPr="008F69A3" w:rsidRDefault="00A920F6" w:rsidP="00A920F6">
            <w:pPr>
              <w:spacing w:after="0" w:line="240" w:lineRule="auto"/>
              <w:rPr>
                <w:rFonts w:eastAsia="Times New Roman" w:cs="Calibri"/>
                <w:color w:val="000000"/>
                <w:sz w:val="20"/>
                <w:szCs w:val="20"/>
              </w:rPr>
            </w:pPr>
            <w:r w:rsidRPr="00413CD2">
              <w:rPr>
                <w:rFonts w:eastAsia="Times New Roman" w:cs="Calibri"/>
                <w:color w:val="000000"/>
                <w:sz w:val="20"/>
                <w:szCs w:val="20"/>
              </w:rPr>
              <w:t>a</w:t>
            </w:r>
            <w:r w:rsidRPr="008F69A3">
              <w:rPr>
                <w:rFonts w:eastAsia="Times New Roman" w:cs="Calibri"/>
                <w:color w:val="000000"/>
                <w:sz w:val="20"/>
                <w:szCs w:val="20"/>
              </w:rPr>
              <w:t>biotski dejavniki vpliva</w:t>
            </w:r>
          </w:p>
        </w:tc>
        <w:tc>
          <w:tcPr>
            <w:tcW w:w="558" w:type="pct"/>
            <w:tcBorders>
              <w:top w:val="nil"/>
              <w:left w:val="single" w:sz="4" w:space="0" w:color="auto"/>
              <w:bottom w:val="single" w:sz="4" w:space="0" w:color="auto"/>
              <w:right w:val="single" w:sz="4" w:space="0" w:color="auto"/>
            </w:tcBorders>
            <w:shd w:val="clear" w:color="auto" w:fill="auto"/>
            <w:hideMark/>
          </w:tcPr>
          <w:p w14:paraId="47EBC9E7" w14:textId="77777777" w:rsidR="00A920F6" w:rsidRPr="008F69A3" w:rsidRDefault="00A920F6" w:rsidP="00A920F6">
            <w:pPr>
              <w:spacing w:after="0" w:line="240" w:lineRule="auto"/>
              <w:jc w:val="left"/>
              <w:rPr>
                <w:rFonts w:eastAsia="Times New Roman" w:cs="Calibri"/>
                <w:color w:val="000000"/>
                <w:sz w:val="20"/>
                <w:szCs w:val="20"/>
              </w:rPr>
            </w:pPr>
            <w:r w:rsidRPr="008F69A3">
              <w:rPr>
                <w:rFonts w:eastAsia="Times New Roman" w:cs="Calibri"/>
                <w:color w:val="000000"/>
                <w:sz w:val="20"/>
                <w:szCs w:val="20"/>
              </w:rPr>
              <w:t>x1</w:t>
            </w:r>
          </w:p>
        </w:tc>
        <w:tc>
          <w:tcPr>
            <w:tcW w:w="1057" w:type="pct"/>
            <w:tcBorders>
              <w:top w:val="nil"/>
              <w:left w:val="nil"/>
              <w:bottom w:val="single" w:sz="4" w:space="0" w:color="auto"/>
              <w:right w:val="single" w:sz="4" w:space="0" w:color="auto"/>
            </w:tcBorders>
            <w:shd w:val="clear" w:color="auto" w:fill="auto"/>
            <w:vAlign w:val="bottom"/>
            <w:hideMark/>
          </w:tcPr>
          <w:p w14:paraId="3BAD7C76"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Povprečna pomladna višina padavin</w:t>
            </w:r>
          </w:p>
        </w:tc>
        <w:tc>
          <w:tcPr>
            <w:tcW w:w="809" w:type="pct"/>
            <w:tcBorders>
              <w:top w:val="nil"/>
              <w:left w:val="nil"/>
              <w:bottom w:val="single" w:sz="4" w:space="0" w:color="auto"/>
              <w:right w:val="single" w:sz="4" w:space="0" w:color="auto"/>
            </w:tcBorders>
            <w:shd w:val="clear" w:color="auto" w:fill="auto"/>
            <w:vAlign w:val="bottom"/>
            <w:hideMark/>
          </w:tcPr>
          <w:p w14:paraId="098C7C22"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 </w:t>
            </w:r>
          </w:p>
        </w:tc>
        <w:tc>
          <w:tcPr>
            <w:tcW w:w="495" w:type="pct"/>
            <w:tcBorders>
              <w:top w:val="nil"/>
              <w:left w:val="nil"/>
              <w:bottom w:val="single" w:sz="4" w:space="0" w:color="auto"/>
              <w:right w:val="single" w:sz="4" w:space="0" w:color="auto"/>
            </w:tcBorders>
            <w:shd w:val="clear" w:color="auto" w:fill="auto"/>
            <w:vAlign w:val="bottom"/>
            <w:hideMark/>
          </w:tcPr>
          <w:p w14:paraId="6D82DFD8"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487" w:type="pct"/>
            <w:tcBorders>
              <w:top w:val="nil"/>
              <w:left w:val="nil"/>
              <w:bottom w:val="single" w:sz="4" w:space="0" w:color="auto"/>
              <w:right w:val="single" w:sz="4" w:space="0" w:color="auto"/>
            </w:tcBorders>
            <w:shd w:val="clear" w:color="auto" w:fill="auto"/>
            <w:vAlign w:val="bottom"/>
            <w:hideMark/>
          </w:tcPr>
          <w:p w14:paraId="50D243D9"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 </w:t>
            </w:r>
          </w:p>
        </w:tc>
        <w:tc>
          <w:tcPr>
            <w:tcW w:w="551" w:type="pct"/>
            <w:tcBorders>
              <w:top w:val="nil"/>
              <w:left w:val="nil"/>
              <w:bottom w:val="single" w:sz="4" w:space="0" w:color="auto"/>
              <w:right w:val="single" w:sz="4" w:space="0" w:color="auto"/>
            </w:tcBorders>
            <w:shd w:val="clear" w:color="auto" w:fill="auto"/>
            <w:vAlign w:val="bottom"/>
            <w:hideMark/>
          </w:tcPr>
          <w:p w14:paraId="2D81C8B4"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 </w:t>
            </w:r>
          </w:p>
        </w:tc>
        <w:tc>
          <w:tcPr>
            <w:tcW w:w="412" w:type="pct"/>
            <w:tcBorders>
              <w:top w:val="nil"/>
              <w:left w:val="nil"/>
              <w:bottom w:val="single" w:sz="4" w:space="0" w:color="auto"/>
              <w:right w:val="single" w:sz="4" w:space="0" w:color="auto"/>
            </w:tcBorders>
          </w:tcPr>
          <w:p w14:paraId="66FD784E" w14:textId="77777777" w:rsidR="00A920F6" w:rsidRPr="008F69A3" w:rsidRDefault="00A920F6" w:rsidP="00A920F6">
            <w:pPr>
              <w:spacing w:after="0" w:line="240" w:lineRule="auto"/>
              <w:jc w:val="center"/>
              <w:rPr>
                <w:rFonts w:eastAsia="Times New Roman" w:cs="Calibri"/>
                <w:color w:val="000000"/>
                <w:sz w:val="20"/>
                <w:szCs w:val="20"/>
              </w:rPr>
            </w:pPr>
          </w:p>
        </w:tc>
      </w:tr>
      <w:tr w:rsidR="00A920F6" w:rsidRPr="008F69A3" w14:paraId="040FB1B1" w14:textId="77777777" w:rsidTr="00A920F6">
        <w:trPr>
          <w:trHeight w:val="300"/>
        </w:trPr>
        <w:tc>
          <w:tcPr>
            <w:tcW w:w="631" w:type="pct"/>
            <w:vMerge/>
            <w:tcBorders>
              <w:left w:val="single" w:sz="4" w:space="0" w:color="auto"/>
              <w:right w:val="single" w:sz="4" w:space="0" w:color="auto"/>
            </w:tcBorders>
          </w:tcPr>
          <w:p w14:paraId="221FBB77" w14:textId="77777777" w:rsidR="00A920F6" w:rsidRPr="008F69A3" w:rsidRDefault="00A920F6" w:rsidP="00A920F6">
            <w:pPr>
              <w:spacing w:after="0" w:line="240" w:lineRule="auto"/>
              <w:rPr>
                <w:rFonts w:eastAsia="Times New Roman" w:cs="Calibri"/>
                <w:color w:val="000000"/>
                <w:sz w:val="20"/>
                <w:szCs w:val="20"/>
              </w:rPr>
            </w:pPr>
          </w:p>
        </w:tc>
        <w:tc>
          <w:tcPr>
            <w:tcW w:w="558" w:type="pct"/>
            <w:tcBorders>
              <w:top w:val="nil"/>
              <w:left w:val="single" w:sz="4" w:space="0" w:color="auto"/>
              <w:bottom w:val="single" w:sz="4" w:space="0" w:color="auto"/>
              <w:right w:val="single" w:sz="4" w:space="0" w:color="auto"/>
            </w:tcBorders>
            <w:shd w:val="clear" w:color="auto" w:fill="auto"/>
            <w:hideMark/>
          </w:tcPr>
          <w:p w14:paraId="366783D8" w14:textId="77777777" w:rsidR="00A920F6" w:rsidRPr="008F69A3" w:rsidRDefault="00A920F6" w:rsidP="00A920F6">
            <w:pPr>
              <w:spacing w:after="0" w:line="240" w:lineRule="auto"/>
              <w:jc w:val="left"/>
              <w:rPr>
                <w:rFonts w:eastAsia="Times New Roman" w:cs="Calibri"/>
                <w:color w:val="000000"/>
                <w:sz w:val="20"/>
                <w:szCs w:val="20"/>
              </w:rPr>
            </w:pPr>
            <w:r w:rsidRPr="008F69A3">
              <w:rPr>
                <w:rFonts w:eastAsia="Times New Roman" w:cs="Calibri"/>
                <w:color w:val="000000"/>
                <w:sz w:val="20"/>
                <w:szCs w:val="20"/>
              </w:rPr>
              <w:t>x2</w:t>
            </w:r>
          </w:p>
        </w:tc>
        <w:tc>
          <w:tcPr>
            <w:tcW w:w="1057" w:type="pct"/>
            <w:tcBorders>
              <w:top w:val="nil"/>
              <w:left w:val="nil"/>
              <w:bottom w:val="single" w:sz="4" w:space="0" w:color="auto"/>
              <w:right w:val="single" w:sz="4" w:space="0" w:color="auto"/>
            </w:tcBorders>
            <w:shd w:val="clear" w:color="auto" w:fill="auto"/>
            <w:vAlign w:val="bottom"/>
            <w:hideMark/>
          </w:tcPr>
          <w:p w14:paraId="3C39D77A"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Povprečna poletna višina padavin</w:t>
            </w:r>
          </w:p>
        </w:tc>
        <w:tc>
          <w:tcPr>
            <w:tcW w:w="809" w:type="pct"/>
            <w:tcBorders>
              <w:top w:val="nil"/>
              <w:left w:val="nil"/>
              <w:bottom w:val="single" w:sz="4" w:space="0" w:color="auto"/>
              <w:right w:val="single" w:sz="4" w:space="0" w:color="auto"/>
            </w:tcBorders>
            <w:shd w:val="clear" w:color="auto" w:fill="auto"/>
            <w:vAlign w:val="bottom"/>
            <w:hideMark/>
          </w:tcPr>
          <w:p w14:paraId="120C2D47"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 </w:t>
            </w:r>
          </w:p>
        </w:tc>
        <w:tc>
          <w:tcPr>
            <w:tcW w:w="495" w:type="pct"/>
            <w:tcBorders>
              <w:top w:val="nil"/>
              <w:left w:val="nil"/>
              <w:bottom w:val="single" w:sz="4" w:space="0" w:color="auto"/>
              <w:right w:val="single" w:sz="4" w:space="0" w:color="auto"/>
            </w:tcBorders>
            <w:shd w:val="clear" w:color="auto" w:fill="auto"/>
            <w:vAlign w:val="bottom"/>
            <w:hideMark/>
          </w:tcPr>
          <w:p w14:paraId="7831BAFB"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487" w:type="pct"/>
            <w:tcBorders>
              <w:top w:val="nil"/>
              <w:left w:val="nil"/>
              <w:bottom w:val="single" w:sz="4" w:space="0" w:color="auto"/>
              <w:right w:val="single" w:sz="4" w:space="0" w:color="auto"/>
            </w:tcBorders>
            <w:shd w:val="clear" w:color="auto" w:fill="auto"/>
            <w:vAlign w:val="bottom"/>
            <w:hideMark/>
          </w:tcPr>
          <w:p w14:paraId="26DF263F"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 </w:t>
            </w:r>
          </w:p>
        </w:tc>
        <w:tc>
          <w:tcPr>
            <w:tcW w:w="551" w:type="pct"/>
            <w:tcBorders>
              <w:top w:val="nil"/>
              <w:left w:val="nil"/>
              <w:bottom w:val="single" w:sz="4" w:space="0" w:color="auto"/>
              <w:right w:val="single" w:sz="4" w:space="0" w:color="auto"/>
            </w:tcBorders>
            <w:shd w:val="clear" w:color="auto" w:fill="auto"/>
            <w:vAlign w:val="bottom"/>
            <w:hideMark/>
          </w:tcPr>
          <w:p w14:paraId="59CB0A7D"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 </w:t>
            </w:r>
          </w:p>
        </w:tc>
        <w:tc>
          <w:tcPr>
            <w:tcW w:w="412" w:type="pct"/>
            <w:tcBorders>
              <w:top w:val="nil"/>
              <w:left w:val="nil"/>
              <w:bottom w:val="single" w:sz="4" w:space="0" w:color="auto"/>
              <w:right w:val="single" w:sz="4" w:space="0" w:color="auto"/>
            </w:tcBorders>
          </w:tcPr>
          <w:p w14:paraId="5D5E41D0" w14:textId="77777777" w:rsidR="00A920F6" w:rsidRPr="008F69A3" w:rsidRDefault="00A920F6" w:rsidP="00A920F6">
            <w:pPr>
              <w:spacing w:after="0" w:line="240" w:lineRule="auto"/>
              <w:jc w:val="center"/>
              <w:rPr>
                <w:rFonts w:eastAsia="Times New Roman" w:cs="Calibri"/>
                <w:color w:val="000000"/>
                <w:sz w:val="20"/>
                <w:szCs w:val="20"/>
              </w:rPr>
            </w:pPr>
          </w:p>
        </w:tc>
      </w:tr>
      <w:tr w:rsidR="00A920F6" w:rsidRPr="008F69A3" w14:paraId="42A29152" w14:textId="77777777" w:rsidTr="00A920F6">
        <w:trPr>
          <w:trHeight w:val="300"/>
        </w:trPr>
        <w:tc>
          <w:tcPr>
            <w:tcW w:w="631" w:type="pct"/>
            <w:vMerge/>
            <w:tcBorders>
              <w:left w:val="single" w:sz="4" w:space="0" w:color="auto"/>
              <w:right w:val="single" w:sz="4" w:space="0" w:color="auto"/>
            </w:tcBorders>
          </w:tcPr>
          <w:p w14:paraId="692080B5" w14:textId="77777777" w:rsidR="00A920F6" w:rsidRPr="008F69A3" w:rsidRDefault="00A920F6" w:rsidP="00A920F6">
            <w:pPr>
              <w:spacing w:after="0" w:line="240" w:lineRule="auto"/>
              <w:rPr>
                <w:rFonts w:eastAsia="Times New Roman" w:cs="Calibri"/>
                <w:color w:val="000000"/>
                <w:sz w:val="20"/>
                <w:szCs w:val="20"/>
              </w:rPr>
            </w:pPr>
          </w:p>
        </w:tc>
        <w:tc>
          <w:tcPr>
            <w:tcW w:w="558" w:type="pct"/>
            <w:tcBorders>
              <w:top w:val="nil"/>
              <w:left w:val="single" w:sz="4" w:space="0" w:color="auto"/>
              <w:bottom w:val="single" w:sz="4" w:space="0" w:color="auto"/>
              <w:right w:val="single" w:sz="4" w:space="0" w:color="auto"/>
            </w:tcBorders>
            <w:shd w:val="clear" w:color="auto" w:fill="auto"/>
            <w:hideMark/>
          </w:tcPr>
          <w:p w14:paraId="1EF67C71" w14:textId="77777777" w:rsidR="00A920F6" w:rsidRPr="008F69A3" w:rsidRDefault="00A920F6" w:rsidP="00A920F6">
            <w:pPr>
              <w:spacing w:after="0" w:line="240" w:lineRule="auto"/>
              <w:jc w:val="left"/>
              <w:rPr>
                <w:rFonts w:eastAsia="Times New Roman" w:cs="Calibri"/>
                <w:color w:val="000000"/>
                <w:sz w:val="20"/>
                <w:szCs w:val="20"/>
              </w:rPr>
            </w:pPr>
            <w:r w:rsidRPr="008F69A3">
              <w:rPr>
                <w:rFonts w:eastAsia="Times New Roman" w:cs="Calibri"/>
                <w:color w:val="000000"/>
                <w:sz w:val="20"/>
                <w:szCs w:val="20"/>
              </w:rPr>
              <w:t>x3</w:t>
            </w:r>
          </w:p>
        </w:tc>
        <w:tc>
          <w:tcPr>
            <w:tcW w:w="1057" w:type="pct"/>
            <w:tcBorders>
              <w:top w:val="nil"/>
              <w:left w:val="nil"/>
              <w:bottom w:val="single" w:sz="4" w:space="0" w:color="auto"/>
              <w:right w:val="single" w:sz="4" w:space="0" w:color="auto"/>
            </w:tcBorders>
            <w:shd w:val="clear" w:color="auto" w:fill="auto"/>
            <w:vAlign w:val="bottom"/>
            <w:hideMark/>
          </w:tcPr>
          <w:p w14:paraId="7110C8F9"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Povprečna poletna temperatura zraka</w:t>
            </w:r>
          </w:p>
        </w:tc>
        <w:tc>
          <w:tcPr>
            <w:tcW w:w="809" w:type="pct"/>
            <w:tcBorders>
              <w:top w:val="nil"/>
              <w:left w:val="nil"/>
              <w:bottom w:val="single" w:sz="4" w:space="0" w:color="auto"/>
              <w:right w:val="single" w:sz="4" w:space="0" w:color="auto"/>
            </w:tcBorders>
            <w:shd w:val="clear" w:color="auto" w:fill="auto"/>
            <w:vAlign w:val="bottom"/>
            <w:hideMark/>
          </w:tcPr>
          <w:p w14:paraId="2BFAF510"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495" w:type="pct"/>
            <w:tcBorders>
              <w:top w:val="nil"/>
              <w:left w:val="nil"/>
              <w:bottom w:val="single" w:sz="4" w:space="0" w:color="auto"/>
              <w:right w:val="single" w:sz="4" w:space="0" w:color="auto"/>
            </w:tcBorders>
            <w:shd w:val="clear" w:color="auto" w:fill="auto"/>
            <w:vAlign w:val="bottom"/>
            <w:hideMark/>
          </w:tcPr>
          <w:p w14:paraId="55984359"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 </w:t>
            </w:r>
          </w:p>
        </w:tc>
        <w:tc>
          <w:tcPr>
            <w:tcW w:w="487" w:type="pct"/>
            <w:tcBorders>
              <w:top w:val="nil"/>
              <w:left w:val="nil"/>
              <w:bottom w:val="single" w:sz="4" w:space="0" w:color="auto"/>
              <w:right w:val="single" w:sz="4" w:space="0" w:color="auto"/>
            </w:tcBorders>
            <w:shd w:val="clear" w:color="auto" w:fill="auto"/>
            <w:vAlign w:val="bottom"/>
            <w:hideMark/>
          </w:tcPr>
          <w:p w14:paraId="4D5C93AF"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 </w:t>
            </w:r>
          </w:p>
        </w:tc>
        <w:tc>
          <w:tcPr>
            <w:tcW w:w="551" w:type="pct"/>
            <w:tcBorders>
              <w:top w:val="nil"/>
              <w:left w:val="nil"/>
              <w:bottom w:val="single" w:sz="4" w:space="0" w:color="auto"/>
              <w:right w:val="single" w:sz="4" w:space="0" w:color="auto"/>
            </w:tcBorders>
            <w:shd w:val="clear" w:color="auto" w:fill="auto"/>
            <w:vAlign w:val="bottom"/>
            <w:hideMark/>
          </w:tcPr>
          <w:p w14:paraId="739A7F0E"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 </w:t>
            </w:r>
          </w:p>
        </w:tc>
        <w:tc>
          <w:tcPr>
            <w:tcW w:w="412" w:type="pct"/>
            <w:tcBorders>
              <w:top w:val="nil"/>
              <w:left w:val="nil"/>
              <w:bottom w:val="single" w:sz="4" w:space="0" w:color="auto"/>
              <w:right w:val="single" w:sz="4" w:space="0" w:color="auto"/>
            </w:tcBorders>
          </w:tcPr>
          <w:p w14:paraId="09093E2A" w14:textId="77777777" w:rsidR="00A920F6" w:rsidRPr="008F69A3" w:rsidRDefault="00A920F6" w:rsidP="00A920F6">
            <w:pPr>
              <w:spacing w:after="0" w:line="240" w:lineRule="auto"/>
              <w:jc w:val="center"/>
              <w:rPr>
                <w:rFonts w:eastAsia="Times New Roman" w:cs="Calibri"/>
                <w:color w:val="000000"/>
                <w:sz w:val="20"/>
                <w:szCs w:val="20"/>
              </w:rPr>
            </w:pPr>
          </w:p>
        </w:tc>
      </w:tr>
      <w:tr w:rsidR="00A920F6" w:rsidRPr="008F69A3" w14:paraId="56AFB47F" w14:textId="77777777" w:rsidTr="00A920F6">
        <w:trPr>
          <w:trHeight w:val="600"/>
        </w:trPr>
        <w:tc>
          <w:tcPr>
            <w:tcW w:w="631" w:type="pct"/>
            <w:vMerge/>
            <w:tcBorders>
              <w:left w:val="single" w:sz="4" w:space="0" w:color="auto"/>
              <w:right w:val="single" w:sz="4" w:space="0" w:color="auto"/>
            </w:tcBorders>
          </w:tcPr>
          <w:p w14:paraId="71ADDC3D" w14:textId="77777777" w:rsidR="00A920F6" w:rsidRPr="008F69A3" w:rsidRDefault="00A920F6" w:rsidP="00A920F6">
            <w:pPr>
              <w:spacing w:after="0" w:line="240" w:lineRule="auto"/>
              <w:rPr>
                <w:rFonts w:eastAsia="Times New Roman" w:cs="Calibri"/>
                <w:color w:val="000000"/>
                <w:sz w:val="20"/>
                <w:szCs w:val="20"/>
              </w:rPr>
            </w:pPr>
          </w:p>
        </w:tc>
        <w:tc>
          <w:tcPr>
            <w:tcW w:w="558" w:type="pct"/>
            <w:tcBorders>
              <w:top w:val="nil"/>
              <w:left w:val="single" w:sz="4" w:space="0" w:color="auto"/>
              <w:bottom w:val="single" w:sz="4" w:space="0" w:color="auto"/>
              <w:right w:val="single" w:sz="4" w:space="0" w:color="auto"/>
            </w:tcBorders>
            <w:shd w:val="clear" w:color="auto" w:fill="auto"/>
            <w:hideMark/>
          </w:tcPr>
          <w:p w14:paraId="35E70E1E" w14:textId="77777777" w:rsidR="00A920F6" w:rsidRPr="008F69A3" w:rsidRDefault="00A920F6" w:rsidP="00A920F6">
            <w:pPr>
              <w:spacing w:after="0" w:line="240" w:lineRule="auto"/>
              <w:jc w:val="left"/>
              <w:rPr>
                <w:rFonts w:eastAsia="Times New Roman" w:cs="Calibri"/>
                <w:color w:val="000000"/>
                <w:sz w:val="20"/>
                <w:szCs w:val="20"/>
              </w:rPr>
            </w:pPr>
            <w:r w:rsidRPr="008F69A3">
              <w:rPr>
                <w:rFonts w:eastAsia="Times New Roman" w:cs="Calibri"/>
                <w:color w:val="000000"/>
                <w:sz w:val="20"/>
                <w:szCs w:val="20"/>
              </w:rPr>
              <w:t>x4</w:t>
            </w:r>
          </w:p>
        </w:tc>
        <w:tc>
          <w:tcPr>
            <w:tcW w:w="1057" w:type="pct"/>
            <w:tcBorders>
              <w:top w:val="nil"/>
              <w:left w:val="nil"/>
              <w:bottom w:val="single" w:sz="4" w:space="0" w:color="auto"/>
              <w:right w:val="single" w:sz="4" w:space="0" w:color="auto"/>
            </w:tcBorders>
            <w:shd w:val="clear" w:color="auto" w:fill="auto"/>
            <w:vAlign w:val="bottom"/>
            <w:hideMark/>
          </w:tcPr>
          <w:p w14:paraId="7C155569"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 xml:space="preserve">Povprečna poletna referenčna </w:t>
            </w:r>
            <w:proofErr w:type="spellStart"/>
            <w:r w:rsidRPr="008F69A3">
              <w:rPr>
                <w:rFonts w:eastAsia="Times New Roman" w:cs="Calibri"/>
                <w:color w:val="000000"/>
                <w:sz w:val="20"/>
                <w:szCs w:val="20"/>
              </w:rPr>
              <w:t>evapotranspiracija</w:t>
            </w:r>
            <w:proofErr w:type="spellEnd"/>
          </w:p>
        </w:tc>
        <w:tc>
          <w:tcPr>
            <w:tcW w:w="809" w:type="pct"/>
            <w:tcBorders>
              <w:top w:val="nil"/>
              <w:left w:val="nil"/>
              <w:bottom w:val="single" w:sz="4" w:space="0" w:color="auto"/>
              <w:right w:val="single" w:sz="4" w:space="0" w:color="auto"/>
            </w:tcBorders>
            <w:shd w:val="clear" w:color="auto" w:fill="auto"/>
            <w:vAlign w:val="bottom"/>
            <w:hideMark/>
          </w:tcPr>
          <w:p w14:paraId="597A860B"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 </w:t>
            </w:r>
          </w:p>
        </w:tc>
        <w:tc>
          <w:tcPr>
            <w:tcW w:w="495" w:type="pct"/>
            <w:tcBorders>
              <w:top w:val="nil"/>
              <w:left w:val="nil"/>
              <w:bottom w:val="single" w:sz="4" w:space="0" w:color="auto"/>
              <w:right w:val="single" w:sz="4" w:space="0" w:color="auto"/>
            </w:tcBorders>
            <w:shd w:val="clear" w:color="auto" w:fill="auto"/>
            <w:vAlign w:val="bottom"/>
            <w:hideMark/>
          </w:tcPr>
          <w:p w14:paraId="4C753939"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487" w:type="pct"/>
            <w:tcBorders>
              <w:top w:val="nil"/>
              <w:left w:val="nil"/>
              <w:bottom w:val="single" w:sz="4" w:space="0" w:color="auto"/>
              <w:right w:val="single" w:sz="4" w:space="0" w:color="auto"/>
            </w:tcBorders>
            <w:shd w:val="clear" w:color="auto" w:fill="auto"/>
            <w:vAlign w:val="bottom"/>
            <w:hideMark/>
          </w:tcPr>
          <w:p w14:paraId="482128C2"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 </w:t>
            </w:r>
          </w:p>
        </w:tc>
        <w:tc>
          <w:tcPr>
            <w:tcW w:w="551" w:type="pct"/>
            <w:tcBorders>
              <w:top w:val="nil"/>
              <w:left w:val="nil"/>
              <w:bottom w:val="single" w:sz="4" w:space="0" w:color="auto"/>
              <w:right w:val="single" w:sz="4" w:space="0" w:color="auto"/>
            </w:tcBorders>
            <w:shd w:val="clear" w:color="auto" w:fill="auto"/>
            <w:vAlign w:val="bottom"/>
            <w:hideMark/>
          </w:tcPr>
          <w:p w14:paraId="3B256747"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 </w:t>
            </w:r>
          </w:p>
        </w:tc>
        <w:tc>
          <w:tcPr>
            <w:tcW w:w="412" w:type="pct"/>
            <w:tcBorders>
              <w:top w:val="nil"/>
              <w:left w:val="nil"/>
              <w:bottom w:val="single" w:sz="4" w:space="0" w:color="auto"/>
              <w:right w:val="single" w:sz="4" w:space="0" w:color="auto"/>
            </w:tcBorders>
          </w:tcPr>
          <w:p w14:paraId="24F7EF9A" w14:textId="77777777" w:rsidR="00A920F6" w:rsidRPr="008F69A3" w:rsidRDefault="00A920F6" w:rsidP="00A920F6">
            <w:pPr>
              <w:spacing w:after="0" w:line="240" w:lineRule="auto"/>
              <w:jc w:val="center"/>
              <w:rPr>
                <w:rFonts w:eastAsia="Times New Roman" w:cs="Calibri"/>
                <w:color w:val="000000"/>
                <w:sz w:val="20"/>
                <w:szCs w:val="20"/>
              </w:rPr>
            </w:pPr>
          </w:p>
        </w:tc>
      </w:tr>
      <w:tr w:rsidR="00A920F6" w:rsidRPr="008F69A3" w14:paraId="03FAD0DB" w14:textId="77777777" w:rsidTr="00A920F6">
        <w:trPr>
          <w:trHeight w:val="300"/>
        </w:trPr>
        <w:tc>
          <w:tcPr>
            <w:tcW w:w="631" w:type="pct"/>
            <w:vMerge/>
            <w:tcBorders>
              <w:left w:val="single" w:sz="4" w:space="0" w:color="auto"/>
              <w:right w:val="single" w:sz="4" w:space="0" w:color="auto"/>
            </w:tcBorders>
          </w:tcPr>
          <w:p w14:paraId="2DAC45E7" w14:textId="77777777" w:rsidR="00A920F6" w:rsidRPr="008F69A3" w:rsidRDefault="00A920F6" w:rsidP="00A920F6">
            <w:pPr>
              <w:spacing w:after="0" w:line="240" w:lineRule="auto"/>
              <w:rPr>
                <w:rFonts w:eastAsia="Times New Roman" w:cs="Calibri"/>
                <w:color w:val="000000"/>
                <w:sz w:val="20"/>
                <w:szCs w:val="20"/>
              </w:rPr>
            </w:pPr>
          </w:p>
        </w:tc>
        <w:tc>
          <w:tcPr>
            <w:tcW w:w="558" w:type="pct"/>
            <w:tcBorders>
              <w:top w:val="nil"/>
              <w:left w:val="single" w:sz="4" w:space="0" w:color="auto"/>
              <w:bottom w:val="single" w:sz="4" w:space="0" w:color="auto"/>
              <w:right w:val="single" w:sz="4" w:space="0" w:color="auto"/>
            </w:tcBorders>
            <w:shd w:val="clear" w:color="auto" w:fill="auto"/>
            <w:hideMark/>
          </w:tcPr>
          <w:p w14:paraId="4502799F" w14:textId="77777777" w:rsidR="00A920F6" w:rsidRPr="008F69A3" w:rsidRDefault="00A920F6" w:rsidP="00A920F6">
            <w:pPr>
              <w:spacing w:after="0" w:line="240" w:lineRule="auto"/>
              <w:jc w:val="left"/>
              <w:rPr>
                <w:rFonts w:eastAsia="Times New Roman" w:cs="Calibri"/>
                <w:color w:val="000000"/>
                <w:sz w:val="20"/>
                <w:szCs w:val="20"/>
              </w:rPr>
            </w:pPr>
            <w:r w:rsidRPr="008F69A3">
              <w:rPr>
                <w:rFonts w:eastAsia="Times New Roman" w:cs="Calibri"/>
                <w:color w:val="000000"/>
                <w:sz w:val="20"/>
                <w:szCs w:val="20"/>
              </w:rPr>
              <w:t>x5</w:t>
            </w:r>
          </w:p>
        </w:tc>
        <w:tc>
          <w:tcPr>
            <w:tcW w:w="1057" w:type="pct"/>
            <w:tcBorders>
              <w:top w:val="nil"/>
              <w:left w:val="nil"/>
              <w:bottom w:val="single" w:sz="4" w:space="0" w:color="auto"/>
              <w:right w:val="single" w:sz="4" w:space="0" w:color="auto"/>
            </w:tcBorders>
            <w:shd w:val="clear" w:color="auto" w:fill="auto"/>
            <w:vAlign w:val="bottom"/>
            <w:hideMark/>
          </w:tcPr>
          <w:p w14:paraId="0B00A647"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Povprečno letno število vročih dni</w:t>
            </w:r>
          </w:p>
        </w:tc>
        <w:tc>
          <w:tcPr>
            <w:tcW w:w="809" w:type="pct"/>
            <w:tcBorders>
              <w:top w:val="nil"/>
              <w:left w:val="nil"/>
              <w:bottom w:val="single" w:sz="4" w:space="0" w:color="auto"/>
              <w:right w:val="single" w:sz="4" w:space="0" w:color="auto"/>
            </w:tcBorders>
            <w:shd w:val="clear" w:color="auto" w:fill="auto"/>
            <w:vAlign w:val="bottom"/>
            <w:hideMark/>
          </w:tcPr>
          <w:p w14:paraId="32F79948"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495" w:type="pct"/>
            <w:tcBorders>
              <w:top w:val="nil"/>
              <w:left w:val="nil"/>
              <w:bottom w:val="single" w:sz="4" w:space="0" w:color="auto"/>
              <w:right w:val="single" w:sz="4" w:space="0" w:color="auto"/>
            </w:tcBorders>
            <w:shd w:val="clear" w:color="auto" w:fill="auto"/>
            <w:vAlign w:val="bottom"/>
            <w:hideMark/>
          </w:tcPr>
          <w:p w14:paraId="5FC02E6E"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 </w:t>
            </w:r>
          </w:p>
        </w:tc>
        <w:tc>
          <w:tcPr>
            <w:tcW w:w="487" w:type="pct"/>
            <w:tcBorders>
              <w:top w:val="nil"/>
              <w:left w:val="nil"/>
              <w:bottom w:val="single" w:sz="4" w:space="0" w:color="auto"/>
              <w:right w:val="single" w:sz="4" w:space="0" w:color="auto"/>
            </w:tcBorders>
            <w:shd w:val="clear" w:color="auto" w:fill="auto"/>
            <w:vAlign w:val="bottom"/>
            <w:hideMark/>
          </w:tcPr>
          <w:p w14:paraId="6AC2128B"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 </w:t>
            </w:r>
          </w:p>
        </w:tc>
        <w:tc>
          <w:tcPr>
            <w:tcW w:w="551" w:type="pct"/>
            <w:tcBorders>
              <w:top w:val="nil"/>
              <w:left w:val="nil"/>
              <w:bottom w:val="single" w:sz="4" w:space="0" w:color="auto"/>
              <w:right w:val="single" w:sz="4" w:space="0" w:color="auto"/>
            </w:tcBorders>
            <w:shd w:val="clear" w:color="auto" w:fill="auto"/>
            <w:vAlign w:val="bottom"/>
            <w:hideMark/>
          </w:tcPr>
          <w:p w14:paraId="324E3D82"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 </w:t>
            </w:r>
          </w:p>
        </w:tc>
        <w:tc>
          <w:tcPr>
            <w:tcW w:w="412" w:type="pct"/>
            <w:tcBorders>
              <w:top w:val="nil"/>
              <w:left w:val="nil"/>
              <w:bottom w:val="single" w:sz="4" w:space="0" w:color="auto"/>
              <w:right w:val="single" w:sz="4" w:space="0" w:color="auto"/>
            </w:tcBorders>
          </w:tcPr>
          <w:p w14:paraId="7E9A63FD" w14:textId="77777777" w:rsidR="00A920F6" w:rsidRPr="008F69A3" w:rsidRDefault="00A920F6" w:rsidP="00A920F6">
            <w:pPr>
              <w:spacing w:after="0" w:line="240" w:lineRule="auto"/>
              <w:jc w:val="center"/>
              <w:rPr>
                <w:rFonts w:eastAsia="Times New Roman" w:cs="Calibri"/>
                <w:color w:val="000000"/>
                <w:sz w:val="20"/>
                <w:szCs w:val="20"/>
              </w:rPr>
            </w:pPr>
          </w:p>
        </w:tc>
      </w:tr>
      <w:tr w:rsidR="00A920F6" w:rsidRPr="008F69A3" w14:paraId="57AFF044" w14:textId="77777777" w:rsidTr="00A920F6">
        <w:trPr>
          <w:trHeight w:val="600"/>
        </w:trPr>
        <w:tc>
          <w:tcPr>
            <w:tcW w:w="631" w:type="pct"/>
            <w:vMerge/>
            <w:tcBorders>
              <w:left w:val="single" w:sz="4" w:space="0" w:color="auto"/>
              <w:right w:val="single" w:sz="4" w:space="0" w:color="auto"/>
            </w:tcBorders>
          </w:tcPr>
          <w:p w14:paraId="482B236C" w14:textId="77777777" w:rsidR="00A920F6" w:rsidRPr="008F69A3" w:rsidRDefault="00A920F6" w:rsidP="00A920F6">
            <w:pPr>
              <w:spacing w:after="0" w:line="240" w:lineRule="auto"/>
              <w:rPr>
                <w:rFonts w:eastAsia="Times New Roman" w:cs="Calibri"/>
                <w:color w:val="000000"/>
                <w:sz w:val="20"/>
                <w:szCs w:val="20"/>
              </w:rPr>
            </w:pPr>
          </w:p>
        </w:tc>
        <w:tc>
          <w:tcPr>
            <w:tcW w:w="558" w:type="pct"/>
            <w:tcBorders>
              <w:top w:val="nil"/>
              <w:left w:val="single" w:sz="4" w:space="0" w:color="auto"/>
              <w:bottom w:val="single" w:sz="4" w:space="0" w:color="auto"/>
              <w:right w:val="single" w:sz="4" w:space="0" w:color="auto"/>
            </w:tcBorders>
            <w:shd w:val="clear" w:color="auto" w:fill="auto"/>
            <w:hideMark/>
          </w:tcPr>
          <w:p w14:paraId="39FAB31D" w14:textId="77777777" w:rsidR="00A920F6" w:rsidRPr="008F69A3" w:rsidRDefault="00A920F6" w:rsidP="00A920F6">
            <w:pPr>
              <w:spacing w:after="0" w:line="240" w:lineRule="auto"/>
              <w:jc w:val="left"/>
              <w:rPr>
                <w:rFonts w:eastAsia="Times New Roman" w:cs="Calibri"/>
                <w:color w:val="000000"/>
                <w:sz w:val="20"/>
                <w:szCs w:val="20"/>
              </w:rPr>
            </w:pPr>
            <w:r w:rsidRPr="008F69A3">
              <w:rPr>
                <w:rFonts w:eastAsia="Times New Roman" w:cs="Calibri"/>
                <w:color w:val="000000"/>
                <w:sz w:val="20"/>
                <w:szCs w:val="20"/>
              </w:rPr>
              <w:t>x6</w:t>
            </w:r>
          </w:p>
        </w:tc>
        <w:tc>
          <w:tcPr>
            <w:tcW w:w="1057" w:type="pct"/>
            <w:tcBorders>
              <w:top w:val="nil"/>
              <w:left w:val="nil"/>
              <w:bottom w:val="single" w:sz="4" w:space="0" w:color="auto"/>
              <w:right w:val="single" w:sz="4" w:space="0" w:color="auto"/>
            </w:tcBorders>
            <w:shd w:val="clear" w:color="auto" w:fill="auto"/>
            <w:vAlign w:val="bottom"/>
            <w:hideMark/>
          </w:tcPr>
          <w:p w14:paraId="61B620F2"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Povprečno letno število dni s padavinami nad 50 mm</w:t>
            </w:r>
          </w:p>
        </w:tc>
        <w:tc>
          <w:tcPr>
            <w:tcW w:w="809" w:type="pct"/>
            <w:tcBorders>
              <w:top w:val="nil"/>
              <w:left w:val="nil"/>
              <w:bottom w:val="single" w:sz="4" w:space="0" w:color="auto"/>
              <w:right w:val="single" w:sz="4" w:space="0" w:color="auto"/>
            </w:tcBorders>
            <w:shd w:val="clear" w:color="auto" w:fill="auto"/>
            <w:vAlign w:val="bottom"/>
            <w:hideMark/>
          </w:tcPr>
          <w:p w14:paraId="231AD3B6"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 </w:t>
            </w:r>
          </w:p>
        </w:tc>
        <w:tc>
          <w:tcPr>
            <w:tcW w:w="495" w:type="pct"/>
            <w:tcBorders>
              <w:top w:val="nil"/>
              <w:left w:val="nil"/>
              <w:bottom w:val="single" w:sz="4" w:space="0" w:color="auto"/>
              <w:right w:val="single" w:sz="4" w:space="0" w:color="auto"/>
            </w:tcBorders>
            <w:shd w:val="clear" w:color="auto" w:fill="auto"/>
            <w:vAlign w:val="bottom"/>
            <w:hideMark/>
          </w:tcPr>
          <w:p w14:paraId="5738A0E4"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 </w:t>
            </w:r>
          </w:p>
        </w:tc>
        <w:tc>
          <w:tcPr>
            <w:tcW w:w="487" w:type="pct"/>
            <w:tcBorders>
              <w:top w:val="nil"/>
              <w:left w:val="nil"/>
              <w:bottom w:val="single" w:sz="4" w:space="0" w:color="auto"/>
              <w:right w:val="single" w:sz="4" w:space="0" w:color="auto"/>
            </w:tcBorders>
            <w:shd w:val="clear" w:color="auto" w:fill="auto"/>
            <w:vAlign w:val="bottom"/>
            <w:hideMark/>
          </w:tcPr>
          <w:p w14:paraId="32813860" w14:textId="77777777" w:rsidR="00A920F6" w:rsidRPr="008F69A3" w:rsidRDefault="00A920F6" w:rsidP="00A920F6">
            <w:pPr>
              <w:spacing w:after="0" w:line="240" w:lineRule="auto"/>
              <w:jc w:val="center"/>
              <w:rPr>
                <w:rFonts w:eastAsia="Times New Roman" w:cs="Calibri"/>
                <w:color w:val="000000"/>
                <w:sz w:val="20"/>
                <w:szCs w:val="20"/>
              </w:rPr>
            </w:pPr>
            <w:r w:rsidRPr="008F69A3">
              <w:rPr>
                <w:rFonts w:eastAsia="Times New Roman" w:cs="Calibri"/>
                <w:color w:val="000000"/>
                <w:sz w:val="20"/>
                <w:szCs w:val="20"/>
              </w:rPr>
              <w:t> </w:t>
            </w:r>
          </w:p>
        </w:tc>
        <w:tc>
          <w:tcPr>
            <w:tcW w:w="551" w:type="pct"/>
            <w:tcBorders>
              <w:top w:val="nil"/>
              <w:left w:val="nil"/>
              <w:bottom w:val="single" w:sz="4" w:space="0" w:color="auto"/>
              <w:right w:val="single" w:sz="4" w:space="0" w:color="auto"/>
            </w:tcBorders>
            <w:shd w:val="clear" w:color="auto" w:fill="auto"/>
            <w:vAlign w:val="bottom"/>
            <w:hideMark/>
          </w:tcPr>
          <w:p w14:paraId="225C83C8"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412" w:type="pct"/>
            <w:tcBorders>
              <w:top w:val="nil"/>
              <w:left w:val="nil"/>
              <w:bottom w:val="single" w:sz="4" w:space="0" w:color="auto"/>
              <w:right w:val="single" w:sz="4" w:space="0" w:color="auto"/>
            </w:tcBorders>
          </w:tcPr>
          <w:p w14:paraId="52385F61" w14:textId="77777777" w:rsidR="00A920F6" w:rsidRPr="008F69A3" w:rsidRDefault="00A920F6" w:rsidP="00A920F6">
            <w:pPr>
              <w:spacing w:after="0" w:line="240" w:lineRule="auto"/>
              <w:jc w:val="center"/>
              <w:rPr>
                <w:rFonts w:eastAsia="Times New Roman" w:cs="Calibri"/>
                <w:color w:val="000000"/>
                <w:sz w:val="20"/>
                <w:szCs w:val="20"/>
              </w:rPr>
            </w:pPr>
          </w:p>
        </w:tc>
      </w:tr>
      <w:tr w:rsidR="00A920F6" w:rsidRPr="008F69A3" w14:paraId="623E4419" w14:textId="77777777" w:rsidTr="00A920F6">
        <w:trPr>
          <w:trHeight w:val="600"/>
        </w:trPr>
        <w:tc>
          <w:tcPr>
            <w:tcW w:w="631" w:type="pct"/>
            <w:vMerge/>
            <w:tcBorders>
              <w:left w:val="single" w:sz="4" w:space="0" w:color="auto"/>
              <w:right w:val="single" w:sz="4" w:space="0" w:color="auto"/>
            </w:tcBorders>
          </w:tcPr>
          <w:p w14:paraId="13A14D5A" w14:textId="77777777" w:rsidR="00A920F6" w:rsidRPr="008F69A3" w:rsidRDefault="00A920F6" w:rsidP="00A920F6">
            <w:pPr>
              <w:spacing w:after="0" w:line="240" w:lineRule="auto"/>
              <w:rPr>
                <w:rFonts w:eastAsia="Times New Roman" w:cs="Calibri"/>
                <w:color w:val="000000"/>
                <w:sz w:val="20"/>
                <w:szCs w:val="20"/>
              </w:rPr>
            </w:pPr>
          </w:p>
        </w:tc>
        <w:tc>
          <w:tcPr>
            <w:tcW w:w="558" w:type="pct"/>
            <w:tcBorders>
              <w:top w:val="nil"/>
              <w:left w:val="single" w:sz="4" w:space="0" w:color="auto"/>
              <w:bottom w:val="single" w:sz="4" w:space="0" w:color="auto"/>
              <w:right w:val="single" w:sz="4" w:space="0" w:color="auto"/>
            </w:tcBorders>
            <w:shd w:val="clear" w:color="auto" w:fill="auto"/>
            <w:hideMark/>
          </w:tcPr>
          <w:p w14:paraId="2E2137B5" w14:textId="77777777" w:rsidR="00A920F6" w:rsidRPr="008F69A3" w:rsidRDefault="00A920F6" w:rsidP="00A920F6">
            <w:pPr>
              <w:spacing w:after="0" w:line="240" w:lineRule="auto"/>
              <w:jc w:val="left"/>
              <w:rPr>
                <w:rFonts w:eastAsia="Times New Roman" w:cs="Calibri"/>
                <w:color w:val="000000"/>
                <w:sz w:val="20"/>
                <w:szCs w:val="20"/>
              </w:rPr>
            </w:pPr>
            <w:r w:rsidRPr="008F69A3">
              <w:rPr>
                <w:rFonts w:eastAsia="Times New Roman" w:cs="Calibri"/>
                <w:color w:val="000000"/>
                <w:sz w:val="20"/>
                <w:szCs w:val="20"/>
              </w:rPr>
              <w:t>x7</w:t>
            </w:r>
          </w:p>
        </w:tc>
        <w:tc>
          <w:tcPr>
            <w:tcW w:w="1057" w:type="pct"/>
            <w:tcBorders>
              <w:top w:val="nil"/>
              <w:left w:val="nil"/>
              <w:bottom w:val="single" w:sz="4" w:space="0" w:color="auto"/>
              <w:right w:val="single" w:sz="4" w:space="0" w:color="auto"/>
            </w:tcBorders>
            <w:shd w:val="clear" w:color="auto" w:fill="auto"/>
            <w:vAlign w:val="bottom"/>
            <w:hideMark/>
          </w:tcPr>
          <w:p w14:paraId="4B62F591"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Dolžina rastne dobe za temperaturni prag 5 °C</w:t>
            </w:r>
          </w:p>
        </w:tc>
        <w:tc>
          <w:tcPr>
            <w:tcW w:w="809" w:type="pct"/>
            <w:tcBorders>
              <w:top w:val="nil"/>
              <w:left w:val="nil"/>
              <w:bottom w:val="single" w:sz="4" w:space="0" w:color="auto"/>
              <w:right w:val="single" w:sz="4" w:space="0" w:color="auto"/>
            </w:tcBorders>
            <w:shd w:val="clear" w:color="auto" w:fill="auto"/>
            <w:vAlign w:val="center"/>
            <w:hideMark/>
          </w:tcPr>
          <w:p w14:paraId="2E739B36" w14:textId="77777777" w:rsidR="00A920F6" w:rsidRPr="008F69A3" w:rsidRDefault="00A920F6" w:rsidP="00A920F6">
            <w:pPr>
              <w:spacing w:after="0" w:line="240" w:lineRule="auto"/>
              <w:jc w:val="center"/>
              <w:rPr>
                <w:rFonts w:eastAsia="Times New Roman" w:cs="Calibri"/>
                <w:color w:val="000000"/>
                <w:sz w:val="20"/>
                <w:szCs w:val="20"/>
              </w:rPr>
            </w:pPr>
          </w:p>
        </w:tc>
        <w:tc>
          <w:tcPr>
            <w:tcW w:w="495" w:type="pct"/>
            <w:tcBorders>
              <w:top w:val="nil"/>
              <w:left w:val="nil"/>
              <w:bottom w:val="single" w:sz="4" w:space="0" w:color="auto"/>
              <w:right w:val="single" w:sz="4" w:space="0" w:color="auto"/>
            </w:tcBorders>
            <w:shd w:val="clear" w:color="auto" w:fill="auto"/>
            <w:vAlign w:val="center"/>
            <w:hideMark/>
          </w:tcPr>
          <w:p w14:paraId="241630CC" w14:textId="77777777" w:rsidR="00A920F6" w:rsidRPr="008F69A3" w:rsidRDefault="00A920F6" w:rsidP="00A920F6">
            <w:pPr>
              <w:spacing w:after="0" w:line="240" w:lineRule="auto"/>
              <w:jc w:val="center"/>
              <w:rPr>
                <w:rFonts w:eastAsia="Times New Roman" w:cs="Calibri"/>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025AD535"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551" w:type="pct"/>
            <w:tcBorders>
              <w:top w:val="nil"/>
              <w:left w:val="nil"/>
              <w:bottom w:val="single" w:sz="4" w:space="0" w:color="auto"/>
              <w:right w:val="single" w:sz="4" w:space="0" w:color="auto"/>
            </w:tcBorders>
            <w:shd w:val="clear" w:color="auto" w:fill="auto"/>
            <w:vAlign w:val="center"/>
            <w:hideMark/>
          </w:tcPr>
          <w:p w14:paraId="71B21696" w14:textId="77777777" w:rsidR="00A920F6" w:rsidRPr="008F69A3" w:rsidRDefault="00A920F6" w:rsidP="00A920F6">
            <w:pPr>
              <w:spacing w:after="0" w:line="240" w:lineRule="auto"/>
              <w:jc w:val="center"/>
              <w:rPr>
                <w:rFonts w:eastAsia="Times New Roman" w:cs="Calibri"/>
                <w:color w:val="000000"/>
                <w:sz w:val="20"/>
                <w:szCs w:val="20"/>
              </w:rPr>
            </w:pPr>
          </w:p>
        </w:tc>
        <w:tc>
          <w:tcPr>
            <w:tcW w:w="412" w:type="pct"/>
            <w:tcBorders>
              <w:top w:val="nil"/>
              <w:left w:val="nil"/>
              <w:bottom w:val="single" w:sz="4" w:space="0" w:color="auto"/>
              <w:right w:val="single" w:sz="4" w:space="0" w:color="auto"/>
            </w:tcBorders>
            <w:vAlign w:val="center"/>
          </w:tcPr>
          <w:p w14:paraId="58196B82" w14:textId="77777777" w:rsidR="00A920F6" w:rsidRPr="008F69A3" w:rsidRDefault="00A920F6" w:rsidP="00A920F6">
            <w:pPr>
              <w:spacing w:after="0" w:line="240" w:lineRule="auto"/>
              <w:jc w:val="center"/>
              <w:rPr>
                <w:rFonts w:eastAsia="Times New Roman" w:cs="Calibri"/>
                <w:color w:val="000000"/>
                <w:sz w:val="20"/>
                <w:szCs w:val="20"/>
              </w:rPr>
            </w:pPr>
          </w:p>
        </w:tc>
      </w:tr>
      <w:tr w:rsidR="00A920F6" w:rsidRPr="008F69A3" w14:paraId="219FC6B7" w14:textId="77777777" w:rsidTr="00A920F6">
        <w:trPr>
          <w:trHeight w:val="300"/>
        </w:trPr>
        <w:tc>
          <w:tcPr>
            <w:tcW w:w="631" w:type="pct"/>
            <w:vMerge/>
            <w:tcBorders>
              <w:left w:val="single" w:sz="4" w:space="0" w:color="auto"/>
              <w:right w:val="single" w:sz="4" w:space="0" w:color="auto"/>
            </w:tcBorders>
          </w:tcPr>
          <w:p w14:paraId="09C7662D" w14:textId="77777777" w:rsidR="00A920F6" w:rsidRPr="008F69A3" w:rsidRDefault="00A920F6" w:rsidP="00A920F6">
            <w:pPr>
              <w:spacing w:after="0" w:line="240" w:lineRule="auto"/>
              <w:rPr>
                <w:rFonts w:eastAsia="Times New Roman" w:cs="Calibri"/>
                <w:color w:val="000000"/>
                <w:sz w:val="20"/>
                <w:szCs w:val="20"/>
              </w:rPr>
            </w:pPr>
          </w:p>
        </w:tc>
        <w:tc>
          <w:tcPr>
            <w:tcW w:w="558" w:type="pct"/>
            <w:tcBorders>
              <w:top w:val="nil"/>
              <w:left w:val="single" w:sz="4" w:space="0" w:color="auto"/>
              <w:bottom w:val="single" w:sz="4" w:space="0" w:color="auto"/>
              <w:right w:val="single" w:sz="4" w:space="0" w:color="auto"/>
            </w:tcBorders>
            <w:shd w:val="clear" w:color="auto" w:fill="auto"/>
            <w:hideMark/>
          </w:tcPr>
          <w:p w14:paraId="41A77FD3" w14:textId="77777777" w:rsidR="00A920F6" w:rsidRPr="008F69A3" w:rsidRDefault="00A920F6" w:rsidP="00A920F6">
            <w:pPr>
              <w:spacing w:after="0" w:line="240" w:lineRule="auto"/>
              <w:jc w:val="left"/>
              <w:rPr>
                <w:rFonts w:eastAsia="Times New Roman" w:cs="Calibri"/>
                <w:color w:val="000000"/>
                <w:sz w:val="20"/>
                <w:szCs w:val="20"/>
              </w:rPr>
            </w:pPr>
            <w:r w:rsidRPr="008F69A3">
              <w:rPr>
                <w:rFonts w:eastAsia="Times New Roman" w:cs="Calibri"/>
                <w:color w:val="000000"/>
                <w:sz w:val="20"/>
                <w:szCs w:val="20"/>
              </w:rPr>
              <w:t>x8</w:t>
            </w:r>
          </w:p>
        </w:tc>
        <w:tc>
          <w:tcPr>
            <w:tcW w:w="1057" w:type="pct"/>
            <w:tcBorders>
              <w:top w:val="nil"/>
              <w:left w:val="nil"/>
              <w:bottom w:val="single" w:sz="4" w:space="0" w:color="auto"/>
              <w:right w:val="single" w:sz="4" w:space="0" w:color="auto"/>
            </w:tcBorders>
            <w:shd w:val="clear" w:color="auto" w:fill="auto"/>
            <w:vAlign w:val="bottom"/>
            <w:hideMark/>
          </w:tcPr>
          <w:p w14:paraId="51DF9353"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Število dni s spomladansko pozebo (0 °C)</w:t>
            </w:r>
          </w:p>
        </w:tc>
        <w:tc>
          <w:tcPr>
            <w:tcW w:w="809" w:type="pct"/>
            <w:tcBorders>
              <w:top w:val="nil"/>
              <w:left w:val="nil"/>
              <w:bottom w:val="single" w:sz="4" w:space="0" w:color="auto"/>
              <w:right w:val="single" w:sz="4" w:space="0" w:color="auto"/>
            </w:tcBorders>
            <w:shd w:val="clear" w:color="auto" w:fill="auto"/>
            <w:vAlign w:val="center"/>
            <w:hideMark/>
          </w:tcPr>
          <w:p w14:paraId="0923B08C" w14:textId="77777777" w:rsidR="00A920F6" w:rsidRPr="008F69A3" w:rsidRDefault="00A920F6" w:rsidP="00A920F6">
            <w:pPr>
              <w:spacing w:after="0" w:line="240" w:lineRule="auto"/>
              <w:jc w:val="center"/>
              <w:rPr>
                <w:rFonts w:eastAsia="Times New Roman" w:cs="Calibri"/>
                <w:color w:val="000000"/>
                <w:sz w:val="20"/>
                <w:szCs w:val="20"/>
              </w:rPr>
            </w:pPr>
          </w:p>
        </w:tc>
        <w:tc>
          <w:tcPr>
            <w:tcW w:w="495" w:type="pct"/>
            <w:tcBorders>
              <w:top w:val="nil"/>
              <w:left w:val="nil"/>
              <w:bottom w:val="single" w:sz="4" w:space="0" w:color="auto"/>
              <w:right w:val="single" w:sz="4" w:space="0" w:color="auto"/>
            </w:tcBorders>
            <w:shd w:val="clear" w:color="auto" w:fill="auto"/>
            <w:vAlign w:val="center"/>
            <w:hideMark/>
          </w:tcPr>
          <w:p w14:paraId="393892B9" w14:textId="77777777" w:rsidR="00A920F6" w:rsidRPr="008F69A3" w:rsidRDefault="00A920F6" w:rsidP="00A920F6">
            <w:pPr>
              <w:spacing w:after="0" w:line="240" w:lineRule="auto"/>
              <w:jc w:val="center"/>
              <w:rPr>
                <w:rFonts w:eastAsia="Times New Roman" w:cs="Calibri"/>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4A618EF6"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551" w:type="pct"/>
            <w:tcBorders>
              <w:top w:val="nil"/>
              <w:left w:val="nil"/>
              <w:bottom w:val="single" w:sz="4" w:space="0" w:color="auto"/>
              <w:right w:val="single" w:sz="4" w:space="0" w:color="auto"/>
            </w:tcBorders>
            <w:shd w:val="clear" w:color="auto" w:fill="auto"/>
            <w:vAlign w:val="center"/>
            <w:hideMark/>
          </w:tcPr>
          <w:p w14:paraId="1BB63F59" w14:textId="77777777" w:rsidR="00A920F6" w:rsidRPr="008F69A3" w:rsidRDefault="00A920F6" w:rsidP="00A920F6">
            <w:pPr>
              <w:spacing w:after="0" w:line="240" w:lineRule="auto"/>
              <w:jc w:val="center"/>
              <w:rPr>
                <w:rFonts w:eastAsia="Times New Roman" w:cs="Calibri"/>
                <w:color w:val="000000"/>
                <w:sz w:val="20"/>
                <w:szCs w:val="20"/>
              </w:rPr>
            </w:pPr>
          </w:p>
        </w:tc>
        <w:tc>
          <w:tcPr>
            <w:tcW w:w="412" w:type="pct"/>
            <w:tcBorders>
              <w:top w:val="nil"/>
              <w:left w:val="nil"/>
              <w:bottom w:val="single" w:sz="4" w:space="0" w:color="auto"/>
              <w:right w:val="single" w:sz="4" w:space="0" w:color="auto"/>
            </w:tcBorders>
            <w:vAlign w:val="center"/>
          </w:tcPr>
          <w:p w14:paraId="39A8F3DA" w14:textId="77777777" w:rsidR="00A920F6" w:rsidRPr="008F69A3" w:rsidRDefault="00A920F6" w:rsidP="00A920F6">
            <w:pPr>
              <w:spacing w:after="0" w:line="240" w:lineRule="auto"/>
              <w:jc w:val="center"/>
              <w:rPr>
                <w:rFonts w:eastAsia="Times New Roman" w:cs="Calibri"/>
                <w:color w:val="000000"/>
                <w:sz w:val="20"/>
                <w:szCs w:val="20"/>
              </w:rPr>
            </w:pPr>
          </w:p>
        </w:tc>
      </w:tr>
      <w:tr w:rsidR="00A920F6" w:rsidRPr="008F69A3" w14:paraId="48FBC591" w14:textId="77777777" w:rsidTr="00A920F6">
        <w:trPr>
          <w:trHeight w:val="300"/>
        </w:trPr>
        <w:tc>
          <w:tcPr>
            <w:tcW w:w="631" w:type="pct"/>
            <w:vMerge/>
            <w:tcBorders>
              <w:left w:val="single" w:sz="4" w:space="0" w:color="auto"/>
              <w:right w:val="single" w:sz="4" w:space="0" w:color="auto"/>
            </w:tcBorders>
          </w:tcPr>
          <w:p w14:paraId="09973021" w14:textId="77777777" w:rsidR="00A920F6" w:rsidRPr="008F69A3" w:rsidRDefault="00A920F6" w:rsidP="00A920F6">
            <w:pPr>
              <w:spacing w:after="0" w:line="240" w:lineRule="auto"/>
              <w:rPr>
                <w:rFonts w:eastAsia="Times New Roman" w:cs="Calibri"/>
                <w:color w:val="000000"/>
                <w:sz w:val="20"/>
                <w:szCs w:val="20"/>
              </w:rPr>
            </w:pPr>
          </w:p>
        </w:tc>
        <w:tc>
          <w:tcPr>
            <w:tcW w:w="558" w:type="pct"/>
            <w:tcBorders>
              <w:top w:val="nil"/>
              <w:left w:val="single" w:sz="4" w:space="0" w:color="auto"/>
              <w:bottom w:val="single" w:sz="4" w:space="0" w:color="auto"/>
              <w:right w:val="single" w:sz="4" w:space="0" w:color="auto"/>
            </w:tcBorders>
            <w:shd w:val="clear" w:color="auto" w:fill="auto"/>
            <w:hideMark/>
          </w:tcPr>
          <w:p w14:paraId="081E06B5" w14:textId="77777777" w:rsidR="00A920F6" w:rsidRPr="008F69A3" w:rsidRDefault="00A920F6" w:rsidP="00A920F6">
            <w:pPr>
              <w:spacing w:after="0" w:line="240" w:lineRule="auto"/>
              <w:jc w:val="left"/>
              <w:rPr>
                <w:rFonts w:eastAsia="Times New Roman" w:cs="Calibri"/>
                <w:color w:val="000000"/>
                <w:sz w:val="20"/>
                <w:szCs w:val="20"/>
              </w:rPr>
            </w:pPr>
            <w:r w:rsidRPr="008F69A3">
              <w:rPr>
                <w:rFonts w:eastAsia="Times New Roman" w:cs="Calibri"/>
                <w:color w:val="000000"/>
                <w:sz w:val="20"/>
                <w:szCs w:val="20"/>
              </w:rPr>
              <w:t>x9</w:t>
            </w:r>
          </w:p>
        </w:tc>
        <w:tc>
          <w:tcPr>
            <w:tcW w:w="1057" w:type="pct"/>
            <w:tcBorders>
              <w:top w:val="nil"/>
              <w:left w:val="nil"/>
              <w:bottom w:val="single" w:sz="4" w:space="0" w:color="auto"/>
              <w:right w:val="single" w:sz="4" w:space="0" w:color="auto"/>
            </w:tcBorders>
            <w:shd w:val="clear" w:color="auto" w:fill="auto"/>
            <w:vAlign w:val="bottom"/>
            <w:hideMark/>
          </w:tcPr>
          <w:p w14:paraId="02F40162"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Število dni s snežno odejo</w:t>
            </w:r>
          </w:p>
        </w:tc>
        <w:tc>
          <w:tcPr>
            <w:tcW w:w="809" w:type="pct"/>
            <w:tcBorders>
              <w:top w:val="nil"/>
              <w:left w:val="nil"/>
              <w:bottom w:val="single" w:sz="4" w:space="0" w:color="auto"/>
              <w:right w:val="single" w:sz="4" w:space="0" w:color="auto"/>
            </w:tcBorders>
            <w:shd w:val="clear" w:color="auto" w:fill="auto"/>
            <w:vAlign w:val="center"/>
            <w:hideMark/>
          </w:tcPr>
          <w:p w14:paraId="65E5C5D8" w14:textId="77777777" w:rsidR="00A920F6" w:rsidRPr="008F69A3" w:rsidRDefault="00A920F6" w:rsidP="00A920F6">
            <w:pPr>
              <w:spacing w:after="0" w:line="240" w:lineRule="auto"/>
              <w:jc w:val="center"/>
              <w:rPr>
                <w:rFonts w:eastAsia="Times New Roman" w:cs="Calibri"/>
                <w:color w:val="000000"/>
                <w:sz w:val="20"/>
                <w:szCs w:val="20"/>
              </w:rPr>
            </w:pPr>
          </w:p>
        </w:tc>
        <w:tc>
          <w:tcPr>
            <w:tcW w:w="495" w:type="pct"/>
            <w:tcBorders>
              <w:top w:val="nil"/>
              <w:left w:val="nil"/>
              <w:bottom w:val="single" w:sz="4" w:space="0" w:color="auto"/>
              <w:right w:val="single" w:sz="4" w:space="0" w:color="auto"/>
            </w:tcBorders>
            <w:shd w:val="clear" w:color="auto" w:fill="auto"/>
            <w:vAlign w:val="center"/>
            <w:hideMark/>
          </w:tcPr>
          <w:p w14:paraId="3AE3E6FB"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487" w:type="pct"/>
            <w:tcBorders>
              <w:top w:val="nil"/>
              <w:left w:val="nil"/>
              <w:bottom w:val="single" w:sz="4" w:space="0" w:color="auto"/>
              <w:right w:val="single" w:sz="4" w:space="0" w:color="auto"/>
            </w:tcBorders>
            <w:shd w:val="clear" w:color="auto" w:fill="auto"/>
            <w:vAlign w:val="center"/>
            <w:hideMark/>
          </w:tcPr>
          <w:p w14:paraId="54211129" w14:textId="77777777" w:rsidR="00A920F6" w:rsidRPr="008F69A3" w:rsidRDefault="00A920F6" w:rsidP="00A920F6">
            <w:pPr>
              <w:spacing w:after="0" w:line="240" w:lineRule="auto"/>
              <w:jc w:val="center"/>
              <w:rPr>
                <w:rFonts w:eastAsia="Times New Roman" w:cs="Calibri"/>
                <w:color w:val="000000"/>
                <w:sz w:val="20"/>
                <w:szCs w:val="20"/>
              </w:rPr>
            </w:pPr>
          </w:p>
        </w:tc>
        <w:tc>
          <w:tcPr>
            <w:tcW w:w="551" w:type="pct"/>
            <w:tcBorders>
              <w:top w:val="nil"/>
              <w:left w:val="nil"/>
              <w:bottom w:val="single" w:sz="4" w:space="0" w:color="auto"/>
              <w:right w:val="single" w:sz="4" w:space="0" w:color="auto"/>
            </w:tcBorders>
            <w:shd w:val="clear" w:color="auto" w:fill="auto"/>
            <w:vAlign w:val="center"/>
            <w:hideMark/>
          </w:tcPr>
          <w:p w14:paraId="139C33E7" w14:textId="77777777" w:rsidR="00A920F6" w:rsidRPr="008F69A3" w:rsidRDefault="00A920F6" w:rsidP="00A920F6">
            <w:pPr>
              <w:spacing w:after="0" w:line="240" w:lineRule="auto"/>
              <w:jc w:val="center"/>
              <w:rPr>
                <w:rFonts w:eastAsia="Times New Roman" w:cs="Calibri"/>
                <w:color w:val="000000"/>
                <w:sz w:val="20"/>
                <w:szCs w:val="20"/>
              </w:rPr>
            </w:pPr>
          </w:p>
        </w:tc>
        <w:tc>
          <w:tcPr>
            <w:tcW w:w="412" w:type="pct"/>
            <w:tcBorders>
              <w:top w:val="nil"/>
              <w:left w:val="nil"/>
              <w:bottom w:val="single" w:sz="4" w:space="0" w:color="auto"/>
              <w:right w:val="single" w:sz="4" w:space="0" w:color="auto"/>
            </w:tcBorders>
            <w:vAlign w:val="center"/>
          </w:tcPr>
          <w:p w14:paraId="6A7FEEDF" w14:textId="77777777" w:rsidR="00A920F6" w:rsidRPr="008F69A3" w:rsidRDefault="00A920F6" w:rsidP="00A920F6">
            <w:pPr>
              <w:spacing w:after="0" w:line="240" w:lineRule="auto"/>
              <w:jc w:val="center"/>
              <w:rPr>
                <w:rFonts w:eastAsia="Times New Roman" w:cs="Calibri"/>
                <w:color w:val="000000"/>
                <w:sz w:val="20"/>
                <w:szCs w:val="20"/>
              </w:rPr>
            </w:pPr>
          </w:p>
        </w:tc>
      </w:tr>
      <w:tr w:rsidR="00A920F6" w:rsidRPr="008F69A3" w14:paraId="11E0E7D9" w14:textId="77777777" w:rsidTr="00A920F6">
        <w:trPr>
          <w:trHeight w:val="300"/>
        </w:trPr>
        <w:tc>
          <w:tcPr>
            <w:tcW w:w="631" w:type="pct"/>
            <w:vMerge/>
            <w:tcBorders>
              <w:left w:val="single" w:sz="4" w:space="0" w:color="auto"/>
              <w:right w:val="single" w:sz="4" w:space="0" w:color="auto"/>
            </w:tcBorders>
          </w:tcPr>
          <w:p w14:paraId="7DD71C5F" w14:textId="77777777" w:rsidR="00A920F6" w:rsidRDefault="00A920F6" w:rsidP="00A920F6">
            <w:pPr>
              <w:spacing w:after="0" w:line="240" w:lineRule="auto"/>
              <w:rPr>
                <w:rFonts w:eastAsia="Times New Roman" w:cs="Calibri"/>
                <w:color w:val="000000"/>
                <w:sz w:val="20"/>
                <w:szCs w:val="20"/>
              </w:rPr>
            </w:pPr>
          </w:p>
        </w:tc>
        <w:tc>
          <w:tcPr>
            <w:tcW w:w="558" w:type="pct"/>
            <w:tcBorders>
              <w:top w:val="nil"/>
              <w:left w:val="single" w:sz="4" w:space="0" w:color="auto"/>
              <w:bottom w:val="single" w:sz="4" w:space="0" w:color="auto"/>
              <w:right w:val="single" w:sz="4" w:space="0" w:color="auto"/>
            </w:tcBorders>
            <w:shd w:val="clear" w:color="auto" w:fill="auto"/>
          </w:tcPr>
          <w:p w14:paraId="40685A67" w14:textId="77777777" w:rsidR="00A920F6" w:rsidRPr="008F69A3" w:rsidRDefault="00A920F6" w:rsidP="00A920F6">
            <w:pPr>
              <w:spacing w:after="0" w:line="240" w:lineRule="auto"/>
              <w:jc w:val="left"/>
              <w:rPr>
                <w:rFonts w:eastAsia="Times New Roman" w:cs="Calibri"/>
                <w:color w:val="000000"/>
                <w:sz w:val="20"/>
                <w:szCs w:val="20"/>
              </w:rPr>
            </w:pPr>
            <w:r>
              <w:rPr>
                <w:rFonts w:eastAsia="Times New Roman" w:cs="Calibri"/>
                <w:color w:val="000000"/>
                <w:sz w:val="20"/>
                <w:szCs w:val="20"/>
              </w:rPr>
              <w:t>x10</w:t>
            </w:r>
          </w:p>
        </w:tc>
        <w:tc>
          <w:tcPr>
            <w:tcW w:w="1057" w:type="pct"/>
            <w:tcBorders>
              <w:top w:val="nil"/>
              <w:left w:val="nil"/>
              <w:bottom w:val="single" w:sz="4" w:space="0" w:color="auto"/>
              <w:right w:val="single" w:sz="4" w:space="0" w:color="auto"/>
            </w:tcBorders>
            <w:shd w:val="clear" w:color="auto" w:fill="auto"/>
            <w:vAlign w:val="bottom"/>
          </w:tcPr>
          <w:p w14:paraId="7E60FEDA" w14:textId="77777777" w:rsidR="00A920F6" w:rsidRPr="008F69A3" w:rsidRDefault="00A920F6" w:rsidP="00A920F6">
            <w:pPr>
              <w:spacing w:after="0" w:line="240" w:lineRule="auto"/>
              <w:rPr>
                <w:rFonts w:eastAsia="Times New Roman" w:cs="Calibri"/>
                <w:color w:val="000000"/>
                <w:sz w:val="20"/>
                <w:szCs w:val="20"/>
              </w:rPr>
            </w:pPr>
            <w:r>
              <w:rPr>
                <w:rFonts w:eastAsia="Times New Roman" w:cs="Calibri"/>
                <w:color w:val="000000"/>
                <w:sz w:val="20"/>
                <w:szCs w:val="20"/>
              </w:rPr>
              <w:t>Sunki vetra</w:t>
            </w:r>
          </w:p>
        </w:tc>
        <w:tc>
          <w:tcPr>
            <w:tcW w:w="809" w:type="pct"/>
            <w:tcBorders>
              <w:top w:val="nil"/>
              <w:left w:val="nil"/>
              <w:bottom w:val="single" w:sz="4" w:space="0" w:color="auto"/>
              <w:right w:val="single" w:sz="4" w:space="0" w:color="auto"/>
            </w:tcBorders>
            <w:shd w:val="clear" w:color="auto" w:fill="auto"/>
            <w:vAlign w:val="center"/>
          </w:tcPr>
          <w:p w14:paraId="6A1DDE70" w14:textId="77777777" w:rsidR="00A920F6" w:rsidRPr="008F69A3" w:rsidRDefault="00A920F6" w:rsidP="00A920F6">
            <w:pPr>
              <w:spacing w:after="0" w:line="240" w:lineRule="auto"/>
              <w:jc w:val="center"/>
              <w:rPr>
                <w:rFonts w:eastAsia="Times New Roman" w:cs="Calibri"/>
                <w:color w:val="000000"/>
                <w:sz w:val="20"/>
                <w:szCs w:val="20"/>
              </w:rPr>
            </w:pPr>
          </w:p>
        </w:tc>
        <w:tc>
          <w:tcPr>
            <w:tcW w:w="495" w:type="pct"/>
            <w:tcBorders>
              <w:top w:val="nil"/>
              <w:left w:val="nil"/>
              <w:bottom w:val="single" w:sz="4" w:space="0" w:color="auto"/>
              <w:right w:val="single" w:sz="4" w:space="0" w:color="auto"/>
            </w:tcBorders>
            <w:shd w:val="clear" w:color="auto" w:fill="auto"/>
            <w:vAlign w:val="center"/>
          </w:tcPr>
          <w:p w14:paraId="16EB6899" w14:textId="77777777" w:rsidR="00A920F6" w:rsidRPr="008F69A3" w:rsidRDefault="00A920F6" w:rsidP="00A920F6">
            <w:pPr>
              <w:spacing w:after="0" w:line="240" w:lineRule="auto"/>
              <w:jc w:val="center"/>
              <w:rPr>
                <w:rFonts w:eastAsia="Times New Roman" w:cs="Calibri"/>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tcPr>
          <w:p w14:paraId="60187D5D" w14:textId="77777777" w:rsidR="00A920F6" w:rsidRPr="008F69A3" w:rsidRDefault="00A920F6" w:rsidP="00A920F6">
            <w:pPr>
              <w:spacing w:after="0" w:line="240" w:lineRule="auto"/>
              <w:jc w:val="center"/>
              <w:rPr>
                <w:rFonts w:eastAsia="Times New Roman" w:cs="Calibri"/>
                <w:color w:val="000000"/>
                <w:sz w:val="20"/>
                <w:szCs w:val="20"/>
              </w:rPr>
            </w:pPr>
          </w:p>
        </w:tc>
        <w:tc>
          <w:tcPr>
            <w:tcW w:w="551" w:type="pct"/>
            <w:tcBorders>
              <w:top w:val="nil"/>
              <w:left w:val="nil"/>
              <w:bottom w:val="single" w:sz="4" w:space="0" w:color="auto"/>
              <w:right w:val="single" w:sz="4" w:space="0" w:color="auto"/>
            </w:tcBorders>
            <w:shd w:val="clear" w:color="auto" w:fill="auto"/>
            <w:vAlign w:val="center"/>
          </w:tcPr>
          <w:p w14:paraId="268E3313" w14:textId="77777777" w:rsidR="00A920F6" w:rsidRPr="008F69A3" w:rsidRDefault="00A920F6" w:rsidP="00A920F6">
            <w:pPr>
              <w:spacing w:after="0" w:line="240" w:lineRule="auto"/>
              <w:jc w:val="center"/>
              <w:rPr>
                <w:rFonts w:eastAsia="Times New Roman" w:cs="Calibri"/>
                <w:color w:val="000000"/>
                <w:sz w:val="20"/>
                <w:szCs w:val="20"/>
              </w:rPr>
            </w:pPr>
          </w:p>
        </w:tc>
        <w:tc>
          <w:tcPr>
            <w:tcW w:w="412" w:type="pct"/>
            <w:tcBorders>
              <w:top w:val="nil"/>
              <w:left w:val="nil"/>
              <w:bottom w:val="single" w:sz="4" w:space="0" w:color="auto"/>
              <w:right w:val="single" w:sz="4" w:space="0" w:color="auto"/>
            </w:tcBorders>
            <w:vAlign w:val="center"/>
          </w:tcPr>
          <w:p w14:paraId="384A3506"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r>
      <w:tr w:rsidR="00A920F6" w:rsidRPr="008F69A3" w14:paraId="58262C88" w14:textId="77777777" w:rsidTr="00A920F6">
        <w:trPr>
          <w:trHeight w:val="600"/>
        </w:trPr>
        <w:tc>
          <w:tcPr>
            <w:tcW w:w="631" w:type="pct"/>
            <w:vMerge/>
            <w:tcBorders>
              <w:left w:val="single" w:sz="4" w:space="0" w:color="auto"/>
              <w:right w:val="single" w:sz="4" w:space="0" w:color="auto"/>
            </w:tcBorders>
          </w:tcPr>
          <w:p w14:paraId="7C2B19F0" w14:textId="77777777" w:rsidR="00A920F6" w:rsidRPr="008F69A3" w:rsidRDefault="00A920F6" w:rsidP="00A920F6">
            <w:pPr>
              <w:spacing w:after="0" w:line="240" w:lineRule="auto"/>
              <w:rPr>
                <w:rFonts w:eastAsia="Times New Roman" w:cs="Calibri"/>
                <w:color w:val="000000"/>
                <w:sz w:val="20"/>
                <w:szCs w:val="20"/>
              </w:rPr>
            </w:pPr>
          </w:p>
        </w:tc>
        <w:tc>
          <w:tcPr>
            <w:tcW w:w="558" w:type="pct"/>
            <w:tcBorders>
              <w:top w:val="nil"/>
              <w:left w:val="single" w:sz="4" w:space="0" w:color="auto"/>
              <w:bottom w:val="single" w:sz="4" w:space="0" w:color="auto"/>
              <w:right w:val="single" w:sz="4" w:space="0" w:color="auto"/>
            </w:tcBorders>
            <w:shd w:val="clear" w:color="auto" w:fill="auto"/>
            <w:hideMark/>
          </w:tcPr>
          <w:p w14:paraId="1C8F0F8A" w14:textId="77777777" w:rsidR="00A920F6" w:rsidRPr="008F69A3" w:rsidRDefault="00A920F6" w:rsidP="00A920F6">
            <w:pPr>
              <w:spacing w:after="0" w:line="240" w:lineRule="auto"/>
              <w:jc w:val="left"/>
              <w:rPr>
                <w:rFonts w:eastAsia="Times New Roman" w:cs="Calibri"/>
                <w:color w:val="000000"/>
                <w:sz w:val="20"/>
                <w:szCs w:val="20"/>
              </w:rPr>
            </w:pPr>
            <w:r w:rsidRPr="008F69A3">
              <w:rPr>
                <w:rFonts w:eastAsia="Times New Roman" w:cs="Calibri"/>
                <w:color w:val="000000"/>
                <w:sz w:val="20"/>
                <w:szCs w:val="20"/>
              </w:rPr>
              <w:t>x1</w:t>
            </w:r>
            <w:r>
              <w:rPr>
                <w:rFonts w:eastAsia="Times New Roman" w:cs="Calibri"/>
                <w:color w:val="000000"/>
                <w:sz w:val="20"/>
                <w:szCs w:val="20"/>
              </w:rPr>
              <w:t>1</w:t>
            </w:r>
          </w:p>
        </w:tc>
        <w:tc>
          <w:tcPr>
            <w:tcW w:w="1057" w:type="pct"/>
            <w:tcBorders>
              <w:top w:val="nil"/>
              <w:left w:val="nil"/>
              <w:bottom w:val="single" w:sz="4" w:space="0" w:color="auto"/>
              <w:right w:val="single" w:sz="4" w:space="0" w:color="auto"/>
            </w:tcBorders>
            <w:shd w:val="clear" w:color="auto" w:fill="auto"/>
            <w:vAlign w:val="bottom"/>
            <w:hideMark/>
          </w:tcPr>
          <w:p w14:paraId="3753E4A5"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 xml:space="preserve">Delež poplavno ogroženih kmetijskih zemljišč </w:t>
            </w:r>
          </w:p>
        </w:tc>
        <w:tc>
          <w:tcPr>
            <w:tcW w:w="809" w:type="pct"/>
            <w:tcBorders>
              <w:top w:val="nil"/>
              <w:left w:val="nil"/>
              <w:bottom w:val="single" w:sz="4" w:space="0" w:color="auto"/>
              <w:right w:val="single" w:sz="4" w:space="0" w:color="auto"/>
            </w:tcBorders>
            <w:shd w:val="clear" w:color="auto" w:fill="auto"/>
            <w:vAlign w:val="center"/>
            <w:hideMark/>
          </w:tcPr>
          <w:p w14:paraId="28775AAB" w14:textId="77777777" w:rsidR="00A920F6" w:rsidRPr="008F69A3" w:rsidRDefault="00A920F6" w:rsidP="00A920F6">
            <w:pPr>
              <w:spacing w:after="0" w:line="240" w:lineRule="auto"/>
              <w:jc w:val="center"/>
              <w:rPr>
                <w:rFonts w:eastAsia="Times New Roman" w:cs="Calibri"/>
                <w:color w:val="000000"/>
                <w:sz w:val="20"/>
                <w:szCs w:val="20"/>
              </w:rPr>
            </w:pPr>
          </w:p>
        </w:tc>
        <w:tc>
          <w:tcPr>
            <w:tcW w:w="495" w:type="pct"/>
            <w:tcBorders>
              <w:top w:val="nil"/>
              <w:left w:val="nil"/>
              <w:bottom w:val="single" w:sz="4" w:space="0" w:color="auto"/>
              <w:right w:val="single" w:sz="4" w:space="0" w:color="auto"/>
            </w:tcBorders>
            <w:shd w:val="clear" w:color="auto" w:fill="auto"/>
            <w:vAlign w:val="center"/>
            <w:hideMark/>
          </w:tcPr>
          <w:p w14:paraId="05DE2BF7" w14:textId="77777777" w:rsidR="00A920F6" w:rsidRPr="008F69A3" w:rsidRDefault="00A920F6" w:rsidP="00A920F6">
            <w:pPr>
              <w:spacing w:after="0" w:line="240" w:lineRule="auto"/>
              <w:jc w:val="center"/>
              <w:rPr>
                <w:rFonts w:eastAsia="Times New Roman" w:cs="Calibri"/>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37494E0A" w14:textId="77777777" w:rsidR="00A920F6" w:rsidRPr="008F69A3" w:rsidRDefault="00A920F6" w:rsidP="00A920F6">
            <w:pPr>
              <w:spacing w:after="0" w:line="240" w:lineRule="auto"/>
              <w:jc w:val="center"/>
              <w:rPr>
                <w:rFonts w:eastAsia="Times New Roman" w:cs="Calibri"/>
                <w:color w:val="000000"/>
                <w:sz w:val="20"/>
                <w:szCs w:val="20"/>
              </w:rPr>
            </w:pPr>
          </w:p>
        </w:tc>
        <w:tc>
          <w:tcPr>
            <w:tcW w:w="551" w:type="pct"/>
            <w:tcBorders>
              <w:top w:val="nil"/>
              <w:left w:val="nil"/>
              <w:bottom w:val="single" w:sz="4" w:space="0" w:color="auto"/>
              <w:right w:val="single" w:sz="4" w:space="0" w:color="auto"/>
            </w:tcBorders>
            <w:shd w:val="clear" w:color="auto" w:fill="auto"/>
            <w:vAlign w:val="center"/>
            <w:hideMark/>
          </w:tcPr>
          <w:p w14:paraId="1243AF06"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412" w:type="pct"/>
            <w:tcBorders>
              <w:top w:val="nil"/>
              <w:left w:val="nil"/>
              <w:bottom w:val="single" w:sz="4" w:space="0" w:color="auto"/>
              <w:right w:val="single" w:sz="4" w:space="0" w:color="auto"/>
            </w:tcBorders>
            <w:vAlign w:val="center"/>
          </w:tcPr>
          <w:p w14:paraId="499E4768" w14:textId="77777777" w:rsidR="00A920F6" w:rsidRPr="008F69A3" w:rsidRDefault="00A920F6" w:rsidP="00A920F6">
            <w:pPr>
              <w:spacing w:after="0" w:line="240" w:lineRule="auto"/>
              <w:jc w:val="center"/>
              <w:rPr>
                <w:rFonts w:eastAsia="Times New Roman" w:cs="Calibri"/>
                <w:color w:val="000000"/>
                <w:sz w:val="20"/>
                <w:szCs w:val="20"/>
              </w:rPr>
            </w:pPr>
          </w:p>
        </w:tc>
      </w:tr>
      <w:tr w:rsidR="00A920F6" w:rsidRPr="008F69A3" w14:paraId="794232EF" w14:textId="77777777" w:rsidTr="00A920F6">
        <w:trPr>
          <w:trHeight w:val="300"/>
        </w:trPr>
        <w:tc>
          <w:tcPr>
            <w:tcW w:w="631" w:type="pct"/>
            <w:vMerge/>
            <w:tcBorders>
              <w:left w:val="single" w:sz="4" w:space="0" w:color="auto"/>
              <w:right w:val="single" w:sz="4" w:space="0" w:color="auto"/>
            </w:tcBorders>
          </w:tcPr>
          <w:p w14:paraId="4B874FBF" w14:textId="77777777" w:rsidR="00A920F6" w:rsidRPr="008F69A3" w:rsidRDefault="00A920F6" w:rsidP="00A920F6">
            <w:pPr>
              <w:spacing w:after="0" w:line="240" w:lineRule="auto"/>
              <w:rPr>
                <w:rFonts w:eastAsia="Times New Roman" w:cs="Calibri"/>
                <w:color w:val="000000"/>
                <w:sz w:val="20"/>
                <w:szCs w:val="20"/>
              </w:rPr>
            </w:pPr>
          </w:p>
        </w:tc>
        <w:tc>
          <w:tcPr>
            <w:tcW w:w="558" w:type="pct"/>
            <w:tcBorders>
              <w:top w:val="nil"/>
              <w:left w:val="single" w:sz="4" w:space="0" w:color="auto"/>
              <w:bottom w:val="single" w:sz="4" w:space="0" w:color="auto"/>
              <w:right w:val="single" w:sz="4" w:space="0" w:color="auto"/>
            </w:tcBorders>
            <w:shd w:val="clear" w:color="auto" w:fill="auto"/>
            <w:hideMark/>
          </w:tcPr>
          <w:p w14:paraId="210B3345" w14:textId="77777777" w:rsidR="00A920F6" w:rsidRPr="008F69A3" w:rsidRDefault="00A920F6" w:rsidP="00A920F6">
            <w:pPr>
              <w:spacing w:after="0" w:line="240" w:lineRule="auto"/>
              <w:jc w:val="left"/>
              <w:rPr>
                <w:rFonts w:eastAsia="Times New Roman" w:cs="Calibri"/>
                <w:color w:val="000000"/>
                <w:sz w:val="20"/>
                <w:szCs w:val="20"/>
              </w:rPr>
            </w:pPr>
            <w:r w:rsidRPr="008F69A3">
              <w:rPr>
                <w:rFonts w:eastAsia="Times New Roman" w:cs="Calibri"/>
                <w:color w:val="000000"/>
                <w:sz w:val="20"/>
                <w:szCs w:val="20"/>
              </w:rPr>
              <w:t>x1</w:t>
            </w:r>
            <w:r>
              <w:rPr>
                <w:rFonts w:eastAsia="Times New Roman" w:cs="Calibri"/>
                <w:color w:val="000000"/>
                <w:sz w:val="20"/>
                <w:szCs w:val="20"/>
              </w:rPr>
              <w:t>2</w:t>
            </w:r>
          </w:p>
        </w:tc>
        <w:tc>
          <w:tcPr>
            <w:tcW w:w="1057" w:type="pct"/>
            <w:tcBorders>
              <w:top w:val="nil"/>
              <w:left w:val="nil"/>
              <w:bottom w:val="single" w:sz="4" w:space="0" w:color="auto"/>
              <w:right w:val="single" w:sz="4" w:space="0" w:color="auto"/>
            </w:tcBorders>
            <w:shd w:val="clear" w:color="auto" w:fill="auto"/>
            <w:vAlign w:val="bottom"/>
            <w:hideMark/>
          </w:tcPr>
          <w:p w14:paraId="45BAB296"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 xml:space="preserve">Delež kmetijskih zemljišč z boniteto pod </w:t>
            </w:r>
            <w:r w:rsidRPr="00E154A7">
              <w:rPr>
                <w:rFonts w:eastAsia="Times New Roman" w:cs="Calibri"/>
                <w:color w:val="000000"/>
                <w:sz w:val="20"/>
                <w:szCs w:val="20"/>
              </w:rPr>
              <w:t>40</w:t>
            </w:r>
          </w:p>
        </w:tc>
        <w:tc>
          <w:tcPr>
            <w:tcW w:w="809" w:type="pct"/>
            <w:tcBorders>
              <w:top w:val="nil"/>
              <w:left w:val="nil"/>
              <w:bottom w:val="single" w:sz="4" w:space="0" w:color="auto"/>
              <w:right w:val="single" w:sz="4" w:space="0" w:color="auto"/>
            </w:tcBorders>
            <w:shd w:val="clear" w:color="auto" w:fill="auto"/>
            <w:vAlign w:val="center"/>
            <w:hideMark/>
          </w:tcPr>
          <w:p w14:paraId="2661FA23"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495" w:type="pct"/>
            <w:tcBorders>
              <w:top w:val="nil"/>
              <w:left w:val="nil"/>
              <w:bottom w:val="single" w:sz="4" w:space="0" w:color="auto"/>
              <w:right w:val="single" w:sz="4" w:space="0" w:color="auto"/>
            </w:tcBorders>
            <w:shd w:val="clear" w:color="auto" w:fill="auto"/>
            <w:vAlign w:val="center"/>
            <w:hideMark/>
          </w:tcPr>
          <w:p w14:paraId="17C5DBCC"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487" w:type="pct"/>
            <w:tcBorders>
              <w:top w:val="nil"/>
              <w:left w:val="nil"/>
              <w:bottom w:val="single" w:sz="4" w:space="0" w:color="auto"/>
              <w:right w:val="single" w:sz="4" w:space="0" w:color="auto"/>
            </w:tcBorders>
            <w:shd w:val="clear" w:color="auto" w:fill="auto"/>
            <w:vAlign w:val="center"/>
            <w:hideMark/>
          </w:tcPr>
          <w:p w14:paraId="1C8DD4BD"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551" w:type="pct"/>
            <w:tcBorders>
              <w:top w:val="nil"/>
              <w:left w:val="nil"/>
              <w:bottom w:val="single" w:sz="4" w:space="0" w:color="auto"/>
              <w:right w:val="single" w:sz="4" w:space="0" w:color="auto"/>
            </w:tcBorders>
            <w:shd w:val="clear" w:color="auto" w:fill="auto"/>
            <w:vAlign w:val="center"/>
            <w:hideMark/>
          </w:tcPr>
          <w:p w14:paraId="08270FE9" w14:textId="77777777" w:rsidR="00A920F6" w:rsidRPr="008F69A3" w:rsidRDefault="00A920F6" w:rsidP="00A920F6">
            <w:pPr>
              <w:spacing w:after="0" w:line="240" w:lineRule="auto"/>
              <w:jc w:val="center"/>
              <w:rPr>
                <w:rFonts w:eastAsia="Times New Roman" w:cs="Calibri"/>
                <w:color w:val="000000"/>
                <w:sz w:val="20"/>
                <w:szCs w:val="20"/>
              </w:rPr>
            </w:pPr>
          </w:p>
        </w:tc>
        <w:tc>
          <w:tcPr>
            <w:tcW w:w="412" w:type="pct"/>
            <w:tcBorders>
              <w:top w:val="nil"/>
              <w:left w:val="nil"/>
              <w:bottom w:val="single" w:sz="4" w:space="0" w:color="auto"/>
              <w:right w:val="single" w:sz="4" w:space="0" w:color="auto"/>
            </w:tcBorders>
            <w:vAlign w:val="center"/>
          </w:tcPr>
          <w:p w14:paraId="5D9A086D"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r>
      <w:tr w:rsidR="00A920F6" w:rsidRPr="008F69A3" w14:paraId="555CD5EA" w14:textId="77777777" w:rsidTr="00A920F6">
        <w:trPr>
          <w:trHeight w:val="900"/>
        </w:trPr>
        <w:tc>
          <w:tcPr>
            <w:tcW w:w="631" w:type="pct"/>
            <w:vMerge/>
            <w:tcBorders>
              <w:left w:val="single" w:sz="4" w:space="0" w:color="auto"/>
              <w:bottom w:val="single" w:sz="4" w:space="0" w:color="auto"/>
              <w:right w:val="single" w:sz="4" w:space="0" w:color="auto"/>
            </w:tcBorders>
          </w:tcPr>
          <w:p w14:paraId="7BA8E5E5" w14:textId="77777777" w:rsidR="00A920F6" w:rsidRPr="008F69A3" w:rsidRDefault="00A920F6" w:rsidP="00A920F6">
            <w:pPr>
              <w:spacing w:after="0" w:line="240" w:lineRule="auto"/>
              <w:rPr>
                <w:rFonts w:eastAsia="Times New Roman" w:cs="Calibri"/>
                <w:color w:val="000000"/>
                <w:sz w:val="20"/>
                <w:szCs w:val="20"/>
              </w:rPr>
            </w:pPr>
          </w:p>
        </w:tc>
        <w:tc>
          <w:tcPr>
            <w:tcW w:w="558" w:type="pct"/>
            <w:tcBorders>
              <w:top w:val="nil"/>
              <w:left w:val="single" w:sz="4" w:space="0" w:color="auto"/>
              <w:bottom w:val="single" w:sz="4" w:space="0" w:color="auto"/>
              <w:right w:val="single" w:sz="4" w:space="0" w:color="auto"/>
            </w:tcBorders>
            <w:shd w:val="clear" w:color="auto" w:fill="auto"/>
            <w:hideMark/>
          </w:tcPr>
          <w:p w14:paraId="198871C3" w14:textId="77777777" w:rsidR="00A920F6" w:rsidRPr="008F69A3" w:rsidRDefault="00A920F6" w:rsidP="00A920F6">
            <w:pPr>
              <w:spacing w:after="0" w:line="240" w:lineRule="auto"/>
              <w:jc w:val="left"/>
              <w:rPr>
                <w:rFonts w:eastAsia="Times New Roman" w:cs="Calibri"/>
                <w:color w:val="000000"/>
                <w:sz w:val="20"/>
                <w:szCs w:val="20"/>
              </w:rPr>
            </w:pPr>
            <w:r w:rsidRPr="008F69A3">
              <w:rPr>
                <w:rFonts w:eastAsia="Times New Roman" w:cs="Calibri"/>
                <w:color w:val="000000"/>
                <w:sz w:val="20"/>
                <w:szCs w:val="20"/>
              </w:rPr>
              <w:t>x1</w:t>
            </w:r>
            <w:r>
              <w:rPr>
                <w:rFonts w:eastAsia="Times New Roman" w:cs="Calibri"/>
                <w:color w:val="000000"/>
                <w:sz w:val="20"/>
                <w:szCs w:val="20"/>
              </w:rPr>
              <w:t>3</w:t>
            </w:r>
          </w:p>
        </w:tc>
        <w:tc>
          <w:tcPr>
            <w:tcW w:w="1057" w:type="pct"/>
            <w:tcBorders>
              <w:top w:val="nil"/>
              <w:left w:val="nil"/>
              <w:bottom w:val="single" w:sz="4" w:space="0" w:color="auto"/>
              <w:right w:val="single" w:sz="4" w:space="0" w:color="auto"/>
            </w:tcBorders>
            <w:shd w:val="clear" w:color="auto" w:fill="auto"/>
            <w:vAlign w:val="bottom"/>
            <w:hideMark/>
          </w:tcPr>
          <w:p w14:paraId="22810B27"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Delež kmetijskih zemljišč v uporabi v območjih z omejenimi možnostmi za kmetijsko dejavnost</w:t>
            </w:r>
          </w:p>
        </w:tc>
        <w:tc>
          <w:tcPr>
            <w:tcW w:w="809" w:type="pct"/>
            <w:tcBorders>
              <w:top w:val="nil"/>
              <w:left w:val="nil"/>
              <w:bottom w:val="single" w:sz="4" w:space="0" w:color="auto"/>
              <w:right w:val="single" w:sz="4" w:space="0" w:color="auto"/>
            </w:tcBorders>
            <w:shd w:val="clear" w:color="auto" w:fill="auto"/>
            <w:vAlign w:val="center"/>
            <w:hideMark/>
          </w:tcPr>
          <w:p w14:paraId="4B958B51" w14:textId="77777777" w:rsidR="00A920F6" w:rsidRPr="008F69A3" w:rsidRDefault="00A920F6" w:rsidP="00A920F6">
            <w:pPr>
              <w:spacing w:after="0" w:line="240" w:lineRule="auto"/>
              <w:jc w:val="center"/>
              <w:rPr>
                <w:rFonts w:eastAsia="Times New Roman" w:cs="Calibri"/>
                <w:color w:val="000000"/>
                <w:sz w:val="20"/>
                <w:szCs w:val="20"/>
              </w:rPr>
            </w:pPr>
          </w:p>
        </w:tc>
        <w:tc>
          <w:tcPr>
            <w:tcW w:w="495" w:type="pct"/>
            <w:tcBorders>
              <w:top w:val="nil"/>
              <w:left w:val="nil"/>
              <w:bottom w:val="single" w:sz="4" w:space="0" w:color="auto"/>
              <w:right w:val="single" w:sz="4" w:space="0" w:color="auto"/>
            </w:tcBorders>
            <w:shd w:val="clear" w:color="auto" w:fill="auto"/>
            <w:vAlign w:val="center"/>
            <w:hideMark/>
          </w:tcPr>
          <w:p w14:paraId="430E8C73"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487" w:type="pct"/>
            <w:tcBorders>
              <w:top w:val="nil"/>
              <w:left w:val="nil"/>
              <w:bottom w:val="single" w:sz="4" w:space="0" w:color="auto"/>
              <w:right w:val="single" w:sz="4" w:space="0" w:color="auto"/>
            </w:tcBorders>
            <w:shd w:val="clear" w:color="auto" w:fill="auto"/>
            <w:vAlign w:val="center"/>
            <w:hideMark/>
          </w:tcPr>
          <w:p w14:paraId="202EF271"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551" w:type="pct"/>
            <w:tcBorders>
              <w:top w:val="nil"/>
              <w:left w:val="nil"/>
              <w:bottom w:val="single" w:sz="4" w:space="0" w:color="auto"/>
              <w:right w:val="single" w:sz="4" w:space="0" w:color="auto"/>
            </w:tcBorders>
            <w:shd w:val="clear" w:color="auto" w:fill="auto"/>
            <w:vAlign w:val="center"/>
            <w:hideMark/>
          </w:tcPr>
          <w:p w14:paraId="4417AAA6" w14:textId="77777777" w:rsidR="00A920F6" w:rsidRPr="008F69A3" w:rsidRDefault="00A920F6" w:rsidP="00A920F6">
            <w:pPr>
              <w:spacing w:after="0" w:line="240" w:lineRule="auto"/>
              <w:jc w:val="center"/>
              <w:rPr>
                <w:rFonts w:eastAsia="Times New Roman" w:cs="Calibri"/>
                <w:color w:val="000000"/>
                <w:sz w:val="20"/>
                <w:szCs w:val="20"/>
              </w:rPr>
            </w:pPr>
          </w:p>
        </w:tc>
        <w:tc>
          <w:tcPr>
            <w:tcW w:w="412" w:type="pct"/>
            <w:tcBorders>
              <w:top w:val="nil"/>
              <w:left w:val="nil"/>
              <w:bottom w:val="single" w:sz="4" w:space="0" w:color="auto"/>
              <w:right w:val="single" w:sz="4" w:space="0" w:color="auto"/>
            </w:tcBorders>
            <w:vAlign w:val="center"/>
          </w:tcPr>
          <w:p w14:paraId="5AFA74B9"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r>
      <w:tr w:rsidR="00A920F6" w:rsidRPr="008F69A3" w14:paraId="5F9A534B" w14:textId="77777777" w:rsidTr="00A920F6">
        <w:trPr>
          <w:trHeight w:val="900"/>
        </w:trPr>
        <w:tc>
          <w:tcPr>
            <w:tcW w:w="631" w:type="pct"/>
            <w:vMerge w:val="restart"/>
            <w:tcBorders>
              <w:top w:val="nil"/>
              <w:left w:val="single" w:sz="4" w:space="0" w:color="auto"/>
              <w:right w:val="single" w:sz="4" w:space="0" w:color="auto"/>
            </w:tcBorders>
          </w:tcPr>
          <w:p w14:paraId="658763BF" w14:textId="77777777" w:rsidR="00A920F6" w:rsidRPr="008F69A3" w:rsidRDefault="00A920F6" w:rsidP="00A920F6">
            <w:pPr>
              <w:spacing w:after="0" w:line="240" w:lineRule="auto"/>
              <w:rPr>
                <w:rFonts w:eastAsia="Times New Roman" w:cs="Calibri"/>
                <w:color w:val="000000"/>
                <w:sz w:val="20"/>
                <w:szCs w:val="20"/>
              </w:rPr>
            </w:pPr>
            <w:proofErr w:type="spellStart"/>
            <w:r w:rsidRPr="008F69A3">
              <w:rPr>
                <w:rFonts w:eastAsia="Times New Roman" w:cs="Calibri"/>
                <w:color w:val="000000"/>
                <w:sz w:val="20"/>
                <w:szCs w:val="20"/>
              </w:rPr>
              <w:t>socio</w:t>
            </w:r>
            <w:proofErr w:type="spellEnd"/>
            <w:r w:rsidRPr="008F69A3">
              <w:rPr>
                <w:rFonts w:eastAsia="Times New Roman" w:cs="Calibri"/>
                <w:color w:val="000000"/>
                <w:sz w:val="20"/>
                <w:szCs w:val="20"/>
              </w:rPr>
              <w:t>-ekonomski dejavniki</w:t>
            </w:r>
          </w:p>
        </w:tc>
        <w:tc>
          <w:tcPr>
            <w:tcW w:w="558" w:type="pct"/>
            <w:tcBorders>
              <w:top w:val="nil"/>
              <w:left w:val="single" w:sz="4" w:space="0" w:color="auto"/>
              <w:bottom w:val="single" w:sz="4" w:space="0" w:color="auto"/>
              <w:right w:val="single" w:sz="4" w:space="0" w:color="auto"/>
            </w:tcBorders>
            <w:shd w:val="clear" w:color="auto" w:fill="auto"/>
            <w:hideMark/>
          </w:tcPr>
          <w:p w14:paraId="160A8C40" w14:textId="77777777" w:rsidR="00A920F6" w:rsidRPr="008F69A3" w:rsidRDefault="00A920F6" w:rsidP="00A920F6">
            <w:pPr>
              <w:spacing w:after="0" w:line="240" w:lineRule="auto"/>
              <w:jc w:val="left"/>
              <w:rPr>
                <w:rFonts w:eastAsia="Times New Roman" w:cs="Calibri"/>
                <w:color w:val="000000"/>
                <w:sz w:val="20"/>
                <w:szCs w:val="20"/>
              </w:rPr>
            </w:pPr>
            <w:r w:rsidRPr="008F69A3">
              <w:rPr>
                <w:rFonts w:eastAsia="Times New Roman" w:cs="Calibri"/>
                <w:color w:val="000000"/>
                <w:sz w:val="20"/>
                <w:szCs w:val="20"/>
              </w:rPr>
              <w:t>x1</w:t>
            </w:r>
            <w:r>
              <w:rPr>
                <w:rFonts w:eastAsia="Times New Roman" w:cs="Calibri"/>
                <w:color w:val="000000"/>
                <w:sz w:val="20"/>
                <w:szCs w:val="20"/>
              </w:rPr>
              <w:t>4</w:t>
            </w:r>
          </w:p>
        </w:tc>
        <w:tc>
          <w:tcPr>
            <w:tcW w:w="1057" w:type="pct"/>
            <w:tcBorders>
              <w:top w:val="nil"/>
              <w:left w:val="nil"/>
              <w:bottom w:val="single" w:sz="4" w:space="0" w:color="auto"/>
              <w:right w:val="single" w:sz="4" w:space="0" w:color="auto"/>
            </w:tcBorders>
            <w:shd w:val="clear" w:color="auto" w:fill="auto"/>
            <w:vAlign w:val="bottom"/>
            <w:hideMark/>
          </w:tcPr>
          <w:p w14:paraId="2DB34260"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 xml:space="preserve">Delež povprečne letne škode zaradi vremensko pogojenih naravnih nesreč v povprečnem bruto domačem proizvodu </w:t>
            </w:r>
          </w:p>
        </w:tc>
        <w:tc>
          <w:tcPr>
            <w:tcW w:w="809" w:type="pct"/>
            <w:tcBorders>
              <w:top w:val="nil"/>
              <w:left w:val="nil"/>
              <w:bottom w:val="single" w:sz="4" w:space="0" w:color="auto"/>
              <w:right w:val="single" w:sz="4" w:space="0" w:color="auto"/>
            </w:tcBorders>
            <w:shd w:val="clear" w:color="auto" w:fill="auto"/>
            <w:vAlign w:val="center"/>
            <w:hideMark/>
          </w:tcPr>
          <w:p w14:paraId="51062F85" w14:textId="77777777" w:rsidR="00A920F6" w:rsidRPr="008F69A3" w:rsidRDefault="00A920F6" w:rsidP="00A920F6">
            <w:pPr>
              <w:spacing w:after="0" w:line="240" w:lineRule="auto"/>
              <w:jc w:val="center"/>
              <w:rPr>
                <w:rFonts w:eastAsia="Times New Roman" w:cs="Calibri"/>
                <w:color w:val="000000"/>
                <w:sz w:val="20"/>
                <w:szCs w:val="20"/>
              </w:rPr>
            </w:pPr>
          </w:p>
        </w:tc>
        <w:tc>
          <w:tcPr>
            <w:tcW w:w="495" w:type="pct"/>
            <w:tcBorders>
              <w:top w:val="nil"/>
              <w:left w:val="nil"/>
              <w:bottom w:val="single" w:sz="4" w:space="0" w:color="auto"/>
              <w:right w:val="single" w:sz="4" w:space="0" w:color="auto"/>
            </w:tcBorders>
            <w:shd w:val="clear" w:color="auto" w:fill="auto"/>
            <w:vAlign w:val="center"/>
            <w:hideMark/>
          </w:tcPr>
          <w:p w14:paraId="7559E891"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487" w:type="pct"/>
            <w:tcBorders>
              <w:top w:val="nil"/>
              <w:left w:val="nil"/>
              <w:bottom w:val="single" w:sz="4" w:space="0" w:color="auto"/>
              <w:right w:val="single" w:sz="4" w:space="0" w:color="auto"/>
            </w:tcBorders>
            <w:shd w:val="clear" w:color="auto" w:fill="auto"/>
            <w:vAlign w:val="center"/>
            <w:hideMark/>
          </w:tcPr>
          <w:p w14:paraId="153BE80F" w14:textId="77777777" w:rsidR="00A920F6" w:rsidRPr="008F69A3" w:rsidRDefault="00A920F6" w:rsidP="00A920F6">
            <w:pPr>
              <w:spacing w:after="0" w:line="240" w:lineRule="auto"/>
              <w:jc w:val="center"/>
              <w:rPr>
                <w:rFonts w:eastAsia="Times New Roman" w:cs="Calibri"/>
                <w:color w:val="000000"/>
                <w:sz w:val="20"/>
                <w:szCs w:val="20"/>
              </w:rPr>
            </w:pPr>
          </w:p>
        </w:tc>
        <w:tc>
          <w:tcPr>
            <w:tcW w:w="551" w:type="pct"/>
            <w:tcBorders>
              <w:top w:val="nil"/>
              <w:left w:val="nil"/>
              <w:bottom w:val="single" w:sz="4" w:space="0" w:color="auto"/>
              <w:right w:val="single" w:sz="4" w:space="0" w:color="auto"/>
            </w:tcBorders>
            <w:shd w:val="clear" w:color="auto" w:fill="auto"/>
            <w:vAlign w:val="center"/>
            <w:hideMark/>
          </w:tcPr>
          <w:p w14:paraId="364231C9"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412" w:type="pct"/>
            <w:tcBorders>
              <w:top w:val="nil"/>
              <w:left w:val="nil"/>
              <w:bottom w:val="single" w:sz="4" w:space="0" w:color="auto"/>
              <w:right w:val="single" w:sz="4" w:space="0" w:color="auto"/>
            </w:tcBorders>
            <w:vAlign w:val="center"/>
          </w:tcPr>
          <w:p w14:paraId="247CB78D"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r>
      <w:tr w:rsidR="00A920F6" w:rsidRPr="008F69A3" w14:paraId="4991CC45" w14:textId="77777777" w:rsidTr="00A920F6">
        <w:trPr>
          <w:trHeight w:val="600"/>
        </w:trPr>
        <w:tc>
          <w:tcPr>
            <w:tcW w:w="631" w:type="pct"/>
            <w:vMerge/>
            <w:tcBorders>
              <w:left w:val="single" w:sz="4" w:space="0" w:color="auto"/>
              <w:right w:val="single" w:sz="4" w:space="0" w:color="auto"/>
            </w:tcBorders>
          </w:tcPr>
          <w:p w14:paraId="3E7A517E" w14:textId="77777777" w:rsidR="00A920F6" w:rsidRPr="008F69A3" w:rsidRDefault="00A920F6" w:rsidP="00A920F6">
            <w:pPr>
              <w:spacing w:after="0" w:line="240" w:lineRule="auto"/>
              <w:rPr>
                <w:rFonts w:eastAsia="Times New Roman" w:cs="Calibri"/>
                <w:color w:val="000000"/>
                <w:sz w:val="20"/>
                <w:szCs w:val="20"/>
              </w:rPr>
            </w:pPr>
          </w:p>
        </w:tc>
        <w:tc>
          <w:tcPr>
            <w:tcW w:w="558" w:type="pct"/>
            <w:tcBorders>
              <w:top w:val="nil"/>
              <w:left w:val="single" w:sz="4" w:space="0" w:color="auto"/>
              <w:bottom w:val="single" w:sz="4" w:space="0" w:color="auto"/>
              <w:right w:val="single" w:sz="4" w:space="0" w:color="auto"/>
            </w:tcBorders>
            <w:shd w:val="clear" w:color="auto" w:fill="auto"/>
            <w:hideMark/>
          </w:tcPr>
          <w:p w14:paraId="7595222A" w14:textId="77777777" w:rsidR="00A920F6" w:rsidRPr="008F69A3" w:rsidRDefault="00A920F6" w:rsidP="00A920F6">
            <w:pPr>
              <w:spacing w:after="0" w:line="240" w:lineRule="auto"/>
              <w:jc w:val="left"/>
              <w:rPr>
                <w:rFonts w:eastAsia="Times New Roman" w:cs="Calibri"/>
                <w:color w:val="000000"/>
                <w:sz w:val="20"/>
                <w:szCs w:val="20"/>
              </w:rPr>
            </w:pPr>
            <w:r w:rsidRPr="008F69A3">
              <w:rPr>
                <w:rFonts w:eastAsia="Times New Roman" w:cs="Calibri"/>
                <w:color w:val="000000"/>
                <w:sz w:val="20"/>
                <w:szCs w:val="20"/>
              </w:rPr>
              <w:t>x1</w:t>
            </w:r>
            <w:r>
              <w:rPr>
                <w:rFonts w:eastAsia="Times New Roman" w:cs="Calibri"/>
                <w:color w:val="000000"/>
                <w:sz w:val="20"/>
                <w:szCs w:val="20"/>
              </w:rPr>
              <w:t>5</w:t>
            </w:r>
          </w:p>
        </w:tc>
        <w:tc>
          <w:tcPr>
            <w:tcW w:w="1057" w:type="pct"/>
            <w:tcBorders>
              <w:top w:val="nil"/>
              <w:left w:val="nil"/>
              <w:bottom w:val="single" w:sz="4" w:space="0" w:color="auto"/>
              <w:right w:val="single" w:sz="4" w:space="0" w:color="auto"/>
            </w:tcBorders>
            <w:shd w:val="clear" w:color="auto" w:fill="auto"/>
            <w:vAlign w:val="bottom"/>
            <w:hideMark/>
          </w:tcPr>
          <w:p w14:paraId="754CABD3"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Indeks rasti števila zaposlenih v kmetijski dejavnosti</w:t>
            </w:r>
          </w:p>
        </w:tc>
        <w:tc>
          <w:tcPr>
            <w:tcW w:w="809" w:type="pct"/>
            <w:tcBorders>
              <w:top w:val="nil"/>
              <w:left w:val="nil"/>
              <w:bottom w:val="single" w:sz="4" w:space="0" w:color="auto"/>
              <w:right w:val="single" w:sz="4" w:space="0" w:color="auto"/>
            </w:tcBorders>
            <w:shd w:val="clear" w:color="auto" w:fill="auto"/>
            <w:vAlign w:val="center"/>
            <w:hideMark/>
          </w:tcPr>
          <w:p w14:paraId="1968C68D"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495" w:type="pct"/>
            <w:tcBorders>
              <w:top w:val="nil"/>
              <w:left w:val="nil"/>
              <w:bottom w:val="single" w:sz="4" w:space="0" w:color="auto"/>
              <w:right w:val="single" w:sz="4" w:space="0" w:color="auto"/>
            </w:tcBorders>
            <w:shd w:val="clear" w:color="auto" w:fill="auto"/>
            <w:vAlign w:val="center"/>
            <w:hideMark/>
          </w:tcPr>
          <w:p w14:paraId="6395BD4D" w14:textId="77777777" w:rsidR="00A920F6" w:rsidRPr="008F69A3" w:rsidRDefault="00A920F6" w:rsidP="00A920F6">
            <w:pPr>
              <w:spacing w:after="0" w:line="240" w:lineRule="auto"/>
              <w:jc w:val="center"/>
              <w:rPr>
                <w:rFonts w:eastAsia="Times New Roman" w:cs="Calibri"/>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028C2804" w14:textId="77777777" w:rsidR="00A920F6" w:rsidRPr="008F69A3" w:rsidRDefault="00A920F6" w:rsidP="00A920F6">
            <w:pPr>
              <w:spacing w:after="0" w:line="240" w:lineRule="auto"/>
              <w:jc w:val="center"/>
              <w:rPr>
                <w:rFonts w:eastAsia="Times New Roman" w:cs="Calibri"/>
                <w:color w:val="000000"/>
                <w:sz w:val="20"/>
                <w:szCs w:val="20"/>
              </w:rPr>
            </w:pPr>
          </w:p>
        </w:tc>
        <w:tc>
          <w:tcPr>
            <w:tcW w:w="551" w:type="pct"/>
            <w:tcBorders>
              <w:top w:val="nil"/>
              <w:left w:val="nil"/>
              <w:bottom w:val="single" w:sz="4" w:space="0" w:color="auto"/>
              <w:right w:val="single" w:sz="4" w:space="0" w:color="auto"/>
            </w:tcBorders>
            <w:shd w:val="clear" w:color="auto" w:fill="auto"/>
            <w:vAlign w:val="center"/>
            <w:hideMark/>
          </w:tcPr>
          <w:p w14:paraId="55E7CA4A" w14:textId="77777777" w:rsidR="00A920F6" w:rsidRPr="008F69A3" w:rsidRDefault="00A920F6" w:rsidP="00A920F6">
            <w:pPr>
              <w:spacing w:after="0" w:line="240" w:lineRule="auto"/>
              <w:jc w:val="center"/>
              <w:rPr>
                <w:rFonts w:eastAsia="Times New Roman" w:cs="Calibri"/>
                <w:color w:val="000000"/>
                <w:sz w:val="20"/>
                <w:szCs w:val="20"/>
              </w:rPr>
            </w:pPr>
          </w:p>
        </w:tc>
        <w:tc>
          <w:tcPr>
            <w:tcW w:w="412" w:type="pct"/>
            <w:tcBorders>
              <w:top w:val="nil"/>
              <w:left w:val="nil"/>
              <w:bottom w:val="single" w:sz="4" w:space="0" w:color="auto"/>
              <w:right w:val="single" w:sz="4" w:space="0" w:color="auto"/>
            </w:tcBorders>
            <w:vAlign w:val="center"/>
          </w:tcPr>
          <w:p w14:paraId="38485280" w14:textId="77777777" w:rsidR="00A920F6" w:rsidRPr="008F69A3" w:rsidRDefault="00A920F6" w:rsidP="00A920F6">
            <w:pPr>
              <w:spacing w:after="0" w:line="240" w:lineRule="auto"/>
              <w:jc w:val="center"/>
              <w:rPr>
                <w:rFonts w:eastAsia="Times New Roman" w:cs="Calibri"/>
                <w:color w:val="000000"/>
                <w:sz w:val="20"/>
                <w:szCs w:val="20"/>
              </w:rPr>
            </w:pPr>
          </w:p>
        </w:tc>
      </w:tr>
      <w:tr w:rsidR="00A920F6" w:rsidRPr="008F69A3" w14:paraId="490D418E" w14:textId="77777777" w:rsidTr="00A920F6">
        <w:trPr>
          <w:trHeight w:val="300"/>
        </w:trPr>
        <w:tc>
          <w:tcPr>
            <w:tcW w:w="631" w:type="pct"/>
            <w:vMerge/>
            <w:tcBorders>
              <w:left w:val="single" w:sz="4" w:space="0" w:color="auto"/>
              <w:right w:val="single" w:sz="4" w:space="0" w:color="auto"/>
            </w:tcBorders>
          </w:tcPr>
          <w:p w14:paraId="79564FC0" w14:textId="77777777" w:rsidR="00A920F6" w:rsidRPr="008F69A3" w:rsidRDefault="00A920F6" w:rsidP="00A920F6">
            <w:pPr>
              <w:spacing w:after="0" w:line="240" w:lineRule="auto"/>
              <w:rPr>
                <w:rFonts w:eastAsia="Times New Roman" w:cs="Calibri"/>
                <w:color w:val="000000"/>
                <w:sz w:val="20"/>
                <w:szCs w:val="20"/>
              </w:rPr>
            </w:pPr>
          </w:p>
        </w:tc>
        <w:tc>
          <w:tcPr>
            <w:tcW w:w="558" w:type="pct"/>
            <w:tcBorders>
              <w:top w:val="nil"/>
              <w:left w:val="single" w:sz="4" w:space="0" w:color="auto"/>
              <w:bottom w:val="single" w:sz="4" w:space="0" w:color="auto"/>
              <w:right w:val="single" w:sz="4" w:space="0" w:color="auto"/>
            </w:tcBorders>
            <w:shd w:val="clear" w:color="auto" w:fill="auto"/>
            <w:hideMark/>
          </w:tcPr>
          <w:p w14:paraId="7F3E6D09" w14:textId="77777777" w:rsidR="00A920F6" w:rsidRPr="008F69A3" w:rsidRDefault="00A920F6" w:rsidP="00A920F6">
            <w:pPr>
              <w:spacing w:after="0" w:line="240" w:lineRule="auto"/>
              <w:jc w:val="left"/>
              <w:rPr>
                <w:rFonts w:eastAsia="Times New Roman" w:cs="Calibri"/>
                <w:color w:val="000000"/>
                <w:sz w:val="20"/>
                <w:szCs w:val="20"/>
              </w:rPr>
            </w:pPr>
            <w:r w:rsidRPr="008F69A3">
              <w:rPr>
                <w:rFonts w:eastAsia="Times New Roman" w:cs="Calibri"/>
                <w:color w:val="000000"/>
                <w:sz w:val="20"/>
                <w:szCs w:val="20"/>
              </w:rPr>
              <w:t>x1</w:t>
            </w:r>
            <w:r>
              <w:rPr>
                <w:rFonts w:eastAsia="Times New Roman" w:cs="Calibri"/>
                <w:color w:val="000000"/>
                <w:sz w:val="20"/>
                <w:szCs w:val="20"/>
              </w:rPr>
              <w:t>6</w:t>
            </w:r>
          </w:p>
        </w:tc>
        <w:tc>
          <w:tcPr>
            <w:tcW w:w="1057" w:type="pct"/>
            <w:tcBorders>
              <w:top w:val="nil"/>
              <w:left w:val="nil"/>
              <w:bottom w:val="single" w:sz="4" w:space="0" w:color="auto"/>
              <w:right w:val="single" w:sz="4" w:space="0" w:color="auto"/>
            </w:tcBorders>
            <w:shd w:val="clear" w:color="auto" w:fill="auto"/>
            <w:vAlign w:val="bottom"/>
            <w:hideMark/>
          </w:tcPr>
          <w:p w14:paraId="18E9EEE1"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Indeks rasti kmetijskih zemljišč v uporabi</w:t>
            </w:r>
          </w:p>
        </w:tc>
        <w:tc>
          <w:tcPr>
            <w:tcW w:w="809" w:type="pct"/>
            <w:tcBorders>
              <w:top w:val="nil"/>
              <w:left w:val="nil"/>
              <w:bottom w:val="single" w:sz="4" w:space="0" w:color="auto"/>
              <w:right w:val="single" w:sz="4" w:space="0" w:color="auto"/>
            </w:tcBorders>
            <w:shd w:val="clear" w:color="auto" w:fill="auto"/>
            <w:vAlign w:val="center"/>
            <w:hideMark/>
          </w:tcPr>
          <w:p w14:paraId="617DE3E9" w14:textId="77777777" w:rsidR="00A920F6" w:rsidRPr="008F69A3" w:rsidRDefault="00A920F6" w:rsidP="00A920F6">
            <w:pPr>
              <w:spacing w:after="0" w:line="240" w:lineRule="auto"/>
              <w:jc w:val="center"/>
              <w:rPr>
                <w:rFonts w:eastAsia="Times New Roman" w:cs="Calibri"/>
                <w:color w:val="000000"/>
                <w:sz w:val="20"/>
                <w:szCs w:val="20"/>
              </w:rPr>
            </w:pPr>
          </w:p>
        </w:tc>
        <w:tc>
          <w:tcPr>
            <w:tcW w:w="495" w:type="pct"/>
            <w:tcBorders>
              <w:top w:val="nil"/>
              <w:left w:val="nil"/>
              <w:bottom w:val="single" w:sz="4" w:space="0" w:color="auto"/>
              <w:right w:val="single" w:sz="4" w:space="0" w:color="auto"/>
            </w:tcBorders>
            <w:shd w:val="clear" w:color="auto" w:fill="auto"/>
            <w:vAlign w:val="center"/>
            <w:hideMark/>
          </w:tcPr>
          <w:p w14:paraId="359D47FF" w14:textId="77777777" w:rsidR="00A920F6" w:rsidRPr="008F69A3" w:rsidRDefault="00A920F6" w:rsidP="00A920F6">
            <w:pPr>
              <w:spacing w:after="0" w:line="240" w:lineRule="auto"/>
              <w:jc w:val="center"/>
              <w:rPr>
                <w:rFonts w:eastAsia="Times New Roman" w:cs="Calibri"/>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6DDFE01E"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551" w:type="pct"/>
            <w:tcBorders>
              <w:top w:val="nil"/>
              <w:left w:val="nil"/>
              <w:bottom w:val="single" w:sz="4" w:space="0" w:color="auto"/>
              <w:right w:val="single" w:sz="4" w:space="0" w:color="auto"/>
            </w:tcBorders>
            <w:shd w:val="clear" w:color="auto" w:fill="auto"/>
            <w:vAlign w:val="center"/>
            <w:hideMark/>
          </w:tcPr>
          <w:p w14:paraId="40A5E0F9" w14:textId="77777777" w:rsidR="00A920F6" w:rsidRPr="008F69A3" w:rsidRDefault="00A920F6" w:rsidP="00A920F6">
            <w:pPr>
              <w:spacing w:after="0" w:line="240" w:lineRule="auto"/>
              <w:jc w:val="center"/>
              <w:rPr>
                <w:rFonts w:eastAsia="Times New Roman" w:cs="Calibri"/>
                <w:color w:val="000000"/>
                <w:sz w:val="20"/>
                <w:szCs w:val="20"/>
              </w:rPr>
            </w:pPr>
          </w:p>
        </w:tc>
        <w:tc>
          <w:tcPr>
            <w:tcW w:w="412" w:type="pct"/>
            <w:tcBorders>
              <w:top w:val="nil"/>
              <w:left w:val="nil"/>
              <w:bottom w:val="single" w:sz="4" w:space="0" w:color="auto"/>
              <w:right w:val="single" w:sz="4" w:space="0" w:color="auto"/>
            </w:tcBorders>
            <w:vAlign w:val="center"/>
          </w:tcPr>
          <w:p w14:paraId="36B496E3" w14:textId="77777777" w:rsidR="00A920F6" w:rsidRPr="008F69A3" w:rsidRDefault="00A920F6" w:rsidP="00A920F6">
            <w:pPr>
              <w:spacing w:after="0" w:line="240" w:lineRule="auto"/>
              <w:jc w:val="center"/>
              <w:rPr>
                <w:rFonts w:eastAsia="Times New Roman" w:cs="Calibri"/>
                <w:color w:val="000000"/>
                <w:sz w:val="20"/>
                <w:szCs w:val="20"/>
              </w:rPr>
            </w:pPr>
          </w:p>
        </w:tc>
      </w:tr>
      <w:tr w:rsidR="00A920F6" w:rsidRPr="008F69A3" w14:paraId="56C89130" w14:textId="77777777" w:rsidTr="00A920F6">
        <w:trPr>
          <w:trHeight w:val="600"/>
        </w:trPr>
        <w:tc>
          <w:tcPr>
            <w:tcW w:w="631" w:type="pct"/>
            <w:vMerge/>
            <w:tcBorders>
              <w:left w:val="single" w:sz="4" w:space="0" w:color="auto"/>
              <w:right w:val="single" w:sz="4" w:space="0" w:color="auto"/>
            </w:tcBorders>
          </w:tcPr>
          <w:p w14:paraId="1C98BC2E" w14:textId="77777777" w:rsidR="00A920F6" w:rsidRPr="008F69A3" w:rsidRDefault="00A920F6" w:rsidP="00A920F6">
            <w:pPr>
              <w:spacing w:after="0" w:line="240" w:lineRule="auto"/>
              <w:rPr>
                <w:rFonts w:eastAsia="Times New Roman" w:cs="Calibri"/>
                <w:color w:val="000000"/>
                <w:sz w:val="20"/>
                <w:szCs w:val="20"/>
              </w:rPr>
            </w:pPr>
          </w:p>
        </w:tc>
        <w:tc>
          <w:tcPr>
            <w:tcW w:w="558" w:type="pct"/>
            <w:tcBorders>
              <w:top w:val="nil"/>
              <w:left w:val="single" w:sz="4" w:space="0" w:color="auto"/>
              <w:bottom w:val="single" w:sz="4" w:space="0" w:color="auto"/>
              <w:right w:val="single" w:sz="4" w:space="0" w:color="auto"/>
            </w:tcBorders>
            <w:shd w:val="clear" w:color="auto" w:fill="auto"/>
            <w:hideMark/>
          </w:tcPr>
          <w:p w14:paraId="2A77F127" w14:textId="77777777" w:rsidR="00A920F6" w:rsidRPr="008F69A3" w:rsidRDefault="00A920F6" w:rsidP="00A920F6">
            <w:pPr>
              <w:spacing w:after="0" w:line="240" w:lineRule="auto"/>
              <w:jc w:val="left"/>
              <w:rPr>
                <w:rFonts w:eastAsia="Times New Roman" w:cs="Calibri"/>
                <w:color w:val="000000"/>
                <w:sz w:val="20"/>
                <w:szCs w:val="20"/>
              </w:rPr>
            </w:pPr>
            <w:r w:rsidRPr="008F69A3">
              <w:rPr>
                <w:rFonts w:eastAsia="Times New Roman" w:cs="Calibri"/>
                <w:color w:val="000000"/>
                <w:sz w:val="20"/>
                <w:szCs w:val="20"/>
              </w:rPr>
              <w:t>x1</w:t>
            </w:r>
            <w:r>
              <w:rPr>
                <w:rFonts w:eastAsia="Times New Roman" w:cs="Calibri"/>
                <w:color w:val="000000"/>
                <w:sz w:val="20"/>
                <w:szCs w:val="20"/>
              </w:rPr>
              <w:t>7</w:t>
            </w:r>
          </w:p>
        </w:tc>
        <w:tc>
          <w:tcPr>
            <w:tcW w:w="1057" w:type="pct"/>
            <w:tcBorders>
              <w:top w:val="nil"/>
              <w:left w:val="nil"/>
              <w:bottom w:val="single" w:sz="4" w:space="0" w:color="auto"/>
              <w:right w:val="single" w:sz="4" w:space="0" w:color="auto"/>
            </w:tcBorders>
            <w:shd w:val="clear" w:color="auto" w:fill="auto"/>
            <w:vAlign w:val="bottom"/>
            <w:hideMark/>
          </w:tcPr>
          <w:p w14:paraId="566B20BC"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Povprečna starost nosilca kmetijskega gospodarstva</w:t>
            </w:r>
          </w:p>
        </w:tc>
        <w:tc>
          <w:tcPr>
            <w:tcW w:w="809" w:type="pct"/>
            <w:tcBorders>
              <w:top w:val="nil"/>
              <w:left w:val="nil"/>
              <w:bottom w:val="single" w:sz="4" w:space="0" w:color="auto"/>
              <w:right w:val="single" w:sz="4" w:space="0" w:color="auto"/>
            </w:tcBorders>
            <w:shd w:val="clear" w:color="auto" w:fill="auto"/>
            <w:vAlign w:val="center"/>
            <w:hideMark/>
          </w:tcPr>
          <w:p w14:paraId="66D3B5A5"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495" w:type="pct"/>
            <w:tcBorders>
              <w:top w:val="nil"/>
              <w:left w:val="nil"/>
              <w:bottom w:val="single" w:sz="4" w:space="0" w:color="auto"/>
              <w:right w:val="single" w:sz="4" w:space="0" w:color="auto"/>
            </w:tcBorders>
            <w:shd w:val="clear" w:color="auto" w:fill="auto"/>
            <w:vAlign w:val="center"/>
            <w:hideMark/>
          </w:tcPr>
          <w:p w14:paraId="62EC639D" w14:textId="77777777" w:rsidR="00A920F6" w:rsidRPr="008F69A3" w:rsidRDefault="00A920F6" w:rsidP="00A920F6">
            <w:pPr>
              <w:spacing w:after="0" w:line="240" w:lineRule="auto"/>
              <w:jc w:val="center"/>
              <w:rPr>
                <w:rFonts w:eastAsia="Times New Roman" w:cs="Calibri"/>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21B674B9" w14:textId="77777777" w:rsidR="00A920F6" w:rsidRPr="008F69A3" w:rsidRDefault="00A920F6" w:rsidP="00A920F6">
            <w:pPr>
              <w:spacing w:after="0" w:line="240" w:lineRule="auto"/>
              <w:jc w:val="center"/>
              <w:rPr>
                <w:rFonts w:eastAsia="Times New Roman" w:cs="Calibri"/>
                <w:color w:val="000000"/>
                <w:sz w:val="20"/>
                <w:szCs w:val="20"/>
              </w:rPr>
            </w:pPr>
          </w:p>
        </w:tc>
        <w:tc>
          <w:tcPr>
            <w:tcW w:w="551" w:type="pct"/>
            <w:tcBorders>
              <w:top w:val="nil"/>
              <w:left w:val="nil"/>
              <w:bottom w:val="single" w:sz="4" w:space="0" w:color="auto"/>
              <w:right w:val="single" w:sz="4" w:space="0" w:color="auto"/>
            </w:tcBorders>
            <w:shd w:val="clear" w:color="auto" w:fill="auto"/>
            <w:vAlign w:val="center"/>
            <w:hideMark/>
          </w:tcPr>
          <w:p w14:paraId="6FA8AC41" w14:textId="77777777" w:rsidR="00A920F6" w:rsidRPr="008F69A3" w:rsidRDefault="00A920F6" w:rsidP="00A920F6">
            <w:pPr>
              <w:spacing w:after="0" w:line="240" w:lineRule="auto"/>
              <w:jc w:val="center"/>
              <w:rPr>
                <w:rFonts w:eastAsia="Times New Roman" w:cs="Calibri"/>
                <w:color w:val="000000"/>
                <w:sz w:val="20"/>
                <w:szCs w:val="20"/>
              </w:rPr>
            </w:pPr>
          </w:p>
        </w:tc>
        <w:tc>
          <w:tcPr>
            <w:tcW w:w="412" w:type="pct"/>
            <w:tcBorders>
              <w:top w:val="nil"/>
              <w:left w:val="nil"/>
              <w:bottom w:val="single" w:sz="4" w:space="0" w:color="auto"/>
              <w:right w:val="single" w:sz="4" w:space="0" w:color="auto"/>
            </w:tcBorders>
            <w:vAlign w:val="center"/>
          </w:tcPr>
          <w:p w14:paraId="34E52BA8" w14:textId="77777777" w:rsidR="00A920F6" w:rsidRPr="008F69A3" w:rsidRDefault="00A920F6" w:rsidP="00A920F6">
            <w:pPr>
              <w:spacing w:after="0" w:line="240" w:lineRule="auto"/>
              <w:jc w:val="center"/>
              <w:rPr>
                <w:rFonts w:eastAsia="Times New Roman" w:cs="Calibri"/>
                <w:color w:val="000000"/>
                <w:sz w:val="20"/>
                <w:szCs w:val="20"/>
              </w:rPr>
            </w:pPr>
          </w:p>
        </w:tc>
      </w:tr>
      <w:tr w:rsidR="00A920F6" w:rsidRPr="008F69A3" w14:paraId="3670475A" w14:textId="77777777" w:rsidTr="00A920F6">
        <w:trPr>
          <w:trHeight w:val="600"/>
        </w:trPr>
        <w:tc>
          <w:tcPr>
            <w:tcW w:w="631" w:type="pct"/>
            <w:vMerge/>
            <w:tcBorders>
              <w:left w:val="single" w:sz="4" w:space="0" w:color="auto"/>
              <w:bottom w:val="single" w:sz="4" w:space="0" w:color="auto"/>
              <w:right w:val="single" w:sz="4" w:space="0" w:color="auto"/>
            </w:tcBorders>
          </w:tcPr>
          <w:p w14:paraId="6776D160" w14:textId="77777777" w:rsidR="00A920F6" w:rsidRPr="008F69A3" w:rsidRDefault="00A920F6" w:rsidP="00A920F6">
            <w:pPr>
              <w:spacing w:after="0" w:line="240" w:lineRule="auto"/>
              <w:rPr>
                <w:rFonts w:eastAsia="Times New Roman" w:cs="Calibri"/>
                <w:color w:val="000000"/>
                <w:sz w:val="20"/>
                <w:szCs w:val="20"/>
              </w:rPr>
            </w:pPr>
          </w:p>
        </w:tc>
        <w:tc>
          <w:tcPr>
            <w:tcW w:w="558" w:type="pct"/>
            <w:tcBorders>
              <w:top w:val="nil"/>
              <w:left w:val="single" w:sz="4" w:space="0" w:color="auto"/>
              <w:bottom w:val="single" w:sz="4" w:space="0" w:color="auto"/>
              <w:right w:val="single" w:sz="4" w:space="0" w:color="auto"/>
            </w:tcBorders>
            <w:shd w:val="clear" w:color="auto" w:fill="auto"/>
            <w:hideMark/>
          </w:tcPr>
          <w:p w14:paraId="544B4224" w14:textId="77777777" w:rsidR="00A920F6" w:rsidRPr="008F69A3" w:rsidRDefault="00A920F6" w:rsidP="00A920F6">
            <w:pPr>
              <w:spacing w:after="0" w:line="240" w:lineRule="auto"/>
              <w:jc w:val="left"/>
              <w:rPr>
                <w:rFonts w:eastAsia="Times New Roman" w:cs="Calibri"/>
                <w:color w:val="000000"/>
                <w:sz w:val="20"/>
                <w:szCs w:val="20"/>
              </w:rPr>
            </w:pPr>
            <w:r w:rsidRPr="008F69A3">
              <w:rPr>
                <w:rFonts w:eastAsia="Times New Roman" w:cs="Calibri"/>
                <w:color w:val="000000"/>
                <w:sz w:val="20"/>
                <w:szCs w:val="20"/>
              </w:rPr>
              <w:t>x1</w:t>
            </w:r>
            <w:r>
              <w:rPr>
                <w:rFonts w:eastAsia="Times New Roman" w:cs="Calibri"/>
                <w:color w:val="000000"/>
                <w:sz w:val="20"/>
                <w:szCs w:val="20"/>
              </w:rPr>
              <w:t>8</w:t>
            </w:r>
          </w:p>
        </w:tc>
        <w:tc>
          <w:tcPr>
            <w:tcW w:w="1057" w:type="pct"/>
            <w:tcBorders>
              <w:top w:val="nil"/>
              <w:left w:val="nil"/>
              <w:bottom w:val="single" w:sz="4" w:space="0" w:color="auto"/>
              <w:right w:val="single" w:sz="4" w:space="0" w:color="auto"/>
            </w:tcBorders>
            <w:shd w:val="clear" w:color="auto" w:fill="auto"/>
            <w:vAlign w:val="bottom"/>
            <w:hideMark/>
          </w:tcPr>
          <w:p w14:paraId="663538FD" w14:textId="77777777" w:rsidR="00A920F6" w:rsidRPr="008F69A3" w:rsidRDefault="00A920F6" w:rsidP="00A920F6">
            <w:pPr>
              <w:spacing w:after="0" w:line="240" w:lineRule="auto"/>
              <w:rPr>
                <w:rFonts w:eastAsia="Times New Roman" w:cs="Calibri"/>
                <w:color w:val="000000"/>
                <w:sz w:val="20"/>
                <w:szCs w:val="20"/>
              </w:rPr>
            </w:pPr>
            <w:r w:rsidRPr="008F69A3">
              <w:rPr>
                <w:rFonts w:eastAsia="Times New Roman" w:cs="Calibri"/>
                <w:color w:val="000000"/>
                <w:sz w:val="20"/>
                <w:szCs w:val="20"/>
              </w:rPr>
              <w:t xml:space="preserve">Povprečna starost članov kmetijskega gospodarstva </w:t>
            </w:r>
          </w:p>
        </w:tc>
        <w:tc>
          <w:tcPr>
            <w:tcW w:w="809" w:type="pct"/>
            <w:tcBorders>
              <w:top w:val="nil"/>
              <w:left w:val="nil"/>
              <w:bottom w:val="single" w:sz="4" w:space="0" w:color="auto"/>
              <w:right w:val="single" w:sz="4" w:space="0" w:color="auto"/>
            </w:tcBorders>
            <w:shd w:val="clear" w:color="auto" w:fill="auto"/>
            <w:vAlign w:val="center"/>
            <w:hideMark/>
          </w:tcPr>
          <w:p w14:paraId="22D840EA" w14:textId="77777777" w:rsidR="00A920F6" w:rsidRPr="008F69A3" w:rsidRDefault="00A920F6" w:rsidP="00A920F6">
            <w:pPr>
              <w:spacing w:after="0" w:line="240" w:lineRule="auto"/>
              <w:jc w:val="center"/>
              <w:rPr>
                <w:rFonts w:eastAsia="Times New Roman" w:cs="Calibri"/>
                <w:color w:val="000000"/>
                <w:sz w:val="20"/>
                <w:szCs w:val="20"/>
              </w:rPr>
            </w:pPr>
            <w:r>
              <w:rPr>
                <w:rFonts w:eastAsia="Times New Roman" w:cs="Calibri"/>
                <w:color w:val="000000"/>
                <w:sz w:val="20"/>
                <w:szCs w:val="20"/>
              </w:rPr>
              <w:t>+</w:t>
            </w:r>
          </w:p>
        </w:tc>
        <w:tc>
          <w:tcPr>
            <w:tcW w:w="495" w:type="pct"/>
            <w:tcBorders>
              <w:top w:val="nil"/>
              <w:left w:val="nil"/>
              <w:bottom w:val="single" w:sz="4" w:space="0" w:color="auto"/>
              <w:right w:val="single" w:sz="4" w:space="0" w:color="auto"/>
            </w:tcBorders>
            <w:shd w:val="clear" w:color="auto" w:fill="auto"/>
            <w:vAlign w:val="center"/>
            <w:hideMark/>
          </w:tcPr>
          <w:p w14:paraId="5D3F2646" w14:textId="77777777" w:rsidR="00A920F6" w:rsidRPr="008F69A3" w:rsidRDefault="00A920F6" w:rsidP="00A920F6">
            <w:pPr>
              <w:spacing w:after="0" w:line="240" w:lineRule="auto"/>
              <w:jc w:val="center"/>
              <w:rPr>
                <w:rFonts w:eastAsia="Times New Roman" w:cs="Calibri"/>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5AAC4064" w14:textId="77777777" w:rsidR="00A920F6" w:rsidRPr="008F69A3" w:rsidRDefault="00A920F6" w:rsidP="00A920F6">
            <w:pPr>
              <w:spacing w:after="0" w:line="240" w:lineRule="auto"/>
              <w:jc w:val="center"/>
              <w:rPr>
                <w:rFonts w:eastAsia="Times New Roman" w:cs="Calibri"/>
                <w:color w:val="000000"/>
                <w:sz w:val="20"/>
                <w:szCs w:val="20"/>
              </w:rPr>
            </w:pPr>
          </w:p>
        </w:tc>
        <w:tc>
          <w:tcPr>
            <w:tcW w:w="551" w:type="pct"/>
            <w:tcBorders>
              <w:top w:val="nil"/>
              <w:left w:val="nil"/>
              <w:bottom w:val="single" w:sz="4" w:space="0" w:color="auto"/>
              <w:right w:val="single" w:sz="4" w:space="0" w:color="auto"/>
            </w:tcBorders>
            <w:shd w:val="clear" w:color="auto" w:fill="auto"/>
            <w:vAlign w:val="center"/>
            <w:hideMark/>
          </w:tcPr>
          <w:p w14:paraId="1D2F2AED" w14:textId="77777777" w:rsidR="00A920F6" w:rsidRPr="008F69A3" w:rsidRDefault="00A920F6" w:rsidP="00A920F6">
            <w:pPr>
              <w:spacing w:after="0" w:line="240" w:lineRule="auto"/>
              <w:jc w:val="center"/>
              <w:rPr>
                <w:rFonts w:eastAsia="Times New Roman" w:cs="Calibri"/>
                <w:color w:val="000000"/>
                <w:sz w:val="20"/>
                <w:szCs w:val="20"/>
              </w:rPr>
            </w:pPr>
          </w:p>
        </w:tc>
        <w:tc>
          <w:tcPr>
            <w:tcW w:w="412" w:type="pct"/>
            <w:tcBorders>
              <w:top w:val="nil"/>
              <w:left w:val="nil"/>
              <w:bottom w:val="single" w:sz="4" w:space="0" w:color="auto"/>
              <w:right w:val="single" w:sz="4" w:space="0" w:color="auto"/>
            </w:tcBorders>
            <w:vAlign w:val="center"/>
          </w:tcPr>
          <w:p w14:paraId="358E7D78" w14:textId="77777777" w:rsidR="00A920F6" w:rsidRPr="008F69A3" w:rsidRDefault="00A920F6" w:rsidP="00A920F6">
            <w:pPr>
              <w:spacing w:after="0" w:line="240" w:lineRule="auto"/>
              <w:jc w:val="center"/>
              <w:rPr>
                <w:rFonts w:eastAsia="Times New Roman" w:cs="Calibri"/>
                <w:color w:val="000000"/>
                <w:sz w:val="20"/>
                <w:szCs w:val="20"/>
              </w:rPr>
            </w:pPr>
          </w:p>
        </w:tc>
      </w:tr>
    </w:tbl>
    <w:p w14:paraId="0C6E0A9C" w14:textId="77777777" w:rsidR="00A920F6" w:rsidRDefault="00A920F6" w:rsidP="00A920F6">
      <w:r>
        <w:t xml:space="preserve">Nadalje smo za vsak kazalnik ranljivosti izbrali najprimernejše spremenljivke PKP in izračunali njihovo povprečje. Pri kazalniku 'suša – zaloge vode' smo izbrali vse spremenljivke PKP, pri ostalih štirih pa vse razen deleža kmetijskih zemljišč z namakalnimi sistemi. </w:t>
      </w:r>
      <w:r w:rsidRPr="007C14F2">
        <w:t>Kazalnik ranljivosti je na koncu določen kot povprečje pripadajočega potencialnega vpliva in sposobnosti prilagajanja, povprečje vseh petih kazalnikov ranljivosti pa določa skupno ranljivost kmetijstva.</w:t>
      </w:r>
      <w:r>
        <w:t xml:space="preserve"> Rezultati obeh faz so primerljivi, zato smo za prikaz uporabili samo drugo fazo.</w:t>
      </w:r>
    </w:p>
    <w:p w14:paraId="10CAB2ED" w14:textId="77777777" w:rsidR="004A4840" w:rsidRDefault="004A4840" w:rsidP="005913CE"/>
    <w:p w14:paraId="1DB1294C" w14:textId="77777777" w:rsidR="005913CE" w:rsidRPr="006C4B53" w:rsidRDefault="005913CE" w:rsidP="005913CE">
      <w:pPr>
        <w:pStyle w:val="Naslov3"/>
      </w:pPr>
      <w:bookmarkStart w:id="126" w:name="_Toc44656937"/>
      <w:bookmarkStart w:id="127" w:name="_Toc48724555"/>
      <w:bookmarkStart w:id="128" w:name="_Toc97026748"/>
      <w:r w:rsidRPr="006C4B53">
        <w:t>Zakonodajni okvir</w:t>
      </w:r>
      <w:r>
        <w:t xml:space="preserve"> za sektor kmetijstvo</w:t>
      </w:r>
      <w:bookmarkEnd w:id="126"/>
      <w:bookmarkEnd w:id="127"/>
      <w:bookmarkEnd w:id="128"/>
    </w:p>
    <w:p w14:paraId="308A03A7" w14:textId="77777777" w:rsidR="005913CE" w:rsidRPr="006C4B53" w:rsidRDefault="005913CE" w:rsidP="00A920F6">
      <w:r w:rsidRPr="006C4B53">
        <w:t xml:space="preserve">Zakonodajni okvir, </w:t>
      </w:r>
      <w:proofErr w:type="spellStart"/>
      <w:r w:rsidRPr="006C4B53">
        <w:t>okoljski</w:t>
      </w:r>
      <w:proofErr w:type="spellEnd"/>
      <w:r w:rsidRPr="006C4B53">
        <w:t xml:space="preserve"> cilji</w:t>
      </w:r>
    </w:p>
    <w:p w14:paraId="2696BC27" w14:textId="77777777" w:rsidR="00A920F6" w:rsidRPr="006C4B53" w:rsidRDefault="00A920F6" w:rsidP="00A920F6">
      <w:bookmarkStart w:id="129" w:name="_Toc39744524"/>
      <w:bookmarkStart w:id="130" w:name="_Ref41550647"/>
      <w:bookmarkStart w:id="131" w:name="_Toc48724556"/>
      <w:bookmarkStart w:id="132" w:name="_Ref59179919"/>
      <w:r w:rsidRPr="006C4B53">
        <w:t xml:space="preserve">Dolgoročni cilj slovenskega kmetijstva v prihodnosti z vidika uspešnega upravljanja s podnebnimi spremembami je obvladovanje emisij toplogrednih plinov (TGP), ob hkratnem povečanju samooskrbe z zdravo in kakovostno hrano in ohranjanju kmetijskih površin v uporabi. Kmetijstvo je eden izmed virov emisij TGP in je v letu 2016 predstavljalo 15,9 % vseh emisij v sektorjih EU ETS. K izpustom iz kmetijstva največ prispevata metan in </w:t>
      </w:r>
      <w:proofErr w:type="spellStart"/>
      <w:r w:rsidRPr="006C4B53">
        <w:t>didušikov</w:t>
      </w:r>
      <w:proofErr w:type="spellEnd"/>
      <w:r w:rsidRPr="006C4B53">
        <w:t xml:space="preserve"> oksid (skupaj preko 90 % emisij iz kmetijstva), nekaj pa še CO</w:t>
      </w:r>
      <w:r w:rsidRPr="006C4B53">
        <w:rPr>
          <w:vertAlign w:val="subscript"/>
        </w:rPr>
        <w:t>2</w:t>
      </w:r>
      <w:r w:rsidRPr="006C4B53">
        <w:t xml:space="preserve"> ter posredno amonijak (MKGP, 2020</w:t>
      </w:r>
      <w:r>
        <w:t>d</w:t>
      </w:r>
      <w:r w:rsidRPr="006C4B53">
        <w:t>).</w:t>
      </w:r>
    </w:p>
    <w:p w14:paraId="7FBCE9EC" w14:textId="77777777" w:rsidR="00A920F6" w:rsidRPr="006C4B53" w:rsidRDefault="00A920F6" w:rsidP="00A920F6">
      <w:r w:rsidRPr="006C4B53">
        <w:lastRenderedPageBreak/>
        <w:t xml:space="preserve">Področje podnebnih sprememb v kmetijstvu je naslovljeno v Resoluciji: </w:t>
      </w:r>
      <w:r>
        <w:t>'</w:t>
      </w:r>
      <w:r w:rsidRPr="006C4B53">
        <w:t>Naša hrana, podeželje in naravni viri</w:t>
      </w:r>
      <w:r>
        <w:t xml:space="preserve"> po 2021' in tudi v '</w:t>
      </w:r>
      <w:r w:rsidRPr="006C4B53">
        <w:t>Strateškem načrtu skup</w:t>
      </w:r>
      <w:r>
        <w:t>ne kmetijske politike 2021-2027', ki je podlaga za pripravo novega Programa razvoja podeželja (PRP) za omenjeno obdobje</w:t>
      </w:r>
      <w:r w:rsidRPr="006C4B53">
        <w:t xml:space="preserve">. V obeh dokumentih MKGP obravnava podnebne spremembe celovito, tako z vidika blaženja (zmanjšanje izpustov toplogrednih plinov) kot tudi samega prilagajanja (npr. namakanje, protitočne mreže) </w:t>
      </w:r>
      <w:r w:rsidRPr="00E300DE">
        <w:t>ter z ukrepi v okviru programa razvoja podeželja</w:t>
      </w:r>
      <w:r w:rsidRPr="006C4B53">
        <w:t xml:space="preserve">. </w:t>
      </w:r>
    </w:p>
    <w:p w14:paraId="0D670710" w14:textId="77777777" w:rsidR="00A920F6" w:rsidRPr="006C4B53" w:rsidRDefault="00A920F6" w:rsidP="00A920F6">
      <w:pPr>
        <w:spacing w:after="0"/>
      </w:pPr>
      <w:r w:rsidRPr="006C4B53">
        <w:t>V Resoluciji</w:t>
      </w:r>
      <w:r>
        <w:t xml:space="preserve"> '</w:t>
      </w:r>
      <w:r w:rsidRPr="006C4B53">
        <w:t>Naša hrana, podeželje in naravni viri po 2021</w:t>
      </w:r>
      <w:r>
        <w:t>'</w:t>
      </w:r>
      <w:r w:rsidRPr="006C4B53">
        <w:t xml:space="preserve"> se postavlja nov koncept, ki v ospredje postavlja zahteve in pričakovanja družbe do kmetijstva z vidika zagotavljanja varne in kakovostne hrane, varovanja naravnih virov in odziva na podnebne spremembe ter ohranjanja vitalnega podeželja. Podnebne spremembe se naslavljajo v okviru cilja Trajnostno upravljanje z naravnimi viri in zagotavljanje javnih dobrin, kjer se je opredelilo naslednje specifične cilje: </w:t>
      </w:r>
    </w:p>
    <w:p w14:paraId="44869BE5" w14:textId="77777777" w:rsidR="00A920F6" w:rsidRPr="006C4B53" w:rsidRDefault="00A920F6" w:rsidP="00A920F6">
      <w:pPr>
        <w:spacing w:after="0"/>
      </w:pPr>
      <w:r w:rsidRPr="006C4B53">
        <w:t>·</w:t>
      </w:r>
      <w:r w:rsidRPr="006C4B53">
        <w:tab/>
        <w:t xml:space="preserve">zmanjšanje negativnih vplivov na vode, tla in zrak; </w:t>
      </w:r>
    </w:p>
    <w:p w14:paraId="7B178B09" w14:textId="77777777" w:rsidR="00A920F6" w:rsidRPr="006C4B53" w:rsidRDefault="00A920F6" w:rsidP="00A920F6">
      <w:r w:rsidRPr="006C4B53">
        <w:t>·</w:t>
      </w:r>
      <w:r w:rsidRPr="006C4B53">
        <w:tab/>
        <w:t xml:space="preserve">blaženje podnebnih sprememb in prilagajanje nanje; </w:t>
      </w:r>
    </w:p>
    <w:p w14:paraId="513DD938" w14:textId="77777777" w:rsidR="00A920F6" w:rsidRPr="006C4B53" w:rsidRDefault="00A920F6" w:rsidP="00A920F6">
      <w:r w:rsidRPr="006C4B53">
        <w:t xml:space="preserve">Poseben izziv je prilagajanje pridelave in prireje na podnebne spremembe. Resolucija določa, da bomo v shemah za okolje in podnebje podprli tehnološke ukrepe, ki zmanjšujejo emisije toplogrednih plinov, tako pri rastlinski pridelavi kot živinoreji, oziroma povečujejo ponore ogljika. Spodbujali bomo tehnologijo krmljenja v živinoreji, ki zmanjšuje razmerja med vloženo energijo in izpusti. Podprte bodo tehnologije za dvig vsebnosti organske snovi v tleh, izboljšanje rodovitnosti tal, optimizacijo gnojenja in tehnik obdelave tal za zadrževanje vode v tleh ob sušnih obdobjih in za preprečevanje erozije </w:t>
      </w:r>
      <w:r w:rsidRPr="00C92FEE">
        <w:t>(MKGP, 2020d).</w:t>
      </w:r>
    </w:p>
    <w:p w14:paraId="4CC32A69" w14:textId="77777777" w:rsidR="00A920F6" w:rsidRPr="006C4B53" w:rsidRDefault="00A920F6" w:rsidP="00A920F6">
      <w:r w:rsidRPr="006C4B53">
        <w:t xml:space="preserve">Za uvedbo teh mehanizmov v prakso je ključen prenos znanja tako na kmetijska kot na nekmetijska področja. Še naprej bomo izvajali tudi ukrepe aktivne zaščite pridelave in prireje prek naložb, ki zmanjšujejo tveganja, kot so spodbujanje pridelave v zaprtih prostorih, namakanje, </w:t>
      </w:r>
      <w:proofErr w:type="spellStart"/>
      <w:r w:rsidRPr="006C4B53">
        <w:t>oroševanje</w:t>
      </w:r>
      <w:proofErr w:type="spellEnd"/>
      <w:r w:rsidRPr="006C4B53">
        <w:t xml:space="preserve">, mreže v trajnih nasadih, pa tudi druge nove tehnološke </w:t>
      </w:r>
      <w:r w:rsidRPr="00987D3A">
        <w:t>rešitve (SKP, 2020).</w:t>
      </w:r>
    </w:p>
    <w:p w14:paraId="763EDBA7" w14:textId="77777777" w:rsidR="00A920F6" w:rsidRPr="006C4B53" w:rsidRDefault="00A920F6" w:rsidP="00A920F6">
      <w:r w:rsidRPr="006C4B53">
        <w:t>Resolucija, ki sledi Predlogu Uredbe o pravilih za strateške načrte, določa tri splošne in devet specifičnih ciljev Skupne kmetijske politike (SKP</w:t>
      </w:r>
      <w:r>
        <w:t>, 2020</w:t>
      </w:r>
      <w:r w:rsidRPr="006C4B53">
        <w:t>) po 2021, ki jih morajo države članice zasledovati v svojih strateških načrtih SKP preko intervencij oz. ukrepov na področju neposrednih plačil in sektorskih programov ter politike r</w:t>
      </w:r>
      <w:r>
        <w:t>azvoja podeželja</w:t>
      </w:r>
      <w:r w:rsidRPr="006C4B53">
        <w:t>. Cilji Skupne kmetijske politike za obdobje 2021</w:t>
      </w:r>
      <w:r>
        <w:rPr>
          <w:rFonts w:asciiTheme="minorHAnsi" w:hAnsiTheme="minorHAnsi"/>
        </w:rPr>
        <w:t>–</w:t>
      </w:r>
      <w:r w:rsidRPr="006C4B53">
        <w:t>2027 so naslednji:</w:t>
      </w:r>
    </w:p>
    <w:p w14:paraId="647D89E1" w14:textId="77777777" w:rsidR="00A920F6" w:rsidRPr="006C4B53" w:rsidRDefault="00A920F6" w:rsidP="00A920F6">
      <w:pPr>
        <w:spacing w:after="0"/>
      </w:pPr>
      <w:r w:rsidRPr="006C4B53">
        <w:rPr>
          <w:bCs/>
        </w:rPr>
        <w:t>SKP 2021</w:t>
      </w:r>
      <w:r>
        <w:rPr>
          <w:rFonts w:asciiTheme="minorHAnsi" w:hAnsiTheme="minorHAnsi"/>
        </w:rPr>
        <w:t>–</w:t>
      </w:r>
      <w:r w:rsidRPr="006C4B53">
        <w:rPr>
          <w:bCs/>
        </w:rPr>
        <w:t>2027 splošni cilji:</w:t>
      </w:r>
    </w:p>
    <w:p w14:paraId="3F1F7273" w14:textId="77777777" w:rsidR="00A920F6" w:rsidRPr="006C4B53" w:rsidRDefault="00A920F6" w:rsidP="00F90C17">
      <w:pPr>
        <w:numPr>
          <w:ilvl w:val="0"/>
          <w:numId w:val="11"/>
        </w:numPr>
        <w:spacing w:after="0"/>
      </w:pPr>
      <w:r w:rsidRPr="006C4B53">
        <w:t>spodbujanje prehranske varnosti;</w:t>
      </w:r>
    </w:p>
    <w:p w14:paraId="5D9C56EC" w14:textId="77777777" w:rsidR="00A920F6" w:rsidRDefault="00A920F6" w:rsidP="00F90C17">
      <w:pPr>
        <w:numPr>
          <w:ilvl w:val="0"/>
          <w:numId w:val="11"/>
        </w:numPr>
        <w:spacing w:after="0"/>
      </w:pPr>
      <w:r w:rsidRPr="006C4B53">
        <w:t>krepitev skrbi za okolje in podnebnih ukrepov;</w:t>
      </w:r>
    </w:p>
    <w:p w14:paraId="4318AA67" w14:textId="7360A4BA" w:rsidR="00A920F6" w:rsidRDefault="00A920F6" w:rsidP="00F90C17">
      <w:pPr>
        <w:numPr>
          <w:ilvl w:val="0"/>
          <w:numId w:val="11"/>
        </w:numPr>
        <w:ind w:left="714" w:hanging="357"/>
      </w:pPr>
      <w:r w:rsidRPr="006C4B53">
        <w:t>krepitev podeželskih območij.</w:t>
      </w:r>
    </w:p>
    <w:p w14:paraId="244E17EC" w14:textId="77777777" w:rsidR="00A920F6" w:rsidRPr="006C4B53" w:rsidRDefault="00A920F6" w:rsidP="00A920F6">
      <w:pPr>
        <w:spacing w:after="0"/>
      </w:pPr>
      <w:r w:rsidRPr="006C4B53">
        <w:rPr>
          <w:bCs/>
        </w:rPr>
        <w:t>SKP 2021</w:t>
      </w:r>
      <w:r>
        <w:rPr>
          <w:rFonts w:asciiTheme="minorHAnsi" w:hAnsiTheme="minorHAnsi"/>
        </w:rPr>
        <w:t>–</w:t>
      </w:r>
      <w:r w:rsidRPr="006C4B53">
        <w:rPr>
          <w:bCs/>
        </w:rPr>
        <w:t>202</w:t>
      </w:r>
      <w:r w:rsidRPr="00A920F6">
        <w:t>7 specifični cilji</w:t>
      </w:r>
      <w:r w:rsidRPr="006C4B53">
        <w:rPr>
          <w:bCs/>
        </w:rPr>
        <w:t>:</w:t>
      </w:r>
    </w:p>
    <w:p w14:paraId="62F87ECA" w14:textId="77777777" w:rsidR="00A920F6" w:rsidRPr="006C4B53" w:rsidRDefault="00A920F6" w:rsidP="00F90C17">
      <w:pPr>
        <w:numPr>
          <w:ilvl w:val="0"/>
          <w:numId w:val="10"/>
        </w:numPr>
        <w:spacing w:after="0"/>
        <w:ind w:left="714" w:hanging="357"/>
      </w:pPr>
      <w:r w:rsidRPr="006C4B53">
        <w:t>podpora za vzdržne dohodke in odpornost kmetij po vsem ozemlju EU za večjo prehransko varnost;</w:t>
      </w:r>
    </w:p>
    <w:p w14:paraId="72250537" w14:textId="77777777" w:rsidR="00A920F6" w:rsidRPr="006C4B53" w:rsidRDefault="00A920F6" w:rsidP="00F90C17">
      <w:pPr>
        <w:numPr>
          <w:ilvl w:val="0"/>
          <w:numId w:val="10"/>
        </w:numPr>
        <w:spacing w:after="0"/>
        <w:ind w:left="714" w:hanging="357"/>
      </w:pPr>
      <w:r w:rsidRPr="006C4B53">
        <w:t>krepitev tržne usmerjenosti in povečanje konkurenčnosti, tudi z večjim poudarkom na raziskavah, tehnologiji in digitalizaciji;</w:t>
      </w:r>
    </w:p>
    <w:p w14:paraId="1145F629" w14:textId="77777777" w:rsidR="00A920F6" w:rsidRPr="006C4B53" w:rsidRDefault="00A920F6" w:rsidP="00F90C17">
      <w:pPr>
        <w:numPr>
          <w:ilvl w:val="0"/>
          <w:numId w:val="10"/>
        </w:numPr>
        <w:spacing w:after="0"/>
        <w:ind w:left="714" w:hanging="357"/>
      </w:pPr>
      <w:r w:rsidRPr="006C4B53">
        <w:t>izboljšanje položaja kmetov v vrednostni verigi;</w:t>
      </w:r>
    </w:p>
    <w:p w14:paraId="44013B04" w14:textId="77777777" w:rsidR="00A920F6" w:rsidRPr="006C4B53" w:rsidRDefault="00A920F6" w:rsidP="00F90C17">
      <w:pPr>
        <w:numPr>
          <w:ilvl w:val="0"/>
          <w:numId w:val="10"/>
        </w:numPr>
        <w:spacing w:after="0"/>
        <w:ind w:left="714" w:hanging="357"/>
      </w:pPr>
      <w:r w:rsidRPr="006C4B53">
        <w:t>prispevanje k blažitvi podnebnih sprememb in prilagajanju nanje ter k trajnostni energiji;</w:t>
      </w:r>
    </w:p>
    <w:p w14:paraId="7E41E429" w14:textId="77777777" w:rsidR="00A920F6" w:rsidRPr="006C4B53" w:rsidRDefault="00A920F6" w:rsidP="00F90C17">
      <w:pPr>
        <w:numPr>
          <w:ilvl w:val="0"/>
          <w:numId w:val="10"/>
        </w:numPr>
        <w:spacing w:after="0"/>
        <w:ind w:left="714" w:hanging="357"/>
      </w:pPr>
      <w:r w:rsidRPr="006C4B53">
        <w:t>spodbujanje trajnostnega upravljanja naravnih virov, kot so voda, tla in zrak;</w:t>
      </w:r>
    </w:p>
    <w:p w14:paraId="40DB05AF" w14:textId="77777777" w:rsidR="00A920F6" w:rsidRPr="006C4B53" w:rsidRDefault="00A920F6" w:rsidP="00F90C17">
      <w:pPr>
        <w:numPr>
          <w:ilvl w:val="0"/>
          <w:numId w:val="10"/>
        </w:numPr>
        <w:spacing w:after="0"/>
        <w:ind w:left="714" w:hanging="357"/>
      </w:pPr>
      <w:r w:rsidRPr="006C4B53">
        <w:t>prispevanje k varstvu biotske raznovrstnosti;</w:t>
      </w:r>
    </w:p>
    <w:p w14:paraId="2D75F01A" w14:textId="77777777" w:rsidR="00A920F6" w:rsidRPr="006C4B53" w:rsidRDefault="00A920F6" w:rsidP="00F90C17">
      <w:pPr>
        <w:numPr>
          <w:ilvl w:val="0"/>
          <w:numId w:val="10"/>
        </w:numPr>
        <w:spacing w:after="0"/>
        <w:ind w:left="714" w:hanging="357"/>
      </w:pPr>
      <w:r w:rsidRPr="006C4B53">
        <w:lastRenderedPageBreak/>
        <w:t>privabljanje mladih kmetov in spodbujanje razvoja podjetij na podeželskih območjih;</w:t>
      </w:r>
    </w:p>
    <w:p w14:paraId="2088F402" w14:textId="77777777" w:rsidR="00A920F6" w:rsidRPr="006C4B53" w:rsidRDefault="00A920F6" w:rsidP="00F90C17">
      <w:pPr>
        <w:numPr>
          <w:ilvl w:val="0"/>
          <w:numId w:val="10"/>
        </w:numPr>
        <w:spacing w:after="0"/>
        <w:ind w:left="714" w:hanging="357"/>
      </w:pPr>
      <w:r w:rsidRPr="006C4B53">
        <w:t xml:space="preserve">spodbujanje zaposlovanja, rasti, socialne vključenosti in lokalnega razvoja na podeželskih območjih, vključno z </w:t>
      </w:r>
      <w:proofErr w:type="spellStart"/>
      <w:r w:rsidRPr="006C4B53">
        <w:t>biogospodarstvom</w:t>
      </w:r>
      <w:proofErr w:type="spellEnd"/>
      <w:r w:rsidRPr="006C4B53">
        <w:t xml:space="preserve"> in trajnostnim gozdarstvom;</w:t>
      </w:r>
    </w:p>
    <w:p w14:paraId="4105AD0B" w14:textId="77777777" w:rsidR="00A920F6" w:rsidRPr="006C4B53" w:rsidRDefault="00A920F6" w:rsidP="00F90C17">
      <w:pPr>
        <w:numPr>
          <w:ilvl w:val="0"/>
          <w:numId w:val="10"/>
        </w:numPr>
        <w:spacing w:after="240"/>
        <w:ind w:left="714" w:hanging="357"/>
      </w:pPr>
      <w:r w:rsidRPr="006C4B53">
        <w:t xml:space="preserve">izboljšanje </w:t>
      </w:r>
      <w:r w:rsidRPr="00A920F6">
        <w:t>odziva kmetijstva</w:t>
      </w:r>
      <w:r w:rsidRPr="006C4B53">
        <w:t xml:space="preserve"> EU na potrebe družbe po hrani in zdravju, vključno z zdravo hrano ter dobrobitjo živali. </w:t>
      </w:r>
    </w:p>
    <w:p w14:paraId="11CC614E" w14:textId="77777777" w:rsidR="00A920F6" w:rsidRPr="006C4B53" w:rsidRDefault="00A920F6" w:rsidP="00A920F6">
      <w:r w:rsidRPr="006C4B53">
        <w:t>Podnebne spremembe so v strateške</w:t>
      </w:r>
      <w:r>
        <w:t>m</w:t>
      </w:r>
      <w:r w:rsidRPr="006C4B53">
        <w:t xml:space="preserve"> načrtu del splošnega cilja 2: krepitev skrbi za okolje in podnebnih ukrepov ter prispevanje k doseganju ciljev Unije, povezanih z okoljem in podnebjem. Bolj neposredno pa so naslovljene v specifičnem cilju d. prispevanje k blažitvi podnebnih sprememb in prilagajanju nanje ter k trajnostni energiji. Cilji so skladni z usmeritvami in cilji Resolucije o strateških usmeritvah razvoja slovenskega kmetijstva in živilstva do leta 2020 - »Zagotovimo.si hrano za jutri« in petimi strateškimi stebri prilagajanja, ki so opredeljeni v Strategiji prilagajanja slovenskega kmetijstva in gozdarstva podnebnim spremembam (</w:t>
      </w:r>
      <w:r>
        <w:t>SKP</w:t>
      </w:r>
      <w:r w:rsidRPr="006C4B53">
        <w:t>, 2020).</w:t>
      </w:r>
    </w:p>
    <w:p w14:paraId="68BDACCC" w14:textId="77777777" w:rsidR="00A920F6" w:rsidRPr="006C4B53" w:rsidRDefault="00A920F6" w:rsidP="00A920F6">
      <w:r w:rsidRPr="006C4B53">
        <w:t xml:space="preserve">V obdobju po letu 2020 bodo ukrepi za doseganje cilja zmanjšanja TGP med drugim usmerjeni tudi v zmanjšanje emisij na enoto pridelane hrane, kar je glede na naravne danosti za kmetovanje in strukturo emisij TGP v kmetijstvu še posebej pomembno pri prireji kravjega mleka in mesa govedi in drobnice. Ključna pri tem pa sta učinkovit prenos in izmenjava znanja, ki sta zaradi razdrobljenosti in majhnosti kmetijskih gospodarstev ter neugodne starostne in izobrazbene strukture še posebej zahtevna. </w:t>
      </w:r>
    </w:p>
    <w:p w14:paraId="4F9B088B" w14:textId="77777777" w:rsidR="00A920F6" w:rsidRPr="006C4B53" w:rsidRDefault="00A920F6" w:rsidP="00A920F6">
      <w:r w:rsidRPr="006C4B53">
        <w:t xml:space="preserve">Možnosti za zmanjševanje emisij TGP iz kmetijstva se na področju rastlinske proizvodnje kažejo predvsem v uporabi energetsko varčnejših tehnologij, učinkovitejšem gospodarjenju z dušikom, ki vključuje tako vrsto in količino, kot tudi čas in način aplikacije gnojil, optimizaciji gnojenja na podlagi analize tal in gnojilnega načrta, ustreznejšemu načinu obdelave tal, izboru ustreznega kolobarja z dovolj velikim deležem metuljnic in ozelenitvi tal. Ukrepi, vezani na način obdelave tal, s katerimi se povečuje organska masa v tleh, med drugim pozitivno vplivajo tudi na skladiščenje oz. vezavo ogljika v tla. </w:t>
      </w:r>
    </w:p>
    <w:p w14:paraId="09A38EB2" w14:textId="77777777" w:rsidR="00A920F6" w:rsidRPr="00E300DE" w:rsidRDefault="00A920F6" w:rsidP="00A920F6">
      <w:r w:rsidRPr="00E300DE">
        <w:t xml:space="preserve">Na področju živinoreje je zmanjševanje TGP in amonijaka možno doseči z ustreznejšim ravnanjem z živinskimi gnojili ter z izboljšanjem tehnologije reje, pašo živali, izravnavo krmnih obrokov, ustreznejšim skladiščenjem živinskih gnojil, ali npr. pridobivanjem bioplina, zato je tovrstno ukrepanje treba spodbujati. Pozitiven vpliv na zmanjšanje emisij ima tudi povečanje učinkovitosti rabe energije na kmetijskih gospodarstvih. </w:t>
      </w:r>
      <w:proofErr w:type="spellStart"/>
      <w:r w:rsidRPr="00E300DE">
        <w:t>Bioplinarne</w:t>
      </w:r>
      <w:proofErr w:type="spellEnd"/>
      <w:r w:rsidRPr="00E300DE">
        <w:t xml:space="preserve"> se </w:t>
      </w:r>
      <w:r>
        <w:t xml:space="preserve">zaenkrat </w:t>
      </w:r>
      <w:r w:rsidRPr="00E300DE">
        <w:t>niso ravno izkazale</w:t>
      </w:r>
      <w:r>
        <w:t>, saj</w:t>
      </w:r>
      <w:r w:rsidRPr="00E300DE">
        <w:t xml:space="preserve"> </w:t>
      </w:r>
      <w:r>
        <w:t>so b</w:t>
      </w:r>
      <w:r w:rsidRPr="00E300DE">
        <w:t>rez koriščenja silažne koruze (kar pa pomeni neracionalno rabo resursov) in druge rastlinske mase ekonomsko neuspešne</w:t>
      </w:r>
      <w:r>
        <w:t>, hkrati pa so se v</w:t>
      </w:r>
      <w:r w:rsidRPr="00E300DE">
        <w:t xml:space="preserve">si slovenski primeri izkazali še za </w:t>
      </w:r>
      <w:proofErr w:type="spellStart"/>
      <w:r w:rsidRPr="00E300DE">
        <w:t>okoljsko</w:t>
      </w:r>
      <w:proofErr w:type="spellEnd"/>
      <w:r w:rsidRPr="00E300DE">
        <w:t xml:space="preserve"> sporne v lokalnem okolju.</w:t>
      </w:r>
    </w:p>
    <w:p w14:paraId="62A6001A" w14:textId="77777777" w:rsidR="00A920F6" w:rsidRPr="006C4B53" w:rsidRDefault="00A920F6" w:rsidP="00A920F6">
      <w:r w:rsidRPr="006C4B53">
        <w:t xml:space="preserve">Vsebnost talne organske snovi (v nadaljevanju: TOS) je eden izmed glavnih pokazateljev kakovosti tal, učinkovitosti rabe tal ter ključen podatek za ocenjevanje učinkov rabe tal na potencialne izpuste toplogrednih plinov iz kmetijstva v ozračje. Ohranjanje organskega ogljika v tleh, ki je glavni sestavni del TOS, je bistvenega pomena za trajnostno kmetijsko pridelavo. Ukrepi za ohranjanje TOS so pravilen kolobar, pokritost njivskih tal in trajnih nasadov z rastlinskim pokrovom čez vse leto (ozelenitev), minimalna obdelava tal in ohranitveno kmetijstvo. </w:t>
      </w:r>
    </w:p>
    <w:p w14:paraId="155EE38D" w14:textId="77777777" w:rsidR="00A920F6" w:rsidRPr="006C4B53" w:rsidRDefault="00A920F6" w:rsidP="00A920F6">
      <w:r w:rsidRPr="006C4B53">
        <w:t xml:space="preserve">Za učinkovito izvajanje ukrepov, ki prispevajo k zmanjševanju negativnih vplivov podnebnih sprememb v kmetijstvu in gozdarstvu ter proizvodnji in rabi trajnostne energije, je treba spodbujati tudi povečanje usposobljenosti kmetijskih svetovalcev o problematiki podnebnih </w:t>
      </w:r>
      <w:r w:rsidRPr="006C4B53">
        <w:lastRenderedPageBreak/>
        <w:t xml:space="preserve">sprememb, povečati dostopnost specializiranih svetovalnih storitev za kmete/gozdarje in zagotoviti učinkovitejši prenos znanja in inovacij v prakso ter o podnebnih spremembah in energiji </w:t>
      </w:r>
      <w:r>
        <w:t xml:space="preserve">iz obnovljivih virov </w:t>
      </w:r>
      <w:r w:rsidRPr="006C4B53">
        <w:t xml:space="preserve">informirati tudi širšo javnost. </w:t>
      </w:r>
    </w:p>
    <w:p w14:paraId="744C6698" w14:textId="77777777" w:rsidR="00A920F6" w:rsidRPr="006C4B53" w:rsidRDefault="00A920F6" w:rsidP="00A920F6">
      <w:r w:rsidRPr="006C4B53">
        <w:t xml:space="preserve">Ker podnebne spremembe povzročajo čedalje večje število izrednih vremenskih dogodkov, je eden od ukrepov na področju podnebnih sprememb tudi sofinanciranje zavarovalnih premij v kmetijstvu, predvsem za zavarovanje pridelka pred posledicami naravnih nesreč (toča, požar, udar strele, pozeba, poplave in vihar). </w:t>
      </w:r>
    </w:p>
    <w:p w14:paraId="3208D546" w14:textId="77777777" w:rsidR="00A920F6" w:rsidRPr="006C4B53" w:rsidRDefault="00A920F6" w:rsidP="00A920F6">
      <w:r w:rsidRPr="006C4B53">
        <w:t>Pri pripravi strateškega načrta SKP 2021</w:t>
      </w:r>
      <w:r>
        <w:rPr>
          <w:rFonts w:asciiTheme="minorHAnsi" w:hAnsiTheme="minorHAnsi"/>
        </w:rPr>
        <w:t>–</w:t>
      </w:r>
      <w:r w:rsidRPr="006C4B53">
        <w:t xml:space="preserve">2027 </w:t>
      </w:r>
      <w:r>
        <w:t>je</w:t>
      </w:r>
      <w:r w:rsidRPr="006C4B53">
        <w:t xml:space="preserve"> ministrstvo upoštevalo tudi vse druge sektorske nacionalne dokumente, kot je Nacionalni energetsko podnebni načrt (do 2030) in Dolgoročn</w:t>
      </w:r>
      <w:r>
        <w:t>a</w:t>
      </w:r>
      <w:r w:rsidRPr="006C4B53">
        <w:t xml:space="preserve"> podnebn</w:t>
      </w:r>
      <w:r>
        <w:t>a</w:t>
      </w:r>
      <w:r w:rsidRPr="006C4B53">
        <w:t xml:space="preserve"> strategij</w:t>
      </w:r>
      <w:r>
        <w:t>a</w:t>
      </w:r>
      <w:r w:rsidRPr="006C4B53">
        <w:t xml:space="preserve"> Slovenije 2050, ki je še v pripravi. </w:t>
      </w:r>
    </w:p>
    <w:p w14:paraId="17EAA23E" w14:textId="77777777" w:rsidR="00A920F6" w:rsidRPr="006C4B53" w:rsidRDefault="00A920F6" w:rsidP="00A920F6">
      <w:r w:rsidRPr="00E300DE">
        <w:t>Upoštevati je potrebno tudi usmeritve iz Evropske unije, predvsem Zeleni dogovor (»</w:t>
      </w:r>
      <w:proofErr w:type="spellStart"/>
      <w:r w:rsidRPr="00E300DE">
        <w:t>Green</w:t>
      </w:r>
      <w:proofErr w:type="spellEnd"/>
      <w:r w:rsidRPr="006C4B53">
        <w:t xml:space="preserve"> </w:t>
      </w:r>
      <w:proofErr w:type="spellStart"/>
      <w:r w:rsidRPr="006C4B53">
        <w:t>deal</w:t>
      </w:r>
      <w:proofErr w:type="spellEnd"/>
      <w:r w:rsidRPr="006C4B53">
        <w:t xml:space="preserve">«) in strategijo od »od vil do vilic - oblikovanje pravičnega, zdravega in okolju prijaznega prehranskega sistema«. </w:t>
      </w:r>
    </w:p>
    <w:p w14:paraId="1F5EE6C3" w14:textId="77777777" w:rsidR="00A920F6" w:rsidRPr="006C4B53" w:rsidRDefault="00A920F6" w:rsidP="00A920F6">
      <w:r>
        <w:t>Potencialni u</w:t>
      </w:r>
      <w:r w:rsidRPr="006C4B53">
        <w:t>krepi za prihajajoče programsko obdobje SKP 2021</w:t>
      </w:r>
      <w:r>
        <w:rPr>
          <w:rFonts w:asciiTheme="minorHAnsi" w:hAnsiTheme="minorHAnsi"/>
        </w:rPr>
        <w:t>–</w:t>
      </w:r>
      <w:r w:rsidRPr="006C4B53">
        <w:t>2027 so nakazani s Predlogom uredbe evropskega parlamenta in sveta o določitvi pravil o podpori za strateške načrte, ki jih pripravijo države članice v okviru skupne kmetijske politike (strateški načrti SKP) in se financirajo iz Evropskega kmetijskega jamstvenega sklada (EKJS) in Evropskega kmetijskega sklada za razvoj podeželja (EKSRP) ter o razveljavitvi Uredbe (EU) št. 1305/2013 Evropskega parlamenta in Sveta in Uredbe (EU) št. 1307/2013 Evropskega parlamenta in Sveta.</w:t>
      </w:r>
    </w:p>
    <w:p w14:paraId="16C79033" w14:textId="22D8C71E" w:rsidR="00A920F6" w:rsidRPr="006C4B53" w:rsidRDefault="00A920F6" w:rsidP="00A920F6">
      <w:r>
        <w:t>Zaradi težav in poznega sprejema proračuna</w:t>
      </w:r>
      <w:r w:rsidRPr="006C4B53">
        <w:t xml:space="preserve"> na ravni Evropske komisije</w:t>
      </w:r>
      <w:r>
        <w:t xml:space="preserve">, ki je podlaga za delovanje politik in finančnih inštrumentov </w:t>
      </w:r>
      <w:r w:rsidRPr="006C4B53">
        <w:t>Evropske Unije, priprava</w:t>
      </w:r>
      <w:r>
        <w:t xml:space="preserve"> programov razvoja podeželja</w:t>
      </w:r>
      <w:r w:rsidRPr="006C4B53">
        <w:t xml:space="preserve"> </w:t>
      </w:r>
      <w:r>
        <w:t>(</w:t>
      </w:r>
      <w:r w:rsidRPr="006C4B53">
        <w:t>PRP</w:t>
      </w:r>
      <w:r>
        <w:t>) držav članic za obdobje</w:t>
      </w:r>
      <w:r w:rsidRPr="006C4B53">
        <w:t xml:space="preserve"> 2021</w:t>
      </w:r>
      <w:r>
        <w:rPr>
          <w:rFonts w:asciiTheme="minorHAnsi" w:hAnsiTheme="minorHAnsi"/>
        </w:rPr>
        <w:t>–</w:t>
      </w:r>
      <w:r w:rsidRPr="006C4B53">
        <w:t xml:space="preserve">2027 poteka počasneje kot načrtovano. Hkrati so ukrepi v letu 2020, povezani z zajezitvijo epidemije virusa COVID-19, povzročili motnje v delovanju notranjega trga EU in negativno vplivali na gospodarstvo v državah članicah EU. Zaradi predvidenih motenj v delovanju sektorja kot posledice epidemije so se v tako imenovani </w:t>
      </w:r>
      <w:hyperlink r:id="rId75" w:tgtFrame="_blank" w:history="1">
        <w:r w:rsidRPr="006C4B53">
          <w:rPr>
            <w:rStyle w:val="Hiperpovezava"/>
          </w:rPr>
          <w:t>protikorona paket (PKP)</w:t>
        </w:r>
      </w:hyperlink>
      <w:r w:rsidRPr="006C4B53">
        <w:t xml:space="preserve"> uvrstili številni ukrepe pomoči kmetijsko-živilskemu sektorju. Zelo pomembna podpora pri naslavljanju motenj v delovanju notranjega trga (in hkrati zastoja, ki je </w:t>
      </w:r>
      <w:r>
        <w:t xml:space="preserve">bil </w:t>
      </w:r>
      <w:r w:rsidRPr="006C4B53">
        <w:t>povezan z zamudami pri prejemanju relevantnih proračunskih podlag za pripravo PRP 2021</w:t>
      </w:r>
      <w:r>
        <w:rPr>
          <w:rFonts w:asciiTheme="minorHAnsi" w:hAnsiTheme="minorHAnsi"/>
        </w:rPr>
        <w:t>–</w:t>
      </w:r>
      <w:r w:rsidRPr="006C4B53">
        <w:t>2027), so spremembe PRP 2014</w:t>
      </w:r>
      <w:r>
        <w:rPr>
          <w:rFonts w:asciiTheme="minorHAnsi" w:hAnsiTheme="minorHAnsi"/>
        </w:rPr>
        <w:t>–</w:t>
      </w:r>
      <w:r w:rsidRPr="006C4B53">
        <w:t>2020</w:t>
      </w:r>
      <w:r>
        <w:t>, ki bo podlaga za izvajanje ukrepov tudi v prehodnem obdobju do sprejema novih PRP-jev</w:t>
      </w:r>
      <w:r w:rsidRPr="006C4B53">
        <w:t>.</w:t>
      </w:r>
    </w:p>
    <w:p w14:paraId="00F3A157" w14:textId="77777777" w:rsidR="00A920F6" w:rsidRPr="006C4B53" w:rsidRDefault="00A920F6" w:rsidP="00A920F6">
      <w:r w:rsidRPr="006C4B53">
        <w:t xml:space="preserve">Na Ministrstvu za kmetijstvo, gozdarstvo in prehrano RS </w:t>
      </w:r>
      <w:r>
        <w:t xml:space="preserve">so tako pripravili 8. spremembo </w:t>
      </w:r>
      <w:r w:rsidRPr="00CA2E27">
        <w:t>Program</w:t>
      </w:r>
      <w:r>
        <w:t>a</w:t>
      </w:r>
      <w:r w:rsidRPr="00CA2E27">
        <w:t xml:space="preserve"> razvoja po</w:t>
      </w:r>
      <w:r>
        <w:t>deželja RS za obdobje 2014</w:t>
      </w:r>
      <w:r>
        <w:rPr>
          <w:rFonts w:asciiTheme="minorHAnsi" w:hAnsiTheme="minorHAnsi"/>
        </w:rPr>
        <w:t>–</w:t>
      </w:r>
      <w:r>
        <w:t xml:space="preserve">2020, ki je bila </w:t>
      </w:r>
      <w:r w:rsidRPr="00CA2E27">
        <w:t>potrjena 23. 7. 2020</w:t>
      </w:r>
      <w:r>
        <w:t xml:space="preserve"> (MKGP, 2020c) in</w:t>
      </w:r>
      <w:r w:rsidRPr="006C4B53">
        <w:t xml:space="preserve"> bo slovenskemu kmetijstvu, živilstvu in gozdarstvu omogoč</w:t>
      </w:r>
      <w:r>
        <w:t>ala</w:t>
      </w:r>
      <w:r w:rsidRPr="006C4B53">
        <w:t xml:space="preserve"> </w:t>
      </w:r>
      <w:r>
        <w:t>izvedbo različnih ukrepov</w:t>
      </w:r>
      <w:r w:rsidRPr="006C4B53">
        <w:t xml:space="preserve"> in nadaljevanje razvojnega ciklusa tudi </w:t>
      </w:r>
      <w:r>
        <w:t>na</w:t>
      </w:r>
      <w:r w:rsidRPr="006C4B53">
        <w:t xml:space="preserve"> začet</w:t>
      </w:r>
      <w:r>
        <w:t>ku</w:t>
      </w:r>
      <w:r w:rsidRPr="006C4B53">
        <w:t xml:space="preserve"> programske</w:t>
      </w:r>
      <w:r>
        <w:t>ga</w:t>
      </w:r>
      <w:r w:rsidRPr="006C4B53">
        <w:t xml:space="preserve"> obdobj</w:t>
      </w:r>
      <w:r>
        <w:t>a</w:t>
      </w:r>
      <w:r w:rsidRPr="006C4B53">
        <w:t xml:space="preserve"> 2021</w:t>
      </w:r>
      <w:r>
        <w:rPr>
          <w:rFonts w:asciiTheme="minorHAnsi" w:hAnsiTheme="minorHAnsi"/>
        </w:rPr>
        <w:t>–</w:t>
      </w:r>
      <w:r w:rsidRPr="006C4B53">
        <w:t>2027</w:t>
      </w:r>
      <w:r>
        <w:t xml:space="preserve">, do sprejema in začetka izvajanja ukrepov kmetijske politike novega PRP. </w:t>
      </w:r>
      <w:r w:rsidRPr="006C4B53">
        <w:t>Znotraj skupnega okvira Skupne kmetijske politike prispeva podpora za razvoj podeželja</w:t>
      </w:r>
      <w:r>
        <w:t xml:space="preserve"> v sklopu obstoječega PRP</w:t>
      </w:r>
      <w:r w:rsidRPr="006C4B53">
        <w:t xml:space="preserve"> k doseganju naslednjih ciljev (</w:t>
      </w:r>
      <w:r w:rsidRPr="008E7529">
        <w:t>MKGP, 2020c</w:t>
      </w:r>
      <w:r w:rsidRPr="006C4B53">
        <w:t xml:space="preserve">): </w:t>
      </w:r>
    </w:p>
    <w:p w14:paraId="1D812B8C" w14:textId="77777777" w:rsidR="00A920F6" w:rsidRPr="006C4B53" w:rsidRDefault="00A920F6" w:rsidP="00A920F6">
      <w:pPr>
        <w:spacing w:after="0"/>
      </w:pPr>
      <w:r w:rsidRPr="006C4B53">
        <w:t xml:space="preserve">(a) pospeševanja konkurenčnosti kmetijstva; </w:t>
      </w:r>
    </w:p>
    <w:p w14:paraId="7F706263" w14:textId="77777777" w:rsidR="00A920F6" w:rsidRPr="006C4B53" w:rsidRDefault="00A920F6" w:rsidP="00A920F6">
      <w:pPr>
        <w:spacing w:after="0"/>
      </w:pPr>
      <w:r w:rsidRPr="006C4B53">
        <w:t xml:space="preserve">(b) zagotavljanja trajnostnega upravljanja z naravnimi viri in podnebnih ukrepov; </w:t>
      </w:r>
    </w:p>
    <w:p w14:paraId="157B7514" w14:textId="77777777" w:rsidR="00A920F6" w:rsidRPr="006C4B53" w:rsidRDefault="00A920F6" w:rsidP="00A920F6">
      <w:pPr>
        <w:spacing w:after="0"/>
      </w:pPr>
      <w:r w:rsidRPr="006C4B53">
        <w:t xml:space="preserve">(c) doseganja uravnoteženega teritorialnega razvoja podeželskih gospodarstev in skupnosti, vključno z ustvarjanjem in ohranjanjem delovnih mest. </w:t>
      </w:r>
    </w:p>
    <w:p w14:paraId="3C473AEF" w14:textId="77777777" w:rsidR="00A920F6" w:rsidRPr="006C4B53" w:rsidRDefault="00A920F6" w:rsidP="00A920F6">
      <w:pPr>
        <w:spacing w:after="0"/>
      </w:pPr>
      <w:r w:rsidRPr="006C4B53">
        <w:lastRenderedPageBreak/>
        <w:t xml:space="preserve">Prednostne naloge za razvoj podeželja, ki prispevajo k uresničevanju strategije za pametno, trajnostno in vključujočo rast, </w:t>
      </w:r>
      <w:r>
        <w:t xml:space="preserve">se </w:t>
      </w:r>
      <w:r w:rsidRPr="006C4B53">
        <w:t>zasleduje</w:t>
      </w:r>
      <w:r>
        <w:t>j</w:t>
      </w:r>
      <w:r w:rsidRPr="006C4B53">
        <w:t>o prek naslednjih šestih prednostnih nalog (MKGP, 2020</w:t>
      </w:r>
      <w:r>
        <w:t>c</w:t>
      </w:r>
      <w:r w:rsidRPr="006C4B53">
        <w:t xml:space="preserve">): </w:t>
      </w:r>
    </w:p>
    <w:p w14:paraId="13ACC548" w14:textId="77777777" w:rsidR="00A920F6" w:rsidRPr="006C4B53" w:rsidRDefault="00A920F6" w:rsidP="00A920F6">
      <w:pPr>
        <w:spacing w:after="0"/>
      </w:pPr>
      <w:r w:rsidRPr="006C4B53">
        <w:t xml:space="preserve">(1) pospeševanje prenosa znanja ter inovacij v kmetijstvu, gozdarstvu in na podeželskih območjih: </w:t>
      </w:r>
    </w:p>
    <w:p w14:paraId="6619288E" w14:textId="77777777" w:rsidR="00A920F6" w:rsidRPr="006C4B53" w:rsidRDefault="00A920F6" w:rsidP="00A920F6">
      <w:pPr>
        <w:spacing w:after="0"/>
      </w:pPr>
      <w:r w:rsidRPr="006C4B53">
        <w:t xml:space="preserve">(2) krepitev sposobnosti preživetja kmetij in konkurenčnosti vseh vrst kmetijstva v vseh regijah ter spodbujanje inovativnih kmetijskih tehnologij, kjer je poudarek na izboljšanju ekonomske uspešnosti kmetij ter zagotavljanju lažjega začetka opravljanja kmetijske dejavnosti ustrezno usposobljenim kmetom, predvsem pa je pomembna generacijska pomladitev; </w:t>
      </w:r>
    </w:p>
    <w:p w14:paraId="6E35C1C6" w14:textId="77777777" w:rsidR="00A920F6" w:rsidRPr="006C4B53" w:rsidRDefault="00A920F6" w:rsidP="00A920F6">
      <w:pPr>
        <w:spacing w:after="0"/>
      </w:pPr>
      <w:r w:rsidRPr="006C4B53">
        <w:t xml:space="preserve">(3) spodbujanje organiziranja živilske verige, vključno s predelavo in trženjem kmetijskih proizvodov, dobrobiti živali in obvladovanja tveganj v kmetijstvu; </w:t>
      </w:r>
    </w:p>
    <w:p w14:paraId="1F57C23E" w14:textId="77777777" w:rsidR="00A920F6" w:rsidRPr="006C4B53" w:rsidRDefault="00A920F6" w:rsidP="00A920F6">
      <w:pPr>
        <w:spacing w:after="0"/>
      </w:pPr>
      <w:r w:rsidRPr="006C4B53">
        <w:t xml:space="preserve">(4) obnova, ohranjanje in izboljševanje ekosistemov, povezanih s kmetijstvom; </w:t>
      </w:r>
    </w:p>
    <w:p w14:paraId="04C37B00" w14:textId="77777777" w:rsidR="00A920F6" w:rsidRPr="006C4B53" w:rsidRDefault="00A920F6" w:rsidP="00A920F6">
      <w:pPr>
        <w:spacing w:after="0"/>
      </w:pPr>
      <w:r w:rsidRPr="006C4B53">
        <w:t xml:space="preserve">(5) spodbujanje učinkovite rabe virov ter podpiranje prehoda na </w:t>
      </w:r>
      <w:proofErr w:type="spellStart"/>
      <w:r w:rsidRPr="006C4B53">
        <w:t>nizkoogljično</w:t>
      </w:r>
      <w:proofErr w:type="spellEnd"/>
      <w:r w:rsidRPr="006C4B53">
        <w:t xml:space="preserve"> gospodarstvo, odporno na podnebne spremembe; </w:t>
      </w:r>
    </w:p>
    <w:p w14:paraId="5A52647F" w14:textId="77777777" w:rsidR="00A920F6" w:rsidRPr="006C4B53" w:rsidRDefault="00A920F6" w:rsidP="00A920F6">
      <w:r w:rsidRPr="006C4B53">
        <w:t>(6) spodbujanje socialne vključenosti</w:t>
      </w:r>
      <w:r w:rsidRPr="008E7529">
        <w:t>, zmanjševanje revščine in pospeševanje gospodarskega razvoja podeželskih območij s pouda</w:t>
      </w:r>
      <w:r w:rsidRPr="006C4B53">
        <w:t xml:space="preserve">rkom na spodbujanju diverzifikacije, ustanavljanju in razvoju malih podjetij in ustvarjanju novih delovnih mest, </w:t>
      </w:r>
    </w:p>
    <w:p w14:paraId="25E65081" w14:textId="77777777" w:rsidR="00A920F6" w:rsidRPr="006C4B53" w:rsidRDefault="00A920F6" w:rsidP="00A920F6">
      <w:r w:rsidRPr="006C4B53">
        <w:t xml:space="preserve">V okviru Uredbe o izvajanju ukrepa naložbe v osnovna sredstva in </w:t>
      </w:r>
      <w:proofErr w:type="spellStart"/>
      <w:r w:rsidRPr="006C4B53">
        <w:t>podukrepa</w:t>
      </w:r>
      <w:proofErr w:type="spellEnd"/>
      <w:r w:rsidRPr="006C4B53">
        <w:t xml:space="preserve"> podpora za naložbe v gozdarske tehnologije ter predelavo, mobilizacijo in trženje gozdarskih proizvodov iz Programa razvoja podeželja Republike Slovenije za obdobje 2014-2020 (Uradni list RS, st. 104/15, 32/16, 66/16, 14/17, 38/17, 40/17 - </w:t>
      </w:r>
      <w:proofErr w:type="spellStart"/>
      <w:r w:rsidRPr="006C4B53">
        <w:t>popr</w:t>
      </w:r>
      <w:proofErr w:type="spellEnd"/>
      <w:r w:rsidRPr="006C4B53">
        <w:t>. 19/18 in 82/18) so podprte naložbe v prilagoditev kmetijskih gospodarstev podnebnim spremembam, kot so nakup in postavitev mrež proti toči, nakup in postavitev rastlinjakov in pripadajoče opreme, ureditev zasebnih namakalnih sistemov ter nakup namakalne opreme. Podprte so tudi naložbe v povečanje učinkovite rabe energije ter spodbujanje ponudbe in uporabe obnovljivih virov energije za lastne potrebe kmetijskega gospodarstva</w:t>
      </w:r>
      <w:r>
        <w:t>,</w:t>
      </w:r>
      <w:r w:rsidRPr="006C4B53">
        <w:t xml:space="preserve"> kot so naložbe v ureditev objektov oziroma nakup opreme za posodobitev energetsko učinkovitih ogrevalnih sistemov, naložbe v zmanjšanje toplotnih izgub pri gradnjah objektov z uporabo materialov z večjo toplotno</w:t>
      </w:r>
      <w:r>
        <w:t xml:space="preserve"> </w:t>
      </w:r>
      <w:proofErr w:type="spellStart"/>
      <w:r>
        <w:t>izolativnostjo</w:t>
      </w:r>
      <w:proofErr w:type="spellEnd"/>
      <w:r w:rsidRPr="006C4B53">
        <w:t xml:space="preserve"> ter nakup energetsko varčnejše opreme, naložbe v proizvodnjo električne in toplotne energije. Na področju živinoreje so podprte naložbe v izboljšanje učinkovitosti rabe živinskih gnojil in zmanjšanje emisij toplogrednih plinov in amonijaka</w:t>
      </w:r>
      <w:r>
        <w:t>,</w:t>
      </w:r>
      <w:r w:rsidRPr="006C4B53">
        <w:t xml:space="preserve"> kot so gradnja objektov za skladiščenje živinskih gnojil, nakup in postavitev mobilnih objektov in nakup pripadajoče opreme za skladiščenje živinskih gnojil, zatesnitev odprtih lagun za skladiščenje živinskih gnojil, nakup specialne kmetijske mehanizacije za racionalno rabo dušika, gradnja kompostarn, ureditev hlevov in nakup opreme za živinske izločke ter prilagoditev kmetijskih gospodarstev na zahteve kmetovanja na vodovarstvenih območjih skladno z zahtevami predpisov Vlade Republike Slovenije, ki urejajo vodovarstvena območja (MKGP, 2020</w:t>
      </w:r>
      <w:r>
        <w:t>c</w:t>
      </w:r>
      <w:r w:rsidRPr="006C4B53">
        <w:t xml:space="preserve">). </w:t>
      </w:r>
    </w:p>
    <w:p w14:paraId="0FAB1BB7" w14:textId="77777777" w:rsidR="00A920F6" w:rsidRPr="006C4B53" w:rsidRDefault="00A920F6" w:rsidP="00A920F6">
      <w:r w:rsidRPr="006C4B53">
        <w:t>Naložbe podpirajo prilagoditve kmetijskih gospodarstev horizontalnim ciljem, povezanim z inovacijami, okoljem in blažitvijo podnebnih sprememb, kot so zmanjševanje toplogrednih plinov in amonijaka iz kmetijske proizvodnje, predvsem živinoreje, prilagajanje kmetijskih gospodarstev podnebnim spremembam, povečanje energetske učinkovitosti, vključno z večjo rabo lesa, uvajanje obnovljivih virov energije, zmanjšanje oziroma učinkovitejšo rabo fitofarmacevtskih sredstev in gnojil (naprave za nanašanje FFS z zmanjšanjem zanosa in razkuževanje semena ter naprave za mehansko zatiranje škodljivih organizmov)</w:t>
      </w:r>
      <w:r>
        <w:t>. Gre tudi za</w:t>
      </w:r>
      <w:r w:rsidRPr="006C4B53">
        <w:t xml:space="preserve"> racionalnejšo rabo vode in drugih surovin ter v ureditev čistilnih in varčevalnih tehnologij (zbiranje meteorne vode, zamenjava namakalne opreme ter zmanjšanje porabe vode pri tehnoloških posodobitvah </w:t>
      </w:r>
      <w:r w:rsidRPr="006C4B53">
        <w:lastRenderedPageBreak/>
        <w:t xml:space="preserve">obstoječih zasebnih namakalnih sistemov na kmetijskem gospodarstvu), prilagoditev kmetovanja na </w:t>
      </w:r>
      <w:proofErr w:type="spellStart"/>
      <w:r w:rsidRPr="006C4B53">
        <w:t>okoljsko</w:t>
      </w:r>
      <w:proofErr w:type="spellEnd"/>
      <w:r w:rsidRPr="006C4B53">
        <w:t xml:space="preserve"> občutljivih območjih, pomembnih z vidika varovanja naravnih virov (zlasti vode, tal in biotske raznovrstnosti) ter ureditev nasadov večletnih rastlin, ki so odporne na bolezni, pozebo oziroma na sušo (MKGP, 2020</w:t>
      </w:r>
      <w:r>
        <w:t>c</w:t>
      </w:r>
      <w:r w:rsidRPr="006C4B53">
        <w:t>).</w:t>
      </w:r>
    </w:p>
    <w:p w14:paraId="3252ED75" w14:textId="77777777" w:rsidR="00A920F6" w:rsidRPr="006C4B53" w:rsidRDefault="00A920F6" w:rsidP="00A920F6">
      <w:r w:rsidRPr="006C4B53">
        <w:t>Prek javnih razpisov Programa razvoja podeželja 2014</w:t>
      </w:r>
      <w:r>
        <w:rPr>
          <w:rFonts w:asciiTheme="minorHAnsi" w:hAnsiTheme="minorHAnsi"/>
        </w:rPr>
        <w:t>–</w:t>
      </w:r>
      <w:r w:rsidRPr="006C4B53">
        <w:t xml:space="preserve">2020 bodo še naprej podprte tudi naložbe v individualne namakalne sisteme, namakalno opremo, rastlinjake ter izgradnjo in tehnološke posodobitve namakalnih sistemov, ki so namenjene več uporabnikom. </w:t>
      </w:r>
    </w:p>
    <w:p w14:paraId="326C8143" w14:textId="77777777" w:rsidR="00A920F6" w:rsidRPr="006C4B53" w:rsidRDefault="00A920F6" w:rsidP="00A920F6">
      <w:r w:rsidRPr="006C4B53">
        <w:t>Pri tem se namakanje ne razume zgolj kot ukrep proti suši, ampak tudi kot učinkovita zaščita</w:t>
      </w:r>
      <w:r>
        <w:t xml:space="preserve"> pred pozebo</w:t>
      </w:r>
      <w:r w:rsidRPr="006C4B53">
        <w:t xml:space="preserve"> v boju proti nizkim temperaturam, predvsem v trajnih nasadih. </w:t>
      </w:r>
    </w:p>
    <w:p w14:paraId="07A7C66D" w14:textId="77777777" w:rsidR="00A920F6" w:rsidRPr="006C4B53" w:rsidRDefault="00A920F6" w:rsidP="00A920F6">
      <w:r w:rsidRPr="006C4B53">
        <w:t>Cilj nadaljevanja ukrepov in povečanja ugodnosti ukrepov je olajšati zagon kmetijskih dejavnosti in spodbuditi strukturne prilagoditve za prilagajanje na podnebne spremembe (MKGP, 2020</w:t>
      </w:r>
      <w:r>
        <w:t>c</w:t>
      </w:r>
      <w:r w:rsidRPr="006C4B53">
        <w:t>).</w:t>
      </w:r>
    </w:p>
    <w:p w14:paraId="4A740A54" w14:textId="77777777" w:rsidR="00A920F6" w:rsidRPr="006C4B53" w:rsidRDefault="00A920F6" w:rsidP="00A920F6">
      <w:r w:rsidRPr="006C4B53">
        <w:t>Uveljavitev navedenih načrtovanih sprememb je odvisna od dokončne priprave spremembe PRP 2014–2020 in potrditve s strani Evropske komisije (MKGP, 2020</w:t>
      </w:r>
      <w:r>
        <w:t>c</w:t>
      </w:r>
      <w:r w:rsidRPr="006C4B53">
        <w:t>).</w:t>
      </w:r>
    </w:p>
    <w:p w14:paraId="60BD2456" w14:textId="77777777" w:rsidR="00A920F6" w:rsidRPr="006C4B53" w:rsidRDefault="00A920F6" w:rsidP="00A920F6">
      <w:pPr>
        <w:pStyle w:val="Naslov4"/>
        <w:ind w:left="1701"/>
      </w:pPr>
      <w:r w:rsidRPr="006C4B53">
        <w:t>Merila in metoda ugotavljanja in vrednotenja vplivov plana na sektor</w:t>
      </w:r>
    </w:p>
    <w:p w14:paraId="5327DFB1" w14:textId="4B4029FC" w:rsidR="00A920F6" w:rsidRPr="006C4B53" w:rsidRDefault="00F06648" w:rsidP="00A920F6">
      <w:r>
        <w:fldChar w:fldCharType="begin"/>
      </w:r>
      <w:r>
        <w:instrText xml:space="preserve"> REF _Ref75844107 \h  \* MERGEFORMAT </w:instrText>
      </w:r>
      <w:r>
        <w:fldChar w:fldCharType="separate"/>
      </w:r>
      <w:r w:rsidR="004700D5" w:rsidRPr="004700D5">
        <w:t>Slika 6.1</w:t>
      </w:r>
      <w:r>
        <w:fldChar w:fldCharType="end"/>
      </w:r>
      <w:r>
        <w:t xml:space="preserve"> </w:t>
      </w:r>
      <w:r w:rsidR="00A920F6" w:rsidRPr="006C4B53">
        <w:t>prikazuje način, s katerim je bil določen končni nabor ukrepov za blažitev in prilagajanje kmetijstva na podnebne spremembe v občini. Strokovna izhodišča ocene ranljivosti so služila kot merilo za oblikovanje nabora pomembnih področij ukrepanja (PPU).</w:t>
      </w:r>
    </w:p>
    <w:p w14:paraId="3BBD6B15" w14:textId="77777777" w:rsidR="00A920F6" w:rsidRPr="006C4B53" w:rsidRDefault="00A920F6" w:rsidP="00A920F6">
      <w:r w:rsidRPr="006C4B53">
        <w:t xml:space="preserve">Na podlagi zakonodajnega okvira (pregled ukrepov kmetijske politike, ocena celovitosti ukrepov) je bil določen prioriteten nabor ukrepov glede na PPU. Pri tem smo se oprli na (i) Predlog uredbe Evropskega parlamenta in sveta o določitvi pravil o podpori za strateške načrte, ki jih pripravijo države članice v okviru skupne kmetijske politike (strateški načrti SKP); (ii) </w:t>
      </w:r>
      <w:r>
        <w:t>8. spremembo</w:t>
      </w:r>
      <w:r w:rsidRPr="00385461">
        <w:t xml:space="preserve"> </w:t>
      </w:r>
      <w:r w:rsidRPr="006C4B53">
        <w:t>PRP 2014–2020</w:t>
      </w:r>
      <w:r>
        <w:t xml:space="preserve"> (</w:t>
      </w:r>
      <w:r w:rsidRPr="00385461">
        <w:t>potrjena 23. 7. 2020</w:t>
      </w:r>
      <w:r>
        <w:t>)</w:t>
      </w:r>
      <w:r w:rsidRPr="006C4B53">
        <w:t>; in (iii) Usmeritve MKGP-ja v skladu z dopisom z dne 23.4.2020, v katerem smo zaprosili za pojasnilo, katere konkretne ukrepe in aktivnosti so predvidene za prilagajanje na podnebne spremembe z vidika varovanja zemljišč, tal, vode, pridelka, ipd. v novi finančni perspektivi.</w:t>
      </w:r>
    </w:p>
    <w:p w14:paraId="6CC1E00A" w14:textId="77777777" w:rsidR="00A920F6" w:rsidRDefault="00A920F6" w:rsidP="00A920F6">
      <w:pPr>
        <w:rPr>
          <w:noProof/>
        </w:rPr>
      </w:pPr>
      <w:r w:rsidRPr="006C4B53">
        <w:t xml:space="preserve">Integracija lokalnega (in širšega strokovnega) znanja je bila dosežena s pomočjo posvetovanja z deležniki. To je bilo organizirano v okviru projekta SECAP in je potekalo v obdobju od </w:t>
      </w:r>
      <w:r>
        <w:t>6</w:t>
      </w:r>
      <w:r w:rsidRPr="00E86C8B">
        <w:t>. 10. 2020 do 2</w:t>
      </w:r>
      <w:r>
        <w:t>3</w:t>
      </w:r>
      <w:r w:rsidRPr="00E86C8B">
        <w:t>. </w:t>
      </w:r>
      <w:r>
        <w:t>4</w:t>
      </w:r>
      <w:r w:rsidRPr="00E86C8B">
        <w:t>. 202</w:t>
      </w:r>
      <w:r>
        <w:t>1</w:t>
      </w:r>
      <w:r w:rsidRPr="00E86C8B">
        <w:t xml:space="preserve">. Posvetovanje z deležniki je potekalo s pomočjo pisnih in ustnih pripomb. Posvetovanja, ki so bila opravljena: (i) </w:t>
      </w:r>
      <w:r>
        <w:t>1</w:t>
      </w:r>
      <w:r w:rsidRPr="00E86C8B">
        <w:t>. </w:t>
      </w:r>
      <w:r>
        <w:t>3</w:t>
      </w:r>
      <w:r w:rsidRPr="00E86C8B">
        <w:t>.</w:t>
      </w:r>
      <w:r w:rsidRPr="00E86C8B">
        <w:rPr>
          <w:rFonts w:asciiTheme="minorHAnsi" w:hAnsiTheme="minorHAnsi"/>
        </w:rPr>
        <w:t>–</w:t>
      </w:r>
      <w:r w:rsidRPr="00E86C8B">
        <w:t>2</w:t>
      </w:r>
      <w:r>
        <w:t>2</w:t>
      </w:r>
      <w:r w:rsidRPr="00E86C8B">
        <w:t>. </w:t>
      </w:r>
      <w:r>
        <w:t>3</w:t>
      </w:r>
      <w:r w:rsidRPr="00E86C8B">
        <w:t xml:space="preserve">. </w:t>
      </w:r>
      <w:r>
        <w:t>2021</w:t>
      </w:r>
      <w:r w:rsidRPr="00E86C8B">
        <w:t>, interni strokovni posvet s strokovnjaki Biotehniške fakultete s področja agrometeorologije, ekonomike, in urejanja</w:t>
      </w:r>
      <w:r w:rsidRPr="00F104B7">
        <w:t xml:space="preserve"> kmetijskega prostora; (ii) 6.</w:t>
      </w:r>
      <w:r>
        <w:t xml:space="preserve"> 10. </w:t>
      </w:r>
      <w:r w:rsidRPr="00F104B7">
        <w:t xml:space="preserve">2020 uvodna delavnica z </w:t>
      </w:r>
      <w:r>
        <w:t>O</w:t>
      </w:r>
      <w:r w:rsidRPr="00F104B7">
        <w:t xml:space="preserve">bčino (ii) </w:t>
      </w:r>
      <w:r w:rsidRPr="00600687">
        <w:t>10. 5. 2021</w:t>
      </w:r>
      <w:r w:rsidRPr="006108E3">
        <w:t>, d</w:t>
      </w:r>
      <w:r w:rsidRPr="00F104B7">
        <w:t>elavnica s predstavitvijo poročila z</w:t>
      </w:r>
      <w:r>
        <w:t>a</w:t>
      </w:r>
      <w:r w:rsidRPr="00F104B7">
        <w:t xml:space="preserve"> </w:t>
      </w:r>
      <w:r>
        <w:t>O</w:t>
      </w:r>
      <w:r w:rsidRPr="00F104B7">
        <w:t xml:space="preserve">bčino, (iii) </w:t>
      </w:r>
      <w:r>
        <w:t>10</w:t>
      </w:r>
      <w:r w:rsidRPr="00E86C8B">
        <w:t>. </w:t>
      </w:r>
      <w:r>
        <w:t>4</w:t>
      </w:r>
      <w:r w:rsidRPr="00E86C8B">
        <w:t>.</w:t>
      </w:r>
      <w:r w:rsidRPr="00E86C8B">
        <w:rPr>
          <w:rFonts w:asciiTheme="minorHAnsi" w:hAnsiTheme="minorHAnsi"/>
        </w:rPr>
        <w:t>–</w:t>
      </w:r>
      <w:r>
        <w:t>23</w:t>
      </w:r>
      <w:r w:rsidRPr="00E86C8B">
        <w:t>. </w:t>
      </w:r>
      <w:r>
        <w:t>4</w:t>
      </w:r>
      <w:r w:rsidRPr="00E86C8B">
        <w:t>. </w:t>
      </w:r>
      <w:r>
        <w:t>2021</w:t>
      </w:r>
      <w:r w:rsidRPr="00F104B7">
        <w:t>, pisni posvet s KGZ</w:t>
      </w:r>
      <w:r>
        <w:t>S - Izpostava</w:t>
      </w:r>
      <w:r w:rsidRPr="00F104B7">
        <w:t xml:space="preserve"> </w:t>
      </w:r>
      <w:r>
        <w:t>Nova Gorica</w:t>
      </w:r>
      <w:r w:rsidRPr="00F104B7">
        <w:t>. Na ta način je bil določen končni</w:t>
      </w:r>
      <w:r w:rsidRPr="006C4B53">
        <w:t xml:space="preserve"> nabor ukrepov in vpliv ukrepov na sektor.</w:t>
      </w:r>
    </w:p>
    <w:p w14:paraId="64BCD08C" w14:textId="77777777" w:rsidR="00A920F6" w:rsidRPr="006C4B53" w:rsidRDefault="00A920F6" w:rsidP="00A920F6">
      <w:pPr>
        <w:spacing w:before="240" w:after="240"/>
        <w:jc w:val="center"/>
      </w:pPr>
      <w:r w:rsidRPr="006C4B53">
        <w:rPr>
          <w:noProof/>
          <w:lang w:eastAsia="sl-SI"/>
        </w:rPr>
        <w:drawing>
          <wp:inline distT="0" distB="0" distL="0" distR="0" wp14:anchorId="2DF1C813" wp14:editId="528D3A87">
            <wp:extent cx="6120130" cy="913130"/>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20130" cy="913130"/>
                    </a:xfrm>
                    <a:prstGeom prst="rect">
                      <a:avLst/>
                    </a:prstGeom>
                    <a:noFill/>
                    <a:ln>
                      <a:noFill/>
                    </a:ln>
                  </pic:spPr>
                </pic:pic>
              </a:graphicData>
            </a:graphic>
          </wp:inline>
        </w:drawing>
      </w:r>
    </w:p>
    <w:p w14:paraId="3A9980DF" w14:textId="6090BF27" w:rsidR="00A920F6" w:rsidRDefault="00A920F6" w:rsidP="00A920F6">
      <w:pPr>
        <w:spacing w:before="240" w:after="240"/>
        <w:jc w:val="left"/>
        <w:rPr>
          <w:rFonts w:asciiTheme="minorHAnsi" w:hAnsiTheme="minorHAnsi"/>
          <w:i/>
          <w:iCs/>
          <w:color w:val="44546A" w:themeColor="text2"/>
          <w:sz w:val="18"/>
          <w:szCs w:val="18"/>
        </w:rPr>
      </w:pPr>
      <w:bookmarkStart w:id="133" w:name="_Ref75844107"/>
      <w:bookmarkStart w:id="134" w:name="_Toc44657025"/>
      <w:bookmarkStart w:id="135" w:name="_Toc97026852"/>
      <w:r w:rsidRPr="006C4B53">
        <w:rPr>
          <w:rFonts w:asciiTheme="minorHAnsi" w:hAnsiTheme="minorHAnsi"/>
          <w:i/>
          <w:iCs/>
          <w:color w:val="44546A" w:themeColor="text2"/>
          <w:sz w:val="18"/>
          <w:szCs w:val="18"/>
        </w:rPr>
        <w:t xml:space="preserve">Slika </w:t>
      </w:r>
      <w:r w:rsidR="008334B2">
        <w:rPr>
          <w:rFonts w:asciiTheme="minorHAnsi" w:hAnsiTheme="minorHAnsi"/>
          <w:i/>
          <w:iCs/>
          <w:color w:val="44546A" w:themeColor="text2"/>
          <w:sz w:val="18"/>
          <w:szCs w:val="18"/>
        </w:rPr>
        <w:fldChar w:fldCharType="begin"/>
      </w:r>
      <w:r w:rsidR="008334B2">
        <w:rPr>
          <w:rFonts w:asciiTheme="minorHAnsi" w:hAnsiTheme="minorHAnsi"/>
          <w:i/>
          <w:iCs/>
          <w:color w:val="44546A" w:themeColor="text2"/>
          <w:sz w:val="18"/>
          <w:szCs w:val="18"/>
        </w:rPr>
        <w:instrText xml:space="preserve"> STYLEREF 1 \s </w:instrText>
      </w:r>
      <w:r w:rsidR="008334B2">
        <w:rPr>
          <w:rFonts w:asciiTheme="minorHAnsi" w:hAnsiTheme="minorHAnsi"/>
          <w:i/>
          <w:iCs/>
          <w:color w:val="44546A" w:themeColor="text2"/>
          <w:sz w:val="18"/>
          <w:szCs w:val="18"/>
        </w:rPr>
        <w:fldChar w:fldCharType="separate"/>
      </w:r>
      <w:r w:rsidR="008334B2">
        <w:rPr>
          <w:rFonts w:asciiTheme="minorHAnsi" w:hAnsiTheme="minorHAnsi"/>
          <w:i/>
          <w:iCs/>
          <w:noProof/>
          <w:color w:val="44546A" w:themeColor="text2"/>
          <w:sz w:val="18"/>
          <w:szCs w:val="18"/>
        </w:rPr>
        <w:t>6</w:t>
      </w:r>
      <w:r w:rsidR="008334B2">
        <w:rPr>
          <w:rFonts w:asciiTheme="minorHAnsi" w:hAnsiTheme="minorHAnsi"/>
          <w:i/>
          <w:iCs/>
          <w:color w:val="44546A" w:themeColor="text2"/>
          <w:sz w:val="18"/>
          <w:szCs w:val="18"/>
        </w:rPr>
        <w:fldChar w:fldCharType="end"/>
      </w:r>
      <w:r w:rsidR="008334B2">
        <w:rPr>
          <w:rFonts w:asciiTheme="minorHAnsi" w:hAnsiTheme="minorHAnsi"/>
          <w:i/>
          <w:iCs/>
          <w:color w:val="44546A" w:themeColor="text2"/>
          <w:sz w:val="18"/>
          <w:szCs w:val="18"/>
        </w:rPr>
        <w:t>.</w:t>
      </w:r>
      <w:r w:rsidR="008334B2">
        <w:rPr>
          <w:rFonts w:asciiTheme="minorHAnsi" w:hAnsiTheme="minorHAnsi"/>
          <w:i/>
          <w:iCs/>
          <w:color w:val="44546A" w:themeColor="text2"/>
          <w:sz w:val="18"/>
          <w:szCs w:val="18"/>
        </w:rPr>
        <w:fldChar w:fldCharType="begin"/>
      </w:r>
      <w:r w:rsidR="008334B2">
        <w:rPr>
          <w:rFonts w:asciiTheme="minorHAnsi" w:hAnsiTheme="minorHAnsi"/>
          <w:i/>
          <w:iCs/>
          <w:color w:val="44546A" w:themeColor="text2"/>
          <w:sz w:val="18"/>
          <w:szCs w:val="18"/>
        </w:rPr>
        <w:instrText xml:space="preserve"> SEQ Slika \* ARABIC \s 1 </w:instrText>
      </w:r>
      <w:r w:rsidR="008334B2">
        <w:rPr>
          <w:rFonts w:asciiTheme="minorHAnsi" w:hAnsiTheme="minorHAnsi"/>
          <w:i/>
          <w:iCs/>
          <w:color w:val="44546A" w:themeColor="text2"/>
          <w:sz w:val="18"/>
          <w:szCs w:val="18"/>
        </w:rPr>
        <w:fldChar w:fldCharType="separate"/>
      </w:r>
      <w:r w:rsidR="008334B2">
        <w:rPr>
          <w:rFonts w:asciiTheme="minorHAnsi" w:hAnsiTheme="minorHAnsi"/>
          <w:i/>
          <w:iCs/>
          <w:noProof/>
          <w:color w:val="44546A" w:themeColor="text2"/>
          <w:sz w:val="18"/>
          <w:szCs w:val="18"/>
        </w:rPr>
        <w:t>1</w:t>
      </w:r>
      <w:r w:rsidR="008334B2">
        <w:rPr>
          <w:rFonts w:asciiTheme="minorHAnsi" w:hAnsiTheme="minorHAnsi"/>
          <w:i/>
          <w:iCs/>
          <w:color w:val="44546A" w:themeColor="text2"/>
          <w:sz w:val="18"/>
          <w:szCs w:val="18"/>
        </w:rPr>
        <w:fldChar w:fldCharType="end"/>
      </w:r>
      <w:bookmarkEnd w:id="133"/>
      <w:r w:rsidRPr="006C4B53">
        <w:rPr>
          <w:rFonts w:asciiTheme="minorHAnsi" w:hAnsiTheme="minorHAnsi"/>
          <w:i/>
          <w:iCs/>
          <w:color w:val="44546A" w:themeColor="text2"/>
          <w:sz w:val="18"/>
          <w:szCs w:val="18"/>
        </w:rPr>
        <w:t>: Merila in metoda ugotavljanja in vrednotenja vplivov plana na kmetijstvo.</w:t>
      </w:r>
      <w:bookmarkEnd w:id="134"/>
      <w:bookmarkEnd w:id="135"/>
    </w:p>
    <w:p w14:paraId="75BEEC99" w14:textId="5CFAE754" w:rsidR="005913CE" w:rsidRDefault="005913CE" w:rsidP="005913CE">
      <w:pPr>
        <w:pStyle w:val="Naslov3"/>
      </w:pPr>
      <w:bookmarkStart w:id="136" w:name="_Ref74577379"/>
      <w:bookmarkStart w:id="137" w:name="_Toc97026749"/>
      <w:r>
        <w:lastRenderedPageBreak/>
        <w:t>Obstoječe stanje sektorja</w:t>
      </w:r>
      <w:bookmarkEnd w:id="129"/>
      <w:bookmarkEnd w:id="130"/>
      <w:bookmarkEnd w:id="131"/>
      <w:r w:rsidR="00C174E2">
        <w:t xml:space="preserve"> kmetijstvo</w:t>
      </w:r>
      <w:bookmarkEnd w:id="132"/>
      <w:bookmarkEnd w:id="136"/>
      <w:bookmarkEnd w:id="137"/>
    </w:p>
    <w:p w14:paraId="3AD03D01" w14:textId="77777777" w:rsidR="00A920F6" w:rsidRPr="00F46CEB" w:rsidRDefault="00A920F6" w:rsidP="00A920F6">
      <w:r w:rsidRPr="00255DBD">
        <w:t xml:space="preserve">V občini je bilo leta 2016 registriranih </w:t>
      </w:r>
      <w:r>
        <w:t>1389</w:t>
      </w:r>
      <w:r w:rsidRPr="00255DBD">
        <w:t xml:space="preserve"> nosilcev kmetijskih gospodarstev</w:t>
      </w:r>
      <w:r>
        <w:t>.</w:t>
      </w:r>
      <w:r w:rsidRPr="00296469">
        <w:t xml:space="preserve"> </w:t>
      </w:r>
      <w:r w:rsidRPr="00255DBD">
        <w:t>Povprečna starost nosilca kmetijskega gospodarstva je bila 5</w:t>
      </w:r>
      <w:r>
        <w:t>4</w:t>
      </w:r>
      <w:r w:rsidRPr="00255DBD">
        <w:t xml:space="preserve"> let. </w:t>
      </w:r>
      <w:r w:rsidRPr="00BE169F">
        <w:t xml:space="preserve">Povprečna starost nosilca kmetijskega gospodarstva v </w:t>
      </w:r>
      <w:r>
        <w:t>Goriški</w:t>
      </w:r>
      <w:r w:rsidRPr="00BE169F">
        <w:t xml:space="preserve"> statistični regiji je bila 61,</w:t>
      </w:r>
      <w:r>
        <w:t>8</w:t>
      </w:r>
      <w:r w:rsidRPr="00BE169F">
        <w:t xml:space="preserve"> let (Kociper, 2020), </w:t>
      </w:r>
      <w:r w:rsidRPr="00255DBD">
        <w:t>medtem ko je bila v Sloveniji povprečna starost nosilca kmetijskega gospodarstva</w:t>
      </w:r>
      <w:r>
        <w:t xml:space="preserve"> 57</w:t>
      </w:r>
      <w:r w:rsidRPr="00255DBD">
        <w:t xml:space="preserve"> let.</w:t>
      </w:r>
      <w:r>
        <w:t xml:space="preserve"> </w:t>
      </w:r>
      <w:r w:rsidRPr="00BE169F">
        <w:t xml:space="preserve">Število zaposlenih v kmetijski dejavnosti ostaja enako, saj je bil indeks rasti 2016/2007 na ravni </w:t>
      </w:r>
      <w:r>
        <w:t>Gori</w:t>
      </w:r>
      <w:r w:rsidRPr="00BE169F">
        <w:t>ške statistične regije 1,0</w:t>
      </w:r>
      <w:r>
        <w:t>2</w:t>
      </w:r>
      <w:r w:rsidRPr="00BE169F">
        <w:t xml:space="preserve"> indeksne točke (Kociper, 2020).</w:t>
      </w:r>
    </w:p>
    <w:p w14:paraId="61C1248E" w14:textId="77777777" w:rsidR="00A920F6" w:rsidRPr="00296469" w:rsidRDefault="00A920F6" w:rsidP="00A920F6">
      <w:r w:rsidRPr="00296469">
        <w:t xml:space="preserve">Prevladujoča kmetijska panoga v </w:t>
      </w:r>
      <w:r>
        <w:t xml:space="preserve">mestni </w:t>
      </w:r>
      <w:r w:rsidRPr="00296469">
        <w:t>občini Nova Gorica je poljedelstvo. Sadjarstvo, ki je bilo včasih zelo razširjeno</w:t>
      </w:r>
      <w:r>
        <w:t>,</w:t>
      </w:r>
      <w:r w:rsidRPr="00296469">
        <w:t xml:space="preserve"> se je v zadnjih desetletjih zelo zmanjšalo. Predvsem je tu težava z odkupom pridelkov. Včasih je bil zagotovljen odkup v predelovalni industriji Fructal d.o.o., ki je od kmetov odkupoval večje količine sadja (predvsem breskve in hruške).</w:t>
      </w:r>
      <w:r>
        <w:t xml:space="preserve"> </w:t>
      </w:r>
      <w:r w:rsidRPr="00296469">
        <w:t>V tej panogi je tudi velik porast vedno novih bolezni in škodljivc</w:t>
      </w:r>
      <w:r>
        <w:t>ev</w:t>
      </w:r>
      <w:r w:rsidRPr="00296469">
        <w:t xml:space="preserve">. </w:t>
      </w:r>
    </w:p>
    <w:p w14:paraId="49A44995" w14:textId="77777777" w:rsidR="00A920F6" w:rsidRPr="001F4FD8" w:rsidRDefault="00A920F6" w:rsidP="00A920F6">
      <w:r>
        <w:t>V občini</w:t>
      </w:r>
      <w:r w:rsidRPr="00255DBD">
        <w:t xml:space="preserve"> je bilo leta 2016 </w:t>
      </w:r>
      <w:r>
        <w:t>le 3</w:t>
      </w:r>
      <w:r w:rsidRPr="00255DBD">
        <w:t xml:space="preserve"> % kmetijskih gospodarstev usmerjenih v ekološko kmetovanje, </w:t>
      </w:r>
      <w:r>
        <w:t>kar je manj</w:t>
      </w:r>
      <w:r w:rsidRPr="00BE169F">
        <w:t xml:space="preserve"> </w:t>
      </w:r>
      <w:r>
        <w:t>od povprečja</w:t>
      </w:r>
      <w:r w:rsidRPr="00BE169F">
        <w:t xml:space="preserve"> </w:t>
      </w:r>
      <w:r>
        <w:t>Gori</w:t>
      </w:r>
      <w:r w:rsidRPr="00BE169F">
        <w:t>šk</w:t>
      </w:r>
      <w:r>
        <w:t>e</w:t>
      </w:r>
      <w:r w:rsidRPr="00BE169F">
        <w:t xml:space="preserve"> statističn</w:t>
      </w:r>
      <w:r>
        <w:t>e</w:t>
      </w:r>
      <w:r w:rsidRPr="00BE169F">
        <w:t xml:space="preserve"> regij</w:t>
      </w:r>
      <w:r>
        <w:t>e</w:t>
      </w:r>
      <w:r w:rsidRPr="00BE169F">
        <w:t>, kjer je ekološko kmetovalo 4,</w:t>
      </w:r>
      <w:r>
        <w:t>1</w:t>
      </w:r>
      <w:r w:rsidRPr="00BE169F">
        <w:t xml:space="preserve"> % kmetijskih gospodarstev (Kociper, 2020). </w:t>
      </w:r>
      <w:r>
        <w:t xml:space="preserve">Zaenkrat ni izrazitega trenda v to smer. </w:t>
      </w:r>
      <w:r w:rsidRPr="00BE169F">
        <w:t xml:space="preserve">Delež kmetijskih gospodarstev z dopolnilnimi dejavnostmi je </w:t>
      </w:r>
      <w:r>
        <w:t>bil prav tako majhen, 4</w:t>
      </w:r>
      <w:r w:rsidRPr="00255DBD">
        <w:t xml:space="preserve"> </w:t>
      </w:r>
      <w:r w:rsidRPr="00BE169F">
        <w:t>%</w:t>
      </w:r>
      <w:r>
        <w:t xml:space="preserve">. </w:t>
      </w:r>
      <w:r w:rsidRPr="007C056F">
        <w:t xml:space="preserve">Pri tem moramo ostati pozorni, saj se je v zadnjih študijah pokazalo, da so lahko negativni </w:t>
      </w:r>
      <w:proofErr w:type="spellStart"/>
      <w:r w:rsidRPr="007C056F">
        <w:t>okoljski</w:t>
      </w:r>
      <w:proofErr w:type="spellEnd"/>
      <w:r w:rsidRPr="007C056F">
        <w:t xml:space="preserve"> vplivi (npr. glede dušika) na enoto pridelka (in ne na enoto površine, kot so računali pred tem) pri ekološkem kmetijstvu večji. Glede na povpraševanje na trgu pa je v Sloveniji spodbujanje ekološkega kmetijstva zelo upravičeno.</w:t>
      </w:r>
    </w:p>
    <w:p w14:paraId="3EA7A57B" w14:textId="77777777" w:rsidR="00A920F6" w:rsidRPr="00BE169F" w:rsidRDefault="00A920F6" w:rsidP="00A920F6">
      <w:r w:rsidRPr="00BE169F">
        <w:t xml:space="preserve">Razmerje med povprečnimi plačili ukrepov kmetijske politike in povprečno površino kmetijskih zemljišč v uporabi (1000 EUR/ha), 2007–2016, je </w:t>
      </w:r>
      <w:r>
        <w:t xml:space="preserve">bilo </w:t>
      </w:r>
      <w:r w:rsidRPr="00BE169F">
        <w:t xml:space="preserve">na ravni </w:t>
      </w:r>
      <w:r>
        <w:t>Goriške statistične regije 5,8</w:t>
      </w:r>
      <w:r w:rsidRPr="00BE169F">
        <w:t xml:space="preserve">; delež povprečnih letnih investicij za varstvo okolja v povprečnem letnem bruto domačem </w:t>
      </w:r>
      <w:r>
        <w:t>proizvodu (%), 2007–2016, pa 0,2</w:t>
      </w:r>
      <w:r w:rsidRPr="00BE169F">
        <w:t xml:space="preserve"> %. Delež bruto dodane vrednosti kmetijske dejavnosti v skupni bruto dodani vrednosti (%), 2016, je bil </w:t>
      </w:r>
      <w:r>
        <w:t>nekoliko večji</w:t>
      </w:r>
      <w:r w:rsidRPr="00BE169F">
        <w:t xml:space="preserve"> (3</w:t>
      </w:r>
      <w:r>
        <w:t>,6</w:t>
      </w:r>
      <w:r w:rsidRPr="00BE169F">
        <w:t xml:space="preserve"> %); razmerje med standardnim prihodkom in polnovredno delovno močjo kmetijskega gospodarstva (1000 EUR), 2016, pa je bilo 1</w:t>
      </w:r>
      <w:r>
        <w:t>4,1</w:t>
      </w:r>
      <w:r w:rsidRPr="00BE169F">
        <w:t xml:space="preserve"> (Kociper, 2020).</w:t>
      </w:r>
      <w:r>
        <w:t xml:space="preserve"> </w:t>
      </w:r>
      <w:r w:rsidRPr="00BE169F">
        <w:t xml:space="preserve">Delež povprečne letne škode zaradi vremensko pogojenih naravnih nesreč v povprečnem bruto domačem proizvodu (%), 2009–2016, je bil na ravni </w:t>
      </w:r>
      <w:r>
        <w:t>Goriške</w:t>
      </w:r>
      <w:r w:rsidRPr="00BE169F">
        <w:t xml:space="preserve"> statistične regije le 0,</w:t>
      </w:r>
      <w:r>
        <w:t>5</w:t>
      </w:r>
      <w:r w:rsidRPr="00BE169F">
        <w:t xml:space="preserve"> % (Kociper, 2020).</w:t>
      </w:r>
    </w:p>
    <w:p w14:paraId="40843D0B" w14:textId="77777777" w:rsidR="00A920F6" w:rsidRDefault="00A920F6" w:rsidP="00A920F6">
      <w:r w:rsidRPr="00C44544">
        <w:t>V občini je bilo v letu 2018 4</w:t>
      </w:r>
      <w:r>
        <w:t>070,5</w:t>
      </w:r>
      <w:r w:rsidRPr="00C44544">
        <w:t xml:space="preserve"> ha kmetijskih zemljišč v uporabi, kar je </w:t>
      </w:r>
      <w:r>
        <w:t>nekaj</w:t>
      </w:r>
      <w:r w:rsidRPr="00C44544">
        <w:t xml:space="preserve"> več kot leta 2</w:t>
      </w:r>
      <w:r>
        <w:t>007, ko jih je bilo v uporabi 3</w:t>
      </w:r>
      <w:r w:rsidRPr="00C44544">
        <w:t>7</w:t>
      </w:r>
      <w:r>
        <w:t>48,5</w:t>
      </w:r>
      <w:r w:rsidRPr="00C44544">
        <w:t xml:space="preserve"> ha. </w:t>
      </w:r>
      <w:r w:rsidRPr="00255DBD">
        <w:t>Delež kmetijskih zemljišč na območjih z omejenimi možnos</w:t>
      </w:r>
      <w:r>
        <w:t>tmi za kmetijsko dejavnost je zelo velik, 96</w:t>
      </w:r>
      <w:r w:rsidRPr="00255DBD">
        <w:t xml:space="preserve"> %</w:t>
      </w:r>
      <w:r>
        <w:t>, poleg tega jih ima kar 60</w:t>
      </w:r>
      <w:r w:rsidRPr="00255DBD">
        <w:t xml:space="preserve"> % boniteto pod 40. </w:t>
      </w:r>
      <w:r>
        <w:t>Precejšen</w:t>
      </w:r>
      <w:r w:rsidRPr="00F46CEB">
        <w:t xml:space="preserve"> odstotek kmetijskih zemljišč je </w:t>
      </w:r>
      <w:r>
        <w:t>tudi poplavno ogrožen (10</w:t>
      </w:r>
      <w:r w:rsidRPr="00F46CEB">
        <w:t xml:space="preserve"> </w:t>
      </w:r>
      <w:r w:rsidRPr="00BE169F">
        <w:t xml:space="preserve">%), kar je </w:t>
      </w:r>
      <w:r>
        <w:t>precej več kot v povprečju</w:t>
      </w:r>
      <w:r w:rsidRPr="00BE169F">
        <w:t xml:space="preserve"> </w:t>
      </w:r>
      <w:r w:rsidRPr="001F4FD8">
        <w:t xml:space="preserve">v </w:t>
      </w:r>
      <w:r>
        <w:t>Goriški</w:t>
      </w:r>
      <w:r w:rsidRPr="001F4FD8">
        <w:t xml:space="preserve"> statistični regiji</w:t>
      </w:r>
      <w:r>
        <w:t xml:space="preserve"> (6,1 %) </w:t>
      </w:r>
      <w:r w:rsidRPr="001F4FD8">
        <w:t>(Kociper, 2020).</w:t>
      </w:r>
      <w:r w:rsidRPr="00BE169F">
        <w:t xml:space="preserve"> </w:t>
      </w:r>
      <w:r>
        <w:t>V obdobjih močnih nalivov poplavlja reka Vipava, tudi sicer (ko ne pride do rečne poplave) pa zastajanje vode povzroča veliko težav na poljedelskih površinah.</w:t>
      </w:r>
    </w:p>
    <w:p w14:paraId="2C26B546" w14:textId="77777777" w:rsidR="00A920F6" w:rsidRPr="001E162B" w:rsidRDefault="00A920F6" w:rsidP="00A920F6">
      <w:r>
        <w:t>Kmetijska zemljišča</w:t>
      </w:r>
      <w:r w:rsidRPr="00BE169F">
        <w:t xml:space="preserve"> so</w:t>
      </w:r>
      <w:r>
        <w:t xml:space="preserve"> v primerjavi s stanjem v celotni regiji in Sloveniji</w:t>
      </w:r>
      <w:r w:rsidRPr="00BE169F">
        <w:t xml:space="preserve"> </w:t>
      </w:r>
      <w:r>
        <w:t xml:space="preserve">v precej velikem deležu </w:t>
      </w:r>
      <w:r w:rsidRPr="00BE169F">
        <w:t>opremljena z namakalnimi sistemi (</w:t>
      </w:r>
      <w:r>
        <w:t>10</w:t>
      </w:r>
      <w:r w:rsidRPr="00BE169F">
        <w:t xml:space="preserve"> % v letu 2017).</w:t>
      </w:r>
      <w:r w:rsidRPr="003F2A60">
        <w:t xml:space="preserve"> </w:t>
      </w:r>
      <w:r>
        <w:t>Kmetijska svetovalna služba (KSS) poroča, da je n</w:t>
      </w:r>
      <w:r w:rsidRPr="001E162B">
        <w:t xml:space="preserve">a večjem območju občine Nova Gorica zgrajen namakalni sistem iz akumulacije </w:t>
      </w:r>
      <w:proofErr w:type="spellStart"/>
      <w:r w:rsidRPr="001E162B">
        <w:t>Vogršček</w:t>
      </w:r>
      <w:proofErr w:type="spellEnd"/>
      <w:r w:rsidRPr="001E162B">
        <w:t xml:space="preserve">, ki pa ne deluje v skladu </w:t>
      </w:r>
      <w:r>
        <w:t>s</w:t>
      </w:r>
      <w:r w:rsidRPr="001E162B">
        <w:t xml:space="preserve"> pričakovanji.</w:t>
      </w:r>
      <w:r w:rsidRPr="001E162B">
        <w:rPr>
          <w:rFonts w:asciiTheme="minorHAnsi" w:hAnsiTheme="minorHAnsi"/>
        </w:rPr>
        <w:t xml:space="preserve"> </w:t>
      </w:r>
      <w:r>
        <w:t>Potrebno bi bilo urediti, d</w:t>
      </w:r>
      <w:r w:rsidRPr="001E162B">
        <w:t>a bi sistem nemoteno deloval in kmetom zagotovil nemoteno namakanje.</w:t>
      </w:r>
      <w:r>
        <w:t xml:space="preserve"> </w:t>
      </w:r>
      <w:r w:rsidRPr="001E162B">
        <w:t>Nekaj kmetov je pridobilo tudi vodno dovoljenje, ki omogoča namakanje iz reke Vipave.</w:t>
      </w:r>
      <w:r>
        <w:t xml:space="preserve"> V zadnjih letih je </w:t>
      </w:r>
      <w:r w:rsidRPr="001E162B">
        <w:t xml:space="preserve">v porastu pridobivanje vodnih dovoljenj, ki </w:t>
      </w:r>
      <w:r w:rsidRPr="001E162B">
        <w:lastRenderedPageBreak/>
        <w:t xml:space="preserve">omogočajo namakanje iz vodovodnega sistema. S </w:t>
      </w:r>
      <w:r>
        <w:t>tem načinom namakanja se kmetje izognej</w:t>
      </w:r>
      <w:r w:rsidRPr="001E162B">
        <w:t>o potrebi po filtraciji vod</w:t>
      </w:r>
      <w:r>
        <w:t>e</w:t>
      </w:r>
      <w:r w:rsidRPr="001E162B">
        <w:t>, saj lahko direktno namaka</w:t>
      </w:r>
      <w:r>
        <w:t>j</w:t>
      </w:r>
      <w:r w:rsidRPr="001E162B">
        <w:t>o brez predhodnega filtriranja. Ta način namakanja je trenutno tudi še cenovno ugoden.</w:t>
      </w:r>
      <w:r>
        <w:t xml:space="preserve"> Večinoma gre za nadzorovano kapljično namakanje, poleg tega se kmetje že odločajo za na sušo odpornejše sorte.</w:t>
      </w:r>
    </w:p>
    <w:p w14:paraId="640515F2" w14:textId="77777777" w:rsidR="00A920F6" w:rsidRPr="00E86A3B" w:rsidRDefault="00A920F6" w:rsidP="00A920F6">
      <w:r>
        <w:t>KSS poroča, da so na kmetijskih površinah tudi težave z vetrno erozijo, tujerodnimi invazivnimi rastlinami in škodo zaradi divjadi. Kmetje se zavedajo podnebnih sprememb in stremijo k postavljanju namakalnih sistemov, protitočnih mrež in zaščitenih prostorov za pridelavo vrtnin, vendar trenutno to predstavlja zelo velik začetni strošek.</w:t>
      </w:r>
    </w:p>
    <w:p w14:paraId="0EC786AD" w14:textId="77777777" w:rsidR="00CA7B20" w:rsidRDefault="00CA7B20" w:rsidP="005913CE"/>
    <w:p w14:paraId="5BFBE9DA" w14:textId="411E812C" w:rsidR="005913CE" w:rsidRPr="00B464E1" w:rsidRDefault="005913CE" w:rsidP="005913CE">
      <w:pPr>
        <w:pStyle w:val="Naslov3"/>
      </w:pPr>
      <w:bookmarkStart w:id="138" w:name="_Toc39744525"/>
      <w:bookmarkStart w:id="139" w:name="_Ref41550662"/>
      <w:bookmarkStart w:id="140" w:name="_Ref41550768"/>
      <w:bookmarkStart w:id="141" w:name="_Ref41550809"/>
      <w:bookmarkStart w:id="142" w:name="_Toc48724557"/>
      <w:bookmarkStart w:id="143" w:name="_Ref59179929"/>
      <w:bookmarkStart w:id="144" w:name="_Ref74577392"/>
      <w:bookmarkStart w:id="145" w:name="_Ref74578796"/>
      <w:bookmarkStart w:id="146" w:name="_Toc97026750"/>
      <w:r w:rsidRPr="00B464E1">
        <w:t>Ocena potencialnih vplivov podnebnih sprememb na sektor</w:t>
      </w:r>
      <w:r w:rsidR="00C174E2">
        <w:t xml:space="preserve"> kmetijstvo</w:t>
      </w:r>
      <w:r w:rsidRPr="00B464E1">
        <w:t xml:space="preserve"> po kazalnikih</w:t>
      </w:r>
      <w:bookmarkEnd w:id="138"/>
      <w:bookmarkEnd w:id="139"/>
      <w:bookmarkEnd w:id="140"/>
      <w:bookmarkEnd w:id="141"/>
      <w:bookmarkEnd w:id="142"/>
      <w:bookmarkEnd w:id="143"/>
      <w:bookmarkEnd w:id="144"/>
      <w:bookmarkEnd w:id="145"/>
      <w:bookmarkEnd w:id="146"/>
    </w:p>
    <w:p w14:paraId="36D1AFE1" w14:textId="77777777" w:rsidR="00A920F6" w:rsidRPr="0025537D" w:rsidRDefault="00A920F6" w:rsidP="00A920F6">
      <w:bookmarkStart w:id="147" w:name="_Toc39744526"/>
      <w:bookmarkStart w:id="148" w:name="_Ref41551067"/>
      <w:bookmarkStart w:id="149" w:name="_Toc48724558"/>
      <w:bookmarkStart w:id="150" w:name="_Ref56710743"/>
      <w:r w:rsidRPr="0025537D">
        <w:t xml:space="preserve">Kazalnik potencialnih vplivov podnebja združuje za pet kazalnikov ranljivosti različne spremenljivke kazalnika izpostavljenosti in občutljivosti, vsi imajo enake lestvice. Tu opisujemo trenutno stanje izpostavljenosti in spremembe izpostavljenosti, ki jih pričakujemo glede na projekcije podnebnih sprememb, ter stanje kazalnika občutljivosti. </w:t>
      </w:r>
    </w:p>
    <w:p w14:paraId="25551DB0" w14:textId="52C32C80" w:rsidR="00A920F6" w:rsidRPr="0025537D" w:rsidRDefault="00A920F6" w:rsidP="00A920F6">
      <w:r w:rsidRPr="0025537D">
        <w:t xml:space="preserve">Za območje </w:t>
      </w:r>
      <w:r>
        <w:t xml:space="preserve">mestne </w:t>
      </w:r>
      <w:r w:rsidRPr="0025537D">
        <w:t xml:space="preserve">občine </w:t>
      </w:r>
      <w:r>
        <w:t>Nova Gorica</w:t>
      </w:r>
      <w:r w:rsidRPr="0025537D">
        <w:t xml:space="preserve"> (</w:t>
      </w:r>
      <w:r w:rsidRPr="0025537D">
        <w:fldChar w:fldCharType="begin"/>
      </w:r>
      <w:r w:rsidRPr="0025537D">
        <w:instrText xml:space="preserve"> REF _Ref38613497 \h </w:instrText>
      </w:r>
      <w:r w:rsidRPr="0025537D">
        <w:fldChar w:fldCharType="separate"/>
      </w:r>
      <w:r w:rsidR="004700D5" w:rsidRPr="0025537D">
        <w:rPr>
          <w:rFonts w:eastAsia="Trebuchet MS" w:cs="Trebuchet MS"/>
          <w:i/>
          <w:iCs/>
          <w:color w:val="44546A" w:themeColor="text2"/>
          <w:sz w:val="18"/>
          <w:szCs w:val="18"/>
          <w:lang w:eastAsia="sl-SI"/>
        </w:rPr>
        <w:t xml:space="preserve">Preglednica </w:t>
      </w:r>
      <w:r w:rsidR="004700D5">
        <w:rPr>
          <w:rFonts w:eastAsia="Trebuchet MS" w:cs="Trebuchet MS"/>
          <w:i/>
          <w:iCs/>
          <w:noProof/>
          <w:color w:val="44546A" w:themeColor="text2"/>
          <w:sz w:val="18"/>
          <w:szCs w:val="18"/>
          <w:lang w:eastAsia="sl-SI"/>
        </w:rPr>
        <w:t>6</w:t>
      </w:r>
      <w:r w:rsidR="004700D5">
        <w:rPr>
          <w:rFonts w:eastAsia="Trebuchet MS" w:cs="Trebuchet MS"/>
          <w:i/>
          <w:iCs/>
          <w:color w:val="44546A" w:themeColor="text2"/>
          <w:sz w:val="18"/>
          <w:szCs w:val="18"/>
          <w:lang w:eastAsia="sl-SI"/>
        </w:rPr>
        <w:t>.</w:t>
      </w:r>
      <w:r w:rsidR="004700D5">
        <w:rPr>
          <w:rFonts w:eastAsia="Trebuchet MS" w:cs="Trebuchet MS"/>
          <w:i/>
          <w:iCs/>
          <w:noProof/>
          <w:color w:val="44546A" w:themeColor="text2"/>
          <w:sz w:val="18"/>
          <w:szCs w:val="18"/>
          <w:lang w:eastAsia="sl-SI"/>
        </w:rPr>
        <w:t>5</w:t>
      </w:r>
      <w:r w:rsidRPr="0025537D">
        <w:fldChar w:fldCharType="end"/>
      </w:r>
      <w:r w:rsidRPr="0025537D">
        <w:t>) je bila v obdobju 1981—2010 povprečna dnevna temperatura zraka po modelski vrednosti 1</w:t>
      </w:r>
      <w:r>
        <w:t>0</w:t>
      </w:r>
      <w:r w:rsidRPr="0025537D">
        <w:t>,</w:t>
      </w:r>
      <w:r>
        <w:t>4 °C, za mesto Nova Gorica pa 11</w:t>
      </w:r>
      <w:r w:rsidRPr="0025537D">
        <w:t>,</w:t>
      </w:r>
      <w:r>
        <w:t>8</w:t>
      </w:r>
      <w:r w:rsidRPr="0025537D">
        <w:t xml:space="preserve"> °C. Modeli </w:t>
      </w:r>
      <w:r>
        <w:t>za temperaturo</w:t>
      </w:r>
      <w:r w:rsidRPr="0025537D">
        <w:t xml:space="preserve"> </w:t>
      </w:r>
      <w:r>
        <w:t xml:space="preserve">tu </w:t>
      </w:r>
      <w:r w:rsidRPr="0025537D">
        <w:t>realno stanje nekoliko podcenjujejo</w:t>
      </w:r>
      <w:r>
        <w:t>, torej je izpostavljenost še malo večja, kot bo prikazovala ocena</w:t>
      </w:r>
      <w:r w:rsidRPr="0025537D">
        <w:t>. Povprečna najviš</w:t>
      </w:r>
      <w:r>
        <w:t>ja dnevna temperatura je bila 15,6</w:t>
      </w:r>
      <w:r w:rsidRPr="0025537D">
        <w:t xml:space="preserve"> °C. Na tem območju so povprečne temperature </w:t>
      </w:r>
      <w:r>
        <w:t>zraka med najvišjimi</w:t>
      </w:r>
      <w:r w:rsidRPr="0025537D">
        <w:t xml:space="preserve"> v Sloveniji</w:t>
      </w:r>
      <w:r>
        <w:t>, za celotno občino je povprečje nekoliko nižje na račun višje ležečih območij</w:t>
      </w:r>
      <w:r w:rsidRPr="0025537D">
        <w:t xml:space="preserve">. </w:t>
      </w:r>
      <w:r>
        <w:t>I</w:t>
      </w:r>
      <w:r w:rsidRPr="0025537D">
        <w:t xml:space="preserve">zpostavljenost kmetijstva pretoplim razmeram </w:t>
      </w:r>
      <w:r>
        <w:t xml:space="preserve">je </w:t>
      </w:r>
      <w:r w:rsidRPr="0025537D">
        <w:t xml:space="preserve">že sedaj </w:t>
      </w:r>
      <w:r>
        <w:t>precejšnja</w:t>
      </w:r>
      <w:r w:rsidRPr="0025537D">
        <w:t>. Poletne temperature so na tem območju prav tako med najvišjimi v Sloveniji, v referenčnem obdobju je modelska vrednost zna</w:t>
      </w:r>
      <w:r>
        <w:t>šala 19</w:t>
      </w:r>
      <w:r w:rsidRPr="0025537D">
        <w:t>,</w:t>
      </w:r>
      <w:r>
        <w:t>1</w:t>
      </w:r>
      <w:r w:rsidRPr="0025537D">
        <w:t xml:space="preserve"> °C, izmerjena </w:t>
      </w:r>
      <w:r>
        <w:t xml:space="preserve">v Biljah </w:t>
      </w:r>
      <w:r w:rsidRPr="0025537D">
        <w:t>21</w:t>
      </w:r>
      <w:r>
        <w:t>,5</w:t>
      </w:r>
      <w:r w:rsidRPr="0025537D">
        <w:t> °C (najvišja Vedrijan 21,7 °C). Izpostavljenost (</w:t>
      </w:r>
      <w:r w:rsidRPr="0025537D">
        <w:fldChar w:fldCharType="begin"/>
      </w:r>
      <w:r w:rsidRPr="0025537D">
        <w:instrText xml:space="preserve"> REF _Ref39584421 \h </w:instrText>
      </w:r>
      <w:r w:rsidRPr="0025537D">
        <w:fldChar w:fldCharType="separate"/>
      </w:r>
      <w:r w:rsidR="004700D5" w:rsidRPr="0025537D">
        <w:rPr>
          <w:rFonts w:eastAsia="Trebuchet MS" w:cs="Trebuchet MS"/>
          <w:i/>
          <w:iCs/>
          <w:color w:val="44546A" w:themeColor="text2"/>
          <w:sz w:val="18"/>
          <w:szCs w:val="18"/>
          <w:lang w:eastAsia="sl-SI"/>
        </w:rPr>
        <w:t xml:space="preserve">Preglednica </w:t>
      </w:r>
      <w:r w:rsidR="004700D5">
        <w:rPr>
          <w:rFonts w:eastAsia="Trebuchet MS" w:cs="Trebuchet MS"/>
          <w:i/>
          <w:iCs/>
          <w:noProof/>
          <w:color w:val="44546A" w:themeColor="text2"/>
          <w:sz w:val="18"/>
          <w:szCs w:val="18"/>
          <w:lang w:eastAsia="sl-SI"/>
        </w:rPr>
        <w:t>6</w:t>
      </w:r>
      <w:r w:rsidR="004700D5">
        <w:rPr>
          <w:rFonts w:eastAsia="Trebuchet MS" w:cs="Trebuchet MS"/>
          <w:i/>
          <w:iCs/>
          <w:color w:val="44546A" w:themeColor="text2"/>
          <w:sz w:val="18"/>
          <w:szCs w:val="18"/>
          <w:lang w:eastAsia="sl-SI"/>
        </w:rPr>
        <w:t>.</w:t>
      </w:r>
      <w:r w:rsidR="004700D5">
        <w:rPr>
          <w:rFonts w:eastAsia="Trebuchet MS" w:cs="Trebuchet MS"/>
          <w:i/>
          <w:iCs/>
          <w:noProof/>
          <w:color w:val="44546A" w:themeColor="text2"/>
          <w:sz w:val="18"/>
          <w:szCs w:val="18"/>
          <w:lang w:eastAsia="sl-SI"/>
        </w:rPr>
        <w:t>6</w:t>
      </w:r>
      <w:r w:rsidRPr="0025537D">
        <w:fldChar w:fldCharType="end"/>
      </w:r>
      <w:r w:rsidRPr="0025537D">
        <w:t xml:space="preserve">) je </w:t>
      </w:r>
      <w:r>
        <w:t>zmerna (ocena 3</w:t>
      </w:r>
      <w:r w:rsidRPr="0025537D">
        <w:t>),</w:t>
      </w:r>
      <w:r>
        <w:t xml:space="preserve"> a že zelo blizu meje za veliko – kot smo omenili, so vrednosti nižje tudi na račun zaledja. Ponekod se že pojavljajo t</w:t>
      </w:r>
      <w:r w:rsidRPr="0025537D">
        <w:t xml:space="preserve">ežave zaradi toplotnih obremenitev in vročinskega stresa rastlin ter večje potrebe ljudi in živine po hlajenju. Deloma je kmetijstvo (ljudje, živali, rastline) temu zaradi dolgoletne izpostavljenosti že prilagojeno. Povprečno letno </w:t>
      </w:r>
      <w:r>
        <w:t>število vročih dni je doseglo 13</w:t>
      </w:r>
      <w:r w:rsidRPr="0025537D">
        <w:t xml:space="preserve"> dni (največje povprečno število je bilo v Biljah: 30,4 dni), kar prav tako predstavlja </w:t>
      </w:r>
      <w:r>
        <w:t>zmerno izpostavljenost (ocena 3</w:t>
      </w:r>
      <w:r w:rsidRPr="0025537D">
        <w:t>)</w:t>
      </w:r>
      <w:r>
        <w:t>, a zaradi bližine Bilj, vsaj v nižje ležečih delih občine pomeni tudi veliko ali celo zelo veliko izpostavljenost</w:t>
      </w:r>
      <w:r w:rsidRPr="0025537D">
        <w:t>.</w:t>
      </w:r>
    </w:p>
    <w:p w14:paraId="4D609F56" w14:textId="5B15DB01" w:rsidR="00A920F6" w:rsidRPr="0025537D" w:rsidRDefault="00A920F6" w:rsidP="00A920F6">
      <w:pPr>
        <w:spacing w:after="200" w:line="240" w:lineRule="auto"/>
        <w:rPr>
          <w:rFonts w:eastAsia="Trebuchet MS" w:cs="Trebuchet MS"/>
          <w:iCs/>
          <w:color w:val="44546A" w:themeColor="text2"/>
          <w:sz w:val="18"/>
          <w:szCs w:val="18"/>
          <w:lang w:eastAsia="sl-SI"/>
        </w:rPr>
      </w:pPr>
      <w:bookmarkStart w:id="151" w:name="_Ref38613497"/>
      <w:bookmarkStart w:id="152" w:name="_Ref38615590"/>
      <w:bookmarkStart w:id="153" w:name="_Toc97026958"/>
      <w:r w:rsidRPr="0025537D">
        <w:rPr>
          <w:rFonts w:eastAsia="Trebuchet MS" w:cs="Trebuchet MS"/>
          <w:i/>
          <w:iCs/>
          <w:color w:val="44546A" w:themeColor="text2"/>
          <w:sz w:val="18"/>
          <w:szCs w:val="18"/>
          <w:lang w:eastAsia="sl-SI"/>
        </w:rPr>
        <w:t xml:space="preserve">Preglednica </w:t>
      </w:r>
      <w:r w:rsidR="00976D80">
        <w:rPr>
          <w:rFonts w:eastAsia="Trebuchet MS" w:cs="Trebuchet MS"/>
          <w:i/>
          <w:iCs/>
          <w:color w:val="44546A" w:themeColor="text2"/>
          <w:sz w:val="18"/>
          <w:szCs w:val="18"/>
          <w:lang w:eastAsia="sl-SI"/>
        </w:rPr>
        <w:fldChar w:fldCharType="begin"/>
      </w:r>
      <w:r w:rsidR="00976D80">
        <w:rPr>
          <w:rFonts w:eastAsia="Trebuchet MS" w:cs="Trebuchet MS"/>
          <w:i/>
          <w:iCs/>
          <w:color w:val="44546A" w:themeColor="text2"/>
          <w:sz w:val="18"/>
          <w:szCs w:val="18"/>
          <w:lang w:eastAsia="sl-SI"/>
        </w:rPr>
        <w:instrText xml:space="preserve"> STYLEREF 1 \s </w:instrText>
      </w:r>
      <w:r w:rsidR="00976D80">
        <w:rPr>
          <w:rFonts w:eastAsia="Trebuchet MS" w:cs="Trebuchet MS"/>
          <w:i/>
          <w:iCs/>
          <w:color w:val="44546A" w:themeColor="text2"/>
          <w:sz w:val="18"/>
          <w:szCs w:val="18"/>
          <w:lang w:eastAsia="sl-SI"/>
        </w:rPr>
        <w:fldChar w:fldCharType="separate"/>
      </w:r>
      <w:r w:rsidR="00976D80">
        <w:rPr>
          <w:rFonts w:eastAsia="Trebuchet MS" w:cs="Trebuchet MS"/>
          <w:i/>
          <w:iCs/>
          <w:noProof/>
          <w:color w:val="44546A" w:themeColor="text2"/>
          <w:sz w:val="18"/>
          <w:szCs w:val="18"/>
          <w:lang w:eastAsia="sl-SI"/>
        </w:rPr>
        <w:t>6</w:t>
      </w:r>
      <w:r w:rsidR="00976D80">
        <w:rPr>
          <w:rFonts w:eastAsia="Trebuchet MS" w:cs="Trebuchet MS"/>
          <w:i/>
          <w:iCs/>
          <w:color w:val="44546A" w:themeColor="text2"/>
          <w:sz w:val="18"/>
          <w:szCs w:val="18"/>
          <w:lang w:eastAsia="sl-SI"/>
        </w:rPr>
        <w:fldChar w:fldCharType="end"/>
      </w:r>
      <w:r w:rsidR="00976D80">
        <w:rPr>
          <w:rFonts w:eastAsia="Trebuchet MS" w:cs="Trebuchet MS"/>
          <w:i/>
          <w:iCs/>
          <w:color w:val="44546A" w:themeColor="text2"/>
          <w:sz w:val="18"/>
          <w:szCs w:val="18"/>
          <w:lang w:eastAsia="sl-SI"/>
        </w:rPr>
        <w:t>.</w:t>
      </w:r>
      <w:r w:rsidR="00976D80">
        <w:rPr>
          <w:rFonts w:eastAsia="Trebuchet MS" w:cs="Trebuchet MS"/>
          <w:i/>
          <w:iCs/>
          <w:color w:val="44546A" w:themeColor="text2"/>
          <w:sz w:val="18"/>
          <w:szCs w:val="18"/>
          <w:lang w:eastAsia="sl-SI"/>
        </w:rPr>
        <w:fldChar w:fldCharType="begin"/>
      </w:r>
      <w:r w:rsidR="00976D80">
        <w:rPr>
          <w:rFonts w:eastAsia="Trebuchet MS" w:cs="Trebuchet MS"/>
          <w:i/>
          <w:iCs/>
          <w:color w:val="44546A" w:themeColor="text2"/>
          <w:sz w:val="18"/>
          <w:szCs w:val="18"/>
          <w:lang w:eastAsia="sl-SI"/>
        </w:rPr>
        <w:instrText xml:space="preserve"> SEQ Preglednica \* ARABIC \s 1 </w:instrText>
      </w:r>
      <w:r w:rsidR="00976D80">
        <w:rPr>
          <w:rFonts w:eastAsia="Trebuchet MS" w:cs="Trebuchet MS"/>
          <w:i/>
          <w:iCs/>
          <w:color w:val="44546A" w:themeColor="text2"/>
          <w:sz w:val="18"/>
          <w:szCs w:val="18"/>
          <w:lang w:eastAsia="sl-SI"/>
        </w:rPr>
        <w:fldChar w:fldCharType="separate"/>
      </w:r>
      <w:r w:rsidR="00976D80">
        <w:rPr>
          <w:rFonts w:eastAsia="Trebuchet MS" w:cs="Trebuchet MS"/>
          <w:i/>
          <w:iCs/>
          <w:noProof/>
          <w:color w:val="44546A" w:themeColor="text2"/>
          <w:sz w:val="18"/>
          <w:szCs w:val="18"/>
          <w:lang w:eastAsia="sl-SI"/>
        </w:rPr>
        <w:t>5</w:t>
      </w:r>
      <w:r w:rsidR="00976D80">
        <w:rPr>
          <w:rFonts w:eastAsia="Trebuchet MS" w:cs="Trebuchet MS"/>
          <w:i/>
          <w:iCs/>
          <w:color w:val="44546A" w:themeColor="text2"/>
          <w:sz w:val="18"/>
          <w:szCs w:val="18"/>
          <w:lang w:eastAsia="sl-SI"/>
        </w:rPr>
        <w:fldChar w:fldCharType="end"/>
      </w:r>
      <w:bookmarkEnd w:id="151"/>
      <w:r w:rsidRPr="0025537D">
        <w:rPr>
          <w:rFonts w:eastAsia="Trebuchet MS" w:cs="Trebuchet MS"/>
          <w:i/>
          <w:iCs/>
          <w:color w:val="44546A" w:themeColor="text2"/>
          <w:sz w:val="18"/>
          <w:szCs w:val="18"/>
          <w:lang w:eastAsia="sl-SI"/>
        </w:rPr>
        <w:t>: Povprečne vrednosti izbranih meteoroloških spremenljivk za obdobje 1981</w:t>
      </w:r>
      <w:r>
        <w:rPr>
          <w:rFonts w:asciiTheme="minorHAnsi" w:hAnsiTheme="minorHAnsi"/>
        </w:rPr>
        <w:t>–</w:t>
      </w:r>
      <w:r w:rsidRPr="0025537D">
        <w:rPr>
          <w:rFonts w:eastAsia="Trebuchet MS" w:cs="Trebuchet MS"/>
          <w:i/>
          <w:iCs/>
          <w:color w:val="44546A" w:themeColor="text2"/>
          <w:sz w:val="18"/>
          <w:szCs w:val="18"/>
          <w:lang w:eastAsia="sl-SI"/>
        </w:rPr>
        <w:t xml:space="preserve">2010 na območju </w:t>
      </w:r>
      <w:r>
        <w:rPr>
          <w:rFonts w:eastAsia="Trebuchet MS" w:cs="Trebuchet MS"/>
          <w:i/>
          <w:iCs/>
          <w:color w:val="44546A" w:themeColor="text2"/>
          <w:sz w:val="18"/>
          <w:szCs w:val="18"/>
          <w:lang w:eastAsia="sl-SI"/>
        </w:rPr>
        <w:t>mestne občine Nova Gorica</w:t>
      </w:r>
      <w:r w:rsidRPr="0025537D">
        <w:rPr>
          <w:rFonts w:eastAsia="Trebuchet MS" w:cs="Trebuchet MS"/>
          <w:i/>
          <w:iCs/>
          <w:color w:val="44546A" w:themeColor="text2"/>
          <w:sz w:val="18"/>
          <w:szCs w:val="18"/>
          <w:lang w:eastAsia="sl-SI"/>
        </w:rPr>
        <w:t xml:space="preserve"> (vir: ARSO</w:t>
      </w:r>
      <w:r>
        <w:rPr>
          <w:rFonts w:eastAsia="Trebuchet MS" w:cs="Trebuchet MS"/>
          <w:i/>
          <w:iCs/>
          <w:color w:val="44546A" w:themeColor="text2"/>
          <w:sz w:val="18"/>
          <w:szCs w:val="18"/>
          <w:lang w:eastAsia="sl-SI"/>
        </w:rPr>
        <w:t>, 2020</w:t>
      </w:r>
      <w:r w:rsidRPr="0025537D">
        <w:rPr>
          <w:rFonts w:eastAsia="Trebuchet MS" w:cs="Trebuchet MS"/>
          <w:i/>
          <w:iCs/>
          <w:color w:val="44546A" w:themeColor="text2"/>
          <w:sz w:val="18"/>
          <w:szCs w:val="18"/>
          <w:lang w:eastAsia="sl-SI"/>
        </w:rPr>
        <w:t xml:space="preserve">) in na dveh lokacijah v Sloveniji, kjer dosegajo najmanjšo in največjo vrednost (vir: arhiv ARSO; Vertačnik in </w:t>
      </w:r>
      <w:proofErr w:type="spellStart"/>
      <w:r w:rsidRPr="0025537D">
        <w:rPr>
          <w:rFonts w:eastAsia="Trebuchet MS" w:cs="Trebuchet MS"/>
          <w:i/>
          <w:iCs/>
          <w:color w:val="44546A" w:themeColor="text2"/>
          <w:sz w:val="18"/>
          <w:szCs w:val="18"/>
          <w:lang w:eastAsia="sl-SI"/>
        </w:rPr>
        <w:t>Bertalanič</w:t>
      </w:r>
      <w:proofErr w:type="spellEnd"/>
      <w:r w:rsidRPr="0025537D">
        <w:rPr>
          <w:rFonts w:eastAsia="Trebuchet MS" w:cs="Trebuchet MS"/>
          <w:i/>
          <w:iCs/>
          <w:color w:val="44546A" w:themeColor="text2"/>
          <w:sz w:val="18"/>
          <w:szCs w:val="18"/>
          <w:lang w:eastAsia="sl-SI"/>
        </w:rPr>
        <w:t>, 2017). Spremenljivke sestavljajo kazalnik izpostavljenosti kmetijstva podnebnim vplivom.</w:t>
      </w:r>
      <w:bookmarkEnd w:id="152"/>
      <w:bookmarkEnd w:id="153"/>
    </w:p>
    <w:tbl>
      <w:tblPr>
        <w:tblStyle w:val="TableGrid3"/>
        <w:tblW w:w="0" w:type="auto"/>
        <w:tblLook w:val="04A0" w:firstRow="1" w:lastRow="0" w:firstColumn="1" w:lastColumn="0" w:noHBand="0" w:noVBand="1"/>
      </w:tblPr>
      <w:tblGrid>
        <w:gridCol w:w="2687"/>
        <w:gridCol w:w="1703"/>
        <w:gridCol w:w="1290"/>
        <w:gridCol w:w="1155"/>
        <w:gridCol w:w="1163"/>
        <w:gridCol w:w="1018"/>
      </w:tblGrid>
      <w:tr w:rsidR="00A920F6" w:rsidRPr="0025537D" w14:paraId="24D1604F" w14:textId="77777777" w:rsidTr="00A920F6">
        <w:trPr>
          <w:trHeight w:val="300"/>
        </w:trPr>
        <w:tc>
          <w:tcPr>
            <w:tcW w:w="2687" w:type="dxa"/>
            <w:noWrap/>
            <w:vAlign w:val="center"/>
            <w:hideMark/>
          </w:tcPr>
          <w:p w14:paraId="0ECD7B24" w14:textId="77777777" w:rsidR="00A920F6" w:rsidRPr="0025537D" w:rsidRDefault="00A920F6" w:rsidP="00A920F6">
            <w:pPr>
              <w:rPr>
                <w:sz w:val="20"/>
                <w:szCs w:val="20"/>
              </w:rPr>
            </w:pPr>
            <w:r w:rsidRPr="0025537D">
              <w:rPr>
                <w:sz w:val="20"/>
                <w:szCs w:val="20"/>
              </w:rPr>
              <w:t>Spremenljivka</w:t>
            </w:r>
          </w:p>
        </w:tc>
        <w:tc>
          <w:tcPr>
            <w:tcW w:w="1703" w:type="dxa"/>
            <w:noWrap/>
            <w:vAlign w:val="center"/>
            <w:hideMark/>
          </w:tcPr>
          <w:p w14:paraId="7BF9BFD5" w14:textId="77777777" w:rsidR="00A920F6" w:rsidRPr="0025537D" w:rsidRDefault="00A920F6" w:rsidP="00A920F6">
            <w:pPr>
              <w:jc w:val="left"/>
              <w:rPr>
                <w:sz w:val="20"/>
                <w:szCs w:val="20"/>
              </w:rPr>
            </w:pPr>
            <w:r w:rsidRPr="0025537D">
              <w:rPr>
                <w:sz w:val="20"/>
                <w:szCs w:val="20"/>
              </w:rPr>
              <w:t xml:space="preserve">Povprečna  vrednost za območje </w:t>
            </w:r>
            <w:r>
              <w:rPr>
                <w:sz w:val="20"/>
                <w:szCs w:val="20"/>
              </w:rPr>
              <w:t>Nove Gorice</w:t>
            </w:r>
            <w:r w:rsidRPr="0025537D">
              <w:rPr>
                <w:sz w:val="20"/>
                <w:szCs w:val="20"/>
              </w:rPr>
              <w:t>*</w:t>
            </w:r>
          </w:p>
        </w:tc>
        <w:tc>
          <w:tcPr>
            <w:tcW w:w="1290" w:type="dxa"/>
            <w:noWrap/>
            <w:vAlign w:val="center"/>
            <w:hideMark/>
          </w:tcPr>
          <w:p w14:paraId="37415194" w14:textId="77777777" w:rsidR="00A920F6" w:rsidRPr="0025537D" w:rsidRDefault="00A920F6" w:rsidP="00A920F6">
            <w:pPr>
              <w:rPr>
                <w:sz w:val="20"/>
                <w:szCs w:val="20"/>
              </w:rPr>
            </w:pPr>
            <w:r w:rsidRPr="0025537D">
              <w:rPr>
                <w:sz w:val="20"/>
                <w:szCs w:val="20"/>
              </w:rPr>
              <w:t xml:space="preserve">Najmanjša povprečna vrednost v Sloveniji* </w:t>
            </w:r>
          </w:p>
        </w:tc>
        <w:tc>
          <w:tcPr>
            <w:tcW w:w="1155" w:type="dxa"/>
            <w:noWrap/>
            <w:vAlign w:val="center"/>
            <w:hideMark/>
          </w:tcPr>
          <w:p w14:paraId="5FE376B3" w14:textId="77777777" w:rsidR="00A920F6" w:rsidRPr="0025537D" w:rsidRDefault="00A920F6" w:rsidP="00A920F6">
            <w:pPr>
              <w:rPr>
                <w:sz w:val="20"/>
                <w:szCs w:val="20"/>
              </w:rPr>
            </w:pPr>
            <w:r w:rsidRPr="0025537D">
              <w:rPr>
                <w:sz w:val="20"/>
                <w:szCs w:val="20"/>
              </w:rPr>
              <w:t>Lokacija</w:t>
            </w:r>
          </w:p>
        </w:tc>
        <w:tc>
          <w:tcPr>
            <w:tcW w:w="1163" w:type="dxa"/>
            <w:noWrap/>
            <w:vAlign w:val="center"/>
            <w:hideMark/>
          </w:tcPr>
          <w:p w14:paraId="344DAC5C" w14:textId="77777777" w:rsidR="00A920F6" w:rsidRPr="0025537D" w:rsidRDefault="00A920F6" w:rsidP="00A920F6">
            <w:pPr>
              <w:rPr>
                <w:sz w:val="20"/>
                <w:szCs w:val="20"/>
              </w:rPr>
            </w:pPr>
            <w:r w:rsidRPr="0025537D">
              <w:rPr>
                <w:sz w:val="20"/>
                <w:szCs w:val="20"/>
              </w:rPr>
              <w:t>Največja povprečna vrednost v Sloveniji*</w:t>
            </w:r>
          </w:p>
        </w:tc>
        <w:tc>
          <w:tcPr>
            <w:tcW w:w="1018" w:type="dxa"/>
            <w:noWrap/>
            <w:vAlign w:val="center"/>
            <w:hideMark/>
          </w:tcPr>
          <w:p w14:paraId="22DA1E84" w14:textId="77777777" w:rsidR="00A920F6" w:rsidRPr="0025537D" w:rsidRDefault="00A920F6" w:rsidP="00A920F6">
            <w:pPr>
              <w:rPr>
                <w:sz w:val="20"/>
                <w:szCs w:val="20"/>
              </w:rPr>
            </w:pPr>
            <w:r w:rsidRPr="0025537D">
              <w:rPr>
                <w:sz w:val="20"/>
                <w:szCs w:val="20"/>
              </w:rPr>
              <w:t>Lokacija</w:t>
            </w:r>
          </w:p>
        </w:tc>
      </w:tr>
      <w:tr w:rsidR="00A920F6" w:rsidRPr="0025537D" w14:paraId="6B42FB95" w14:textId="77777777" w:rsidTr="00A920F6">
        <w:trPr>
          <w:trHeight w:val="300"/>
        </w:trPr>
        <w:tc>
          <w:tcPr>
            <w:tcW w:w="2687" w:type="dxa"/>
            <w:noWrap/>
            <w:hideMark/>
          </w:tcPr>
          <w:p w14:paraId="0F686C93" w14:textId="77777777" w:rsidR="00A920F6" w:rsidRPr="0025537D" w:rsidRDefault="00A920F6" w:rsidP="00A920F6">
            <w:pPr>
              <w:rPr>
                <w:sz w:val="20"/>
                <w:szCs w:val="20"/>
              </w:rPr>
            </w:pPr>
            <w:r w:rsidRPr="0025537D">
              <w:rPr>
                <w:sz w:val="20"/>
                <w:szCs w:val="20"/>
              </w:rPr>
              <w:t>Povprečna poletna temperatura zraka</w:t>
            </w:r>
          </w:p>
        </w:tc>
        <w:tc>
          <w:tcPr>
            <w:tcW w:w="1703" w:type="dxa"/>
            <w:noWrap/>
            <w:hideMark/>
          </w:tcPr>
          <w:p w14:paraId="341A0DE2" w14:textId="77777777" w:rsidR="00A920F6" w:rsidRPr="0025537D" w:rsidRDefault="00A920F6" w:rsidP="00A920F6">
            <w:pPr>
              <w:rPr>
                <w:sz w:val="20"/>
                <w:szCs w:val="20"/>
              </w:rPr>
            </w:pPr>
            <w:r>
              <w:rPr>
                <w:sz w:val="20"/>
                <w:szCs w:val="20"/>
              </w:rPr>
              <w:t>19,1</w:t>
            </w:r>
            <w:r w:rsidRPr="0025537D">
              <w:rPr>
                <w:sz w:val="20"/>
                <w:szCs w:val="20"/>
              </w:rPr>
              <w:t xml:space="preserve"> °C</w:t>
            </w:r>
          </w:p>
        </w:tc>
        <w:tc>
          <w:tcPr>
            <w:tcW w:w="1290" w:type="dxa"/>
            <w:noWrap/>
            <w:hideMark/>
          </w:tcPr>
          <w:p w14:paraId="66935FB4" w14:textId="77777777" w:rsidR="00A920F6" w:rsidRPr="0025537D" w:rsidRDefault="00A920F6" w:rsidP="00A920F6">
            <w:pPr>
              <w:rPr>
                <w:sz w:val="20"/>
                <w:szCs w:val="20"/>
              </w:rPr>
            </w:pPr>
            <w:r w:rsidRPr="0025537D">
              <w:rPr>
                <w:sz w:val="20"/>
                <w:szCs w:val="20"/>
              </w:rPr>
              <w:t>15,5 °C</w:t>
            </w:r>
          </w:p>
        </w:tc>
        <w:tc>
          <w:tcPr>
            <w:tcW w:w="1155" w:type="dxa"/>
            <w:noWrap/>
            <w:hideMark/>
          </w:tcPr>
          <w:p w14:paraId="3ECB7CF8" w14:textId="77777777" w:rsidR="00A920F6" w:rsidRPr="0025537D" w:rsidRDefault="00A920F6" w:rsidP="00A920F6">
            <w:pPr>
              <w:rPr>
                <w:sz w:val="20"/>
                <w:szCs w:val="20"/>
              </w:rPr>
            </w:pPr>
            <w:r w:rsidRPr="0025537D">
              <w:rPr>
                <w:sz w:val="20"/>
                <w:szCs w:val="20"/>
              </w:rPr>
              <w:t>Babno Polje</w:t>
            </w:r>
          </w:p>
        </w:tc>
        <w:tc>
          <w:tcPr>
            <w:tcW w:w="1163" w:type="dxa"/>
            <w:noWrap/>
            <w:hideMark/>
          </w:tcPr>
          <w:p w14:paraId="1F86043F" w14:textId="77777777" w:rsidR="00A920F6" w:rsidRPr="0025537D" w:rsidRDefault="00A920F6" w:rsidP="00A920F6">
            <w:pPr>
              <w:rPr>
                <w:sz w:val="20"/>
                <w:szCs w:val="20"/>
              </w:rPr>
            </w:pPr>
            <w:r w:rsidRPr="0025537D">
              <w:rPr>
                <w:sz w:val="20"/>
                <w:szCs w:val="20"/>
              </w:rPr>
              <w:t>21,7 °C</w:t>
            </w:r>
          </w:p>
        </w:tc>
        <w:tc>
          <w:tcPr>
            <w:tcW w:w="1018" w:type="dxa"/>
            <w:noWrap/>
            <w:hideMark/>
          </w:tcPr>
          <w:p w14:paraId="735DA9AB" w14:textId="77777777" w:rsidR="00A920F6" w:rsidRPr="0025537D" w:rsidRDefault="00A920F6" w:rsidP="00A920F6">
            <w:pPr>
              <w:rPr>
                <w:sz w:val="20"/>
                <w:szCs w:val="20"/>
              </w:rPr>
            </w:pPr>
            <w:r w:rsidRPr="0025537D">
              <w:rPr>
                <w:sz w:val="20"/>
                <w:szCs w:val="20"/>
              </w:rPr>
              <w:t>Vedrijan</w:t>
            </w:r>
          </w:p>
        </w:tc>
      </w:tr>
      <w:tr w:rsidR="00A920F6" w:rsidRPr="0025537D" w14:paraId="6F196D45" w14:textId="77777777" w:rsidTr="00A920F6">
        <w:trPr>
          <w:trHeight w:val="300"/>
        </w:trPr>
        <w:tc>
          <w:tcPr>
            <w:tcW w:w="2687" w:type="dxa"/>
            <w:noWrap/>
            <w:hideMark/>
          </w:tcPr>
          <w:p w14:paraId="03BA63B7" w14:textId="77777777" w:rsidR="00A920F6" w:rsidRPr="0025537D" w:rsidRDefault="00A920F6" w:rsidP="00A920F6">
            <w:pPr>
              <w:rPr>
                <w:sz w:val="20"/>
                <w:szCs w:val="20"/>
              </w:rPr>
            </w:pPr>
            <w:r w:rsidRPr="0025537D">
              <w:rPr>
                <w:sz w:val="20"/>
                <w:szCs w:val="20"/>
              </w:rPr>
              <w:t>Povprečno letno število vročih dni</w:t>
            </w:r>
          </w:p>
        </w:tc>
        <w:tc>
          <w:tcPr>
            <w:tcW w:w="1703" w:type="dxa"/>
            <w:noWrap/>
            <w:hideMark/>
          </w:tcPr>
          <w:p w14:paraId="20901C34" w14:textId="77777777" w:rsidR="00A920F6" w:rsidRPr="0025537D" w:rsidRDefault="00A920F6" w:rsidP="00A920F6">
            <w:pPr>
              <w:rPr>
                <w:sz w:val="20"/>
                <w:szCs w:val="20"/>
              </w:rPr>
            </w:pPr>
            <w:r>
              <w:rPr>
                <w:sz w:val="20"/>
                <w:szCs w:val="20"/>
              </w:rPr>
              <w:t>13</w:t>
            </w:r>
            <w:r w:rsidRPr="0025537D">
              <w:rPr>
                <w:sz w:val="20"/>
                <w:szCs w:val="20"/>
              </w:rPr>
              <w:t xml:space="preserve"> dni</w:t>
            </w:r>
          </w:p>
        </w:tc>
        <w:tc>
          <w:tcPr>
            <w:tcW w:w="1290" w:type="dxa"/>
            <w:noWrap/>
            <w:hideMark/>
          </w:tcPr>
          <w:p w14:paraId="5396BD9F" w14:textId="77777777" w:rsidR="00A920F6" w:rsidRPr="0025537D" w:rsidRDefault="00A920F6" w:rsidP="00A920F6">
            <w:pPr>
              <w:rPr>
                <w:sz w:val="20"/>
                <w:szCs w:val="20"/>
              </w:rPr>
            </w:pPr>
            <w:r w:rsidRPr="0025537D">
              <w:rPr>
                <w:sz w:val="20"/>
                <w:szCs w:val="20"/>
              </w:rPr>
              <w:t>0 dni</w:t>
            </w:r>
          </w:p>
        </w:tc>
        <w:tc>
          <w:tcPr>
            <w:tcW w:w="1155" w:type="dxa"/>
            <w:noWrap/>
            <w:hideMark/>
          </w:tcPr>
          <w:p w14:paraId="58F56895" w14:textId="77777777" w:rsidR="00A920F6" w:rsidRPr="0025537D" w:rsidRDefault="00A920F6" w:rsidP="00A920F6">
            <w:pPr>
              <w:rPr>
                <w:sz w:val="20"/>
                <w:szCs w:val="20"/>
              </w:rPr>
            </w:pPr>
            <w:r w:rsidRPr="0025537D">
              <w:rPr>
                <w:sz w:val="20"/>
                <w:szCs w:val="20"/>
              </w:rPr>
              <w:t>/</w:t>
            </w:r>
          </w:p>
        </w:tc>
        <w:tc>
          <w:tcPr>
            <w:tcW w:w="1163" w:type="dxa"/>
            <w:noWrap/>
            <w:hideMark/>
          </w:tcPr>
          <w:p w14:paraId="59BA0494" w14:textId="77777777" w:rsidR="00A920F6" w:rsidRPr="0025537D" w:rsidRDefault="00A920F6" w:rsidP="00A920F6">
            <w:pPr>
              <w:rPr>
                <w:sz w:val="20"/>
                <w:szCs w:val="20"/>
              </w:rPr>
            </w:pPr>
            <w:r w:rsidRPr="0025537D">
              <w:rPr>
                <w:sz w:val="20"/>
                <w:szCs w:val="20"/>
              </w:rPr>
              <w:t>30,4 dni</w:t>
            </w:r>
          </w:p>
        </w:tc>
        <w:tc>
          <w:tcPr>
            <w:tcW w:w="1018" w:type="dxa"/>
            <w:noWrap/>
            <w:hideMark/>
          </w:tcPr>
          <w:p w14:paraId="504E838C" w14:textId="77777777" w:rsidR="00A920F6" w:rsidRPr="0025537D" w:rsidRDefault="00A920F6" w:rsidP="00A920F6">
            <w:pPr>
              <w:rPr>
                <w:sz w:val="20"/>
                <w:szCs w:val="20"/>
              </w:rPr>
            </w:pPr>
            <w:r w:rsidRPr="0025537D">
              <w:rPr>
                <w:sz w:val="20"/>
                <w:szCs w:val="20"/>
              </w:rPr>
              <w:t>Bilje</w:t>
            </w:r>
          </w:p>
        </w:tc>
      </w:tr>
      <w:tr w:rsidR="00A920F6" w:rsidRPr="0025537D" w14:paraId="4471B275" w14:textId="77777777" w:rsidTr="00A920F6">
        <w:trPr>
          <w:trHeight w:val="300"/>
        </w:trPr>
        <w:tc>
          <w:tcPr>
            <w:tcW w:w="2687" w:type="dxa"/>
            <w:noWrap/>
            <w:hideMark/>
          </w:tcPr>
          <w:p w14:paraId="3D81E0FC" w14:textId="77777777" w:rsidR="00A920F6" w:rsidRPr="0025537D" w:rsidRDefault="00A920F6" w:rsidP="00A920F6">
            <w:pPr>
              <w:rPr>
                <w:sz w:val="20"/>
                <w:szCs w:val="20"/>
              </w:rPr>
            </w:pPr>
            <w:r w:rsidRPr="0025537D">
              <w:rPr>
                <w:sz w:val="20"/>
                <w:szCs w:val="20"/>
              </w:rPr>
              <w:t>Dolžina rastne dobe za temperaturni prag 5 °C</w:t>
            </w:r>
          </w:p>
        </w:tc>
        <w:tc>
          <w:tcPr>
            <w:tcW w:w="1703" w:type="dxa"/>
            <w:noWrap/>
            <w:hideMark/>
          </w:tcPr>
          <w:p w14:paraId="3AA0F332" w14:textId="77777777" w:rsidR="00A920F6" w:rsidRPr="0025537D" w:rsidRDefault="00A920F6" w:rsidP="00A920F6">
            <w:pPr>
              <w:rPr>
                <w:sz w:val="20"/>
                <w:szCs w:val="20"/>
              </w:rPr>
            </w:pPr>
            <w:r>
              <w:rPr>
                <w:sz w:val="20"/>
                <w:szCs w:val="20"/>
              </w:rPr>
              <w:t>249</w:t>
            </w:r>
            <w:r w:rsidRPr="0025537D">
              <w:rPr>
                <w:sz w:val="20"/>
                <w:szCs w:val="20"/>
              </w:rPr>
              <w:t xml:space="preserve"> dni</w:t>
            </w:r>
          </w:p>
        </w:tc>
        <w:tc>
          <w:tcPr>
            <w:tcW w:w="1290" w:type="dxa"/>
            <w:noWrap/>
            <w:hideMark/>
          </w:tcPr>
          <w:p w14:paraId="4B9EA23A" w14:textId="77777777" w:rsidR="00A920F6" w:rsidRPr="0025537D" w:rsidRDefault="00A920F6" w:rsidP="00A920F6">
            <w:pPr>
              <w:rPr>
                <w:sz w:val="20"/>
                <w:szCs w:val="20"/>
              </w:rPr>
            </w:pPr>
            <w:r w:rsidRPr="0025537D">
              <w:rPr>
                <w:sz w:val="20"/>
                <w:szCs w:val="20"/>
              </w:rPr>
              <w:t>195 dni</w:t>
            </w:r>
          </w:p>
        </w:tc>
        <w:tc>
          <w:tcPr>
            <w:tcW w:w="1155" w:type="dxa"/>
            <w:noWrap/>
            <w:hideMark/>
          </w:tcPr>
          <w:p w14:paraId="1FC2557A" w14:textId="77777777" w:rsidR="00A920F6" w:rsidRPr="0025537D" w:rsidRDefault="00A920F6" w:rsidP="00A920F6">
            <w:pPr>
              <w:rPr>
                <w:sz w:val="20"/>
                <w:szCs w:val="20"/>
              </w:rPr>
            </w:pPr>
            <w:r w:rsidRPr="0025537D">
              <w:rPr>
                <w:sz w:val="20"/>
                <w:szCs w:val="20"/>
              </w:rPr>
              <w:t>Rateče</w:t>
            </w:r>
          </w:p>
        </w:tc>
        <w:tc>
          <w:tcPr>
            <w:tcW w:w="1163" w:type="dxa"/>
            <w:noWrap/>
            <w:hideMark/>
          </w:tcPr>
          <w:p w14:paraId="7D55EAF4" w14:textId="77777777" w:rsidR="00A920F6" w:rsidRPr="0025537D" w:rsidRDefault="00A920F6" w:rsidP="00A920F6">
            <w:pPr>
              <w:rPr>
                <w:sz w:val="20"/>
                <w:szCs w:val="20"/>
              </w:rPr>
            </w:pPr>
            <w:r w:rsidRPr="0025537D">
              <w:rPr>
                <w:sz w:val="20"/>
                <w:szCs w:val="20"/>
              </w:rPr>
              <w:t>297 dni</w:t>
            </w:r>
          </w:p>
        </w:tc>
        <w:tc>
          <w:tcPr>
            <w:tcW w:w="1018" w:type="dxa"/>
            <w:noWrap/>
            <w:hideMark/>
          </w:tcPr>
          <w:p w14:paraId="64239756" w14:textId="77777777" w:rsidR="00A920F6" w:rsidRPr="0025537D" w:rsidRDefault="00A920F6" w:rsidP="00A920F6">
            <w:pPr>
              <w:rPr>
                <w:sz w:val="20"/>
                <w:szCs w:val="20"/>
              </w:rPr>
            </w:pPr>
            <w:r w:rsidRPr="0025537D">
              <w:rPr>
                <w:sz w:val="20"/>
                <w:szCs w:val="20"/>
              </w:rPr>
              <w:t>Portorož</w:t>
            </w:r>
          </w:p>
        </w:tc>
      </w:tr>
      <w:tr w:rsidR="00A920F6" w:rsidRPr="0025537D" w14:paraId="223DE710" w14:textId="77777777" w:rsidTr="00A920F6">
        <w:trPr>
          <w:trHeight w:val="300"/>
        </w:trPr>
        <w:tc>
          <w:tcPr>
            <w:tcW w:w="2687" w:type="dxa"/>
            <w:noWrap/>
            <w:hideMark/>
          </w:tcPr>
          <w:p w14:paraId="58D801C7" w14:textId="77777777" w:rsidR="00A920F6" w:rsidRPr="0025537D" w:rsidRDefault="00A920F6" w:rsidP="00A920F6">
            <w:pPr>
              <w:rPr>
                <w:sz w:val="20"/>
                <w:szCs w:val="20"/>
              </w:rPr>
            </w:pPr>
            <w:r w:rsidRPr="0025537D">
              <w:rPr>
                <w:sz w:val="20"/>
                <w:szCs w:val="20"/>
              </w:rPr>
              <w:lastRenderedPageBreak/>
              <w:t>Število dni s spomladansko pozebo (0 °C)</w:t>
            </w:r>
          </w:p>
        </w:tc>
        <w:tc>
          <w:tcPr>
            <w:tcW w:w="1703" w:type="dxa"/>
            <w:noWrap/>
            <w:hideMark/>
          </w:tcPr>
          <w:p w14:paraId="71C90FDF" w14:textId="77777777" w:rsidR="00A920F6" w:rsidRPr="0025537D" w:rsidRDefault="00A920F6" w:rsidP="00A920F6">
            <w:pPr>
              <w:rPr>
                <w:sz w:val="20"/>
                <w:szCs w:val="20"/>
              </w:rPr>
            </w:pPr>
            <w:r w:rsidRPr="0025537D">
              <w:rPr>
                <w:sz w:val="20"/>
                <w:szCs w:val="20"/>
              </w:rPr>
              <w:t>0 dni</w:t>
            </w:r>
          </w:p>
        </w:tc>
        <w:tc>
          <w:tcPr>
            <w:tcW w:w="1290" w:type="dxa"/>
            <w:noWrap/>
            <w:hideMark/>
          </w:tcPr>
          <w:p w14:paraId="4972E362" w14:textId="77777777" w:rsidR="00A920F6" w:rsidRPr="0025537D" w:rsidRDefault="00A920F6" w:rsidP="00A920F6">
            <w:pPr>
              <w:rPr>
                <w:sz w:val="20"/>
                <w:szCs w:val="20"/>
              </w:rPr>
            </w:pPr>
            <w:r w:rsidRPr="0025537D">
              <w:rPr>
                <w:sz w:val="20"/>
                <w:szCs w:val="20"/>
              </w:rPr>
              <w:t>0 dni</w:t>
            </w:r>
          </w:p>
        </w:tc>
        <w:tc>
          <w:tcPr>
            <w:tcW w:w="1155" w:type="dxa"/>
            <w:noWrap/>
            <w:hideMark/>
          </w:tcPr>
          <w:p w14:paraId="578A0CBA" w14:textId="77777777" w:rsidR="00A920F6" w:rsidRPr="0025537D" w:rsidRDefault="00A920F6" w:rsidP="00A920F6">
            <w:pPr>
              <w:rPr>
                <w:sz w:val="20"/>
                <w:szCs w:val="20"/>
              </w:rPr>
            </w:pPr>
            <w:r w:rsidRPr="0025537D">
              <w:rPr>
                <w:sz w:val="20"/>
                <w:szCs w:val="20"/>
              </w:rPr>
              <w:t>/</w:t>
            </w:r>
          </w:p>
        </w:tc>
        <w:tc>
          <w:tcPr>
            <w:tcW w:w="1163" w:type="dxa"/>
            <w:noWrap/>
            <w:hideMark/>
          </w:tcPr>
          <w:p w14:paraId="66172B83" w14:textId="77777777" w:rsidR="00A920F6" w:rsidRPr="0025537D" w:rsidRDefault="00A920F6" w:rsidP="00A920F6">
            <w:pPr>
              <w:rPr>
                <w:sz w:val="20"/>
                <w:szCs w:val="20"/>
              </w:rPr>
            </w:pPr>
            <w:r w:rsidRPr="0025537D">
              <w:rPr>
                <w:sz w:val="20"/>
                <w:szCs w:val="20"/>
              </w:rPr>
              <w:t>9 dni</w:t>
            </w:r>
          </w:p>
        </w:tc>
        <w:tc>
          <w:tcPr>
            <w:tcW w:w="1018" w:type="dxa"/>
            <w:noWrap/>
            <w:hideMark/>
          </w:tcPr>
          <w:p w14:paraId="21ED28AB" w14:textId="77777777" w:rsidR="00A920F6" w:rsidRPr="0025537D" w:rsidRDefault="00A920F6" w:rsidP="00A920F6">
            <w:pPr>
              <w:rPr>
                <w:sz w:val="20"/>
                <w:szCs w:val="20"/>
              </w:rPr>
            </w:pPr>
            <w:r w:rsidRPr="0025537D">
              <w:rPr>
                <w:sz w:val="20"/>
                <w:szCs w:val="20"/>
              </w:rPr>
              <w:t>Celje</w:t>
            </w:r>
          </w:p>
        </w:tc>
      </w:tr>
      <w:tr w:rsidR="00A920F6" w:rsidRPr="0025537D" w14:paraId="69A5C130" w14:textId="77777777" w:rsidTr="00A920F6">
        <w:trPr>
          <w:trHeight w:val="300"/>
        </w:trPr>
        <w:tc>
          <w:tcPr>
            <w:tcW w:w="2687" w:type="dxa"/>
            <w:noWrap/>
            <w:hideMark/>
          </w:tcPr>
          <w:p w14:paraId="3BD61A78" w14:textId="77777777" w:rsidR="00A920F6" w:rsidRPr="0025537D" w:rsidRDefault="00A920F6" w:rsidP="00A920F6">
            <w:pPr>
              <w:rPr>
                <w:sz w:val="20"/>
                <w:szCs w:val="20"/>
              </w:rPr>
            </w:pPr>
            <w:r w:rsidRPr="0025537D">
              <w:rPr>
                <w:sz w:val="20"/>
                <w:szCs w:val="20"/>
              </w:rPr>
              <w:t xml:space="preserve">Povprečna poletna referenčna </w:t>
            </w:r>
            <w:proofErr w:type="spellStart"/>
            <w:r w:rsidRPr="0025537D">
              <w:rPr>
                <w:sz w:val="20"/>
                <w:szCs w:val="20"/>
              </w:rPr>
              <w:t>evapotranspiracija</w:t>
            </w:r>
            <w:proofErr w:type="spellEnd"/>
          </w:p>
        </w:tc>
        <w:tc>
          <w:tcPr>
            <w:tcW w:w="1703" w:type="dxa"/>
            <w:noWrap/>
            <w:hideMark/>
          </w:tcPr>
          <w:p w14:paraId="1FC23647" w14:textId="77777777" w:rsidR="00A920F6" w:rsidRPr="0025537D" w:rsidRDefault="00A920F6" w:rsidP="00A920F6">
            <w:pPr>
              <w:rPr>
                <w:sz w:val="20"/>
                <w:szCs w:val="20"/>
              </w:rPr>
            </w:pPr>
            <w:r>
              <w:rPr>
                <w:sz w:val="20"/>
                <w:szCs w:val="20"/>
              </w:rPr>
              <w:t>374</w:t>
            </w:r>
            <w:r w:rsidRPr="0025537D">
              <w:rPr>
                <w:sz w:val="20"/>
                <w:szCs w:val="20"/>
              </w:rPr>
              <w:t xml:space="preserve"> mm</w:t>
            </w:r>
          </w:p>
        </w:tc>
        <w:tc>
          <w:tcPr>
            <w:tcW w:w="1290" w:type="dxa"/>
            <w:noWrap/>
            <w:hideMark/>
          </w:tcPr>
          <w:p w14:paraId="78A8FC9C" w14:textId="77777777" w:rsidR="00A920F6" w:rsidRPr="0025537D" w:rsidRDefault="00A920F6" w:rsidP="00A920F6">
            <w:pPr>
              <w:rPr>
                <w:sz w:val="20"/>
                <w:szCs w:val="20"/>
              </w:rPr>
            </w:pPr>
            <w:r w:rsidRPr="0025537D">
              <w:rPr>
                <w:sz w:val="20"/>
                <w:szCs w:val="20"/>
              </w:rPr>
              <w:t>258 mm</w:t>
            </w:r>
          </w:p>
        </w:tc>
        <w:tc>
          <w:tcPr>
            <w:tcW w:w="1155" w:type="dxa"/>
            <w:noWrap/>
            <w:hideMark/>
          </w:tcPr>
          <w:p w14:paraId="05EFDD11" w14:textId="77777777" w:rsidR="00A920F6" w:rsidRPr="0025537D" w:rsidRDefault="00A920F6" w:rsidP="00A920F6">
            <w:pPr>
              <w:rPr>
                <w:sz w:val="20"/>
                <w:szCs w:val="20"/>
              </w:rPr>
            </w:pPr>
            <w:r w:rsidRPr="0025537D">
              <w:rPr>
                <w:sz w:val="20"/>
                <w:szCs w:val="20"/>
              </w:rPr>
              <w:t>Stara Fužina</w:t>
            </w:r>
          </w:p>
        </w:tc>
        <w:tc>
          <w:tcPr>
            <w:tcW w:w="1163" w:type="dxa"/>
            <w:noWrap/>
            <w:hideMark/>
          </w:tcPr>
          <w:p w14:paraId="5E009A55" w14:textId="77777777" w:rsidR="00A920F6" w:rsidRPr="0025537D" w:rsidRDefault="00A920F6" w:rsidP="00A920F6">
            <w:pPr>
              <w:rPr>
                <w:sz w:val="20"/>
                <w:szCs w:val="20"/>
              </w:rPr>
            </w:pPr>
            <w:r w:rsidRPr="0025537D">
              <w:rPr>
                <w:sz w:val="20"/>
                <w:szCs w:val="20"/>
              </w:rPr>
              <w:t>526 mm</w:t>
            </w:r>
          </w:p>
        </w:tc>
        <w:tc>
          <w:tcPr>
            <w:tcW w:w="1018" w:type="dxa"/>
            <w:noWrap/>
            <w:hideMark/>
          </w:tcPr>
          <w:p w14:paraId="582DA1D1" w14:textId="77777777" w:rsidR="00A920F6" w:rsidRPr="0025537D" w:rsidRDefault="00A920F6" w:rsidP="00A920F6">
            <w:pPr>
              <w:rPr>
                <w:sz w:val="20"/>
                <w:szCs w:val="20"/>
              </w:rPr>
            </w:pPr>
            <w:r w:rsidRPr="0025537D">
              <w:rPr>
                <w:sz w:val="20"/>
                <w:szCs w:val="20"/>
              </w:rPr>
              <w:t>Portorož</w:t>
            </w:r>
          </w:p>
        </w:tc>
      </w:tr>
      <w:tr w:rsidR="00A920F6" w:rsidRPr="0025537D" w14:paraId="7F91B67D" w14:textId="77777777" w:rsidTr="00A920F6">
        <w:trPr>
          <w:trHeight w:val="300"/>
        </w:trPr>
        <w:tc>
          <w:tcPr>
            <w:tcW w:w="2687" w:type="dxa"/>
            <w:noWrap/>
            <w:hideMark/>
          </w:tcPr>
          <w:p w14:paraId="16F14EB8" w14:textId="77777777" w:rsidR="00A920F6" w:rsidRPr="0025537D" w:rsidRDefault="00A920F6" w:rsidP="00A920F6">
            <w:pPr>
              <w:rPr>
                <w:sz w:val="20"/>
                <w:szCs w:val="20"/>
              </w:rPr>
            </w:pPr>
            <w:r w:rsidRPr="0025537D">
              <w:rPr>
                <w:sz w:val="20"/>
                <w:szCs w:val="20"/>
              </w:rPr>
              <w:t>Povprečna pomladna višina padavin</w:t>
            </w:r>
          </w:p>
        </w:tc>
        <w:tc>
          <w:tcPr>
            <w:tcW w:w="1703" w:type="dxa"/>
            <w:noWrap/>
            <w:hideMark/>
          </w:tcPr>
          <w:p w14:paraId="42659B1F" w14:textId="77777777" w:rsidR="00A920F6" w:rsidRPr="0025537D" w:rsidRDefault="00A920F6" w:rsidP="00A920F6">
            <w:pPr>
              <w:rPr>
                <w:sz w:val="20"/>
                <w:szCs w:val="20"/>
              </w:rPr>
            </w:pPr>
            <w:r>
              <w:rPr>
                <w:sz w:val="20"/>
                <w:szCs w:val="20"/>
              </w:rPr>
              <w:t>402</w:t>
            </w:r>
            <w:r w:rsidRPr="0025537D">
              <w:rPr>
                <w:sz w:val="20"/>
                <w:szCs w:val="20"/>
              </w:rPr>
              <w:t xml:space="preserve"> mm</w:t>
            </w:r>
          </w:p>
        </w:tc>
        <w:tc>
          <w:tcPr>
            <w:tcW w:w="1290" w:type="dxa"/>
            <w:noWrap/>
            <w:hideMark/>
          </w:tcPr>
          <w:p w14:paraId="4EFCC988" w14:textId="77777777" w:rsidR="00A920F6" w:rsidRPr="0025537D" w:rsidRDefault="00A920F6" w:rsidP="00A920F6">
            <w:pPr>
              <w:rPr>
                <w:sz w:val="20"/>
                <w:szCs w:val="20"/>
              </w:rPr>
            </w:pPr>
            <w:r w:rsidRPr="0025537D">
              <w:rPr>
                <w:sz w:val="20"/>
                <w:szCs w:val="20"/>
              </w:rPr>
              <w:t>163 mm</w:t>
            </w:r>
          </w:p>
        </w:tc>
        <w:tc>
          <w:tcPr>
            <w:tcW w:w="1155" w:type="dxa"/>
            <w:noWrap/>
            <w:hideMark/>
          </w:tcPr>
          <w:p w14:paraId="52CC3501" w14:textId="77777777" w:rsidR="00A920F6" w:rsidRPr="0025537D" w:rsidRDefault="00A920F6" w:rsidP="00A920F6">
            <w:pPr>
              <w:rPr>
                <w:sz w:val="20"/>
                <w:szCs w:val="20"/>
              </w:rPr>
            </w:pPr>
            <w:r w:rsidRPr="0025537D">
              <w:rPr>
                <w:sz w:val="20"/>
                <w:szCs w:val="20"/>
              </w:rPr>
              <w:t>Šalovci</w:t>
            </w:r>
          </w:p>
        </w:tc>
        <w:tc>
          <w:tcPr>
            <w:tcW w:w="1163" w:type="dxa"/>
            <w:noWrap/>
            <w:hideMark/>
          </w:tcPr>
          <w:p w14:paraId="7F1A55F4" w14:textId="77777777" w:rsidR="00A920F6" w:rsidRPr="0025537D" w:rsidRDefault="00A920F6" w:rsidP="00A920F6">
            <w:pPr>
              <w:rPr>
                <w:sz w:val="20"/>
                <w:szCs w:val="20"/>
              </w:rPr>
            </w:pPr>
            <w:r w:rsidRPr="0025537D">
              <w:rPr>
                <w:sz w:val="20"/>
                <w:szCs w:val="20"/>
              </w:rPr>
              <w:t>587 mm</w:t>
            </w:r>
          </w:p>
        </w:tc>
        <w:tc>
          <w:tcPr>
            <w:tcW w:w="1018" w:type="dxa"/>
            <w:noWrap/>
            <w:hideMark/>
          </w:tcPr>
          <w:p w14:paraId="306075BE" w14:textId="77777777" w:rsidR="00A920F6" w:rsidRPr="0025537D" w:rsidRDefault="00A920F6" w:rsidP="00A920F6">
            <w:pPr>
              <w:rPr>
                <w:sz w:val="20"/>
                <w:szCs w:val="20"/>
              </w:rPr>
            </w:pPr>
            <w:r w:rsidRPr="0025537D">
              <w:rPr>
                <w:sz w:val="20"/>
                <w:szCs w:val="20"/>
              </w:rPr>
              <w:t>Bovec</w:t>
            </w:r>
          </w:p>
        </w:tc>
      </w:tr>
      <w:tr w:rsidR="00A920F6" w:rsidRPr="0025537D" w14:paraId="45937D7E" w14:textId="77777777" w:rsidTr="00A920F6">
        <w:trPr>
          <w:trHeight w:val="300"/>
        </w:trPr>
        <w:tc>
          <w:tcPr>
            <w:tcW w:w="2687" w:type="dxa"/>
            <w:noWrap/>
            <w:hideMark/>
          </w:tcPr>
          <w:p w14:paraId="1412C9A8" w14:textId="77777777" w:rsidR="00A920F6" w:rsidRPr="0025537D" w:rsidRDefault="00A920F6" w:rsidP="00A920F6">
            <w:pPr>
              <w:rPr>
                <w:sz w:val="20"/>
                <w:szCs w:val="20"/>
              </w:rPr>
            </w:pPr>
            <w:r w:rsidRPr="0025537D">
              <w:rPr>
                <w:sz w:val="20"/>
                <w:szCs w:val="20"/>
              </w:rPr>
              <w:t>Povprečna poletna višina padavin</w:t>
            </w:r>
          </w:p>
        </w:tc>
        <w:tc>
          <w:tcPr>
            <w:tcW w:w="1703" w:type="dxa"/>
            <w:noWrap/>
            <w:hideMark/>
          </w:tcPr>
          <w:p w14:paraId="2FCEE968" w14:textId="77777777" w:rsidR="00A920F6" w:rsidRPr="0025537D" w:rsidRDefault="00A920F6" w:rsidP="00A920F6">
            <w:pPr>
              <w:rPr>
                <w:sz w:val="20"/>
                <w:szCs w:val="20"/>
              </w:rPr>
            </w:pPr>
            <w:r>
              <w:rPr>
                <w:sz w:val="20"/>
                <w:szCs w:val="20"/>
              </w:rPr>
              <w:t>412</w:t>
            </w:r>
            <w:r w:rsidRPr="0025537D">
              <w:rPr>
                <w:sz w:val="20"/>
                <w:szCs w:val="20"/>
              </w:rPr>
              <w:t xml:space="preserve"> mm</w:t>
            </w:r>
          </w:p>
        </w:tc>
        <w:tc>
          <w:tcPr>
            <w:tcW w:w="1290" w:type="dxa"/>
            <w:noWrap/>
            <w:hideMark/>
          </w:tcPr>
          <w:p w14:paraId="2FDCF72D" w14:textId="77777777" w:rsidR="00A920F6" w:rsidRPr="0025537D" w:rsidRDefault="00A920F6" w:rsidP="00A920F6">
            <w:pPr>
              <w:rPr>
                <w:sz w:val="20"/>
                <w:szCs w:val="20"/>
              </w:rPr>
            </w:pPr>
            <w:r w:rsidRPr="0025537D">
              <w:rPr>
                <w:sz w:val="20"/>
                <w:szCs w:val="20"/>
              </w:rPr>
              <w:t>228 mm</w:t>
            </w:r>
          </w:p>
        </w:tc>
        <w:tc>
          <w:tcPr>
            <w:tcW w:w="1155" w:type="dxa"/>
            <w:noWrap/>
            <w:hideMark/>
          </w:tcPr>
          <w:p w14:paraId="4B033C42" w14:textId="77777777" w:rsidR="00A920F6" w:rsidRPr="0025537D" w:rsidRDefault="00A920F6" w:rsidP="00A920F6">
            <w:pPr>
              <w:rPr>
                <w:sz w:val="20"/>
                <w:szCs w:val="20"/>
              </w:rPr>
            </w:pPr>
            <w:r w:rsidRPr="0025537D">
              <w:rPr>
                <w:sz w:val="20"/>
                <w:szCs w:val="20"/>
              </w:rPr>
              <w:t>Let</w:t>
            </w:r>
            <w:r>
              <w:rPr>
                <w:sz w:val="20"/>
                <w:szCs w:val="20"/>
              </w:rPr>
              <w:t>ališče</w:t>
            </w:r>
            <w:r w:rsidRPr="0025537D">
              <w:rPr>
                <w:sz w:val="20"/>
                <w:szCs w:val="20"/>
              </w:rPr>
              <w:t xml:space="preserve"> Portorož</w:t>
            </w:r>
          </w:p>
        </w:tc>
        <w:tc>
          <w:tcPr>
            <w:tcW w:w="1163" w:type="dxa"/>
            <w:noWrap/>
            <w:hideMark/>
          </w:tcPr>
          <w:p w14:paraId="562B91AF" w14:textId="77777777" w:rsidR="00A920F6" w:rsidRPr="0025537D" w:rsidRDefault="00A920F6" w:rsidP="00A920F6">
            <w:pPr>
              <w:rPr>
                <w:sz w:val="20"/>
                <w:szCs w:val="20"/>
              </w:rPr>
            </w:pPr>
            <w:r w:rsidRPr="0025537D">
              <w:rPr>
                <w:sz w:val="20"/>
                <w:szCs w:val="20"/>
              </w:rPr>
              <w:t>590 mm</w:t>
            </w:r>
          </w:p>
        </w:tc>
        <w:tc>
          <w:tcPr>
            <w:tcW w:w="1018" w:type="dxa"/>
            <w:noWrap/>
            <w:hideMark/>
          </w:tcPr>
          <w:p w14:paraId="6080BB04" w14:textId="77777777" w:rsidR="00A920F6" w:rsidRPr="0025537D" w:rsidRDefault="00A920F6" w:rsidP="00A920F6">
            <w:pPr>
              <w:rPr>
                <w:sz w:val="20"/>
                <w:szCs w:val="20"/>
              </w:rPr>
            </w:pPr>
            <w:r w:rsidRPr="0025537D">
              <w:rPr>
                <w:sz w:val="20"/>
                <w:szCs w:val="20"/>
              </w:rPr>
              <w:t>Bovec</w:t>
            </w:r>
          </w:p>
        </w:tc>
      </w:tr>
      <w:tr w:rsidR="00A920F6" w:rsidRPr="0025537D" w14:paraId="2562E5D9" w14:textId="77777777" w:rsidTr="00A920F6">
        <w:trPr>
          <w:trHeight w:val="300"/>
        </w:trPr>
        <w:tc>
          <w:tcPr>
            <w:tcW w:w="2687" w:type="dxa"/>
            <w:noWrap/>
            <w:hideMark/>
          </w:tcPr>
          <w:p w14:paraId="464219F9" w14:textId="77777777" w:rsidR="00A920F6" w:rsidRPr="0025537D" w:rsidRDefault="00A920F6" w:rsidP="00A920F6">
            <w:pPr>
              <w:rPr>
                <w:sz w:val="20"/>
                <w:szCs w:val="20"/>
              </w:rPr>
            </w:pPr>
            <w:r w:rsidRPr="0025537D">
              <w:rPr>
                <w:sz w:val="20"/>
                <w:szCs w:val="20"/>
              </w:rPr>
              <w:t>Povprečno letno število dni s padavinami nad 50 mm</w:t>
            </w:r>
          </w:p>
        </w:tc>
        <w:tc>
          <w:tcPr>
            <w:tcW w:w="1703" w:type="dxa"/>
            <w:noWrap/>
            <w:hideMark/>
          </w:tcPr>
          <w:p w14:paraId="70EB3F12" w14:textId="77777777" w:rsidR="00A920F6" w:rsidRPr="0025537D" w:rsidRDefault="00A920F6" w:rsidP="00A920F6">
            <w:pPr>
              <w:rPr>
                <w:sz w:val="20"/>
                <w:szCs w:val="20"/>
              </w:rPr>
            </w:pPr>
            <w:r>
              <w:rPr>
                <w:sz w:val="20"/>
                <w:szCs w:val="20"/>
              </w:rPr>
              <w:t>6</w:t>
            </w:r>
            <w:r w:rsidRPr="0025537D">
              <w:rPr>
                <w:sz w:val="20"/>
                <w:szCs w:val="20"/>
              </w:rPr>
              <w:t xml:space="preserve"> dn</w:t>
            </w:r>
            <w:r>
              <w:rPr>
                <w:sz w:val="20"/>
                <w:szCs w:val="20"/>
              </w:rPr>
              <w:t>i</w:t>
            </w:r>
          </w:p>
        </w:tc>
        <w:tc>
          <w:tcPr>
            <w:tcW w:w="1290" w:type="dxa"/>
            <w:noWrap/>
            <w:hideMark/>
          </w:tcPr>
          <w:p w14:paraId="0BDF78AC" w14:textId="77777777" w:rsidR="00A920F6" w:rsidRPr="0025537D" w:rsidRDefault="00A920F6" w:rsidP="00A920F6">
            <w:pPr>
              <w:rPr>
                <w:sz w:val="20"/>
                <w:szCs w:val="20"/>
              </w:rPr>
            </w:pPr>
            <w:r w:rsidRPr="0025537D">
              <w:rPr>
                <w:sz w:val="20"/>
                <w:szCs w:val="20"/>
              </w:rPr>
              <w:t>0,2 dni</w:t>
            </w:r>
          </w:p>
        </w:tc>
        <w:tc>
          <w:tcPr>
            <w:tcW w:w="1155" w:type="dxa"/>
            <w:noWrap/>
            <w:hideMark/>
          </w:tcPr>
          <w:p w14:paraId="17251DF4" w14:textId="77777777" w:rsidR="00A920F6" w:rsidRPr="0025537D" w:rsidRDefault="00A920F6" w:rsidP="00A920F6">
            <w:pPr>
              <w:rPr>
                <w:sz w:val="20"/>
                <w:szCs w:val="20"/>
              </w:rPr>
            </w:pPr>
            <w:r w:rsidRPr="0025537D">
              <w:rPr>
                <w:sz w:val="20"/>
                <w:szCs w:val="20"/>
              </w:rPr>
              <w:t>Lendavske Gorice</w:t>
            </w:r>
          </w:p>
        </w:tc>
        <w:tc>
          <w:tcPr>
            <w:tcW w:w="1163" w:type="dxa"/>
            <w:noWrap/>
            <w:hideMark/>
          </w:tcPr>
          <w:p w14:paraId="05FAC75A" w14:textId="77777777" w:rsidR="00A920F6" w:rsidRPr="0025537D" w:rsidRDefault="00A920F6" w:rsidP="00A920F6">
            <w:pPr>
              <w:rPr>
                <w:sz w:val="20"/>
                <w:szCs w:val="20"/>
              </w:rPr>
            </w:pPr>
            <w:r w:rsidRPr="0025537D">
              <w:rPr>
                <w:sz w:val="20"/>
                <w:szCs w:val="20"/>
              </w:rPr>
              <w:t>14,2 dni</w:t>
            </w:r>
          </w:p>
        </w:tc>
        <w:tc>
          <w:tcPr>
            <w:tcW w:w="1018" w:type="dxa"/>
            <w:noWrap/>
            <w:hideMark/>
          </w:tcPr>
          <w:p w14:paraId="00BE7388" w14:textId="77777777" w:rsidR="00A920F6" w:rsidRPr="0025537D" w:rsidRDefault="00A920F6" w:rsidP="00A920F6">
            <w:pPr>
              <w:rPr>
                <w:sz w:val="20"/>
                <w:szCs w:val="20"/>
              </w:rPr>
            </w:pPr>
            <w:r w:rsidRPr="0025537D">
              <w:rPr>
                <w:sz w:val="20"/>
                <w:szCs w:val="20"/>
              </w:rPr>
              <w:t>Kobarid</w:t>
            </w:r>
          </w:p>
        </w:tc>
      </w:tr>
    </w:tbl>
    <w:p w14:paraId="5E188D93" w14:textId="77777777" w:rsidR="00A920F6" w:rsidRPr="0025537D" w:rsidRDefault="00A920F6" w:rsidP="00A920F6">
      <w:pPr>
        <w:rPr>
          <w:sz w:val="16"/>
          <w:szCs w:val="16"/>
        </w:rPr>
      </w:pPr>
      <w:r>
        <w:rPr>
          <w:sz w:val="16"/>
          <w:szCs w:val="16"/>
        </w:rPr>
        <w:t>*Vrednost za območje Nove Gorice</w:t>
      </w:r>
      <w:r w:rsidRPr="0025537D">
        <w:rPr>
          <w:sz w:val="16"/>
          <w:szCs w:val="16"/>
        </w:rPr>
        <w:t xml:space="preserve"> je modelska, najmanjša in največja za Slovenijo (do nadmorske višine 900 m) pa izmerjena, kar ni povsem primerljivo, ampak za izbrane spremenljivke dovolj dober približek za oceno izpostavljenosti. </w:t>
      </w:r>
    </w:p>
    <w:p w14:paraId="6EFC1A47" w14:textId="77777777" w:rsidR="00A920F6" w:rsidRPr="0025537D" w:rsidRDefault="00A920F6" w:rsidP="00A920F6">
      <w:r w:rsidRPr="0025537D">
        <w:t xml:space="preserve">Od temperature zraka je odvisna tudi dolžina rastne dobe, ki je bila za temperaturni prag 5 °C na območju </w:t>
      </w:r>
      <w:r>
        <w:t xml:space="preserve">mestne </w:t>
      </w:r>
      <w:r w:rsidRPr="0025537D">
        <w:t xml:space="preserve">občine </w:t>
      </w:r>
      <w:r>
        <w:t>Nova Gorica po modelski oceni 249 dni.</w:t>
      </w:r>
      <w:r w:rsidRPr="0025537D">
        <w:t xml:space="preserve"> Zaradi vpliva Sredozemlja je rastna doba </w:t>
      </w:r>
      <w:r>
        <w:t xml:space="preserve">v nižinskem svetu </w:t>
      </w:r>
      <w:r w:rsidRPr="0025537D">
        <w:t>dolga. Dolga rastna doba pomeni možnosti rasti različnih toplotno bolj zahtevnih kultur kot tudi za večkratno setev. Izpostavljenost</w:t>
      </w:r>
      <w:r>
        <w:t xml:space="preserve"> je po modelski vrednosti zmerna</w:t>
      </w:r>
      <w:r w:rsidRPr="0025537D">
        <w:t xml:space="preserve"> (ocena </w:t>
      </w:r>
      <w:r>
        <w:t>3</w:t>
      </w:r>
      <w:r w:rsidRPr="0025537D">
        <w:t>)</w:t>
      </w:r>
      <w:r>
        <w:t>, z nekaj rezerve – v nižinskem svetu lahko rečemo majhna</w:t>
      </w:r>
      <w:r w:rsidRPr="0025537D">
        <w:t xml:space="preserve">. Ob daljših rastnih dobah je ob poznejših vdorih hladnega zraka več možnosti za pozebo, ki pa </w:t>
      </w:r>
      <w:r w:rsidRPr="00E9689E">
        <w:t>se pojavlja predvsem v izpostavljenih nizkih legah na vsakih nekaj let.</w:t>
      </w:r>
      <w:r>
        <w:t xml:space="preserve"> KSS navaja, da z</w:t>
      </w:r>
      <w:r w:rsidRPr="00E9689E">
        <w:t>godnje spomladanske pozebe povzročajo predvsem škodo v sadjarski panogi pri zgodnjih vrstah</w:t>
      </w:r>
      <w:r>
        <w:t xml:space="preserve"> sadnega drevja kot so breskve in </w:t>
      </w:r>
      <w:r w:rsidRPr="00E9689E">
        <w:t>marelice</w:t>
      </w:r>
      <w:r>
        <w:t>.</w:t>
      </w:r>
      <w:r w:rsidRPr="0025537D">
        <w:t xml:space="preserve"> </w:t>
      </w:r>
      <w:r>
        <w:t>V</w:t>
      </w:r>
      <w:r w:rsidRPr="0025537D">
        <w:t xml:space="preserve"> povprečnih vrednostih </w:t>
      </w:r>
      <w:r>
        <w:t xml:space="preserve">pozebe </w:t>
      </w:r>
      <w:r w:rsidRPr="0025537D">
        <w:t>nimamo zabe</w:t>
      </w:r>
      <w:r>
        <w:t>ležene, i</w:t>
      </w:r>
      <w:r w:rsidRPr="0025537D">
        <w:t xml:space="preserve">zpostavljenost </w:t>
      </w:r>
      <w:r>
        <w:t>je zato neznatna (ocena 1);</w:t>
      </w:r>
      <w:r w:rsidRPr="0025537D">
        <w:t xml:space="preserve"> za primerjavo -  v Celju je bilo povprečje največje, in sicer 9 dni letno.</w:t>
      </w:r>
    </w:p>
    <w:p w14:paraId="5888FE18" w14:textId="2EA28543" w:rsidR="00A920F6" w:rsidRPr="0025537D" w:rsidRDefault="00A920F6" w:rsidP="00A920F6">
      <w:pPr>
        <w:spacing w:after="0" w:line="240" w:lineRule="auto"/>
        <w:rPr>
          <w:rFonts w:eastAsia="Trebuchet MS" w:cs="Trebuchet MS"/>
          <w:i/>
          <w:iCs/>
          <w:color w:val="44546A" w:themeColor="text2"/>
          <w:sz w:val="18"/>
          <w:szCs w:val="18"/>
          <w:lang w:eastAsia="sl-SI"/>
        </w:rPr>
      </w:pPr>
      <w:bookmarkStart w:id="154" w:name="_Ref39584421"/>
      <w:bookmarkStart w:id="155" w:name="_Ref39744214"/>
      <w:bookmarkStart w:id="156" w:name="_Toc97026959"/>
      <w:r w:rsidRPr="0025537D">
        <w:rPr>
          <w:rFonts w:eastAsia="Trebuchet MS" w:cs="Trebuchet MS"/>
          <w:i/>
          <w:iCs/>
          <w:color w:val="44546A" w:themeColor="text2"/>
          <w:sz w:val="18"/>
          <w:szCs w:val="18"/>
          <w:lang w:eastAsia="sl-SI"/>
        </w:rPr>
        <w:t xml:space="preserve">Preglednica </w:t>
      </w:r>
      <w:r w:rsidR="00976D80">
        <w:rPr>
          <w:rFonts w:eastAsia="Trebuchet MS" w:cs="Trebuchet MS"/>
          <w:i/>
          <w:iCs/>
          <w:color w:val="44546A" w:themeColor="text2"/>
          <w:sz w:val="18"/>
          <w:szCs w:val="18"/>
          <w:lang w:eastAsia="sl-SI"/>
        </w:rPr>
        <w:fldChar w:fldCharType="begin"/>
      </w:r>
      <w:r w:rsidR="00976D80">
        <w:rPr>
          <w:rFonts w:eastAsia="Trebuchet MS" w:cs="Trebuchet MS"/>
          <w:i/>
          <w:iCs/>
          <w:color w:val="44546A" w:themeColor="text2"/>
          <w:sz w:val="18"/>
          <w:szCs w:val="18"/>
          <w:lang w:eastAsia="sl-SI"/>
        </w:rPr>
        <w:instrText xml:space="preserve"> STYLEREF 1 \s </w:instrText>
      </w:r>
      <w:r w:rsidR="00976D80">
        <w:rPr>
          <w:rFonts w:eastAsia="Trebuchet MS" w:cs="Trebuchet MS"/>
          <w:i/>
          <w:iCs/>
          <w:color w:val="44546A" w:themeColor="text2"/>
          <w:sz w:val="18"/>
          <w:szCs w:val="18"/>
          <w:lang w:eastAsia="sl-SI"/>
        </w:rPr>
        <w:fldChar w:fldCharType="separate"/>
      </w:r>
      <w:r w:rsidR="00976D80">
        <w:rPr>
          <w:rFonts w:eastAsia="Trebuchet MS" w:cs="Trebuchet MS"/>
          <w:i/>
          <w:iCs/>
          <w:noProof/>
          <w:color w:val="44546A" w:themeColor="text2"/>
          <w:sz w:val="18"/>
          <w:szCs w:val="18"/>
          <w:lang w:eastAsia="sl-SI"/>
        </w:rPr>
        <w:t>6</w:t>
      </w:r>
      <w:r w:rsidR="00976D80">
        <w:rPr>
          <w:rFonts w:eastAsia="Trebuchet MS" w:cs="Trebuchet MS"/>
          <w:i/>
          <w:iCs/>
          <w:color w:val="44546A" w:themeColor="text2"/>
          <w:sz w:val="18"/>
          <w:szCs w:val="18"/>
          <w:lang w:eastAsia="sl-SI"/>
        </w:rPr>
        <w:fldChar w:fldCharType="end"/>
      </w:r>
      <w:r w:rsidR="00976D80">
        <w:rPr>
          <w:rFonts w:eastAsia="Trebuchet MS" w:cs="Trebuchet MS"/>
          <w:i/>
          <w:iCs/>
          <w:color w:val="44546A" w:themeColor="text2"/>
          <w:sz w:val="18"/>
          <w:szCs w:val="18"/>
          <w:lang w:eastAsia="sl-SI"/>
        </w:rPr>
        <w:t>.</w:t>
      </w:r>
      <w:r w:rsidR="00976D80">
        <w:rPr>
          <w:rFonts w:eastAsia="Trebuchet MS" w:cs="Trebuchet MS"/>
          <w:i/>
          <w:iCs/>
          <w:color w:val="44546A" w:themeColor="text2"/>
          <w:sz w:val="18"/>
          <w:szCs w:val="18"/>
          <w:lang w:eastAsia="sl-SI"/>
        </w:rPr>
        <w:fldChar w:fldCharType="begin"/>
      </w:r>
      <w:r w:rsidR="00976D80">
        <w:rPr>
          <w:rFonts w:eastAsia="Trebuchet MS" w:cs="Trebuchet MS"/>
          <w:i/>
          <w:iCs/>
          <w:color w:val="44546A" w:themeColor="text2"/>
          <w:sz w:val="18"/>
          <w:szCs w:val="18"/>
          <w:lang w:eastAsia="sl-SI"/>
        </w:rPr>
        <w:instrText xml:space="preserve"> SEQ Preglednica \* ARABIC \s 1 </w:instrText>
      </w:r>
      <w:r w:rsidR="00976D80">
        <w:rPr>
          <w:rFonts w:eastAsia="Trebuchet MS" w:cs="Trebuchet MS"/>
          <w:i/>
          <w:iCs/>
          <w:color w:val="44546A" w:themeColor="text2"/>
          <w:sz w:val="18"/>
          <w:szCs w:val="18"/>
          <w:lang w:eastAsia="sl-SI"/>
        </w:rPr>
        <w:fldChar w:fldCharType="separate"/>
      </w:r>
      <w:r w:rsidR="00976D80">
        <w:rPr>
          <w:rFonts w:eastAsia="Trebuchet MS" w:cs="Trebuchet MS"/>
          <w:i/>
          <w:iCs/>
          <w:noProof/>
          <w:color w:val="44546A" w:themeColor="text2"/>
          <w:sz w:val="18"/>
          <w:szCs w:val="18"/>
          <w:lang w:eastAsia="sl-SI"/>
        </w:rPr>
        <w:t>6</w:t>
      </w:r>
      <w:r w:rsidR="00976D80">
        <w:rPr>
          <w:rFonts w:eastAsia="Trebuchet MS" w:cs="Trebuchet MS"/>
          <w:i/>
          <w:iCs/>
          <w:color w:val="44546A" w:themeColor="text2"/>
          <w:sz w:val="18"/>
          <w:szCs w:val="18"/>
          <w:lang w:eastAsia="sl-SI"/>
        </w:rPr>
        <w:fldChar w:fldCharType="end"/>
      </w:r>
      <w:bookmarkEnd w:id="154"/>
      <w:bookmarkEnd w:id="155"/>
      <w:r w:rsidRPr="0025537D">
        <w:rPr>
          <w:rFonts w:eastAsia="Trebuchet MS" w:cs="Trebuchet MS"/>
          <w:i/>
          <w:iCs/>
          <w:color w:val="44546A" w:themeColor="text2"/>
          <w:sz w:val="18"/>
          <w:szCs w:val="18"/>
          <w:lang w:eastAsia="sl-SI"/>
        </w:rPr>
        <w:t>: Kvantitativne ocene spremenljivk kazalnika izpostavljenosti kmetijstva na podnebje v referenčnem obdobju 1981</w:t>
      </w:r>
      <w:r>
        <w:rPr>
          <w:rFonts w:asciiTheme="minorHAnsi" w:hAnsiTheme="minorHAnsi"/>
        </w:rPr>
        <w:t>–</w:t>
      </w:r>
      <w:r w:rsidRPr="0025537D">
        <w:rPr>
          <w:rFonts w:eastAsia="Trebuchet MS" w:cs="Trebuchet MS"/>
          <w:i/>
          <w:iCs/>
          <w:color w:val="44546A" w:themeColor="text2"/>
          <w:sz w:val="18"/>
          <w:szCs w:val="18"/>
          <w:lang w:eastAsia="sl-SI"/>
        </w:rPr>
        <w:t>2010.</w:t>
      </w:r>
      <w:bookmarkEnd w:id="156"/>
    </w:p>
    <w:tbl>
      <w:tblPr>
        <w:tblStyle w:val="TableGrid11"/>
        <w:tblpPr w:leftFromText="180" w:rightFromText="180" w:vertAnchor="text" w:horzAnchor="margin" w:tblpY="69"/>
        <w:tblW w:w="0" w:type="auto"/>
        <w:tblLook w:val="04A0" w:firstRow="1" w:lastRow="0" w:firstColumn="1" w:lastColumn="0" w:noHBand="0" w:noVBand="1"/>
      </w:tblPr>
      <w:tblGrid>
        <w:gridCol w:w="1861"/>
        <w:gridCol w:w="2535"/>
        <w:gridCol w:w="3514"/>
        <w:gridCol w:w="1440"/>
      </w:tblGrid>
      <w:tr w:rsidR="00A920F6" w:rsidRPr="0025537D" w14:paraId="7B5136EC" w14:textId="77777777" w:rsidTr="00A920F6">
        <w:trPr>
          <w:tblHeader/>
        </w:trPr>
        <w:tc>
          <w:tcPr>
            <w:tcW w:w="1861" w:type="dxa"/>
            <w:shd w:val="clear" w:color="auto" w:fill="D9D9D9"/>
          </w:tcPr>
          <w:p w14:paraId="1A88B291" w14:textId="77777777" w:rsidR="00A920F6" w:rsidRPr="0025537D" w:rsidRDefault="00A920F6" w:rsidP="00A920F6">
            <w:pPr>
              <w:rPr>
                <w:bCs/>
                <w:sz w:val="20"/>
                <w:szCs w:val="20"/>
              </w:rPr>
            </w:pPr>
            <w:r w:rsidRPr="0025537D">
              <w:rPr>
                <w:bCs/>
                <w:sz w:val="20"/>
                <w:szCs w:val="20"/>
              </w:rPr>
              <w:t xml:space="preserve">Kazalnik </w:t>
            </w:r>
          </w:p>
        </w:tc>
        <w:tc>
          <w:tcPr>
            <w:tcW w:w="2535" w:type="dxa"/>
            <w:shd w:val="clear" w:color="auto" w:fill="D9D9D9"/>
          </w:tcPr>
          <w:p w14:paraId="093721F9" w14:textId="77777777" w:rsidR="00A920F6" w:rsidRPr="0025537D" w:rsidRDefault="00A920F6" w:rsidP="00A920F6">
            <w:pPr>
              <w:rPr>
                <w:bCs/>
                <w:sz w:val="20"/>
                <w:szCs w:val="20"/>
              </w:rPr>
            </w:pPr>
            <w:r w:rsidRPr="0025537D">
              <w:rPr>
                <w:bCs/>
                <w:sz w:val="20"/>
                <w:szCs w:val="20"/>
              </w:rPr>
              <w:t>Spremenljivka</w:t>
            </w:r>
          </w:p>
        </w:tc>
        <w:tc>
          <w:tcPr>
            <w:tcW w:w="3514" w:type="dxa"/>
            <w:shd w:val="clear" w:color="auto" w:fill="D9D9D9"/>
          </w:tcPr>
          <w:p w14:paraId="231EF0E6" w14:textId="77777777" w:rsidR="00A920F6" w:rsidRPr="0025537D" w:rsidRDefault="00A920F6" w:rsidP="00A920F6">
            <w:pPr>
              <w:rPr>
                <w:sz w:val="20"/>
                <w:szCs w:val="20"/>
              </w:rPr>
            </w:pPr>
            <w:r w:rsidRPr="0025537D">
              <w:rPr>
                <w:sz w:val="20"/>
                <w:szCs w:val="20"/>
              </w:rPr>
              <w:t xml:space="preserve">Opisno </w:t>
            </w:r>
          </w:p>
        </w:tc>
        <w:tc>
          <w:tcPr>
            <w:tcW w:w="1440" w:type="dxa"/>
            <w:shd w:val="clear" w:color="auto" w:fill="D9D9D9"/>
          </w:tcPr>
          <w:p w14:paraId="750C7E2B" w14:textId="77777777" w:rsidR="00A920F6" w:rsidRPr="0025537D" w:rsidRDefault="00A920F6" w:rsidP="00A920F6">
            <w:pPr>
              <w:rPr>
                <w:sz w:val="20"/>
                <w:szCs w:val="20"/>
              </w:rPr>
            </w:pPr>
            <w:r w:rsidRPr="0025537D">
              <w:rPr>
                <w:sz w:val="20"/>
                <w:szCs w:val="20"/>
              </w:rPr>
              <w:t>Kvantitativno</w:t>
            </w:r>
          </w:p>
        </w:tc>
      </w:tr>
      <w:tr w:rsidR="00A920F6" w:rsidRPr="0025537D" w14:paraId="66165479" w14:textId="77777777" w:rsidTr="00A920F6">
        <w:trPr>
          <w:trHeight w:val="405"/>
        </w:trPr>
        <w:tc>
          <w:tcPr>
            <w:tcW w:w="1861" w:type="dxa"/>
            <w:vMerge w:val="restart"/>
            <w:shd w:val="clear" w:color="auto" w:fill="F2F2F2"/>
            <w:vAlign w:val="center"/>
          </w:tcPr>
          <w:p w14:paraId="75B4ECF3" w14:textId="77777777" w:rsidR="00A920F6" w:rsidRPr="0025537D" w:rsidRDefault="00A920F6" w:rsidP="00A920F6">
            <w:pPr>
              <w:jc w:val="center"/>
              <w:rPr>
                <w:bCs/>
                <w:sz w:val="20"/>
                <w:szCs w:val="20"/>
              </w:rPr>
            </w:pPr>
            <w:r w:rsidRPr="0025537D">
              <w:rPr>
                <w:bCs/>
                <w:sz w:val="20"/>
                <w:szCs w:val="20"/>
              </w:rPr>
              <w:t>IZPOSTAVLJENOST</w:t>
            </w:r>
          </w:p>
        </w:tc>
        <w:tc>
          <w:tcPr>
            <w:tcW w:w="2535" w:type="dxa"/>
            <w:shd w:val="clear" w:color="auto" w:fill="F2F2F2"/>
            <w:vAlign w:val="center"/>
          </w:tcPr>
          <w:p w14:paraId="38F311CD" w14:textId="77777777" w:rsidR="00A920F6" w:rsidRPr="0025537D" w:rsidRDefault="00A920F6" w:rsidP="00A920F6">
            <w:pPr>
              <w:jc w:val="center"/>
              <w:rPr>
                <w:bCs/>
                <w:sz w:val="20"/>
                <w:szCs w:val="20"/>
              </w:rPr>
            </w:pPr>
            <w:r w:rsidRPr="0025537D">
              <w:rPr>
                <w:bCs/>
                <w:sz w:val="20"/>
                <w:szCs w:val="20"/>
              </w:rPr>
              <w:t>Povprečna poletna temperatura zraka</w:t>
            </w:r>
          </w:p>
        </w:tc>
        <w:tc>
          <w:tcPr>
            <w:tcW w:w="3514" w:type="dxa"/>
          </w:tcPr>
          <w:p w14:paraId="5FFEB21F" w14:textId="77777777" w:rsidR="00A920F6" w:rsidRPr="0025537D" w:rsidRDefault="00A920F6" w:rsidP="00A920F6">
            <w:pPr>
              <w:rPr>
                <w:sz w:val="20"/>
                <w:szCs w:val="20"/>
              </w:rPr>
            </w:pPr>
            <w:r w:rsidRPr="0025537D">
              <w:rPr>
                <w:sz w:val="20"/>
                <w:szCs w:val="20"/>
              </w:rPr>
              <w:t xml:space="preserve">Izpostavljenost toplotni obremenitvi za kmete in živali je </w:t>
            </w:r>
            <w:r>
              <w:rPr>
                <w:sz w:val="20"/>
                <w:szCs w:val="20"/>
              </w:rPr>
              <w:t>zmern</w:t>
            </w:r>
            <w:r w:rsidRPr="0025537D">
              <w:rPr>
                <w:sz w:val="20"/>
                <w:szCs w:val="20"/>
              </w:rPr>
              <w:t>a,</w:t>
            </w:r>
            <w:r>
              <w:rPr>
                <w:sz w:val="20"/>
                <w:szCs w:val="20"/>
              </w:rPr>
              <w:t xml:space="preserve"> na meji z </w:t>
            </w:r>
            <w:r w:rsidRPr="0025537D">
              <w:rPr>
                <w:sz w:val="20"/>
                <w:szCs w:val="20"/>
              </w:rPr>
              <w:t>velik</w:t>
            </w:r>
            <w:r>
              <w:rPr>
                <w:sz w:val="20"/>
                <w:szCs w:val="20"/>
              </w:rPr>
              <w:t>o</w:t>
            </w:r>
            <w:r w:rsidRPr="0025537D">
              <w:rPr>
                <w:sz w:val="20"/>
                <w:szCs w:val="20"/>
              </w:rPr>
              <w:t>,</w:t>
            </w:r>
            <w:r>
              <w:rPr>
                <w:sz w:val="20"/>
                <w:szCs w:val="20"/>
              </w:rPr>
              <w:t xml:space="preserve"> zato lahko vsaj za nižje lege navajamo veliko. Vsako </w:t>
            </w:r>
            <w:r w:rsidRPr="0025537D">
              <w:rPr>
                <w:sz w:val="20"/>
                <w:szCs w:val="20"/>
              </w:rPr>
              <w:t xml:space="preserve">poletje nastopi potreba po hlajenju in </w:t>
            </w:r>
            <w:r>
              <w:rPr>
                <w:sz w:val="20"/>
                <w:szCs w:val="20"/>
              </w:rPr>
              <w:t xml:space="preserve">nekaj </w:t>
            </w:r>
            <w:r w:rsidRPr="0025537D">
              <w:rPr>
                <w:sz w:val="20"/>
                <w:szCs w:val="20"/>
              </w:rPr>
              <w:t xml:space="preserve">težav z vročinskim stresom rastlin. </w:t>
            </w:r>
          </w:p>
        </w:tc>
        <w:tc>
          <w:tcPr>
            <w:tcW w:w="1440" w:type="dxa"/>
            <w:shd w:val="clear" w:color="auto" w:fill="FFFF00"/>
          </w:tcPr>
          <w:p w14:paraId="4904487F" w14:textId="77777777" w:rsidR="00A920F6" w:rsidRPr="0025537D" w:rsidRDefault="00A920F6" w:rsidP="00A920F6">
            <w:pPr>
              <w:jc w:val="center"/>
              <w:rPr>
                <w:sz w:val="20"/>
                <w:szCs w:val="20"/>
              </w:rPr>
            </w:pPr>
            <w:r>
              <w:rPr>
                <w:sz w:val="20"/>
                <w:szCs w:val="20"/>
              </w:rPr>
              <w:t>3</w:t>
            </w:r>
          </w:p>
          <w:p w14:paraId="445E05EE" w14:textId="77777777" w:rsidR="00A920F6" w:rsidRPr="0025537D" w:rsidRDefault="00A920F6" w:rsidP="00A920F6">
            <w:pPr>
              <w:jc w:val="center"/>
              <w:rPr>
                <w:i/>
                <w:iCs/>
                <w:sz w:val="20"/>
                <w:szCs w:val="20"/>
              </w:rPr>
            </w:pPr>
            <w:r w:rsidRPr="0025537D">
              <w:rPr>
                <w:sz w:val="20"/>
                <w:szCs w:val="20"/>
              </w:rPr>
              <w:t>(x = 0,</w:t>
            </w:r>
            <w:r>
              <w:rPr>
                <w:sz w:val="20"/>
                <w:szCs w:val="20"/>
              </w:rPr>
              <w:t>58</w:t>
            </w:r>
            <w:r w:rsidRPr="0025537D">
              <w:rPr>
                <w:sz w:val="20"/>
                <w:szCs w:val="20"/>
              </w:rPr>
              <w:t>)</w:t>
            </w:r>
          </w:p>
        </w:tc>
      </w:tr>
      <w:tr w:rsidR="00A920F6" w:rsidRPr="0025537D" w14:paraId="546FAFD1" w14:textId="77777777" w:rsidTr="00A920F6">
        <w:trPr>
          <w:trHeight w:val="405"/>
        </w:trPr>
        <w:tc>
          <w:tcPr>
            <w:tcW w:w="1861" w:type="dxa"/>
            <w:vMerge/>
            <w:shd w:val="clear" w:color="auto" w:fill="F2F2F2"/>
            <w:vAlign w:val="center"/>
          </w:tcPr>
          <w:p w14:paraId="01B39E12" w14:textId="77777777" w:rsidR="00A920F6" w:rsidRPr="0025537D" w:rsidRDefault="00A920F6" w:rsidP="00A920F6">
            <w:pPr>
              <w:jc w:val="center"/>
              <w:rPr>
                <w:bCs/>
                <w:sz w:val="20"/>
                <w:szCs w:val="20"/>
              </w:rPr>
            </w:pPr>
          </w:p>
        </w:tc>
        <w:tc>
          <w:tcPr>
            <w:tcW w:w="2535" w:type="dxa"/>
            <w:shd w:val="clear" w:color="auto" w:fill="F2F2F2"/>
            <w:vAlign w:val="center"/>
          </w:tcPr>
          <w:p w14:paraId="62C3D288" w14:textId="77777777" w:rsidR="00A920F6" w:rsidRPr="0025537D" w:rsidRDefault="00A920F6" w:rsidP="00A920F6">
            <w:pPr>
              <w:jc w:val="center"/>
              <w:rPr>
                <w:bCs/>
                <w:sz w:val="20"/>
                <w:szCs w:val="20"/>
              </w:rPr>
            </w:pPr>
            <w:r w:rsidRPr="0025537D">
              <w:rPr>
                <w:bCs/>
                <w:sz w:val="20"/>
                <w:szCs w:val="20"/>
              </w:rPr>
              <w:t>Povprečno letno število vročih dni</w:t>
            </w:r>
          </w:p>
          <w:p w14:paraId="0D709BE1" w14:textId="77777777" w:rsidR="00A920F6" w:rsidRPr="0025537D" w:rsidRDefault="00A920F6" w:rsidP="00A920F6">
            <w:pPr>
              <w:jc w:val="center"/>
              <w:rPr>
                <w:bCs/>
                <w:sz w:val="20"/>
                <w:szCs w:val="20"/>
              </w:rPr>
            </w:pPr>
            <w:r w:rsidRPr="0025537D">
              <w:rPr>
                <w:bCs/>
                <w:sz w:val="20"/>
                <w:szCs w:val="20"/>
              </w:rPr>
              <w:t>(dnevna temperatura nad 30 °C)</w:t>
            </w:r>
          </w:p>
        </w:tc>
        <w:tc>
          <w:tcPr>
            <w:tcW w:w="3514" w:type="dxa"/>
          </w:tcPr>
          <w:p w14:paraId="3418C382" w14:textId="77777777" w:rsidR="00A920F6" w:rsidRPr="0025537D" w:rsidRDefault="00A920F6" w:rsidP="00A920F6">
            <w:pPr>
              <w:rPr>
                <w:sz w:val="20"/>
                <w:szCs w:val="20"/>
              </w:rPr>
            </w:pPr>
            <w:r w:rsidRPr="0025537D">
              <w:rPr>
                <w:sz w:val="20"/>
                <w:szCs w:val="20"/>
              </w:rPr>
              <w:t xml:space="preserve">Število vročih dni je </w:t>
            </w:r>
            <w:r>
              <w:rPr>
                <w:sz w:val="20"/>
                <w:szCs w:val="20"/>
              </w:rPr>
              <w:t xml:space="preserve">v občini srednje, v nizkih legah in mestu zelo </w:t>
            </w:r>
            <w:r w:rsidRPr="0025537D">
              <w:rPr>
                <w:sz w:val="20"/>
                <w:szCs w:val="20"/>
              </w:rPr>
              <w:t>visoko, izpostavljenost dolgotrajni toplotni obremenitvi in vročinskemu str</w:t>
            </w:r>
            <w:r>
              <w:rPr>
                <w:sz w:val="20"/>
                <w:szCs w:val="20"/>
              </w:rPr>
              <w:t>esu je v povprečju zmerna</w:t>
            </w:r>
            <w:r w:rsidRPr="0025537D">
              <w:rPr>
                <w:sz w:val="20"/>
                <w:szCs w:val="20"/>
              </w:rPr>
              <w:t xml:space="preserve">. </w:t>
            </w:r>
          </w:p>
        </w:tc>
        <w:tc>
          <w:tcPr>
            <w:tcW w:w="1440" w:type="dxa"/>
            <w:shd w:val="clear" w:color="auto" w:fill="FFFF00"/>
          </w:tcPr>
          <w:p w14:paraId="3511119E" w14:textId="77777777" w:rsidR="00A920F6" w:rsidRPr="0025537D" w:rsidRDefault="00A920F6" w:rsidP="00A920F6">
            <w:pPr>
              <w:jc w:val="center"/>
              <w:rPr>
                <w:sz w:val="20"/>
                <w:szCs w:val="20"/>
              </w:rPr>
            </w:pPr>
            <w:r>
              <w:rPr>
                <w:sz w:val="20"/>
                <w:szCs w:val="20"/>
              </w:rPr>
              <w:t>3</w:t>
            </w:r>
          </w:p>
          <w:p w14:paraId="6ADDA77F" w14:textId="77777777" w:rsidR="00A920F6" w:rsidRPr="0025537D" w:rsidRDefault="00A920F6" w:rsidP="00A920F6">
            <w:pPr>
              <w:jc w:val="center"/>
              <w:rPr>
                <w:sz w:val="20"/>
                <w:szCs w:val="20"/>
              </w:rPr>
            </w:pPr>
            <w:r>
              <w:rPr>
                <w:sz w:val="20"/>
                <w:szCs w:val="20"/>
              </w:rPr>
              <w:t>(x = 0,4</w:t>
            </w:r>
            <w:r w:rsidRPr="0025537D">
              <w:rPr>
                <w:sz w:val="20"/>
                <w:szCs w:val="20"/>
              </w:rPr>
              <w:t>3)</w:t>
            </w:r>
          </w:p>
        </w:tc>
      </w:tr>
      <w:tr w:rsidR="00A920F6" w:rsidRPr="0025537D" w14:paraId="13D5F47C" w14:textId="77777777" w:rsidTr="00A920F6">
        <w:trPr>
          <w:trHeight w:val="405"/>
        </w:trPr>
        <w:tc>
          <w:tcPr>
            <w:tcW w:w="1861" w:type="dxa"/>
            <w:vMerge/>
            <w:shd w:val="clear" w:color="auto" w:fill="F2F2F2"/>
            <w:vAlign w:val="center"/>
          </w:tcPr>
          <w:p w14:paraId="5BB8C85B" w14:textId="77777777" w:rsidR="00A920F6" w:rsidRPr="0025537D" w:rsidRDefault="00A920F6" w:rsidP="00A920F6">
            <w:pPr>
              <w:jc w:val="center"/>
              <w:rPr>
                <w:bCs/>
                <w:sz w:val="20"/>
                <w:szCs w:val="20"/>
              </w:rPr>
            </w:pPr>
          </w:p>
        </w:tc>
        <w:tc>
          <w:tcPr>
            <w:tcW w:w="2535" w:type="dxa"/>
            <w:shd w:val="clear" w:color="auto" w:fill="F2F2F2"/>
            <w:vAlign w:val="center"/>
          </w:tcPr>
          <w:p w14:paraId="5AEB2652" w14:textId="77777777" w:rsidR="00A920F6" w:rsidRPr="0025537D" w:rsidRDefault="00A920F6" w:rsidP="00A920F6">
            <w:pPr>
              <w:jc w:val="center"/>
              <w:rPr>
                <w:bCs/>
                <w:sz w:val="20"/>
                <w:szCs w:val="20"/>
              </w:rPr>
            </w:pPr>
            <w:r w:rsidRPr="0025537D">
              <w:rPr>
                <w:bCs/>
                <w:sz w:val="20"/>
                <w:szCs w:val="20"/>
              </w:rPr>
              <w:t>Dolžina rastne dobe za temperaturni prag 5 °C</w:t>
            </w:r>
          </w:p>
        </w:tc>
        <w:tc>
          <w:tcPr>
            <w:tcW w:w="3514" w:type="dxa"/>
          </w:tcPr>
          <w:p w14:paraId="0A29FAC6" w14:textId="77777777" w:rsidR="00A920F6" w:rsidRPr="0025537D" w:rsidRDefault="00A920F6" w:rsidP="00A920F6">
            <w:pPr>
              <w:rPr>
                <w:sz w:val="20"/>
                <w:szCs w:val="20"/>
              </w:rPr>
            </w:pPr>
            <w:r>
              <w:rPr>
                <w:sz w:val="20"/>
                <w:szCs w:val="20"/>
              </w:rPr>
              <w:t>Območje NG</w:t>
            </w:r>
            <w:r w:rsidRPr="0025537D">
              <w:rPr>
                <w:sz w:val="20"/>
                <w:szCs w:val="20"/>
              </w:rPr>
              <w:t xml:space="preserve"> ima zaradi vpliva Sredozemlja dolgo rastno dobo. To npr. omogoča večkratne setve, hitrejše dozorevanje, toplotno zahtevnejše kult</w:t>
            </w:r>
            <w:r>
              <w:rPr>
                <w:sz w:val="20"/>
                <w:szCs w:val="20"/>
              </w:rPr>
              <w:t>ure. Izpostavljenost je zmerna, v nižjih legah velika</w:t>
            </w:r>
            <w:r w:rsidRPr="0025537D">
              <w:rPr>
                <w:sz w:val="20"/>
                <w:szCs w:val="20"/>
              </w:rPr>
              <w:t>.</w:t>
            </w:r>
          </w:p>
        </w:tc>
        <w:tc>
          <w:tcPr>
            <w:tcW w:w="1440" w:type="dxa"/>
            <w:shd w:val="clear" w:color="auto" w:fill="FFFF00"/>
          </w:tcPr>
          <w:p w14:paraId="07862F63" w14:textId="77777777" w:rsidR="00A920F6" w:rsidRPr="0025537D" w:rsidRDefault="00A920F6" w:rsidP="00A920F6">
            <w:pPr>
              <w:jc w:val="center"/>
              <w:rPr>
                <w:sz w:val="20"/>
                <w:szCs w:val="20"/>
              </w:rPr>
            </w:pPr>
            <w:r>
              <w:rPr>
                <w:sz w:val="20"/>
                <w:szCs w:val="20"/>
              </w:rPr>
              <w:t>3</w:t>
            </w:r>
          </w:p>
          <w:p w14:paraId="41D497F2" w14:textId="77777777" w:rsidR="00A920F6" w:rsidRPr="0025537D" w:rsidRDefault="00A920F6" w:rsidP="00A920F6">
            <w:pPr>
              <w:jc w:val="center"/>
              <w:rPr>
                <w:sz w:val="20"/>
                <w:szCs w:val="20"/>
              </w:rPr>
            </w:pPr>
            <w:r>
              <w:rPr>
                <w:sz w:val="20"/>
                <w:szCs w:val="20"/>
              </w:rPr>
              <w:t>(x = 0,47</w:t>
            </w:r>
            <w:r w:rsidRPr="0025537D">
              <w:rPr>
                <w:sz w:val="20"/>
                <w:szCs w:val="20"/>
              </w:rPr>
              <w:t>)</w:t>
            </w:r>
          </w:p>
        </w:tc>
      </w:tr>
      <w:tr w:rsidR="00A920F6" w:rsidRPr="0025537D" w14:paraId="1546837F" w14:textId="77777777" w:rsidTr="00A920F6">
        <w:trPr>
          <w:trHeight w:val="405"/>
        </w:trPr>
        <w:tc>
          <w:tcPr>
            <w:tcW w:w="1861" w:type="dxa"/>
            <w:vMerge/>
            <w:shd w:val="clear" w:color="auto" w:fill="F2F2F2"/>
            <w:vAlign w:val="center"/>
          </w:tcPr>
          <w:p w14:paraId="1210FD29" w14:textId="77777777" w:rsidR="00A920F6" w:rsidRPr="0025537D" w:rsidRDefault="00A920F6" w:rsidP="00A920F6">
            <w:pPr>
              <w:jc w:val="center"/>
              <w:rPr>
                <w:bCs/>
                <w:sz w:val="20"/>
                <w:szCs w:val="20"/>
              </w:rPr>
            </w:pPr>
          </w:p>
        </w:tc>
        <w:tc>
          <w:tcPr>
            <w:tcW w:w="2535" w:type="dxa"/>
            <w:shd w:val="clear" w:color="auto" w:fill="F2F2F2"/>
            <w:vAlign w:val="center"/>
          </w:tcPr>
          <w:p w14:paraId="30CCC5A4" w14:textId="77777777" w:rsidR="00A920F6" w:rsidRPr="0025537D" w:rsidRDefault="00A920F6" w:rsidP="00A920F6">
            <w:pPr>
              <w:jc w:val="center"/>
              <w:rPr>
                <w:bCs/>
                <w:sz w:val="20"/>
                <w:szCs w:val="20"/>
              </w:rPr>
            </w:pPr>
            <w:r w:rsidRPr="0025537D">
              <w:rPr>
                <w:bCs/>
                <w:sz w:val="20"/>
                <w:szCs w:val="20"/>
              </w:rPr>
              <w:t xml:space="preserve">Število dni s spomladansko pozebo </w:t>
            </w:r>
          </w:p>
          <w:p w14:paraId="3AC703D0" w14:textId="77777777" w:rsidR="00A920F6" w:rsidRPr="0025537D" w:rsidRDefault="00A920F6" w:rsidP="00A920F6">
            <w:pPr>
              <w:jc w:val="center"/>
              <w:rPr>
                <w:bCs/>
                <w:sz w:val="20"/>
                <w:szCs w:val="20"/>
              </w:rPr>
            </w:pPr>
            <w:r w:rsidRPr="0025537D">
              <w:rPr>
                <w:bCs/>
                <w:sz w:val="20"/>
                <w:szCs w:val="20"/>
              </w:rPr>
              <w:t>(0 °C)</w:t>
            </w:r>
          </w:p>
        </w:tc>
        <w:tc>
          <w:tcPr>
            <w:tcW w:w="3514" w:type="dxa"/>
          </w:tcPr>
          <w:p w14:paraId="7FEA173A" w14:textId="77777777" w:rsidR="00A920F6" w:rsidRPr="0025537D" w:rsidRDefault="00A920F6" w:rsidP="00A920F6">
            <w:pPr>
              <w:rPr>
                <w:sz w:val="20"/>
                <w:szCs w:val="20"/>
              </w:rPr>
            </w:pPr>
            <w:r w:rsidRPr="0025537D">
              <w:rPr>
                <w:sz w:val="20"/>
                <w:szCs w:val="20"/>
              </w:rPr>
              <w:t>Povečana možnost škode zaradi pozeb</w:t>
            </w:r>
            <w:r>
              <w:rPr>
                <w:sz w:val="20"/>
                <w:szCs w:val="20"/>
              </w:rPr>
              <w:t>e je težko napovedljiva, pojavi se v izpostavljenih nizkih legah</w:t>
            </w:r>
            <w:r w:rsidRPr="0025537D">
              <w:rPr>
                <w:sz w:val="20"/>
                <w:szCs w:val="20"/>
              </w:rPr>
              <w:t>. Glede na modelske vrednosti je neznatna.</w:t>
            </w:r>
          </w:p>
        </w:tc>
        <w:tc>
          <w:tcPr>
            <w:tcW w:w="1440" w:type="dxa"/>
            <w:shd w:val="clear" w:color="auto" w:fill="7FE300"/>
          </w:tcPr>
          <w:p w14:paraId="528A1603" w14:textId="77777777" w:rsidR="00A920F6" w:rsidRPr="0025537D" w:rsidRDefault="00A920F6" w:rsidP="00A920F6">
            <w:pPr>
              <w:jc w:val="center"/>
              <w:rPr>
                <w:sz w:val="20"/>
                <w:szCs w:val="20"/>
              </w:rPr>
            </w:pPr>
            <w:r w:rsidRPr="0025537D">
              <w:rPr>
                <w:sz w:val="20"/>
                <w:szCs w:val="20"/>
              </w:rPr>
              <w:t>1</w:t>
            </w:r>
          </w:p>
          <w:p w14:paraId="167B5A5E" w14:textId="77777777" w:rsidR="00A920F6" w:rsidRPr="0025537D" w:rsidRDefault="00A920F6" w:rsidP="00A920F6">
            <w:pPr>
              <w:jc w:val="center"/>
              <w:rPr>
                <w:sz w:val="20"/>
                <w:szCs w:val="20"/>
              </w:rPr>
            </w:pPr>
            <w:r w:rsidRPr="0025537D">
              <w:rPr>
                <w:sz w:val="20"/>
                <w:szCs w:val="20"/>
              </w:rPr>
              <w:t>(x = 0)</w:t>
            </w:r>
          </w:p>
        </w:tc>
      </w:tr>
      <w:tr w:rsidR="00A920F6" w:rsidRPr="0025537D" w14:paraId="39C9EB17" w14:textId="77777777" w:rsidTr="00A920F6">
        <w:trPr>
          <w:trHeight w:val="405"/>
        </w:trPr>
        <w:tc>
          <w:tcPr>
            <w:tcW w:w="1861" w:type="dxa"/>
            <w:vMerge/>
            <w:shd w:val="clear" w:color="auto" w:fill="F2F2F2"/>
            <w:vAlign w:val="center"/>
          </w:tcPr>
          <w:p w14:paraId="4D2F4D38" w14:textId="77777777" w:rsidR="00A920F6" w:rsidRPr="0025537D" w:rsidRDefault="00A920F6" w:rsidP="00A920F6">
            <w:pPr>
              <w:jc w:val="center"/>
              <w:rPr>
                <w:bCs/>
                <w:sz w:val="20"/>
                <w:szCs w:val="20"/>
              </w:rPr>
            </w:pPr>
          </w:p>
        </w:tc>
        <w:tc>
          <w:tcPr>
            <w:tcW w:w="2535" w:type="dxa"/>
            <w:shd w:val="clear" w:color="auto" w:fill="F2F2F2"/>
            <w:vAlign w:val="center"/>
          </w:tcPr>
          <w:p w14:paraId="2AB22C05" w14:textId="77777777" w:rsidR="00A920F6" w:rsidRPr="0025537D" w:rsidRDefault="00A920F6" w:rsidP="00A920F6">
            <w:pPr>
              <w:jc w:val="center"/>
              <w:rPr>
                <w:bCs/>
                <w:sz w:val="20"/>
                <w:szCs w:val="20"/>
              </w:rPr>
            </w:pPr>
            <w:r w:rsidRPr="0025537D">
              <w:rPr>
                <w:bCs/>
                <w:sz w:val="20"/>
                <w:szCs w:val="20"/>
              </w:rPr>
              <w:t xml:space="preserve">Povprečna poletna referenčna </w:t>
            </w:r>
            <w:proofErr w:type="spellStart"/>
            <w:r w:rsidRPr="0025537D">
              <w:rPr>
                <w:bCs/>
                <w:sz w:val="20"/>
                <w:szCs w:val="20"/>
              </w:rPr>
              <w:t>evapotranspiracija</w:t>
            </w:r>
            <w:proofErr w:type="spellEnd"/>
          </w:p>
        </w:tc>
        <w:tc>
          <w:tcPr>
            <w:tcW w:w="3514" w:type="dxa"/>
          </w:tcPr>
          <w:p w14:paraId="104F8B05" w14:textId="77777777" w:rsidR="00A920F6" w:rsidRPr="0025537D" w:rsidRDefault="00A920F6" w:rsidP="00A920F6">
            <w:pPr>
              <w:rPr>
                <w:sz w:val="20"/>
                <w:szCs w:val="20"/>
              </w:rPr>
            </w:pPr>
            <w:r w:rsidRPr="0025537D">
              <w:rPr>
                <w:sz w:val="20"/>
                <w:szCs w:val="20"/>
              </w:rPr>
              <w:t xml:space="preserve">Povečana poraba vode je </w:t>
            </w:r>
            <w:r>
              <w:rPr>
                <w:sz w:val="20"/>
                <w:szCs w:val="20"/>
              </w:rPr>
              <w:t>poleti velika zaradi višjih temperatur in vetra</w:t>
            </w:r>
            <w:r w:rsidRPr="0025537D">
              <w:rPr>
                <w:sz w:val="20"/>
                <w:szCs w:val="20"/>
              </w:rPr>
              <w:t xml:space="preserve">, </w:t>
            </w:r>
            <w:r>
              <w:rPr>
                <w:sz w:val="20"/>
                <w:szCs w:val="20"/>
              </w:rPr>
              <w:t>izpostavljenost je zmerna, v nižjih legah lahko velika.</w:t>
            </w:r>
          </w:p>
        </w:tc>
        <w:tc>
          <w:tcPr>
            <w:tcW w:w="1440" w:type="dxa"/>
            <w:shd w:val="clear" w:color="auto" w:fill="FFFF00"/>
          </w:tcPr>
          <w:p w14:paraId="5694F211" w14:textId="77777777" w:rsidR="00A920F6" w:rsidRPr="0025537D" w:rsidRDefault="00A920F6" w:rsidP="00A920F6">
            <w:pPr>
              <w:jc w:val="center"/>
              <w:rPr>
                <w:sz w:val="20"/>
                <w:szCs w:val="20"/>
              </w:rPr>
            </w:pPr>
            <w:r>
              <w:rPr>
                <w:sz w:val="20"/>
                <w:szCs w:val="20"/>
              </w:rPr>
              <w:t>3</w:t>
            </w:r>
          </w:p>
          <w:p w14:paraId="2B17594F" w14:textId="77777777" w:rsidR="00A920F6" w:rsidRPr="0025537D" w:rsidRDefault="00A920F6" w:rsidP="00A920F6">
            <w:pPr>
              <w:jc w:val="center"/>
              <w:rPr>
                <w:sz w:val="20"/>
                <w:szCs w:val="20"/>
              </w:rPr>
            </w:pPr>
            <w:r w:rsidRPr="0025537D">
              <w:rPr>
                <w:sz w:val="20"/>
                <w:szCs w:val="20"/>
              </w:rPr>
              <w:t>(x = 0,</w:t>
            </w:r>
            <w:r>
              <w:rPr>
                <w:sz w:val="20"/>
                <w:szCs w:val="20"/>
              </w:rPr>
              <w:t>43</w:t>
            </w:r>
            <w:r w:rsidRPr="0025537D">
              <w:rPr>
                <w:sz w:val="20"/>
                <w:szCs w:val="20"/>
              </w:rPr>
              <w:t>)</w:t>
            </w:r>
          </w:p>
        </w:tc>
      </w:tr>
      <w:tr w:rsidR="00A920F6" w:rsidRPr="0025537D" w14:paraId="1622BC34" w14:textId="77777777" w:rsidTr="00A920F6">
        <w:trPr>
          <w:trHeight w:val="405"/>
        </w:trPr>
        <w:tc>
          <w:tcPr>
            <w:tcW w:w="1861" w:type="dxa"/>
            <w:vMerge/>
            <w:shd w:val="clear" w:color="auto" w:fill="F2F2F2"/>
            <w:vAlign w:val="center"/>
          </w:tcPr>
          <w:p w14:paraId="124C9E76" w14:textId="77777777" w:rsidR="00A920F6" w:rsidRPr="0025537D" w:rsidRDefault="00A920F6" w:rsidP="00A920F6">
            <w:pPr>
              <w:jc w:val="center"/>
              <w:rPr>
                <w:bCs/>
                <w:sz w:val="20"/>
                <w:szCs w:val="20"/>
              </w:rPr>
            </w:pPr>
          </w:p>
        </w:tc>
        <w:tc>
          <w:tcPr>
            <w:tcW w:w="2535" w:type="dxa"/>
            <w:shd w:val="clear" w:color="auto" w:fill="F2F2F2"/>
            <w:vAlign w:val="center"/>
          </w:tcPr>
          <w:p w14:paraId="2067C4D3" w14:textId="77777777" w:rsidR="00A920F6" w:rsidRPr="0025537D" w:rsidRDefault="00A920F6" w:rsidP="00A920F6">
            <w:pPr>
              <w:jc w:val="center"/>
              <w:rPr>
                <w:bCs/>
                <w:sz w:val="20"/>
                <w:szCs w:val="20"/>
              </w:rPr>
            </w:pPr>
            <w:r w:rsidRPr="0025537D">
              <w:rPr>
                <w:bCs/>
                <w:sz w:val="20"/>
                <w:szCs w:val="20"/>
              </w:rPr>
              <w:t>Povprečna pomladna višina padavin</w:t>
            </w:r>
          </w:p>
        </w:tc>
        <w:tc>
          <w:tcPr>
            <w:tcW w:w="3514" w:type="dxa"/>
          </w:tcPr>
          <w:p w14:paraId="47F68FB8" w14:textId="77777777" w:rsidR="00A920F6" w:rsidRPr="0025537D" w:rsidRDefault="00A920F6" w:rsidP="00A920F6">
            <w:pPr>
              <w:rPr>
                <w:sz w:val="20"/>
                <w:szCs w:val="20"/>
              </w:rPr>
            </w:pPr>
            <w:r w:rsidRPr="0025537D">
              <w:rPr>
                <w:sz w:val="20"/>
                <w:szCs w:val="20"/>
              </w:rPr>
              <w:t xml:space="preserve">Padavin je </w:t>
            </w:r>
            <w:r>
              <w:rPr>
                <w:sz w:val="20"/>
                <w:szCs w:val="20"/>
              </w:rPr>
              <w:t>s</w:t>
            </w:r>
            <w:r w:rsidRPr="0025537D">
              <w:rPr>
                <w:sz w:val="20"/>
                <w:szCs w:val="20"/>
              </w:rPr>
              <w:t xml:space="preserve">pomladi </w:t>
            </w:r>
            <w:r>
              <w:rPr>
                <w:sz w:val="20"/>
                <w:szCs w:val="20"/>
              </w:rPr>
              <w:t>količinsko dovolj, ob neenakomerni porazdeljenosti se lahko pojavijo sušna obdobja.</w:t>
            </w:r>
          </w:p>
        </w:tc>
        <w:tc>
          <w:tcPr>
            <w:tcW w:w="1440" w:type="dxa"/>
            <w:shd w:val="clear" w:color="auto" w:fill="FFFF00"/>
          </w:tcPr>
          <w:p w14:paraId="58F4611B" w14:textId="77777777" w:rsidR="00A920F6" w:rsidRPr="0025537D" w:rsidRDefault="00A920F6" w:rsidP="00A920F6">
            <w:pPr>
              <w:jc w:val="center"/>
              <w:rPr>
                <w:sz w:val="20"/>
                <w:szCs w:val="20"/>
              </w:rPr>
            </w:pPr>
            <w:r>
              <w:rPr>
                <w:sz w:val="20"/>
                <w:szCs w:val="20"/>
              </w:rPr>
              <w:t>3</w:t>
            </w:r>
          </w:p>
          <w:p w14:paraId="323E2BCA" w14:textId="77777777" w:rsidR="00A920F6" w:rsidRPr="0025537D" w:rsidRDefault="00A920F6" w:rsidP="00A920F6">
            <w:pPr>
              <w:jc w:val="center"/>
              <w:rPr>
                <w:sz w:val="20"/>
                <w:szCs w:val="20"/>
              </w:rPr>
            </w:pPr>
            <w:r>
              <w:rPr>
                <w:sz w:val="20"/>
                <w:szCs w:val="20"/>
              </w:rPr>
              <w:t>(x = 0,4</w:t>
            </w:r>
            <w:r w:rsidRPr="0025537D">
              <w:rPr>
                <w:sz w:val="20"/>
                <w:szCs w:val="20"/>
              </w:rPr>
              <w:t>4)</w:t>
            </w:r>
          </w:p>
        </w:tc>
      </w:tr>
      <w:tr w:rsidR="00A920F6" w:rsidRPr="0025537D" w14:paraId="5432A7A4" w14:textId="77777777" w:rsidTr="00A920F6">
        <w:trPr>
          <w:trHeight w:val="405"/>
        </w:trPr>
        <w:tc>
          <w:tcPr>
            <w:tcW w:w="1861" w:type="dxa"/>
            <w:vMerge/>
            <w:shd w:val="clear" w:color="auto" w:fill="F2F2F2"/>
            <w:vAlign w:val="center"/>
          </w:tcPr>
          <w:p w14:paraId="4D9AC5DF" w14:textId="77777777" w:rsidR="00A920F6" w:rsidRPr="0025537D" w:rsidRDefault="00A920F6" w:rsidP="00A920F6">
            <w:pPr>
              <w:jc w:val="center"/>
              <w:rPr>
                <w:bCs/>
                <w:sz w:val="20"/>
                <w:szCs w:val="20"/>
              </w:rPr>
            </w:pPr>
          </w:p>
        </w:tc>
        <w:tc>
          <w:tcPr>
            <w:tcW w:w="2535" w:type="dxa"/>
            <w:shd w:val="clear" w:color="auto" w:fill="F2F2F2"/>
            <w:vAlign w:val="center"/>
          </w:tcPr>
          <w:p w14:paraId="45A5D194" w14:textId="77777777" w:rsidR="00A920F6" w:rsidRPr="0025537D" w:rsidRDefault="00A920F6" w:rsidP="00A920F6">
            <w:pPr>
              <w:jc w:val="center"/>
              <w:rPr>
                <w:bCs/>
                <w:sz w:val="20"/>
                <w:szCs w:val="20"/>
              </w:rPr>
            </w:pPr>
            <w:r w:rsidRPr="0025537D">
              <w:rPr>
                <w:bCs/>
                <w:sz w:val="20"/>
                <w:szCs w:val="20"/>
              </w:rPr>
              <w:t>Povprečna poletna višina padavin</w:t>
            </w:r>
          </w:p>
        </w:tc>
        <w:tc>
          <w:tcPr>
            <w:tcW w:w="3514" w:type="dxa"/>
          </w:tcPr>
          <w:p w14:paraId="0566053E" w14:textId="77777777" w:rsidR="00A920F6" w:rsidRPr="0025537D" w:rsidRDefault="00A920F6" w:rsidP="00A920F6">
            <w:pPr>
              <w:rPr>
                <w:sz w:val="20"/>
                <w:szCs w:val="20"/>
              </w:rPr>
            </w:pPr>
            <w:r w:rsidRPr="0025537D">
              <w:rPr>
                <w:sz w:val="20"/>
                <w:szCs w:val="20"/>
              </w:rPr>
              <w:t xml:space="preserve">Padavin je poleti </w:t>
            </w:r>
            <w:r>
              <w:rPr>
                <w:sz w:val="20"/>
                <w:szCs w:val="20"/>
              </w:rPr>
              <w:t>količinsko dovolj</w:t>
            </w:r>
            <w:r w:rsidRPr="0025537D">
              <w:rPr>
                <w:sz w:val="20"/>
                <w:szCs w:val="20"/>
              </w:rPr>
              <w:t>,</w:t>
            </w:r>
            <w:r>
              <w:rPr>
                <w:sz w:val="20"/>
                <w:szCs w:val="20"/>
              </w:rPr>
              <w:t xml:space="preserve"> a se je že v tem obdobju kazala slaba razporejenost in zmerna izpostavljenost, ki v nižjih legah postaja velika.</w:t>
            </w:r>
          </w:p>
        </w:tc>
        <w:tc>
          <w:tcPr>
            <w:tcW w:w="1440" w:type="dxa"/>
            <w:shd w:val="clear" w:color="auto" w:fill="FFFF00"/>
          </w:tcPr>
          <w:p w14:paraId="35E3D345" w14:textId="77777777" w:rsidR="00A920F6" w:rsidRPr="0025537D" w:rsidRDefault="00A920F6" w:rsidP="00A920F6">
            <w:pPr>
              <w:jc w:val="center"/>
              <w:rPr>
                <w:sz w:val="20"/>
                <w:szCs w:val="20"/>
              </w:rPr>
            </w:pPr>
            <w:r>
              <w:rPr>
                <w:sz w:val="20"/>
                <w:szCs w:val="20"/>
              </w:rPr>
              <w:t>3</w:t>
            </w:r>
          </w:p>
          <w:p w14:paraId="002CDD4E" w14:textId="77777777" w:rsidR="00A920F6" w:rsidRPr="0025537D" w:rsidRDefault="00A920F6" w:rsidP="00A920F6">
            <w:pPr>
              <w:jc w:val="center"/>
              <w:rPr>
                <w:sz w:val="20"/>
                <w:szCs w:val="20"/>
              </w:rPr>
            </w:pPr>
            <w:r>
              <w:rPr>
                <w:sz w:val="20"/>
                <w:szCs w:val="20"/>
              </w:rPr>
              <w:t>(x = 0,49</w:t>
            </w:r>
            <w:r w:rsidRPr="0025537D">
              <w:rPr>
                <w:sz w:val="20"/>
                <w:szCs w:val="20"/>
              </w:rPr>
              <w:t>)</w:t>
            </w:r>
          </w:p>
        </w:tc>
      </w:tr>
      <w:tr w:rsidR="00A920F6" w:rsidRPr="0025537D" w14:paraId="2EE51CD0" w14:textId="77777777" w:rsidTr="00A920F6">
        <w:trPr>
          <w:trHeight w:val="405"/>
        </w:trPr>
        <w:tc>
          <w:tcPr>
            <w:tcW w:w="1861" w:type="dxa"/>
            <w:vMerge/>
            <w:shd w:val="clear" w:color="auto" w:fill="F2F2F2"/>
            <w:vAlign w:val="center"/>
          </w:tcPr>
          <w:p w14:paraId="36562229" w14:textId="77777777" w:rsidR="00A920F6" w:rsidRPr="0025537D" w:rsidRDefault="00A920F6" w:rsidP="00A920F6">
            <w:pPr>
              <w:jc w:val="center"/>
              <w:rPr>
                <w:bCs/>
                <w:sz w:val="20"/>
                <w:szCs w:val="20"/>
              </w:rPr>
            </w:pPr>
          </w:p>
        </w:tc>
        <w:tc>
          <w:tcPr>
            <w:tcW w:w="2535" w:type="dxa"/>
            <w:shd w:val="clear" w:color="auto" w:fill="F2F2F2"/>
            <w:vAlign w:val="center"/>
          </w:tcPr>
          <w:p w14:paraId="2169501E" w14:textId="77777777" w:rsidR="00A920F6" w:rsidRPr="0025537D" w:rsidRDefault="00A920F6" w:rsidP="00A920F6">
            <w:pPr>
              <w:jc w:val="center"/>
              <w:rPr>
                <w:bCs/>
                <w:sz w:val="20"/>
                <w:szCs w:val="20"/>
              </w:rPr>
            </w:pPr>
            <w:r w:rsidRPr="0025537D">
              <w:rPr>
                <w:bCs/>
                <w:sz w:val="20"/>
                <w:szCs w:val="20"/>
              </w:rPr>
              <w:t xml:space="preserve">Povprečno letno število dni s padavinami nad </w:t>
            </w:r>
          </w:p>
          <w:p w14:paraId="603364D7" w14:textId="77777777" w:rsidR="00A920F6" w:rsidRPr="0025537D" w:rsidRDefault="00A920F6" w:rsidP="00A920F6">
            <w:pPr>
              <w:jc w:val="center"/>
              <w:rPr>
                <w:bCs/>
                <w:sz w:val="20"/>
                <w:szCs w:val="20"/>
              </w:rPr>
            </w:pPr>
            <w:r w:rsidRPr="0025537D">
              <w:rPr>
                <w:bCs/>
                <w:sz w:val="20"/>
                <w:szCs w:val="20"/>
              </w:rPr>
              <w:t>50 mm</w:t>
            </w:r>
          </w:p>
        </w:tc>
        <w:tc>
          <w:tcPr>
            <w:tcW w:w="3514" w:type="dxa"/>
          </w:tcPr>
          <w:p w14:paraId="2EB0730F" w14:textId="77777777" w:rsidR="00A920F6" w:rsidRPr="0025537D" w:rsidRDefault="00A920F6" w:rsidP="00A920F6">
            <w:pPr>
              <w:rPr>
                <w:sz w:val="20"/>
                <w:szCs w:val="20"/>
              </w:rPr>
            </w:pPr>
            <w:r w:rsidRPr="0025537D">
              <w:rPr>
                <w:sz w:val="20"/>
                <w:szCs w:val="20"/>
              </w:rPr>
              <w:t>Izpostavljenost intenzivnim padavinam je na tem območ</w:t>
            </w:r>
            <w:r>
              <w:rPr>
                <w:sz w:val="20"/>
                <w:szCs w:val="20"/>
              </w:rPr>
              <w:t>ju zmerna</w:t>
            </w:r>
            <w:r w:rsidRPr="0025537D">
              <w:rPr>
                <w:sz w:val="20"/>
                <w:szCs w:val="20"/>
              </w:rPr>
              <w:t>,</w:t>
            </w:r>
            <w:r>
              <w:rPr>
                <w:sz w:val="20"/>
                <w:szCs w:val="20"/>
              </w:rPr>
              <w:t xml:space="preserve"> težave so z zastajanjem vode na kmetijskih zemljiščih in poplavljanjem reke Vipave.</w:t>
            </w:r>
          </w:p>
        </w:tc>
        <w:tc>
          <w:tcPr>
            <w:tcW w:w="1440" w:type="dxa"/>
            <w:shd w:val="clear" w:color="auto" w:fill="FFFF00"/>
          </w:tcPr>
          <w:p w14:paraId="423ACFF4" w14:textId="77777777" w:rsidR="00A920F6" w:rsidRPr="0025537D" w:rsidRDefault="00A920F6" w:rsidP="00A920F6">
            <w:pPr>
              <w:jc w:val="center"/>
              <w:rPr>
                <w:sz w:val="20"/>
                <w:szCs w:val="20"/>
              </w:rPr>
            </w:pPr>
            <w:r>
              <w:rPr>
                <w:sz w:val="20"/>
                <w:szCs w:val="20"/>
              </w:rPr>
              <w:t>3</w:t>
            </w:r>
          </w:p>
          <w:p w14:paraId="6548A4BF" w14:textId="77777777" w:rsidR="00A920F6" w:rsidRPr="0025537D" w:rsidRDefault="00A920F6" w:rsidP="00A920F6">
            <w:pPr>
              <w:jc w:val="center"/>
              <w:rPr>
                <w:sz w:val="20"/>
                <w:szCs w:val="20"/>
              </w:rPr>
            </w:pPr>
            <w:r>
              <w:rPr>
                <w:sz w:val="20"/>
                <w:szCs w:val="20"/>
              </w:rPr>
              <w:t>(x = 0,41</w:t>
            </w:r>
            <w:r w:rsidRPr="0025537D">
              <w:rPr>
                <w:sz w:val="20"/>
                <w:szCs w:val="20"/>
              </w:rPr>
              <w:t>)</w:t>
            </w:r>
          </w:p>
        </w:tc>
      </w:tr>
      <w:tr w:rsidR="00A920F6" w:rsidRPr="0025537D" w14:paraId="72F172E8" w14:textId="77777777" w:rsidTr="00A920F6">
        <w:trPr>
          <w:trHeight w:val="405"/>
        </w:trPr>
        <w:tc>
          <w:tcPr>
            <w:tcW w:w="1861" w:type="dxa"/>
            <w:vMerge/>
            <w:shd w:val="clear" w:color="auto" w:fill="F2F2F2"/>
            <w:vAlign w:val="center"/>
          </w:tcPr>
          <w:p w14:paraId="268F20D8" w14:textId="77777777" w:rsidR="00A920F6" w:rsidRPr="0025537D" w:rsidRDefault="00A920F6" w:rsidP="00A920F6">
            <w:pPr>
              <w:jc w:val="center"/>
              <w:rPr>
                <w:bCs/>
                <w:sz w:val="20"/>
                <w:szCs w:val="20"/>
              </w:rPr>
            </w:pPr>
          </w:p>
        </w:tc>
        <w:tc>
          <w:tcPr>
            <w:tcW w:w="2535" w:type="dxa"/>
            <w:shd w:val="clear" w:color="auto" w:fill="F2F2F2"/>
            <w:vAlign w:val="center"/>
          </w:tcPr>
          <w:p w14:paraId="5BEBCAAB" w14:textId="77777777" w:rsidR="00A920F6" w:rsidRPr="00231E13" w:rsidRDefault="00A920F6" w:rsidP="00A920F6">
            <w:pPr>
              <w:jc w:val="center"/>
              <w:rPr>
                <w:bCs/>
                <w:sz w:val="20"/>
                <w:szCs w:val="20"/>
              </w:rPr>
            </w:pPr>
            <w:r w:rsidRPr="00231E13">
              <w:rPr>
                <w:bCs/>
                <w:sz w:val="20"/>
                <w:szCs w:val="20"/>
              </w:rPr>
              <w:t xml:space="preserve">Povprečno letno število dni s snežno odejo </w:t>
            </w:r>
          </w:p>
        </w:tc>
        <w:tc>
          <w:tcPr>
            <w:tcW w:w="3514" w:type="dxa"/>
          </w:tcPr>
          <w:p w14:paraId="7FCAF7E8" w14:textId="77777777" w:rsidR="00A920F6" w:rsidRPr="00231E13" w:rsidRDefault="00A920F6" w:rsidP="00A920F6">
            <w:pPr>
              <w:rPr>
                <w:sz w:val="20"/>
                <w:szCs w:val="20"/>
              </w:rPr>
            </w:pPr>
            <w:r>
              <w:rPr>
                <w:sz w:val="20"/>
                <w:szCs w:val="20"/>
              </w:rPr>
              <w:t>V nižinah je</w:t>
            </w:r>
            <w:r w:rsidRPr="00231E13">
              <w:rPr>
                <w:sz w:val="20"/>
                <w:szCs w:val="20"/>
              </w:rPr>
              <w:t xml:space="preserve"> snega</w:t>
            </w:r>
            <w:r>
              <w:rPr>
                <w:sz w:val="20"/>
                <w:szCs w:val="20"/>
              </w:rPr>
              <w:t xml:space="preserve"> malo</w:t>
            </w:r>
            <w:r w:rsidRPr="00231E13">
              <w:rPr>
                <w:sz w:val="20"/>
                <w:szCs w:val="20"/>
              </w:rPr>
              <w:t xml:space="preserve">, na višje ležečih predelih pa sneg </w:t>
            </w:r>
            <w:r>
              <w:rPr>
                <w:sz w:val="20"/>
                <w:szCs w:val="20"/>
              </w:rPr>
              <w:t>zaenkrat še predstavlja manjše zaloge vode</w:t>
            </w:r>
            <w:r w:rsidRPr="00231E13">
              <w:rPr>
                <w:sz w:val="20"/>
                <w:szCs w:val="20"/>
              </w:rPr>
              <w:t xml:space="preserve">. Izpostavljenost je </w:t>
            </w:r>
            <w:r>
              <w:rPr>
                <w:sz w:val="20"/>
                <w:szCs w:val="20"/>
              </w:rPr>
              <w:t xml:space="preserve">zelo </w:t>
            </w:r>
            <w:r w:rsidRPr="00231E13">
              <w:rPr>
                <w:sz w:val="20"/>
                <w:szCs w:val="20"/>
              </w:rPr>
              <w:t xml:space="preserve">velika v smislu, da </w:t>
            </w:r>
            <w:r>
              <w:rPr>
                <w:sz w:val="20"/>
                <w:szCs w:val="20"/>
              </w:rPr>
              <w:t>je</w:t>
            </w:r>
            <w:r w:rsidRPr="00231E13">
              <w:rPr>
                <w:sz w:val="20"/>
                <w:szCs w:val="20"/>
              </w:rPr>
              <w:t xml:space="preserve"> zalog vode</w:t>
            </w:r>
            <w:r>
              <w:rPr>
                <w:sz w:val="20"/>
                <w:szCs w:val="20"/>
              </w:rPr>
              <w:t xml:space="preserve"> malo</w:t>
            </w:r>
            <w:r w:rsidRPr="00231E13">
              <w:rPr>
                <w:sz w:val="20"/>
                <w:szCs w:val="20"/>
              </w:rPr>
              <w:t>.</w:t>
            </w:r>
          </w:p>
        </w:tc>
        <w:tc>
          <w:tcPr>
            <w:tcW w:w="1440" w:type="dxa"/>
            <w:shd w:val="clear" w:color="auto" w:fill="FF3F00"/>
          </w:tcPr>
          <w:p w14:paraId="28956DCD" w14:textId="77777777" w:rsidR="00A920F6" w:rsidRPr="00231E13" w:rsidRDefault="00A920F6" w:rsidP="00A920F6">
            <w:pPr>
              <w:jc w:val="center"/>
              <w:rPr>
                <w:sz w:val="20"/>
                <w:szCs w:val="20"/>
              </w:rPr>
            </w:pPr>
            <w:r>
              <w:rPr>
                <w:sz w:val="20"/>
                <w:szCs w:val="20"/>
              </w:rPr>
              <w:t>5</w:t>
            </w:r>
          </w:p>
          <w:p w14:paraId="07A22851" w14:textId="77777777" w:rsidR="00A920F6" w:rsidRPr="00231E13" w:rsidRDefault="00A920F6" w:rsidP="00A920F6">
            <w:pPr>
              <w:jc w:val="center"/>
              <w:rPr>
                <w:sz w:val="20"/>
                <w:szCs w:val="20"/>
              </w:rPr>
            </w:pPr>
            <w:r w:rsidRPr="00231E13">
              <w:rPr>
                <w:sz w:val="20"/>
                <w:szCs w:val="20"/>
              </w:rPr>
              <w:t>(ocena)</w:t>
            </w:r>
          </w:p>
        </w:tc>
      </w:tr>
      <w:tr w:rsidR="00A920F6" w:rsidRPr="0025537D" w14:paraId="49C93D6A" w14:textId="77777777" w:rsidTr="00A920F6">
        <w:trPr>
          <w:trHeight w:val="405"/>
        </w:trPr>
        <w:tc>
          <w:tcPr>
            <w:tcW w:w="1861" w:type="dxa"/>
            <w:vMerge/>
            <w:shd w:val="clear" w:color="auto" w:fill="F2F2F2"/>
            <w:vAlign w:val="center"/>
          </w:tcPr>
          <w:p w14:paraId="33D21310" w14:textId="77777777" w:rsidR="00A920F6" w:rsidRPr="0025537D" w:rsidRDefault="00A920F6" w:rsidP="00A920F6">
            <w:pPr>
              <w:jc w:val="center"/>
              <w:rPr>
                <w:bCs/>
                <w:sz w:val="20"/>
                <w:szCs w:val="20"/>
              </w:rPr>
            </w:pPr>
          </w:p>
        </w:tc>
        <w:tc>
          <w:tcPr>
            <w:tcW w:w="2535" w:type="dxa"/>
            <w:shd w:val="clear" w:color="auto" w:fill="F2F2F2"/>
            <w:vAlign w:val="center"/>
          </w:tcPr>
          <w:p w14:paraId="1D320C21" w14:textId="77777777" w:rsidR="00A920F6" w:rsidRPr="0025537D" w:rsidRDefault="00A920F6" w:rsidP="00A920F6">
            <w:pPr>
              <w:jc w:val="center"/>
              <w:rPr>
                <w:bCs/>
                <w:sz w:val="20"/>
                <w:szCs w:val="20"/>
              </w:rPr>
            </w:pPr>
            <w:r w:rsidRPr="0025537D">
              <w:rPr>
                <w:bCs/>
                <w:sz w:val="20"/>
                <w:szCs w:val="20"/>
              </w:rPr>
              <w:t>Sunki vetra</w:t>
            </w:r>
          </w:p>
        </w:tc>
        <w:tc>
          <w:tcPr>
            <w:tcW w:w="3514" w:type="dxa"/>
          </w:tcPr>
          <w:p w14:paraId="24081420" w14:textId="77777777" w:rsidR="00A920F6" w:rsidRPr="0025537D" w:rsidRDefault="00A920F6" w:rsidP="00A920F6">
            <w:pPr>
              <w:rPr>
                <w:sz w:val="20"/>
                <w:szCs w:val="20"/>
              </w:rPr>
            </w:pPr>
            <w:r w:rsidRPr="0025537D">
              <w:rPr>
                <w:sz w:val="20"/>
                <w:szCs w:val="20"/>
              </w:rPr>
              <w:t>Območje občine je izpostavljeno močnejšim vetrovom, kar s povpr</w:t>
            </w:r>
            <w:r>
              <w:rPr>
                <w:sz w:val="20"/>
                <w:szCs w:val="20"/>
              </w:rPr>
              <w:t>ečji težko številsko opredelimo;</w:t>
            </w:r>
            <w:r w:rsidRPr="0025537D">
              <w:rPr>
                <w:sz w:val="20"/>
                <w:szCs w:val="20"/>
              </w:rPr>
              <w:t xml:space="preserve"> izpostavljenost ocenjujemo na veliko. </w:t>
            </w:r>
          </w:p>
        </w:tc>
        <w:tc>
          <w:tcPr>
            <w:tcW w:w="1440" w:type="dxa"/>
            <w:shd w:val="clear" w:color="auto" w:fill="FF3F00"/>
          </w:tcPr>
          <w:p w14:paraId="64F8C3B3" w14:textId="77777777" w:rsidR="00A920F6" w:rsidRPr="0025537D" w:rsidRDefault="00A920F6" w:rsidP="00A920F6">
            <w:pPr>
              <w:jc w:val="center"/>
              <w:rPr>
                <w:sz w:val="20"/>
                <w:szCs w:val="20"/>
              </w:rPr>
            </w:pPr>
            <w:r>
              <w:rPr>
                <w:sz w:val="20"/>
                <w:szCs w:val="20"/>
              </w:rPr>
              <w:t>5</w:t>
            </w:r>
          </w:p>
          <w:p w14:paraId="36788D15" w14:textId="77777777" w:rsidR="00A920F6" w:rsidRPr="0025537D" w:rsidRDefault="00A920F6" w:rsidP="00A920F6">
            <w:pPr>
              <w:jc w:val="center"/>
              <w:rPr>
                <w:sz w:val="20"/>
                <w:szCs w:val="20"/>
              </w:rPr>
            </w:pPr>
            <w:r w:rsidRPr="0025537D">
              <w:rPr>
                <w:sz w:val="20"/>
                <w:szCs w:val="20"/>
              </w:rPr>
              <w:t>(ocena)</w:t>
            </w:r>
          </w:p>
        </w:tc>
      </w:tr>
    </w:tbl>
    <w:p w14:paraId="4845DCBB" w14:textId="77777777" w:rsidR="00A920F6" w:rsidRPr="0025537D" w:rsidRDefault="00A920F6" w:rsidP="00A920F6"/>
    <w:p w14:paraId="3B31C7E1" w14:textId="77777777" w:rsidR="00A920F6" w:rsidRPr="0025537D" w:rsidRDefault="00A920F6" w:rsidP="00A920F6">
      <w:r w:rsidRPr="0025537D">
        <w:t xml:space="preserve">Nadalje je s temperaturo zraka močno povezana tudi referenčna </w:t>
      </w:r>
      <w:proofErr w:type="spellStart"/>
      <w:r w:rsidRPr="0025537D">
        <w:t>evapotranspiracija</w:t>
      </w:r>
      <w:proofErr w:type="spellEnd"/>
      <w:r w:rsidRPr="0025537D">
        <w:t>, izguba vode z izhlapevanjem in s transpiracijo rastlin. Ta je v povprečju poleti</w:t>
      </w:r>
      <w:r>
        <w:t xml:space="preserve"> glede na modelsko vrednost dosegla 374</w:t>
      </w:r>
      <w:r w:rsidRPr="0025537D">
        <w:t xml:space="preserve"> mm,</w:t>
      </w:r>
      <w:r>
        <w:t xml:space="preserve"> kar je nekoliko podcenjena realna vrednost.</w:t>
      </w:r>
      <w:r w:rsidRPr="0025537D">
        <w:t xml:space="preserve"> </w:t>
      </w:r>
      <w:r>
        <w:t>N</w:t>
      </w:r>
      <w:r w:rsidRPr="0025537D">
        <w:t>ajnižja je v Stari Fužini (258 mm) in najvišja v Portorožu (526 mm). Izpostavljenost je z</w:t>
      </w:r>
      <w:r>
        <w:t>merna (ocena 3) zaradi razgibanega terena, v nižje ležečih predelih pa zagotovo velika</w:t>
      </w:r>
      <w:r w:rsidRPr="0025537D">
        <w:t>. Povečana poraba vode poleti je izrazita</w:t>
      </w:r>
      <w:r>
        <w:t>, vendar pa na tem območju pade kar precej padavin - p</w:t>
      </w:r>
      <w:r w:rsidRPr="0025537D">
        <w:t>ovprečna po</w:t>
      </w:r>
      <w:r>
        <w:t>mladna višina padavin je bila 402</w:t>
      </w:r>
      <w:r w:rsidRPr="0025537D">
        <w:t xml:space="preserve"> mm in povprečna poletna višina padavin </w:t>
      </w:r>
      <w:r>
        <w:t>412</w:t>
      </w:r>
      <w:r w:rsidRPr="0025537D">
        <w:t xml:space="preserve"> mm</w:t>
      </w:r>
      <w:r>
        <w:t>. Vendar pa kmetijski svetovalci opozarjajo, da so padavine že sedaj neenakomerno porazdeljene, zato imajo v občini težave tako s poplavami oz. zastajanjem vode na kmetijskih zemljiščih kot tudi s sušami. Po količini padavin je bila v referenčnem obdobju izpostavljenost s</w:t>
      </w:r>
      <w:r w:rsidRPr="0025537D">
        <w:t xml:space="preserve">pomladi </w:t>
      </w:r>
      <w:r>
        <w:t>in poleti zmerna (ocena 3), vendar pa bi jo zaradi</w:t>
      </w:r>
      <w:r w:rsidRPr="0025537D">
        <w:t xml:space="preserve"> neenakomern</w:t>
      </w:r>
      <w:r>
        <w:t>e</w:t>
      </w:r>
      <w:r w:rsidRPr="0025537D">
        <w:t xml:space="preserve"> porazdelitv</w:t>
      </w:r>
      <w:r>
        <w:t>e</w:t>
      </w:r>
      <w:r w:rsidRPr="0025537D">
        <w:t xml:space="preserve"> padavin</w:t>
      </w:r>
      <w:r>
        <w:t xml:space="preserve"> lahko ocenili tudi kot veliko. </w:t>
      </w:r>
      <w:r w:rsidRPr="0025537D">
        <w:t>Povprečna dolžina najdaljšega suhega obdobja v letu je bila 2</w:t>
      </w:r>
      <w:r>
        <w:t>6</w:t>
      </w:r>
      <w:r w:rsidRPr="0025537D">
        <w:t xml:space="preserve"> dni, vodni primanjkljaj (</w:t>
      </w:r>
      <w:proofErr w:type="spellStart"/>
      <w:r w:rsidRPr="0025537D">
        <w:t>t.j</w:t>
      </w:r>
      <w:proofErr w:type="spellEnd"/>
      <w:r w:rsidRPr="0025537D">
        <w:t xml:space="preserve">. kumulativno več </w:t>
      </w:r>
      <w:proofErr w:type="spellStart"/>
      <w:r w:rsidRPr="0025537D">
        <w:t>evapotranspiracije</w:t>
      </w:r>
      <w:proofErr w:type="spellEnd"/>
      <w:r w:rsidRPr="0025537D">
        <w:t xml:space="preserve"> k</w:t>
      </w:r>
      <w:r>
        <w:t>ot padavin) pa je nastopil v 65</w:t>
      </w:r>
      <w:r w:rsidRPr="0025537D">
        <w:t xml:space="preserve"> d</w:t>
      </w:r>
      <w:r>
        <w:t>neh, od tega jih je bilo 35 poleti, kar ni tako izrazita težava kot na primer na Obali</w:t>
      </w:r>
      <w:r w:rsidRPr="0025537D">
        <w:t xml:space="preserve">. </w:t>
      </w:r>
      <w:r>
        <w:t xml:space="preserve">Namakalni sistemi se že vzpostavljajo, vendar pa KSS opozarja na težave z zajetjem </w:t>
      </w:r>
      <w:proofErr w:type="spellStart"/>
      <w:r>
        <w:t>Vogršček</w:t>
      </w:r>
      <w:proofErr w:type="spellEnd"/>
      <w:r>
        <w:t>.</w:t>
      </w:r>
    </w:p>
    <w:p w14:paraId="7FCDC353" w14:textId="77777777" w:rsidR="00A920F6" w:rsidRPr="0025537D" w:rsidRDefault="00A920F6" w:rsidP="00A920F6">
      <w:r>
        <w:t>Ob neenakomerni porazdelitvi padavin imajo v občini občasno težave tudi s presežkom padavin.</w:t>
      </w:r>
      <w:r w:rsidRPr="0025537D">
        <w:t xml:space="preserve"> </w:t>
      </w:r>
      <w:r>
        <w:t>I</w:t>
      </w:r>
      <w:r w:rsidRPr="0025537D">
        <w:t>zračuni kažejo, da je bil</w:t>
      </w:r>
      <w:r>
        <w:t>o v referenčnem obdobju</w:t>
      </w:r>
      <w:r w:rsidRPr="0025537D">
        <w:t xml:space="preserve"> v povprečju </w:t>
      </w:r>
      <w:r>
        <w:t>6</w:t>
      </w:r>
      <w:r w:rsidRPr="0025537D">
        <w:t xml:space="preserve"> dn</w:t>
      </w:r>
      <w:r>
        <w:t>i</w:t>
      </w:r>
      <w:r w:rsidRPr="0025537D">
        <w:t xml:space="preserve"> letno s padavinami nad 50 mm. Izpostavljenost močnejšim padavinam vodi v izpiranje hranil, </w:t>
      </w:r>
      <w:r>
        <w:t xml:space="preserve">zastajanje vode na površini pa tudi </w:t>
      </w:r>
      <w:r w:rsidRPr="0025537D">
        <w:t xml:space="preserve">erozijo in plazenje. Glede na ostalo Slovenijo je ocenjena kot </w:t>
      </w:r>
      <w:r>
        <w:t>zmerna</w:t>
      </w:r>
      <w:r w:rsidRPr="0025537D">
        <w:t xml:space="preserve"> (ocena </w:t>
      </w:r>
      <w:r>
        <w:t>3</w:t>
      </w:r>
      <w:r w:rsidRPr="0025537D">
        <w:t xml:space="preserve">). Sneg zapade </w:t>
      </w:r>
      <w:r>
        <w:lastRenderedPageBreak/>
        <w:t>v nekoliko večji meri</w:t>
      </w:r>
      <w:r w:rsidRPr="0025537D">
        <w:t xml:space="preserve"> v zaledju na višje ležečih predelih, </w:t>
      </w:r>
      <w:r>
        <w:t>kar predstavlja nekaj zalog vode</w:t>
      </w:r>
      <w:r w:rsidRPr="0025537D">
        <w:t xml:space="preserve">. Izpostavljenost je </w:t>
      </w:r>
      <w:r>
        <w:t>glede na ostalo Slovenijo zelo velika (ocena 5</w:t>
      </w:r>
      <w:r w:rsidRPr="0025537D">
        <w:t>)</w:t>
      </w:r>
      <w:r>
        <w:t>, hkrati pa je občina deloma že prilagojena na takšno stanje.</w:t>
      </w:r>
    </w:p>
    <w:p w14:paraId="13CB3706" w14:textId="77777777" w:rsidR="00A920F6" w:rsidRPr="0025537D" w:rsidRDefault="00A920F6" w:rsidP="00A920F6">
      <w:r w:rsidRPr="0025537D">
        <w:t xml:space="preserve">V povprečju je hitrost vetra precejšnja, a še pomembnejši so sunki vetra, ki jih težko opišemo s povprečnimi vrednostmi. </w:t>
      </w:r>
      <w:r>
        <w:t>Vetrna erozija pomeni, da v</w:t>
      </w:r>
      <w:r w:rsidRPr="0025537D">
        <w:t>eter odnaša zgornje plasti</w:t>
      </w:r>
      <w:r>
        <w:t xml:space="preserve"> tal</w:t>
      </w:r>
      <w:r w:rsidRPr="0025537D">
        <w:t>. Pri tem je izpostavljenost kmetijstva</w:t>
      </w:r>
      <w:r>
        <w:t xml:space="preserve"> zelo</w:t>
      </w:r>
      <w:r w:rsidRPr="0025537D">
        <w:t xml:space="preserve"> velika (ocena </w:t>
      </w:r>
      <w:r>
        <w:t>5</w:t>
      </w:r>
      <w:r w:rsidRPr="0025537D">
        <w:t xml:space="preserve">), </w:t>
      </w:r>
      <w:r>
        <w:t>kot tudi drugod v Vipavski dolini zaradi značilne burje.</w:t>
      </w:r>
    </w:p>
    <w:p w14:paraId="760A9BFF" w14:textId="43F58D81" w:rsidR="00A920F6" w:rsidRPr="0025537D" w:rsidRDefault="00A920F6" w:rsidP="00A920F6">
      <w:r w:rsidRPr="00F02240">
        <w:t xml:space="preserve">Izpostavljenost v prihodnjih obdobjih </w:t>
      </w:r>
      <w:r w:rsidR="00F06648">
        <w:t>(</w:t>
      </w:r>
      <w:r w:rsidR="00F06648">
        <w:fldChar w:fldCharType="begin"/>
      </w:r>
      <w:r w:rsidR="00F06648">
        <w:instrText xml:space="preserve"> REF _Ref75844108 \h  \* MERGEFORMAT </w:instrText>
      </w:r>
      <w:r w:rsidR="00F06648">
        <w:fldChar w:fldCharType="separate"/>
      </w:r>
      <w:r w:rsidR="004700D5" w:rsidRPr="004700D5">
        <w:t>Preglednica 6.7</w:t>
      </w:r>
      <w:r w:rsidR="00F06648">
        <w:fldChar w:fldCharType="end"/>
      </w:r>
      <w:r w:rsidR="00F06648">
        <w:t xml:space="preserve"> in </w:t>
      </w:r>
      <w:r w:rsidR="00F06648">
        <w:fldChar w:fldCharType="begin"/>
      </w:r>
      <w:r w:rsidR="00F06648">
        <w:instrText xml:space="preserve"> REF _Ref75844109 \h  \* MERGEFORMAT </w:instrText>
      </w:r>
      <w:r w:rsidR="00F06648">
        <w:fldChar w:fldCharType="separate"/>
      </w:r>
      <w:r w:rsidR="004700D5" w:rsidRPr="004700D5">
        <w:t>Preglednica 6.8</w:t>
      </w:r>
      <w:r w:rsidR="00F06648">
        <w:fldChar w:fldCharType="end"/>
      </w:r>
      <w:r w:rsidRPr="00F02240">
        <w:t>) smo ocenili s pomočjo</w:t>
      </w:r>
      <w:r w:rsidRPr="0025537D">
        <w:t xml:space="preserve"> scenarijev podnebnih sprememb. Po zmerno optimističnem scenariju RCP4.5 pričakujemo v prvem obdobju (2011</w:t>
      </w:r>
      <w:r>
        <w:rPr>
          <w:rFonts w:asciiTheme="minorHAnsi" w:hAnsiTheme="minorHAnsi"/>
        </w:rPr>
        <w:t>–</w:t>
      </w:r>
      <w:r w:rsidRPr="0025537D">
        <w:t>2040) dvig povprečne poletne temperature zraka za 0,</w:t>
      </w:r>
      <w:r>
        <w:t>2 do 1,3</w:t>
      </w:r>
      <w:r w:rsidRPr="0025537D">
        <w:t> °C, v drugem obdobju (2041</w:t>
      </w:r>
      <w:r>
        <w:rPr>
          <w:rFonts w:asciiTheme="minorHAnsi" w:hAnsiTheme="minorHAnsi"/>
        </w:rPr>
        <w:t>–</w:t>
      </w:r>
      <w:r w:rsidRPr="0025537D">
        <w:t>2070) pa za 1,5 do 2,3 °C</w:t>
      </w:r>
      <w:r>
        <w:t xml:space="preserve"> (vedno je predstavljeno odstopanje glede na referenčno obdobje)</w:t>
      </w:r>
      <w:r w:rsidRPr="0025537D">
        <w:t xml:space="preserve">. Še večje bodo spremembe po pesimističnem scenariju RCP8.5, in sicer v prvem obdobju za </w:t>
      </w:r>
      <w:r>
        <w:t>0,8 do 1,0 °C in v drugem za 1,4</w:t>
      </w:r>
      <w:r w:rsidRPr="0025537D">
        <w:t xml:space="preserve"> do 2,7 °C. S tem se </w:t>
      </w:r>
      <w:r>
        <w:t xml:space="preserve">bo zmerna izpostavljenost, ki velja za referenčno obdobje, v prvem obdobju po obeh scenarijih povečala na veliko (ocena 4), v drugem obdobju pa na zelo veliko (oceno 5), kar pomeni izrazito večje toplotne obremenitve in negativne vplive vročinskega stresa. </w:t>
      </w:r>
      <w:r w:rsidRPr="0025537D">
        <w:t xml:space="preserve">Podoben signal dobimo za najnižje in najvišje dnevne temperature zraka. Vse temperaturne spremembe se bodo odvijale zelo enakomerno </w:t>
      </w:r>
      <w:r>
        <w:t>po celotnem območju občine</w:t>
      </w:r>
      <w:r w:rsidRPr="0025537D">
        <w:t>, projekcije pa so zelo zanesljive. Hkrati se povečuje</w:t>
      </w:r>
      <w:r>
        <w:t xml:space="preserve"> tudi</w:t>
      </w:r>
      <w:r w:rsidRPr="0025537D">
        <w:t xml:space="preserve"> število vročih dni, ki </w:t>
      </w:r>
      <w:r>
        <w:t>kot povprečje za celo občino še ni bilo tako veliko (13 dni), kot v mestu samem (22 dni)</w:t>
      </w:r>
      <w:r w:rsidRPr="0025537D">
        <w:t xml:space="preserve">. Po scenariju RCP4.5 lahko </w:t>
      </w:r>
      <w:r>
        <w:t xml:space="preserve">v povprečju na območju občine </w:t>
      </w:r>
      <w:r w:rsidRPr="0025537D">
        <w:t xml:space="preserve">v prvem obdobju </w:t>
      </w:r>
      <w:r>
        <w:t>pričakujemo od 14</w:t>
      </w:r>
      <w:r w:rsidRPr="0025537D">
        <w:t xml:space="preserve"> do </w:t>
      </w:r>
      <w:r>
        <w:t>23 vročih dni in v drugem od 25 do 32</w:t>
      </w:r>
      <w:r w:rsidRPr="0025537D">
        <w:t>, po s</w:t>
      </w:r>
      <w:r>
        <w:t>cenariju RCP8.5 pa v prvem od 18 do 23</w:t>
      </w:r>
      <w:r w:rsidRPr="0025537D">
        <w:t xml:space="preserve"> v</w:t>
      </w:r>
      <w:r>
        <w:t>ročih dni in v drugem obdobju od 2</w:t>
      </w:r>
      <w:r w:rsidRPr="0025537D">
        <w:t xml:space="preserve">5 do </w:t>
      </w:r>
      <w:r>
        <w:t>37</w:t>
      </w:r>
      <w:r w:rsidRPr="0025537D">
        <w:t>. Predvsem v drugem obdobju to pomeni veliko več vročinskega stresa za rastline in toplotne obremenitve za delavce v kmetijstvu in živ</w:t>
      </w:r>
      <w:r>
        <w:t>ino</w:t>
      </w:r>
      <w:r w:rsidRPr="0025537D">
        <w:t xml:space="preserve">. Izpostavljenost se bo v </w:t>
      </w:r>
      <w:r>
        <w:t>kot pri temperaturi tudi tu v prvem obdobju povečala na veliko (ocena 4) in v drugem na zelo veliko (ocena 5), pri čemer se moramo zavedati, da bodo negativne posledice vročinskega stresa v nižinskem delu še veliko izrazitejše.</w:t>
      </w:r>
      <w:r w:rsidRPr="0025537D">
        <w:t xml:space="preserve"> </w:t>
      </w:r>
    </w:p>
    <w:p w14:paraId="100F7608" w14:textId="56EF70AD" w:rsidR="00A920F6" w:rsidRPr="0025537D" w:rsidRDefault="00A920F6" w:rsidP="00A920F6">
      <w:r w:rsidRPr="0025537D">
        <w:t>Od temperatur je odvisna tudi dol</w:t>
      </w:r>
      <w:r>
        <w:t xml:space="preserve">žina rastne dobe, ki je bila </w:t>
      </w:r>
      <w:r w:rsidRPr="0025537D">
        <w:t>v referenčnem obdobju</w:t>
      </w:r>
      <w:r>
        <w:t xml:space="preserve"> v povprečju za območje občine</w:t>
      </w:r>
      <w:r w:rsidRPr="0025537D">
        <w:t xml:space="preserve"> glede na ostalo Slovenijo</w:t>
      </w:r>
      <w:r>
        <w:t xml:space="preserve"> srednje </w:t>
      </w:r>
      <w:r w:rsidRPr="0025537D">
        <w:t>dolga,</w:t>
      </w:r>
      <w:r>
        <w:t xml:space="preserve"> zato je t</w:t>
      </w:r>
      <w:r w:rsidRPr="0025537D">
        <w:t>u</w:t>
      </w:r>
      <w:r>
        <w:t xml:space="preserve"> lahko </w:t>
      </w:r>
      <w:r w:rsidRPr="0025537D">
        <w:t xml:space="preserve">učinek segrevanja </w:t>
      </w:r>
      <w:r>
        <w:t>še</w:t>
      </w:r>
      <w:r w:rsidRPr="0025537D">
        <w:t xml:space="preserve"> pozitiven. Po RCP4.5 pričakujemo v prvem obdobju po</w:t>
      </w:r>
      <w:r>
        <w:t>daljšanje rastne dobe do 19</w:t>
      </w:r>
      <w:r w:rsidRPr="0025537D">
        <w:t xml:space="preserve"> dni, v druge</w:t>
      </w:r>
      <w:r>
        <w:t>m obdobju pa podaljšanje za od 6 do kar 34</w:t>
      </w:r>
      <w:r w:rsidRPr="0025537D">
        <w:t xml:space="preserve"> dni. Po RCP8.5 pa v prve</w:t>
      </w:r>
      <w:r>
        <w:t>m obdobju podaljšanje od 4 do 24 dni in v drugem za 17</w:t>
      </w:r>
      <w:r w:rsidRPr="0025537D">
        <w:t xml:space="preserve"> do 40 dni. </w:t>
      </w:r>
      <w:r>
        <w:t>P</w:t>
      </w:r>
      <w:r w:rsidRPr="0025537D">
        <w:t xml:space="preserve">rostorsko </w:t>
      </w:r>
      <w:r>
        <w:t>so te spremembe manj enakomerno</w:t>
      </w:r>
      <w:r w:rsidRPr="0025537D">
        <w:t xml:space="preserve"> porazdeljen</w:t>
      </w:r>
      <w:r>
        <w:t>e</w:t>
      </w:r>
      <w:r w:rsidRPr="0025537D">
        <w:t xml:space="preserve"> (</w:t>
      </w:r>
      <w:r w:rsidR="003A3559" w:rsidRPr="003A3559">
        <w:fldChar w:fldCharType="begin"/>
      </w:r>
      <w:r w:rsidR="003A3559" w:rsidRPr="003A3559">
        <w:instrText xml:space="preserve"> REF _Ref74576862 \h </w:instrText>
      </w:r>
      <w:r w:rsidR="003A3559">
        <w:instrText xml:space="preserve"> \* MERGEFORMAT </w:instrText>
      </w:r>
      <w:r w:rsidR="003A3559" w:rsidRPr="003A3559">
        <w:fldChar w:fldCharType="separate"/>
      </w:r>
      <w:r w:rsidR="004700D5" w:rsidRPr="004700D5">
        <w:t>Slika 6.2</w:t>
      </w:r>
      <w:r w:rsidR="003A3559" w:rsidRPr="003A3559">
        <w:fldChar w:fldCharType="end"/>
      </w:r>
      <w:r w:rsidR="003A3559" w:rsidRPr="003A3559">
        <w:t>).</w:t>
      </w:r>
      <w:r w:rsidR="003A3559">
        <w:t xml:space="preserve"> </w:t>
      </w:r>
      <w:r>
        <w:t>Podaljšanje rastne dobe pomeni</w:t>
      </w:r>
      <w:r w:rsidRPr="0025537D">
        <w:t xml:space="preserve"> možnosti za kmetovanje v daljšem časovnem obdobju. Izpostavljenost</w:t>
      </w:r>
      <w:r>
        <w:t xml:space="preserve"> se</w:t>
      </w:r>
      <w:r w:rsidRPr="0025537D">
        <w:t xml:space="preserve"> bo v </w:t>
      </w:r>
      <w:r>
        <w:t>prvem obdobju</w:t>
      </w:r>
      <w:r w:rsidRPr="0025537D">
        <w:t xml:space="preserve"> po obeh scenarijih </w:t>
      </w:r>
      <w:r>
        <w:t>in v drugem obdobju po scenariju RCP4.5 zmanjšala na majhno</w:t>
      </w:r>
      <w:r w:rsidRPr="0025537D">
        <w:t xml:space="preserve"> (ocena </w:t>
      </w:r>
      <w:r>
        <w:t>2</w:t>
      </w:r>
      <w:r w:rsidRPr="0025537D">
        <w:t>)</w:t>
      </w:r>
      <w:r>
        <w:t>, v drugem obdobju po RCP8.5 pa celo na neznatno (ocena 1)</w:t>
      </w:r>
      <w:r w:rsidRPr="0025537D">
        <w:t xml:space="preserve">. Ob vsakem zgodnejšem začetku primernih pogojev za rast pa moramo biti pozorni, saj lahko naknadni vdori hladnega zraka v takem primeru povzročijo veliko škodo, kar </w:t>
      </w:r>
      <w:r>
        <w:t xml:space="preserve">tudi v občini Nova Gorica vsakih nekaj let </w:t>
      </w:r>
      <w:r w:rsidRPr="0025537D">
        <w:t>predstavlja težavo</w:t>
      </w:r>
      <w:r>
        <w:t xml:space="preserve"> </w:t>
      </w:r>
      <w:r w:rsidRPr="0025537D">
        <w:t>v sadjarstvu</w:t>
      </w:r>
      <w:r>
        <w:t xml:space="preserve"> na izpostavljenih nižji legah</w:t>
      </w:r>
      <w:r w:rsidRPr="0025537D">
        <w:t xml:space="preserve">. </w:t>
      </w:r>
      <w:r>
        <w:t>V povprečju je bilo</w:t>
      </w:r>
      <w:r w:rsidRPr="0025537D">
        <w:t xml:space="preserve"> v referenčnem obdobju izredno malo pozeb in prav tako ne pričakujemo poslabšanja izpostavljenosti (ostaja neznatna, ocena 1), vendar je z modelskimi projekcijami težko oceniti, kaj se bo v prihodnje zgodilo s poznimi prodori mrzlega zraka. Zaradi dolge rastne dobe je zato pomembno, da se pripravimo in ob napovedi poskusimo zaščititi rastline pred pozebo</w:t>
      </w:r>
      <w:r>
        <w:t xml:space="preserve"> z </w:t>
      </w:r>
      <w:proofErr w:type="spellStart"/>
      <w:r>
        <w:t>oroševanjem</w:t>
      </w:r>
      <w:proofErr w:type="spellEnd"/>
      <w:r w:rsidRPr="0025537D">
        <w:t xml:space="preserve">. </w:t>
      </w:r>
    </w:p>
    <w:p w14:paraId="3C2FD611" w14:textId="77777777" w:rsidR="00A920F6" w:rsidRPr="0025537D" w:rsidRDefault="00A920F6" w:rsidP="00A920F6">
      <w:pPr>
        <w:jc w:val="center"/>
      </w:pPr>
      <w:r>
        <w:rPr>
          <w:noProof/>
          <w:lang w:eastAsia="sl-SI"/>
        </w:rPr>
        <w:lastRenderedPageBreak/>
        <w:drawing>
          <wp:inline distT="0" distB="0" distL="0" distR="0" wp14:anchorId="45878FC6" wp14:editId="0F0B1FFE">
            <wp:extent cx="4391615" cy="3962400"/>
            <wp:effectExtent l="0" t="0" r="9525" b="0"/>
            <wp:docPr id="898580703" name="Picture 898580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09711" cy="3978728"/>
                    </a:xfrm>
                    <a:prstGeom prst="rect">
                      <a:avLst/>
                    </a:prstGeom>
                    <a:noFill/>
                  </pic:spPr>
                </pic:pic>
              </a:graphicData>
            </a:graphic>
          </wp:inline>
        </w:drawing>
      </w:r>
    </w:p>
    <w:p w14:paraId="123416C1" w14:textId="1C7CBD6B" w:rsidR="00A920F6" w:rsidRPr="0025537D" w:rsidRDefault="00A920F6" w:rsidP="00A920F6">
      <w:pPr>
        <w:spacing w:after="200" w:line="240" w:lineRule="auto"/>
        <w:rPr>
          <w:rFonts w:eastAsia="Trebuchet MS" w:cs="Trebuchet MS"/>
          <w:i/>
          <w:iCs/>
          <w:color w:val="44546A" w:themeColor="text2"/>
          <w:sz w:val="18"/>
          <w:szCs w:val="18"/>
          <w:lang w:eastAsia="sl-SI"/>
        </w:rPr>
      </w:pPr>
      <w:bookmarkStart w:id="157" w:name="_Ref74576862"/>
      <w:bookmarkStart w:id="158" w:name="_Toc97026853"/>
      <w:r w:rsidRPr="0025537D">
        <w:rPr>
          <w:rFonts w:eastAsia="Trebuchet MS" w:cs="Trebuchet MS"/>
          <w:i/>
          <w:iCs/>
          <w:color w:val="44546A" w:themeColor="text2"/>
          <w:sz w:val="18"/>
          <w:szCs w:val="18"/>
          <w:lang w:eastAsia="sl-SI"/>
        </w:rPr>
        <w:t xml:space="preserve">Slika </w:t>
      </w:r>
      <w:r w:rsidR="008334B2">
        <w:rPr>
          <w:rFonts w:eastAsia="Trebuchet MS" w:cs="Trebuchet MS"/>
          <w:i/>
          <w:iCs/>
          <w:color w:val="44546A" w:themeColor="text2"/>
          <w:sz w:val="18"/>
          <w:szCs w:val="18"/>
          <w:lang w:eastAsia="sl-SI"/>
        </w:rPr>
        <w:fldChar w:fldCharType="begin"/>
      </w:r>
      <w:r w:rsidR="008334B2">
        <w:rPr>
          <w:rFonts w:eastAsia="Trebuchet MS" w:cs="Trebuchet MS"/>
          <w:i/>
          <w:iCs/>
          <w:color w:val="44546A" w:themeColor="text2"/>
          <w:sz w:val="18"/>
          <w:szCs w:val="18"/>
          <w:lang w:eastAsia="sl-SI"/>
        </w:rPr>
        <w:instrText xml:space="preserve"> STYLEREF 1 \s </w:instrText>
      </w:r>
      <w:r w:rsidR="008334B2">
        <w:rPr>
          <w:rFonts w:eastAsia="Trebuchet MS" w:cs="Trebuchet MS"/>
          <w:i/>
          <w:iCs/>
          <w:color w:val="44546A" w:themeColor="text2"/>
          <w:sz w:val="18"/>
          <w:szCs w:val="18"/>
          <w:lang w:eastAsia="sl-SI"/>
        </w:rPr>
        <w:fldChar w:fldCharType="separate"/>
      </w:r>
      <w:r w:rsidR="008334B2">
        <w:rPr>
          <w:rFonts w:eastAsia="Trebuchet MS" w:cs="Trebuchet MS"/>
          <w:i/>
          <w:iCs/>
          <w:noProof/>
          <w:color w:val="44546A" w:themeColor="text2"/>
          <w:sz w:val="18"/>
          <w:szCs w:val="18"/>
          <w:lang w:eastAsia="sl-SI"/>
        </w:rPr>
        <w:t>6</w:t>
      </w:r>
      <w:r w:rsidR="008334B2">
        <w:rPr>
          <w:rFonts w:eastAsia="Trebuchet MS" w:cs="Trebuchet MS"/>
          <w:i/>
          <w:iCs/>
          <w:color w:val="44546A" w:themeColor="text2"/>
          <w:sz w:val="18"/>
          <w:szCs w:val="18"/>
          <w:lang w:eastAsia="sl-SI"/>
        </w:rPr>
        <w:fldChar w:fldCharType="end"/>
      </w:r>
      <w:r w:rsidR="008334B2">
        <w:rPr>
          <w:rFonts w:eastAsia="Trebuchet MS" w:cs="Trebuchet MS"/>
          <w:i/>
          <w:iCs/>
          <w:color w:val="44546A" w:themeColor="text2"/>
          <w:sz w:val="18"/>
          <w:szCs w:val="18"/>
          <w:lang w:eastAsia="sl-SI"/>
        </w:rPr>
        <w:t>.</w:t>
      </w:r>
      <w:r w:rsidR="008334B2">
        <w:rPr>
          <w:rFonts w:eastAsia="Trebuchet MS" w:cs="Trebuchet MS"/>
          <w:i/>
          <w:iCs/>
          <w:color w:val="44546A" w:themeColor="text2"/>
          <w:sz w:val="18"/>
          <w:szCs w:val="18"/>
          <w:lang w:eastAsia="sl-SI"/>
        </w:rPr>
        <w:fldChar w:fldCharType="begin"/>
      </w:r>
      <w:r w:rsidR="008334B2">
        <w:rPr>
          <w:rFonts w:eastAsia="Trebuchet MS" w:cs="Trebuchet MS"/>
          <w:i/>
          <w:iCs/>
          <w:color w:val="44546A" w:themeColor="text2"/>
          <w:sz w:val="18"/>
          <w:szCs w:val="18"/>
          <w:lang w:eastAsia="sl-SI"/>
        </w:rPr>
        <w:instrText xml:space="preserve"> SEQ Slika \* ARABIC \s 1 </w:instrText>
      </w:r>
      <w:r w:rsidR="008334B2">
        <w:rPr>
          <w:rFonts w:eastAsia="Trebuchet MS" w:cs="Trebuchet MS"/>
          <w:i/>
          <w:iCs/>
          <w:color w:val="44546A" w:themeColor="text2"/>
          <w:sz w:val="18"/>
          <w:szCs w:val="18"/>
          <w:lang w:eastAsia="sl-SI"/>
        </w:rPr>
        <w:fldChar w:fldCharType="separate"/>
      </w:r>
      <w:r w:rsidR="008334B2">
        <w:rPr>
          <w:rFonts w:eastAsia="Trebuchet MS" w:cs="Trebuchet MS"/>
          <w:i/>
          <w:iCs/>
          <w:noProof/>
          <w:color w:val="44546A" w:themeColor="text2"/>
          <w:sz w:val="18"/>
          <w:szCs w:val="18"/>
          <w:lang w:eastAsia="sl-SI"/>
        </w:rPr>
        <w:t>2</w:t>
      </w:r>
      <w:r w:rsidR="008334B2">
        <w:rPr>
          <w:rFonts w:eastAsia="Trebuchet MS" w:cs="Trebuchet MS"/>
          <w:i/>
          <w:iCs/>
          <w:color w:val="44546A" w:themeColor="text2"/>
          <w:sz w:val="18"/>
          <w:szCs w:val="18"/>
          <w:lang w:eastAsia="sl-SI"/>
        </w:rPr>
        <w:fldChar w:fldCharType="end"/>
      </w:r>
      <w:bookmarkEnd w:id="157"/>
      <w:r w:rsidRPr="0025537D">
        <w:rPr>
          <w:rFonts w:eastAsia="Trebuchet MS" w:cs="Trebuchet MS"/>
          <w:i/>
          <w:iCs/>
          <w:color w:val="44546A" w:themeColor="text2"/>
          <w:sz w:val="18"/>
          <w:szCs w:val="18"/>
          <w:lang w:eastAsia="sl-SI"/>
        </w:rPr>
        <w:t>: Odklon dolžine rastne dobe (število dni) po scenarijih RCP4.5 (LEVO) in RCP8.5 (DESNO) v obdobjih 2011</w:t>
      </w:r>
      <w:r>
        <w:rPr>
          <w:rFonts w:asciiTheme="minorHAnsi" w:hAnsiTheme="minorHAnsi"/>
        </w:rPr>
        <w:t>–</w:t>
      </w:r>
      <w:r w:rsidRPr="0025537D">
        <w:rPr>
          <w:rFonts w:eastAsia="Trebuchet MS" w:cs="Trebuchet MS"/>
          <w:i/>
          <w:iCs/>
          <w:color w:val="44546A" w:themeColor="text2"/>
          <w:sz w:val="18"/>
          <w:szCs w:val="18"/>
          <w:lang w:eastAsia="sl-SI"/>
        </w:rPr>
        <w:t>2040 in 2041</w:t>
      </w:r>
      <w:r>
        <w:rPr>
          <w:rFonts w:asciiTheme="minorHAnsi" w:hAnsiTheme="minorHAnsi"/>
        </w:rPr>
        <w:t>–</w:t>
      </w:r>
      <w:r w:rsidRPr="0025537D">
        <w:rPr>
          <w:rFonts w:eastAsia="Trebuchet MS" w:cs="Trebuchet MS"/>
          <w:i/>
          <w:iCs/>
          <w:color w:val="44546A" w:themeColor="text2"/>
          <w:sz w:val="18"/>
          <w:szCs w:val="18"/>
          <w:lang w:eastAsia="sl-SI"/>
        </w:rPr>
        <w:t>2070 glede na referenčno obdobje 1981</w:t>
      </w:r>
      <w:r>
        <w:rPr>
          <w:rFonts w:asciiTheme="minorHAnsi" w:hAnsiTheme="minorHAnsi"/>
        </w:rPr>
        <w:t>–</w:t>
      </w:r>
      <w:r w:rsidRPr="0025537D">
        <w:rPr>
          <w:rFonts w:eastAsia="Trebuchet MS" w:cs="Trebuchet MS"/>
          <w:i/>
          <w:iCs/>
          <w:color w:val="44546A" w:themeColor="text2"/>
          <w:sz w:val="18"/>
          <w:szCs w:val="18"/>
          <w:lang w:eastAsia="sl-SI"/>
        </w:rPr>
        <w:t xml:space="preserve">2010 </w:t>
      </w:r>
      <w:r w:rsidRPr="003B0912">
        <w:rPr>
          <w:rFonts w:eastAsia="Trebuchet MS" w:cs="Trebuchet MS"/>
          <w:i/>
          <w:iCs/>
          <w:color w:val="44546A" w:themeColor="text2"/>
          <w:sz w:val="18"/>
          <w:szCs w:val="18"/>
          <w:lang w:eastAsia="sl-SI"/>
        </w:rPr>
        <w:t>(Vir: ARSO, 2020).</w:t>
      </w:r>
      <w:bookmarkEnd w:id="158"/>
    </w:p>
    <w:p w14:paraId="7359B603" w14:textId="2A2EF480" w:rsidR="00A920F6" w:rsidRPr="0025537D" w:rsidRDefault="00A920F6" w:rsidP="00A920F6">
      <w:r w:rsidRPr="0025537D">
        <w:t xml:space="preserve">Neposredno so z dvigom temperature zraka povezane tudi večje količine vode, ki se z vodnih površin in rastlin izgublja z </w:t>
      </w:r>
      <w:proofErr w:type="spellStart"/>
      <w:r w:rsidRPr="0025537D">
        <w:t>evapotranspiracijo</w:t>
      </w:r>
      <w:proofErr w:type="spellEnd"/>
      <w:r w:rsidRPr="0025537D">
        <w:t xml:space="preserve">. </w:t>
      </w:r>
      <w:r>
        <w:t>V</w:t>
      </w:r>
      <w:r w:rsidRPr="0025537D">
        <w:t xml:space="preserve"> referenčnem obdobju je bila izpostavljenost </w:t>
      </w:r>
      <w:r>
        <w:t>zmerna</w:t>
      </w:r>
      <w:r w:rsidRPr="0025537D">
        <w:t>, ob segrevanju ozračja</w:t>
      </w:r>
      <w:r>
        <w:t xml:space="preserve"> pa se lahko stopnjuje</w:t>
      </w:r>
      <w:r w:rsidRPr="0025537D">
        <w:t xml:space="preserve"> </w:t>
      </w:r>
      <w:r>
        <w:t>v smislu</w:t>
      </w:r>
      <w:r w:rsidRPr="0025537D">
        <w:t xml:space="preserve"> </w:t>
      </w:r>
      <w:r>
        <w:t>večje</w:t>
      </w:r>
      <w:r w:rsidRPr="0025537D">
        <w:t xml:space="preserve"> sušnosti. V prvem obdobju (</w:t>
      </w:r>
      <w:r w:rsidRPr="00A920F6">
        <w:fldChar w:fldCharType="begin"/>
      </w:r>
      <w:r w:rsidRPr="00A920F6">
        <w:instrText xml:space="preserve"> REF _Ref45112066 \h </w:instrText>
      </w:r>
      <w:r>
        <w:instrText xml:space="preserve"> \* MERGEFORMAT </w:instrText>
      </w:r>
      <w:r w:rsidRPr="00A920F6">
        <w:fldChar w:fldCharType="separate"/>
      </w:r>
      <w:r w:rsidR="004700D5" w:rsidRPr="004700D5">
        <w:t>Slika 6.3</w:t>
      </w:r>
      <w:r w:rsidRPr="00A920F6">
        <w:fldChar w:fldCharType="end"/>
      </w:r>
      <w:r w:rsidRPr="00A920F6">
        <w:t xml:space="preserve"> levo) se bo po obeh scenarijih referenčna </w:t>
      </w:r>
      <w:proofErr w:type="spellStart"/>
      <w:r w:rsidRPr="00A920F6">
        <w:t>evapotranspiracija</w:t>
      </w:r>
      <w:proofErr w:type="spellEnd"/>
      <w:r w:rsidRPr="00A920F6">
        <w:t xml:space="preserve"> poleti povečala največ za okoli 5 %, v drugem obdobju (</w:t>
      </w:r>
      <w:r w:rsidRPr="00A920F6">
        <w:fldChar w:fldCharType="begin"/>
      </w:r>
      <w:r w:rsidRPr="00A920F6">
        <w:instrText xml:space="preserve"> REF _Ref45112066 \h </w:instrText>
      </w:r>
      <w:r>
        <w:instrText xml:space="preserve"> \* MERGEFORMAT </w:instrText>
      </w:r>
      <w:r w:rsidRPr="00A920F6">
        <w:fldChar w:fldCharType="separate"/>
      </w:r>
      <w:r w:rsidR="004700D5" w:rsidRPr="004700D5">
        <w:t>Slika 6.3</w:t>
      </w:r>
      <w:r w:rsidRPr="00A920F6">
        <w:fldChar w:fldCharType="end"/>
      </w:r>
      <w:r w:rsidRPr="0025537D">
        <w:t xml:space="preserve"> desno) </w:t>
      </w:r>
      <w:r>
        <w:t>pa za</w:t>
      </w:r>
      <w:r w:rsidRPr="0025537D">
        <w:t xml:space="preserve"> </w:t>
      </w:r>
      <w:r>
        <w:t xml:space="preserve">od 6 do </w:t>
      </w:r>
      <w:r w:rsidRPr="0025537D">
        <w:t xml:space="preserve">največ 10 %, izpostavljenost v obeh primerih </w:t>
      </w:r>
      <w:r>
        <w:t>ostane zmerna</w:t>
      </w:r>
      <w:r w:rsidRPr="0025537D">
        <w:t xml:space="preserve"> (ocena </w:t>
      </w:r>
      <w:r>
        <w:t>3</w:t>
      </w:r>
      <w:r w:rsidRPr="0025537D">
        <w:t>)</w:t>
      </w:r>
      <w:r>
        <w:t>, predvsem na račun višje ležečega zaledja</w:t>
      </w:r>
      <w:r w:rsidRPr="0025537D">
        <w:t>.</w:t>
      </w:r>
    </w:p>
    <w:p w14:paraId="53A8915E" w14:textId="77777777" w:rsidR="00A920F6" w:rsidRPr="0025537D" w:rsidRDefault="00A920F6" w:rsidP="00A920F6">
      <w:pPr>
        <w:spacing w:after="200" w:line="240" w:lineRule="auto"/>
        <w:jc w:val="center"/>
        <w:rPr>
          <w:rFonts w:eastAsia="Trebuchet MS" w:cs="Trebuchet MS"/>
          <w:i/>
          <w:iCs/>
          <w:color w:val="44546A" w:themeColor="text2"/>
          <w:sz w:val="18"/>
          <w:szCs w:val="18"/>
          <w:lang w:eastAsia="sl-SI"/>
        </w:rPr>
      </w:pPr>
      <w:r>
        <w:rPr>
          <w:rFonts w:eastAsia="Trebuchet MS" w:cs="Trebuchet MS"/>
          <w:i/>
          <w:iCs/>
          <w:noProof/>
          <w:color w:val="44546A" w:themeColor="text2"/>
          <w:sz w:val="18"/>
          <w:szCs w:val="18"/>
          <w:lang w:eastAsia="sl-SI"/>
        </w:rPr>
        <w:lastRenderedPageBreak/>
        <w:drawing>
          <wp:inline distT="0" distB="0" distL="0" distR="0" wp14:anchorId="2634B10D" wp14:editId="38D709AC">
            <wp:extent cx="4331338" cy="3721100"/>
            <wp:effectExtent l="0" t="0" r="0" b="0"/>
            <wp:docPr id="898580704" name="Picture 898580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36734" cy="3725736"/>
                    </a:xfrm>
                    <a:prstGeom prst="rect">
                      <a:avLst/>
                    </a:prstGeom>
                    <a:noFill/>
                  </pic:spPr>
                </pic:pic>
              </a:graphicData>
            </a:graphic>
          </wp:inline>
        </w:drawing>
      </w:r>
    </w:p>
    <w:p w14:paraId="04DD9BCB" w14:textId="63CB45C6" w:rsidR="00A920F6" w:rsidRPr="0025537D" w:rsidRDefault="00A920F6" w:rsidP="00A920F6">
      <w:pPr>
        <w:spacing w:after="200" w:line="240" w:lineRule="auto"/>
        <w:rPr>
          <w:rFonts w:eastAsia="Trebuchet MS" w:cs="Trebuchet MS"/>
          <w:i/>
          <w:iCs/>
          <w:color w:val="44546A" w:themeColor="text2"/>
          <w:sz w:val="18"/>
          <w:szCs w:val="18"/>
          <w:lang w:eastAsia="sl-SI"/>
        </w:rPr>
      </w:pPr>
      <w:bookmarkStart w:id="159" w:name="_Ref45112066"/>
      <w:bookmarkStart w:id="160" w:name="_Toc97026854"/>
      <w:r w:rsidRPr="0025537D">
        <w:rPr>
          <w:rFonts w:eastAsia="Trebuchet MS" w:cs="Trebuchet MS"/>
          <w:i/>
          <w:iCs/>
          <w:color w:val="44546A" w:themeColor="text2"/>
          <w:sz w:val="18"/>
          <w:szCs w:val="18"/>
          <w:lang w:eastAsia="sl-SI"/>
        </w:rPr>
        <w:t xml:space="preserve">Slika </w:t>
      </w:r>
      <w:r w:rsidR="008334B2">
        <w:rPr>
          <w:rFonts w:eastAsia="Trebuchet MS" w:cs="Trebuchet MS"/>
          <w:i/>
          <w:iCs/>
          <w:color w:val="44546A" w:themeColor="text2"/>
          <w:sz w:val="18"/>
          <w:szCs w:val="18"/>
          <w:lang w:eastAsia="sl-SI"/>
        </w:rPr>
        <w:fldChar w:fldCharType="begin"/>
      </w:r>
      <w:r w:rsidR="008334B2">
        <w:rPr>
          <w:rFonts w:eastAsia="Trebuchet MS" w:cs="Trebuchet MS"/>
          <w:i/>
          <w:iCs/>
          <w:color w:val="44546A" w:themeColor="text2"/>
          <w:sz w:val="18"/>
          <w:szCs w:val="18"/>
          <w:lang w:eastAsia="sl-SI"/>
        </w:rPr>
        <w:instrText xml:space="preserve"> STYLEREF 1 \s </w:instrText>
      </w:r>
      <w:r w:rsidR="008334B2">
        <w:rPr>
          <w:rFonts w:eastAsia="Trebuchet MS" w:cs="Trebuchet MS"/>
          <w:i/>
          <w:iCs/>
          <w:color w:val="44546A" w:themeColor="text2"/>
          <w:sz w:val="18"/>
          <w:szCs w:val="18"/>
          <w:lang w:eastAsia="sl-SI"/>
        </w:rPr>
        <w:fldChar w:fldCharType="separate"/>
      </w:r>
      <w:r w:rsidR="008334B2">
        <w:rPr>
          <w:rFonts w:eastAsia="Trebuchet MS" w:cs="Trebuchet MS"/>
          <w:i/>
          <w:iCs/>
          <w:noProof/>
          <w:color w:val="44546A" w:themeColor="text2"/>
          <w:sz w:val="18"/>
          <w:szCs w:val="18"/>
          <w:lang w:eastAsia="sl-SI"/>
        </w:rPr>
        <w:t>6</w:t>
      </w:r>
      <w:r w:rsidR="008334B2">
        <w:rPr>
          <w:rFonts w:eastAsia="Trebuchet MS" w:cs="Trebuchet MS"/>
          <w:i/>
          <w:iCs/>
          <w:color w:val="44546A" w:themeColor="text2"/>
          <w:sz w:val="18"/>
          <w:szCs w:val="18"/>
          <w:lang w:eastAsia="sl-SI"/>
        </w:rPr>
        <w:fldChar w:fldCharType="end"/>
      </w:r>
      <w:r w:rsidR="008334B2">
        <w:rPr>
          <w:rFonts w:eastAsia="Trebuchet MS" w:cs="Trebuchet MS"/>
          <w:i/>
          <w:iCs/>
          <w:color w:val="44546A" w:themeColor="text2"/>
          <w:sz w:val="18"/>
          <w:szCs w:val="18"/>
          <w:lang w:eastAsia="sl-SI"/>
        </w:rPr>
        <w:t>.</w:t>
      </w:r>
      <w:r w:rsidR="008334B2">
        <w:rPr>
          <w:rFonts w:eastAsia="Trebuchet MS" w:cs="Trebuchet MS"/>
          <w:i/>
          <w:iCs/>
          <w:color w:val="44546A" w:themeColor="text2"/>
          <w:sz w:val="18"/>
          <w:szCs w:val="18"/>
          <w:lang w:eastAsia="sl-SI"/>
        </w:rPr>
        <w:fldChar w:fldCharType="begin"/>
      </w:r>
      <w:r w:rsidR="008334B2">
        <w:rPr>
          <w:rFonts w:eastAsia="Trebuchet MS" w:cs="Trebuchet MS"/>
          <w:i/>
          <w:iCs/>
          <w:color w:val="44546A" w:themeColor="text2"/>
          <w:sz w:val="18"/>
          <w:szCs w:val="18"/>
          <w:lang w:eastAsia="sl-SI"/>
        </w:rPr>
        <w:instrText xml:space="preserve"> SEQ Slika \* ARABIC \s 1 </w:instrText>
      </w:r>
      <w:r w:rsidR="008334B2">
        <w:rPr>
          <w:rFonts w:eastAsia="Trebuchet MS" w:cs="Trebuchet MS"/>
          <w:i/>
          <w:iCs/>
          <w:color w:val="44546A" w:themeColor="text2"/>
          <w:sz w:val="18"/>
          <w:szCs w:val="18"/>
          <w:lang w:eastAsia="sl-SI"/>
        </w:rPr>
        <w:fldChar w:fldCharType="separate"/>
      </w:r>
      <w:r w:rsidR="008334B2">
        <w:rPr>
          <w:rFonts w:eastAsia="Trebuchet MS" w:cs="Trebuchet MS"/>
          <w:i/>
          <w:iCs/>
          <w:noProof/>
          <w:color w:val="44546A" w:themeColor="text2"/>
          <w:sz w:val="18"/>
          <w:szCs w:val="18"/>
          <w:lang w:eastAsia="sl-SI"/>
        </w:rPr>
        <w:t>3</w:t>
      </w:r>
      <w:r w:rsidR="008334B2">
        <w:rPr>
          <w:rFonts w:eastAsia="Trebuchet MS" w:cs="Trebuchet MS"/>
          <w:i/>
          <w:iCs/>
          <w:color w:val="44546A" w:themeColor="text2"/>
          <w:sz w:val="18"/>
          <w:szCs w:val="18"/>
          <w:lang w:eastAsia="sl-SI"/>
        </w:rPr>
        <w:fldChar w:fldCharType="end"/>
      </w:r>
      <w:bookmarkEnd w:id="159"/>
      <w:r w:rsidRPr="0025537D">
        <w:rPr>
          <w:rFonts w:eastAsia="Trebuchet MS" w:cs="Trebuchet MS"/>
          <w:i/>
          <w:iCs/>
          <w:color w:val="44546A" w:themeColor="text2"/>
          <w:sz w:val="18"/>
          <w:szCs w:val="18"/>
          <w:lang w:eastAsia="sl-SI"/>
        </w:rPr>
        <w:t xml:space="preserve">: Odklon vsote </w:t>
      </w:r>
      <w:r>
        <w:rPr>
          <w:rFonts w:eastAsia="Trebuchet MS" w:cs="Trebuchet MS"/>
          <w:i/>
          <w:iCs/>
          <w:color w:val="44546A" w:themeColor="text2"/>
          <w:sz w:val="18"/>
          <w:szCs w:val="18"/>
          <w:lang w:eastAsia="sl-SI"/>
        </w:rPr>
        <w:t xml:space="preserve">poletne </w:t>
      </w:r>
      <w:r w:rsidRPr="0025537D">
        <w:rPr>
          <w:rFonts w:eastAsia="Trebuchet MS" w:cs="Trebuchet MS"/>
          <w:i/>
          <w:iCs/>
          <w:color w:val="44546A" w:themeColor="text2"/>
          <w:sz w:val="18"/>
          <w:szCs w:val="18"/>
          <w:lang w:eastAsia="sl-SI"/>
        </w:rPr>
        <w:t xml:space="preserve">referenčne </w:t>
      </w:r>
      <w:proofErr w:type="spellStart"/>
      <w:r w:rsidRPr="0025537D">
        <w:rPr>
          <w:rFonts w:eastAsia="Trebuchet MS" w:cs="Trebuchet MS"/>
          <w:i/>
          <w:iCs/>
          <w:color w:val="44546A" w:themeColor="text2"/>
          <w:sz w:val="18"/>
          <w:szCs w:val="18"/>
          <w:lang w:eastAsia="sl-SI"/>
        </w:rPr>
        <w:t>evapotranspiracije</w:t>
      </w:r>
      <w:proofErr w:type="spellEnd"/>
      <w:r w:rsidRPr="0025537D">
        <w:rPr>
          <w:rFonts w:eastAsia="Trebuchet MS" w:cs="Trebuchet MS"/>
          <w:i/>
          <w:iCs/>
          <w:color w:val="44546A" w:themeColor="text2"/>
          <w:sz w:val="18"/>
          <w:szCs w:val="18"/>
          <w:lang w:eastAsia="sl-SI"/>
        </w:rPr>
        <w:t xml:space="preserve"> po scenarijih RCP4.5 in RCP8.5 v obdobjih 2011</w:t>
      </w:r>
      <w:r>
        <w:rPr>
          <w:rFonts w:asciiTheme="minorHAnsi" w:hAnsiTheme="minorHAnsi"/>
        </w:rPr>
        <w:t>–</w:t>
      </w:r>
      <w:r w:rsidRPr="0025537D">
        <w:rPr>
          <w:rFonts w:eastAsia="Trebuchet MS" w:cs="Trebuchet MS"/>
          <w:i/>
          <w:iCs/>
          <w:color w:val="44546A" w:themeColor="text2"/>
          <w:sz w:val="18"/>
          <w:szCs w:val="18"/>
          <w:lang w:eastAsia="sl-SI"/>
        </w:rPr>
        <w:t>2040 in 2041</w:t>
      </w:r>
      <w:r>
        <w:rPr>
          <w:rFonts w:asciiTheme="minorHAnsi" w:hAnsiTheme="minorHAnsi"/>
        </w:rPr>
        <w:t>–</w:t>
      </w:r>
      <w:r w:rsidRPr="0025537D">
        <w:rPr>
          <w:rFonts w:eastAsia="Trebuchet MS" w:cs="Trebuchet MS"/>
          <w:i/>
          <w:iCs/>
          <w:color w:val="44546A" w:themeColor="text2"/>
          <w:sz w:val="18"/>
          <w:szCs w:val="18"/>
          <w:lang w:eastAsia="sl-SI"/>
        </w:rPr>
        <w:t>2070 glede na referenčno obdobje 1981</w:t>
      </w:r>
      <w:r>
        <w:rPr>
          <w:rFonts w:asciiTheme="minorHAnsi" w:hAnsiTheme="minorHAnsi"/>
        </w:rPr>
        <w:t>–</w:t>
      </w:r>
      <w:r w:rsidRPr="00987D3A">
        <w:rPr>
          <w:rFonts w:eastAsia="Trebuchet MS" w:cs="Trebuchet MS"/>
          <w:i/>
          <w:iCs/>
          <w:color w:val="44546A" w:themeColor="text2"/>
          <w:sz w:val="18"/>
          <w:szCs w:val="18"/>
          <w:lang w:eastAsia="sl-SI"/>
        </w:rPr>
        <w:t>2010 (Vir: ARSO, 2020).</w:t>
      </w:r>
      <w:bookmarkEnd w:id="160"/>
    </w:p>
    <w:p w14:paraId="44AE69A7" w14:textId="77777777" w:rsidR="00A920F6" w:rsidRPr="0025537D" w:rsidRDefault="00A920F6" w:rsidP="00A920F6">
      <w:r w:rsidRPr="0025537D">
        <w:t>Spremembe padavin so precej bolj negotove kot segrevanje. Projekcije po obeh scenarijih in za o</w:t>
      </w:r>
      <w:r>
        <w:t>be obdobji tudi za območje Nove Gorice</w:t>
      </w:r>
      <w:r w:rsidRPr="0025537D">
        <w:t xml:space="preserve"> kažejo za pomlad in poletje različne modelske vrednosti, tako zmanjšanja kot na drugi strani tudi povečanja količine padavin. V takem primeru, ko so modelske vrednosti različnih predznakov, je navajanje številk kvečjemu zavajajoče, ker signal ni enoten</w:t>
      </w:r>
      <w:r>
        <w:t>. Dosedanji</w:t>
      </w:r>
      <w:r w:rsidRPr="0025537D">
        <w:t xml:space="preserve"> trend</w:t>
      </w:r>
      <w:r>
        <w:t xml:space="preserve"> sicer</w:t>
      </w:r>
      <w:r w:rsidRPr="0025537D">
        <w:t xml:space="preserve"> kaže na desetletje dobre 4 % zmanjšanje količine tako pomladnih kot tudi poletnih padavin.</w:t>
      </w:r>
      <w:r>
        <w:t xml:space="preserve"> Predvsem težave povzročajo že op</w:t>
      </w:r>
      <w:r w:rsidRPr="0025537D">
        <w:t>aženi spremenjeni vzorci padavin, pri čemer predvsem poleti več</w:t>
      </w:r>
      <w:r>
        <w:t>je količine</w:t>
      </w:r>
      <w:r w:rsidRPr="0025537D">
        <w:t xml:space="preserve"> dežja pade</w:t>
      </w:r>
      <w:r>
        <w:t>jo</w:t>
      </w:r>
      <w:r w:rsidRPr="0025537D">
        <w:t xml:space="preserve"> v obliki močnejših nalivov in v manjšem številu dni, </w:t>
      </w:r>
      <w:r>
        <w:t xml:space="preserve">torej </w:t>
      </w:r>
      <w:r w:rsidRPr="0025537D">
        <w:t xml:space="preserve">padavine niso enakomerno porazdeljene. Takšne spremembe lahko vodijo v večje težave s sušami in poplavami. </w:t>
      </w:r>
      <w:r>
        <w:t>Po modelski oceni bo sicer izpostavljenost pomanjkanju padavin ostala zmerna (ocena 3) ali se celo zmanjšala na majhno (ocena 2), vendar ocenjujemo, da se bodo zaradi neenakomerne razporejenosti sedanje težave stopnjevale. T</w:t>
      </w:r>
      <w:r w:rsidRPr="0025537D">
        <w:t xml:space="preserve">ežave z </w:t>
      </w:r>
      <w:r>
        <w:t xml:space="preserve">namakalnimi sistemi oz. </w:t>
      </w:r>
      <w:r w:rsidRPr="0025537D">
        <w:t>dostopnostjo vode za namakanje</w:t>
      </w:r>
      <w:r>
        <w:t xml:space="preserve"> je potrebno </w:t>
      </w:r>
      <w:r w:rsidRPr="0025537D">
        <w:t>začeti reševati takoj.</w:t>
      </w:r>
    </w:p>
    <w:p w14:paraId="7217FA44" w14:textId="77777777" w:rsidR="00A920F6" w:rsidRPr="0025537D" w:rsidRDefault="00A920F6" w:rsidP="00A920F6">
      <w:r w:rsidRPr="0025537D">
        <w:t>Pri projekcijah za število dni s količino padavin nad 50 mm so modeli enotnejši,</w:t>
      </w:r>
      <w:r>
        <w:t xml:space="preserve"> približno enako (v povprečju en dan več) bo</w:t>
      </w:r>
      <w:r w:rsidRPr="0025537D">
        <w:t xml:space="preserve"> intenzivnejših nalivov na tem območju tudi v prihodnje, izpostavljenost ostaja </w:t>
      </w:r>
      <w:r>
        <w:t>zmerna (ocena 3</w:t>
      </w:r>
      <w:r w:rsidRPr="0025537D">
        <w:t>).</w:t>
      </w:r>
      <w:r>
        <w:t xml:space="preserve"> To je potrebno upoštevati in zavarovati stalna poplavna območja. V višjih legah zelo velik trend zmanjš</w:t>
      </w:r>
      <w:r w:rsidRPr="0025537D">
        <w:t>e</w:t>
      </w:r>
      <w:r>
        <w:t>vanja</w:t>
      </w:r>
      <w:r w:rsidRPr="0025537D">
        <w:t xml:space="preserve"> trajanj</w:t>
      </w:r>
      <w:r>
        <w:t>a</w:t>
      </w:r>
      <w:r w:rsidRPr="0025537D">
        <w:t xml:space="preserve"> snežne odeje izrazito zmanjšuje zaloge vode, </w:t>
      </w:r>
      <w:r>
        <w:t>ki spomladi zagotavljajo nekaj oskrbe z vodo kmetijskim posevkom. Modelske projekcije kažejo zelo veliko zmanjšanje v prvem in še nadalje v drugem obdobju.</w:t>
      </w:r>
      <w:r w:rsidRPr="0025537D">
        <w:t xml:space="preserve"> </w:t>
      </w:r>
    </w:p>
    <w:p w14:paraId="1CE8F14D" w14:textId="77777777" w:rsidR="00A920F6" w:rsidRPr="0025537D" w:rsidRDefault="00A920F6" w:rsidP="00A920F6">
      <w:r w:rsidRPr="0025537D">
        <w:t xml:space="preserve">Projekcije modelov za hitrost vetra so zelo negotove in za povprečno hitrost ne kažejo posebnih sprememb, sunke vetra pa na splošno modeliramo še težje. Ker smo v referenčnem obdobju </w:t>
      </w:r>
      <w:r w:rsidRPr="0025537D">
        <w:lastRenderedPageBreak/>
        <w:t xml:space="preserve">izpostavljenost vetrni eroziji ocenili kot </w:t>
      </w:r>
      <w:r>
        <w:t xml:space="preserve">zelo </w:t>
      </w:r>
      <w:r w:rsidRPr="0025537D">
        <w:t>veliko,</w:t>
      </w:r>
      <w:r>
        <w:t xml:space="preserve"> saj gre v Vipavski dolini za največjo izpostavljenost v Sloveniji,</w:t>
      </w:r>
      <w:r w:rsidRPr="0025537D">
        <w:t xml:space="preserve"> smo tudi za prihodnji obdobji </w:t>
      </w:r>
      <w:r>
        <w:t>obdržali enako oceno (5</w:t>
      </w:r>
      <w:r w:rsidRPr="0025537D">
        <w:t>).</w:t>
      </w:r>
    </w:p>
    <w:p w14:paraId="2F7DCE59" w14:textId="259E4DB4" w:rsidR="00A920F6" w:rsidRPr="0025537D" w:rsidRDefault="00A920F6" w:rsidP="00A920F6">
      <w:pPr>
        <w:spacing w:after="200" w:line="240" w:lineRule="auto"/>
        <w:rPr>
          <w:rFonts w:ascii="Calibri" w:eastAsia="Calibri" w:hAnsi="Calibri" w:cs="Times New Roman"/>
          <w:i/>
          <w:iCs/>
          <w:color w:val="44546A" w:themeColor="text2"/>
          <w:sz w:val="18"/>
          <w:szCs w:val="18"/>
        </w:rPr>
      </w:pPr>
      <w:bookmarkStart w:id="161" w:name="_Ref75844108"/>
      <w:bookmarkStart w:id="162" w:name="_Toc97026960"/>
      <w:r w:rsidRPr="0025537D">
        <w:rPr>
          <w:rFonts w:eastAsia="Trebuchet MS" w:cs="Trebuchet MS"/>
          <w:i/>
          <w:iCs/>
          <w:color w:val="44546A" w:themeColor="text2"/>
          <w:sz w:val="18"/>
          <w:szCs w:val="18"/>
          <w:lang w:eastAsia="sl-SI"/>
        </w:rPr>
        <w:t xml:space="preserve">Preglednica </w:t>
      </w:r>
      <w:r w:rsidR="00976D80">
        <w:rPr>
          <w:rFonts w:eastAsia="Trebuchet MS" w:cs="Trebuchet MS"/>
          <w:i/>
          <w:iCs/>
          <w:color w:val="44546A" w:themeColor="text2"/>
          <w:sz w:val="18"/>
          <w:szCs w:val="18"/>
          <w:lang w:eastAsia="sl-SI"/>
        </w:rPr>
        <w:fldChar w:fldCharType="begin"/>
      </w:r>
      <w:r w:rsidR="00976D80">
        <w:rPr>
          <w:rFonts w:eastAsia="Trebuchet MS" w:cs="Trebuchet MS"/>
          <w:i/>
          <w:iCs/>
          <w:color w:val="44546A" w:themeColor="text2"/>
          <w:sz w:val="18"/>
          <w:szCs w:val="18"/>
          <w:lang w:eastAsia="sl-SI"/>
        </w:rPr>
        <w:instrText xml:space="preserve"> STYLEREF 1 \s </w:instrText>
      </w:r>
      <w:r w:rsidR="00976D80">
        <w:rPr>
          <w:rFonts w:eastAsia="Trebuchet MS" w:cs="Trebuchet MS"/>
          <w:i/>
          <w:iCs/>
          <w:color w:val="44546A" w:themeColor="text2"/>
          <w:sz w:val="18"/>
          <w:szCs w:val="18"/>
          <w:lang w:eastAsia="sl-SI"/>
        </w:rPr>
        <w:fldChar w:fldCharType="separate"/>
      </w:r>
      <w:r w:rsidR="00976D80">
        <w:rPr>
          <w:rFonts w:eastAsia="Trebuchet MS" w:cs="Trebuchet MS"/>
          <w:i/>
          <w:iCs/>
          <w:noProof/>
          <w:color w:val="44546A" w:themeColor="text2"/>
          <w:sz w:val="18"/>
          <w:szCs w:val="18"/>
          <w:lang w:eastAsia="sl-SI"/>
        </w:rPr>
        <w:t>6</w:t>
      </w:r>
      <w:r w:rsidR="00976D80">
        <w:rPr>
          <w:rFonts w:eastAsia="Trebuchet MS" w:cs="Trebuchet MS"/>
          <w:i/>
          <w:iCs/>
          <w:color w:val="44546A" w:themeColor="text2"/>
          <w:sz w:val="18"/>
          <w:szCs w:val="18"/>
          <w:lang w:eastAsia="sl-SI"/>
        </w:rPr>
        <w:fldChar w:fldCharType="end"/>
      </w:r>
      <w:r w:rsidR="00976D80">
        <w:rPr>
          <w:rFonts w:eastAsia="Trebuchet MS" w:cs="Trebuchet MS"/>
          <w:i/>
          <w:iCs/>
          <w:color w:val="44546A" w:themeColor="text2"/>
          <w:sz w:val="18"/>
          <w:szCs w:val="18"/>
          <w:lang w:eastAsia="sl-SI"/>
        </w:rPr>
        <w:t>.</w:t>
      </w:r>
      <w:r w:rsidR="00976D80">
        <w:rPr>
          <w:rFonts w:eastAsia="Trebuchet MS" w:cs="Trebuchet MS"/>
          <w:i/>
          <w:iCs/>
          <w:color w:val="44546A" w:themeColor="text2"/>
          <w:sz w:val="18"/>
          <w:szCs w:val="18"/>
          <w:lang w:eastAsia="sl-SI"/>
        </w:rPr>
        <w:fldChar w:fldCharType="begin"/>
      </w:r>
      <w:r w:rsidR="00976D80">
        <w:rPr>
          <w:rFonts w:eastAsia="Trebuchet MS" w:cs="Trebuchet MS"/>
          <w:i/>
          <w:iCs/>
          <w:color w:val="44546A" w:themeColor="text2"/>
          <w:sz w:val="18"/>
          <w:szCs w:val="18"/>
          <w:lang w:eastAsia="sl-SI"/>
        </w:rPr>
        <w:instrText xml:space="preserve"> SEQ Preglednica \* ARABIC \s 1 </w:instrText>
      </w:r>
      <w:r w:rsidR="00976D80">
        <w:rPr>
          <w:rFonts w:eastAsia="Trebuchet MS" w:cs="Trebuchet MS"/>
          <w:i/>
          <w:iCs/>
          <w:color w:val="44546A" w:themeColor="text2"/>
          <w:sz w:val="18"/>
          <w:szCs w:val="18"/>
          <w:lang w:eastAsia="sl-SI"/>
        </w:rPr>
        <w:fldChar w:fldCharType="separate"/>
      </w:r>
      <w:r w:rsidR="00976D80">
        <w:rPr>
          <w:rFonts w:eastAsia="Trebuchet MS" w:cs="Trebuchet MS"/>
          <w:i/>
          <w:iCs/>
          <w:noProof/>
          <w:color w:val="44546A" w:themeColor="text2"/>
          <w:sz w:val="18"/>
          <w:szCs w:val="18"/>
          <w:lang w:eastAsia="sl-SI"/>
        </w:rPr>
        <w:t>7</w:t>
      </w:r>
      <w:r w:rsidR="00976D80">
        <w:rPr>
          <w:rFonts w:eastAsia="Trebuchet MS" w:cs="Trebuchet MS"/>
          <w:i/>
          <w:iCs/>
          <w:color w:val="44546A" w:themeColor="text2"/>
          <w:sz w:val="18"/>
          <w:szCs w:val="18"/>
          <w:lang w:eastAsia="sl-SI"/>
        </w:rPr>
        <w:fldChar w:fldCharType="end"/>
      </w:r>
      <w:bookmarkEnd w:id="161"/>
      <w:r w:rsidRPr="0025537D">
        <w:rPr>
          <w:rFonts w:eastAsia="Trebuchet MS" w:cs="Trebuchet MS"/>
          <w:i/>
          <w:iCs/>
          <w:color w:val="44546A" w:themeColor="text2"/>
          <w:sz w:val="18"/>
          <w:szCs w:val="18"/>
          <w:lang w:eastAsia="sl-SI"/>
        </w:rPr>
        <w:t xml:space="preserve">: Kvantitativne ocene spremenljivk kazalnika izpostavljenosti kmetijstva na podnebje po scenariju </w:t>
      </w:r>
      <w:r w:rsidRPr="0025537D">
        <w:rPr>
          <w:rFonts w:ascii="Calibri" w:eastAsia="Calibri" w:hAnsi="Calibri" w:cs="Times New Roman"/>
          <w:i/>
          <w:iCs/>
          <w:color w:val="44546A" w:themeColor="text2"/>
          <w:sz w:val="18"/>
          <w:szCs w:val="18"/>
        </w:rPr>
        <w:t>RCP4.5.</w:t>
      </w:r>
      <w:bookmarkEnd w:id="162"/>
    </w:p>
    <w:tbl>
      <w:tblPr>
        <w:tblStyle w:val="TableGrid21"/>
        <w:tblW w:w="0" w:type="auto"/>
        <w:tblLook w:val="04A0" w:firstRow="1" w:lastRow="0" w:firstColumn="1" w:lastColumn="0" w:noHBand="0" w:noVBand="1"/>
      </w:tblPr>
      <w:tblGrid>
        <w:gridCol w:w="2020"/>
        <w:gridCol w:w="2052"/>
        <w:gridCol w:w="2727"/>
        <w:gridCol w:w="1276"/>
        <w:gridCol w:w="1275"/>
      </w:tblGrid>
      <w:tr w:rsidR="00A920F6" w:rsidRPr="0025537D" w14:paraId="2B069AC6" w14:textId="77777777" w:rsidTr="00A920F6">
        <w:trPr>
          <w:trHeight w:val="270"/>
        </w:trPr>
        <w:tc>
          <w:tcPr>
            <w:tcW w:w="4072" w:type="dxa"/>
            <w:gridSpan w:val="2"/>
            <w:vMerge w:val="restart"/>
            <w:shd w:val="clear" w:color="auto" w:fill="D9D9D9"/>
          </w:tcPr>
          <w:p w14:paraId="0861E8BA" w14:textId="77777777" w:rsidR="00A920F6" w:rsidRPr="0025537D" w:rsidRDefault="00A920F6" w:rsidP="00A920F6">
            <w:pPr>
              <w:rPr>
                <w:bCs/>
                <w:sz w:val="20"/>
                <w:szCs w:val="20"/>
              </w:rPr>
            </w:pPr>
            <w:r w:rsidRPr="0025537D">
              <w:rPr>
                <w:bCs/>
                <w:sz w:val="20"/>
                <w:szCs w:val="20"/>
              </w:rPr>
              <w:t>Ocena spremenljivk izpostavljenosti v kmetijstvu po scenariju RCP4.5</w:t>
            </w:r>
          </w:p>
        </w:tc>
        <w:tc>
          <w:tcPr>
            <w:tcW w:w="2727" w:type="dxa"/>
            <w:vMerge w:val="restart"/>
            <w:shd w:val="clear" w:color="auto" w:fill="D9D9D9"/>
            <w:vAlign w:val="center"/>
          </w:tcPr>
          <w:p w14:paraId="2F29EA7C" w14:textId="77777777" w:rsidR="00A920F6" w:rsidRPr="0025537D" w:rsidRDefault="00A920F6" w:rsidP="00A920F6">
            <w:pPr>
              <w:jc w:val="center"/>
              <w:rPr>
                <w:sz w:val="20"/>
                <w:szCs w:val="20"/>
              </w:rPr>
            </w:pPr>
            <w:r w:rsidRPr="0025537D">
              <w:rPr>
                <w:sz w:val="20"/>
                <w:szCs w:val="20"/>
              </w:rPr>
              <w:t>Opisno</w:t>
            </w:r>
          </w:p>
        </w:tc>
        <w:tc>
          <w:tcPr>
            <w:tcW w:w="2551" w:type="dxa"/>
            <w:gridSpan w:val="2"/>
            <w:shd w:val="clear" w:color="auto" w:fill="D9D9D9"/>
            <w:vAlign w:val="center"/>
          </w:tcPr>
          <w:p w14:paraId="76155263" w14:textId="77777777" w:rsidR="00A920F6" w:rsidRPr="0025537D" w:rsidRDefault="00A920F6" w:rsidP="00A920F6">
            <w:pPr>
              <w:jc w:val="center"/>
              <w:rPr>
                <w:sz w:val="20"/>
                <w:szCs w:val="20"/>
              </w:rPr>
            </w:pPr>
            <w:r w:rsidRPr="0025537D">
              <w:rPr>
                <w:sz w:val="20"/>
                <w:szCs w:val="20"/>
              </w:rPr>
              <w:t>Kvantitativno</w:t>
            </w:r>
          </w:p>
        </w:tc>
      </w:tr>
      <w:tr w:rsidR="00A920F6" w:rsidRPr="0025537D" w14:paraId="0235D6EC" w14:textId="77777777" w:rsidTr="00A920F6">
        <w:trPr>
          <w:trHeight w:val="270"/>
        </w:trPr>
        <w:tc>
          <w:tcPr>
            <w:tcW w:w="4072" w:type="dxa"/>
            <w:gridSpan w:val="2"/>
            <w:vMerge/>
            <w:shd w:val="clear" w:color="auto" w:fill="D9D9D9"/>
          </w:tcPr>
          <w:p w14:paraId="376C6CAE" w14:textId="77777777" w:rsidR="00A920F6" w:rsidRPr="0025537D" w:rsidRDefault="00A920F6" w:rsidP="00A920F6">
            <w:pPr>
              <w:rPr>
                <w:bCs/>
                <w:sz w:val="20"/>
                <w:szCs w:val="20"/>
              </w:rPr>
            </w:pPr>
          </w:p>
        </w:tc>
        <w:tc>
          <w:tcPr>
            <w:tcW w:w="2727" w:type="dxa"/>
            <w:vMerge/>
            <w:shd w:val="clear" w:color="auto" w:fill="D9D9D9"/>
          </w:tcPr>
          <w:p w14:paraId="55922561" w14:textId="77777777" w:rsidR="00A920F6" w:rsidRPr="0025537D" w:rsidRDefault="00A920F6" w:rsidP="00A920F6">
            <w:pPr>
              <w:rPr>
                <w:sz w:val="20"/>
                <w:szCs w:val="20"/>
              </w:rPr>
            </w:pPr>
          </w:p>
        </w:tc>
        <w:tc>
          <w:tcPr>
            <w:tcW w:w="1276" w:type="dxa"/>
            <w:shd w:val="clear" w:color="auto" w:fill="D9D9D9"/>
            <w:vAlign w:val="center"/>
          </w:tcPr>
          <w:p w14:paraId="62B0CFBB" w14:textId="77777777" w:rsidR="00A920F6" w:rsidRPr="0025537D" w:rsidRDefault="00A920F6" w:rsidP="00A920F6">
            <w:pPr>
              <w:jc w:val="center"/>
              <w:rPr>
                <w:sz w:val="20"/>
                <w:szCs w:val="20"/>
              </w:rPr>
            </w:pPr>
            <w:r w:rsidRPr="0025537D">
              <w:rPr>
                <w:sz w:val="20"/>
                <w:szCs w:val="20"/>
              </w:rPr>
              <w:t>2011-2040</w:t>
            </w:r>
          </w:p>
        </w:tc>
        <w:tc>
          <w:tcPr>
            <w:tcW w:w="1275" w:type="dxa"/>
            <w:shd w:val="clear" w:color="auto" w:fill="D9D9D9"/>
            <w:vAlign w:val="center"/>
          </w:tcPr>
          <w:p w14:paraId="341E1C70" w14:textId="77777777" w:rsidR="00A920F6" w:rsidRPr="0025537D" w:rsidRDefault="00A920F6" w:rsidP="00A920F6">
            <w:pPr>
              <w:jc w:val="center"/>
              <w:rPr>
                <w:sz w:val="20"/>
                <w:szCs w:val="20"/>
              </w:rPr>
            </w:pPr>
            <w:r w:rsidRPr="0025537D">
              <w:rPr>
                <w:sz w:val="20"/>
                <w:szCs w:val="20"/>
              </w:rPr>
              <w:t>2041-2070</w:t>
            </w:r>
          </w:p>
        </w:tc>
      </w:tr>
      <w:tr w:rsidR="00A920F6" w:rsidRPr="0025537D" w14:paraId="595954F6" w14:textId="77777777" w:rsidTr="00A920F6">
        <w:trPr>
          <w:trHeight w:val="405"/>
        </w:trPr>
        <w:tc>
          <w:tcPr>
            <w:tcW w:w="2020" w:type="dxa"/>
            <w:vMerge w:val="restart"/>
            <w:shd w:val="clear" w:color="auto" w:fill="F2F2F2"/>
            <w:vAlign w:val="center"/>
          </w:tcPr>
          <w:p w14:paraId="6682D43A" w14:textId="77777777" w:rsidR="00A920F6" w:rsidRPr="0025537D" w:rsidRDefault="00A920F6" w:rsidP="00A920F6">
            <w:pPr>
              <w:jc w:val="center"/>
              <w:rPr>
                <w:bCs/>
                <w:sz w:val="20"/>
                <w:szCs w:val="20"/>
              </w:rPr>
            </w:pPr>
            <w:r w:rsidRPr="0025537D">
              <w:rPr>
                <w:bCs/>
                <w:sz w:val="20"/>
                <w:szCs w:val="20"/>
              </w:rPr>
              <w:t>IZPOSTAVLJENOST</w:t>
            </w:r>
          </w:p>
        </w:tc>
        <w:tc>
          <w:tcPr>
            <w:tcW w:w="2052" w:type="dxa"/>
            <w:shd w:val="clear" w:color="auto" w:fill="F2F2F2"/>
          </w:tcPr>
          <w:p w14:paraId="4414B3A0" w14:textId="77777777" w:rsidR="00A920F6" w:rsidRPr="0025537D" w:rsidRDefault="00A920F6" w:rsidP="00A920F6">
            <w:pPr>
              <w:jc w:val="center"/>
              <w:rPr>
                <w:bCs/>
                <w:sz w:val="20"/>
                <w:szCs w:val="20"/>
              </w:rPr>
            </w:pPr>
            <w:r w:rsidRPr="0025537D">
              <w:rPr>
                <w:sz w:val="20"/>
                <w:szCs w:val="20"/>
              </w:rPr>
              <w:t>Povprečna poletna temperatura zraka</w:t>
            </w:r>
          </w:p>
        </w:tc>
        <w:tc>
          <w:tcPr>
            <w:tcW w:w="2727" w:type="dxa"/>
          </w:tcPr>
          <w:p w14:paraId="693BE9F3" w14:textId="77777777" w:rsidR="00A920F6" w:rsidRPr="0025537D" w:rsidRDefault="00A920F6" w:rsidP="00A920F6">
            <w:pPr>
              <w:rPr>
                <w:sz w:val="20"/>
                <w:szCs w:val="20"/>
              </w:rPr>
            </w:pPr>
            <w:r w:rsidRPr="0025537D">
              <w:rPr>
                <w:sz w:val="20"/>
                <w:szCs w:val="20"/>
              </w:rPr>
              <w:t xml:space="preserve">Izpostavljenost toplotni obremenitvi za kmete in živali se </w:t>
            </w:r>
            <w:r>
              <w:rPr>
                <w:sz w:val="20"/>
                <w:szCs w:val="20"/>
              </w:rPr>
              <w:t xml:space="preserve">zelo </w:t>
            </w:r>
            <w:r w:rsidRPr="0025537D">
              <w:rPr>
                <w:sz w:val="20"/>
                <w:szCs w:val="20"/>
              </w:rPr>
              <w:t xml:space="preserve">poveča, </w:t>
            </w:r>
            <w:r>
              <w:rPr>
                <w:sz w:val="20"/>
                <w:szCs w:val="20"/>
              </w:rPr>
              <w:t xml:space="preserve">zelo velike </w:t>
            </w:r>
            <w:r w:rsidRPr="0025537D">
              <w:rPr>
                <w:sz w:val="20"/>
                <w:szCs w:val="20"/>
              </w:rPr>
              <w:t>potrebe po hlajenju</w:t>
            </w:r>
            <w:r>
              <w:rPr>
                <w:sz w:val="20"/>
                <w:szCs w:val="20"/>
              </w:rPr>
              <w:t xml:space="preserve"> in</w:t>
            </w:r>
            <w:r w:rsidRPr="0025537D">
              <w:rPr>
                <w:sz w:val="20"/>
                <w:szCs w:val="20"/>
              </w:rPr>
              <w:t xml:space="preserve"> vročinski stres rastlin, izpostavljenost</w:t>
            </w:r>
            <w:r>
              <w:rPr>
                <w:sz w:val="20"/>
                <w:szCs w:val="20"/>
              </w:rPr>
              <w:t xml:space="preserve"> velika do zelo velika</w:t>
            </w:r>
            <w:r w:rsidRPr="0025537D">
              <w:rPr>
                <w:sz w:val="20"/>
                <w:szCs w:val="20"/>
              </w:rPr>
              <w:t xml:space="preserve">. </w:t>
            </w:r>
          </w:p>
        </w:tc>
        <w:tc>
          <w:tcPr>
            <w:tcW w:w="1276" w:type="dxa"/>
            <w:shd w:val="clear" w:color="auto" w:fill="FFCC00"/>
          </w:tcPr>
          <w:p w14:paraId="3A8AED8A" w14:textId="77777777" w:rsidR="00A920F6" w:rsidRPr="0025537D" w:rsidRDefault="00A920F6" w:rsidP="00A920F6">
            <w:pPr>
              <w:jc w:val="center"/>
              <w:rPr>
                <w:sz w:val="20"/>
                <w:szCs w:val="20"/>
              </w:rPr>
            </w:pPr>
            <w:r>
              <w:rPr>
                <w:sz w:val="20"/>
                <w:szCs w:val="20"/>
              </w:rPr>
              <w:t>4</w:t>
            </w:r>
          </w:p>
          <w:p w14:paraId="7EC78DF0" w14:textId="77777777" w:rsidR="00A920F6" w:rsidRPr="0025537D" w:rsidRDefault="00A920F6" w:rsidP="00A920F6">
            <w:pPr>
              <w:jc w:val="left"/>
              <w:rPr>
                <w:sz w:val="20"/>
                <w:szCs w:val="20"/>
              </w:rPr>
            </w:pPr>
            <w:r>
              <w:rPr>
                <w:sz w:val="20"/>
                <w:szCs w:val="20"/>
              </w:rPr>
              <w:t>(x = 0,71</w:t>
            </w:r>
            <w:r w:rsidRPr="0025537D">
              <w:rPr>
                <w:sz w:val="20"/>
                <w:szCs w:val="20"/>
              </w:rPr>
              <w:t>)</w:t>
            </w:r>
          </w:p>
        </w:tc>
        <w:tc>
          <w:tcPr>
            <w:tcW w:w="1275" w:type="dxa"/>
            <w:shd w:val="clear" w:color="auto" w:fill="FF3F00"/>
          </w:tcPr>
          <w:p w14:paraId="489D22FA" w14:textId="77777777" w:rsidR="00A920F6" w:rsidRPr="0025537D" w:rsidRDefault="00A920F6" w:rsidP="00A920F6">
            <w:pPr>
              <w:jc w:val="center"/>
              <w:rPr>
                <w:iCs/>
                <w:sz w:val="20"/>
                <w:szCs w:val="20"/>
              </w:rPr>
            </w:pPr>
            <w:r w:rsidRPr="0025537D">
              <w:rPr>
                <w:iCs/>
                <w:sz w:val="20"/>
                <w:szCs w:val="20"/>
              </w:rPr>
              <w:t>5</w:t>
            </w:r>
          </w:p>
          <w:p w14:paraId="4F53B526" w14:textId="77777777" w:rsidR="00A920F6" w:rsidRPr="0025537D" w:rsidRDefault="00A920F6" w:rsidP="00A920F6">
            <w:pPr>
              <w:jc w:val="center"/>
              <w:rPr>
                <w:i/>
                <w:iCs/>
                <w:sz w:val="20"/>
                <w:szCs w:val="20"/>
              </w:rPr>
            </w:pPr>
            <w:r>
              <w:rPr>
                <w:sz w:val="20"/>
                <w:szCs w:val="20"/>
              </w:rPr>
              <w:t>(x = 0,85</w:t>
            </w:r>
            <w:r w:rsidRPr="0025537D">
              <w:rPr>
                <w:sz w:val="20"/>
                <w:szCs w:val="20"/>
              </w:rPr>
              <w:t>)</w:t>
            </w:r>
          </w:p>
        </w:tc>
      </w:tr>
      <w:tr w:rsidR="00A920F6" w:rsidRPr="0025537D" w14:paraId="2883D3C1" w14:textId="77777777" w:rsidTr="00A920F6">
        <w:trPr>
          <w:trHeight w:val="405"/>
        </w:trPr>
        <w:tc>
          <w:tcPr>
            <w:tcW w:w="2020" w:type="dxa"/>
            <w:vMerge/>
            <w:shd w:val="clear" w:color="auto" w:fill="F2F2F2"/>
            <w:vAlign w:val="center"/>
          </w:tcPr>
          <w:p w14:paraId="531D3942" w14:textId="77777777" w:rsidR="00A920F6" w:rsidRPr="0025537D" w:rsidRDefault="00A920F6" w:rsidP="00A920F6">
            <w:pPr>
              <w:jc w:val="center"/>
              <w:rPr>
                <w:bCs/>
                <w:sz w:val="20"/>
                <w:szCs w:val="20"/>
              </w:rPr>
            </w:pPr>
          </w:p>
        </w:tc>
        <w:tc>
          <w:tcPr>
            <w:tcW w:w="2052" w:type="dxa"/>
            <w:shd w:val="clear" w:color="auto" w:fill="F2F2F2"/>
          </w:tcPr>
          <w:p w14:paraId="232A754A" w14:textId="77777777" w:rsidR="00A920F6" w:rsidRPr="0025537D" w:rsidRDefault="00A920F6" w:rsidP="00A920F6">
            <w:pPr>
              <w:jc w:val="center"/>
              <w:rPr>
                <w:bCs/>
                <w:sz w:val="20"/>
                <w:szCs w:val="20"/>
                <w:lang w:val="it-IT"/>
              </w:rPr>
            </w:pPr>
            <w:r w:rsidRPr="0025537D">
              <w:rPr>
                <w:sz w:val="20"/>
                <w:szCs w:val="20"/>
              </w:rPr>
              <w:t>Povprečno letno število vročih dni</w:t>
            </w:r>
            <w:r w:rsidRPr="0025537D">
              <w:rPr>
                <w:sz w:val="20"/>
                <w:szCs w:val="20"/>
                <w:lang w:val="it-IT"/>
              </w:rPr>
              <w:t xml:space="preserve"> </w:t>
            </w:r>
            <w:r w:rsidRPr="0025537D">
              <w:rPr>
                <w:bCs/>
                <w:sz w:val="20"/>
                <w:szCs w:val="20"/>
              </w:rPr>
              <w:t>(dnevna temperatura nad 30 °C)</w:t>
            </w:r>
          </w:p>
        </w:tc>
        <w:tc>
          <w:tcPr>
            <w:tcW w:w="2727" w:type="dxa"/>
          </w:tcPr>
          <w:p w14:paraId="2EE26955" w14:textId="77777777" w:rsidR="00A920F6" w:rsidRPr="0025537D" w:rsidRDefault="00A920F6" w:rsidP="00A920F6">
            <w:pPr>
              <w:rPr>
                <w:sz w:val="20"/>
                <w:szCs w:val="20"/>
              </w:rPr>
            </w:pPr>
            <w:r w:rsidRPr="0025537D">
              <w:rPr>
                <w:sz w:val="20"/>
                <w:szCs w:val="20"/>
              </w:rPr>
              <w:t xml:space="preserve">Število vročih dni se izjemno poveča,  izpostavljenost dolgotrajni toplotni obremenitvi in vročinskemu stresu postane </w:t>
            </w:r>
            <w:r>
              <w:rPr>
                <w:sz w:val="20"/>
                <w:szCs w:val="20"/>
              </w:rPr>
              <w:t>velika do zelo velika</w:t>
            </w:r>
            <w:r w:rsidRPr="0025537D">
              <w:rPr>
                <w:sz w:val="20"/>
                <w:szCs w:val="20"/>
              </w:rPr>
              <w:t xml:space="preserve">. </w:t>
            </w:r>
          </w:p>
        </w:tc>
        <w:tc>
          <w:tcPr>
            <w:tcW w:w="1276" w:type="dxa"/>
            <w:shd w:val="clear" w:color="auto" w:fill="FFCC00"/>
          </w:tcPr>
          <w:p w14:paraId="3EEFA65D" w14:textId="77777777" w:rsidR="00A920F6" w:rsidRPr="0025537D" w:rsidRDefault="00A920F6" w:rsidP="00A920F6">
            <w:pPr>
              <w:jc w:val="center"/>
              <w:rPr>
                <w:sz w:val="20"/>
                <w:szCs w:val="20"/>
              </w:rPr>
            </w:pPr>
            <w:r>
              <w:rPr>
                <w:sz w:val="20"/>
                <w:szCs w:val="20"/>
              </w:rPr>
              <w:t>4</w:t>
            </w:r>
            <w:r w:rsidRPr="0025537D">
              <w:rPr>
                <w:sz w:val="20"/>
                <w:szCs w:val="20"/>
              </w:rPr>
              <w:t xml:space="preserve"> </w:t>
            </w:r>
          </w:p>
          <w:p w14:paraId="0ACE1861" w14:textId="77777777" w:rsidR="00A920F6" w:rsidRPr="0025537D" w:rsidRDefault="00A920F6" w:rsidP="00A920F6">
            <w:pPr>
              <w:jc w:val="center"/>
              <w:rPr>
                <w:sz w:val="20"/>
                <w:szCs w:val="20"/>
              </w:rPr>
            </w:pPr>
            <w:r>
              <w:rPr>
                <w:sz w:val="20"/>
                <w:szCs w:val="20"/>
              </w:rPr>
              <w:t>(x = 0,66</w:t>
            </w:r>
            <w:r w:rsidRPr="0025537D">
              <w:rPr>
                <w:sz w:val="20"/>
                <w:szCs w:val="20"/>
              </w:rPr>
              <w:t>)</w:t>
            </w:r>
          </w:p>
        </w:tc>
        <w:tc>
          <w:tcPr>
            <w:tcW w:w="1275" w:type="dxa"/>
            <w:shd w:val="clear" w:color="auto" w:fill="FF3F00"/>
          </w:tcPr>
          <w:p w14:paraId="1F89E582" w14:textId="77777777" w:rsidR="00A920F6" w:rsidRPr="0025537D" w:rsidRDefault="00A920F6" w:rsidP="00A920F6">
            <w:pPr>
              <w:jc w:val="center"/>
              <w:rPr>
                <w:sz w:val="20"/>
                <w:szCs w:val="20"/>
              </w:rPr>
            </w:pPr>
            <w:r w:rsidRPr="0025537D">
              <w:rPr>
                <w:sz w:val="20"/>
                <w:szCs w:val="20"/>
              </w:rPr>
              <w:t>5</w:t>
            </w:r>
          </w:p>
          <w:p w14:paraId="08365C69" w14:textId="77777777" w:rsidR="00A920F6" w:rsidRPr="0025537D" w:rsidRDefault="00A920F6" w:rsidP="00A920F6">
            <w:pPr>
              <w:jc w:val="center"/>
              <w:rPr>
                <w:i/>
                <w:iCs/>
                <w:sz w:val="20"/>
                <w:szCs w:val="20"/>
              </w:rPr>
            </w:pPr>
            <w:r>
              <w:rPr>
                <w:sz w:val="20"/>
                <w:szCs w:val="20"/>
              </w:rPr>
              <w:t>(x = 0,92</w:t>
            </w:r>
            <w:r w:rsidRPr="0025537D">
              <w:rPr>
                <w:sz w:val="20"/>
                <w:szCs w:val="20"/>
              </w:rPr>
              <w:t xml:space="preserve">) </w:t>
            </w:r>
          </w:p>
        </w:tc>
      </w:tr>
      <w:tr w:rsidR="00A920F6" w:rsidRPr="0025537D" w14:paraId="4772CAA6" w14:textId="77777777" w:rsidTr="00A920F6">
        <w:trPr>
          <w:trHeight w:val="405"/>
        </w:trPr>
        <w:tc>
          <w:tcPr>
            <w:tcW w:w="2020" w:type="dxa"/>
            <w:vMerge/>
            <w:shd w:val="clear" w:color="auto" w:fill="F2F2F2"/>
            <w:vAlign w:val="center"/>
          </w:tcPr>
          <w:p w14:paraId="645F6203" w14:textId="77777777" w:rsidR="00A920F6" w:rsidRPr="0025537D" w:rsidRDefault="00A920F6" w:rsidP="00A920F6">
            <w:pPr>
              <w:jc w:val="center"/>
              <w:rPr>
                <w:bCs/>
                <w:sz w:val="20"/>
                <w:szCs w:val="20"/>
              </w:rPr>
            </w:pPr>
          </w:p>
        </w:tc>
        <w:tc>
          <w:tcPr>
            <w:tcW w:w="2052" w:type="dxa"/>
            <w:shd w:val="clear" w:color="auto" w:fill="F2F2F2"/>
          </w:tcPr>
          <w:p w14:paraId="3A3FF132" w14:textId="77777777" w:rsidR="00A920F6" w:rsidRPr="0025537D" w:rsidRDefault="00A920F6" w:rsidP="00A920F6">
            <w:pPr>
              <w:jc w:val="center"/>
              <w:rPr>
                <w:bCs/>
                <w:sz w:val="20"/>
                <w:szCs w:val="20"/>
              </w:rPr>
            </w:pPr>
            <w:r w:rsidRPr="0025537D">
              <w:rPr>
                <w:sz w:val="20"/>
                <w:szCs w:val="20"/>
              </w:rPr>
              <w:t>Dolžina rastne dobe za temperaturni prag 5 °C</w:t>
            </w:r>
          </w:p>
        </w:tc>
        <w:tc>
          <w:tcPr>
            <w:tcW w:w="2727" w:type="dxa"/>
          </w:tcPr>
          <w:p w14:paraId="4214D86A" w14:textId="77777777" w:rsidR="00A920F6" w:rsidRPr="0025537D" w:rsidRDefault="00A920F6" w:rsidP="00A920F6">
            <w:pPr>
              <w:rPr>
                <w:sz w:val="20"/>
                <w:szCs w:val="20"/>
              </w:rPr>
            </w:pPr>
            <w:r w:rsidRPr="0025537D">
              <w:rPr>
                <w:sz w:val="20"/>
                <w:szCs w:val="20"/>
              </w:rPr>
              <w:t xml:space="preserve">Že tako </w:t>
            </w:r>
            <w:r>
              <w:rPr>
                <w:sz w:val="20"/>
                <w:szCs w:val="20"/>
              </w:rPr>
              <w:t xml:space="preserve">precej </w:t>
            </w:r>
            <w:r w:rsidRPr="0025537D">
              <w:rPr>
                <w:sz w:val="20"/>
                <w:szCs w:val="20"/>
              </w:rPr>
              <w:t xml:space="preserve">dolga rastna doba se z višanjem temperatur podaljšuje. Izpostavljenost </w:t>
            </w:r>
            <w:r>
              <w:rPr>
                <w:sz w:val="20"/>
                <w:szCs w:val="20"/>
              </w:rPr>
              <w:t>se zmanjša na majhno</w:t>
            </w:r>
            <w:r w:rsidRPr="0025537D">
              <w:rPr>
                <w:sz w:val="20"/>
                <w:szCs w:val="20"/>
              </w:rPr>
              <w:t>.</w:t>
            </w:r>
          </w:p>
        </w:tc>
        <w:tc>
          <w:tcPr>
            <w:tcW w:w="1276" w:type="dxa"/>
            <w:shd w:val="clear" w:color="auto" w:fill="BFF100"/>
          </w:tcPr>
          <w:p w14:paraId="34BF3EC3" w14:textId="77777777" w:rsidR="00A920F6" w:rsidRPr="0025537D" w:rsidRDefault="00A920F6" w:rsidP="00A920F6">
            <w:pPr>
              <w:jc w:val="center"/>
              <w:rPr>
                <w:sz w:val="20"/>
                <w:szCs w:val="20"/>
              </w:rPr>
            </w:pPr>
            <w:r>
              <w:rPr>
                <w:sz w:val="20"/>
                <w:szCs w:val="20"/>
              </w:rPr>
              <w:t>2</w:t>
            </w:r>
          </w:p>
          <w:p w14:paraId="27D79A08" w14:textId="77777777" w:rsidR="00A920F6" w:rsidRPr="0025537D" w:rsidRDefault="00A920F6" w:rsidP="00A920F6">
            <w:pPr>
              <w:jc w:val="center"/>
              <w:rPr>
                <w:sz w:val="20"/>
                <w:szCs w:val="20"/>
              </w:rPr>
            </w:pPr>
            <w:r>
              <w:rPr>
                <w:sz w:val="20"/>
                <w:szCs w:val="20"/>
              </w:rPr>
              <w:t>(x = 0,38</w:t>
            </w:r>
            <w:r w:rsidRPr="0025537D">
              <w:rPr>
                <w:sz w:val="20"/>
                <w:szCs w:val="20"/>
              </w:rPr>
              <w:t>)</w:t>
            </w:r>
          </w:p>
        </w:tc>
        <w:tc>
          <w:tcPr>
            <w:tcW w:w="1275" w:type="dxa"/>
            <w:shd w:val="clear" w:color="auto" w:fill="BFF100"/>
          </w:tcPr>
          <w:p w14:paraId="153CDA8F" w14:textId="77777777" w:rsidR="00A920F6" w:rsidRPr="0025537D" w:rsidRDefault="00A920F6" w:rsidP="00A920F6">
            <w:pPr>
              <w:jc w:val="center"/>
              <w:rPr>
                <w:sz w:val="20"/>
                <w:szCs w:val="20"/>
              </w:rPr>
            </w:pPr>
            <w:r>
              <w:rPr>
                <w:sz w:val="20"/>
                <w:szCs w:val="20"/>
              </w:rPr>
              <w:t>2</w:t>
            </w:r>
          </w:p>
          <w:p w14:paraId="5A995586" w14:textId="77777777" w:rsidR="00A920F6" w:rsidRPr="0025537D" w:rsidRDefault="00A920F6" w:rsidP="00A920F6">
            <w:pPr>
              <w:jc w:val="center"/>
              <w:rPr>
                <w:i/>
                <w:iCs/>
                <w:sz w:val="20"/>
                <w:szCs w:val="20"/>
              </w:rPr>
            </w:pPr>
            <w:r>
              <w:rPr>
                <w:sz w:val="20"/>
                <w:szCs w:val="20"/>
              </w:rPr>
              <w:t>(x = 0,32</w:t>
            </w:r>
            <w:r w:rsidRPr="0025537D">
              <w:rPr>
                <w:sz w:val="20"/>
                <w:szCs w:val="20"/>
              </w:rPr>
              <w:t>)</w:t>
            </w:r>
          </w:p>
        </w:tc>
      </w:tr>
      <w:tr w:rsidR="00A920F6" w:rsidRPr="0025537D" w14:paraId="4D0F9596" w14:textId="77777777" w:rsidTr="00A920F6">
        <w:trPr>
          <w:trHeight w:val="405"/>
        </w:trPr>
        <w:tc>
          <w:tcPr>
            <w:tcW w:w="2020" w:type="dxa"/>
            <w:vMerge/>
            <w:shd w:val="clear" w:color="auto" w:fill="F2F2F2"/>
            <w:vAlign w:val="center"/>
          </w:tcPr>
          <w:p w14:paraId="19D51B66" w14:textId="77777777" w:rsidR="00A920F6" w:rsidRPr="0025537D" w:rsidRDefault="00A920F6" w:rsidP="00A920F6">
            <w:pPr>
              <w:jc w:val="center"/>
              <w:rPr>
                <w:bCs/>
                <w:sz w:val="20"/>
                <w:szCs w:val="20"/>
              </w:rPr>
            </w:pPr>
          </w:p>
        </w:tc>
        <w:tc>
          <w:tcPr>
            <w:tcW w:w="2052" w:type="dxa"/>
            <w:shd w:val="clear" w:color="auto" w:fill="F2F2F2"/>
          </w:tcPr>
          <w:p w14:paraId="1F88CA69" w14:textId="77777777" w:rsidR="00A920F6" w:rsidRPr="0025537D" w:rsidRDefault="00A920F6" w:rsidP="00A920F6">
            <w:pPr>
              <w:jc w:val="center"/>
              <w:rPr>
                <w:sz w:val="20"/>
                <w:szCs w:val="20"/>
              </w:rPr>
            </w:pPr>
            <w:r w:rsidRPr="0025537D">
              <w:rPr>
                <w:sz w:val="20"/>
                <w:szCs w:val="20"/>
              </w:rPr>
              <w:t xml:space="preserve">Število dni s spomladansko pozebo </w:t>
            </w:r>
          </w:p>
          <w:p w14:paraId="5DC9D404" w14:textId="77777777" w:rsidR="00A920F6" w:rsidRPr="0025537D" w:rsidRDefault="00A920F6" w:rsidP="00A920F6">
            <w:pPr>
              <w:jc w:val="center"/>
              <w:rPr>
                <w:bCs/>
                <w:sz w:val="20"/>
                <w:szCs w:val="20"/>
              </w:rPr>
            </w:pPr>
            <w:r w:rsidRPr="0025537D">
              <w:rPr>
                <w:sz w:val="20"/>
                <w:szCs w:val="20"/>
              </w:rPr>
              <w:t>(0 °C)</w:t>
            </w:r>
          </w:p>
        </w:tc>
        <w:tc>
          <w:tcPr>
            <w:tcW w:w="2727" w:type="dxa"/>
          </w:tcPr>
          <w:p w14:paraId="22D78E4C" w14:textId="77777777" w:rsidR="00A920F6" w:rsidRPr="0025537D" w:rsidRDefault="00A920F6" w:rsidP="00A920F6">
            <w:pPr>
              <w:rPr>
                <w:sz w:val="20"/>
                <w:szCs w:val="20"/>
              </w:rPr>
            </w:pPr>
            <w:r w:rsidRPr="0025537D">
              <w:rPr>
                <w:sz w:val="20"/>
                <w:szCs w:val="20"/>
              </w:rPr>
              <w:t>Verjetno</w:t>
            </w:r>
            <w:r>
              <w:rPr>
                <w:sz w:val="20"/>
                <w:szCs w:val="20"/>
              </w:rPr>
              <w:t>st</w:t>
            </w:r>
            <w:r w:rsidRPr="0025537D">
              <w:rPr>
                <w:sz w:val="20"/>
                <w:szCs w:val="20"/>
              </w:rPr>
              <w:t xml:space="preserve"> pozebe je kljub daljši rastni dobi še vedno neznatna, vendar težko napovedljiva</w:t>
            </w:r>
            <w:r>
              <w:rPr>
                <w:sz w:val="20"/>
                <w:szCs w:val="20"/>
              </w:rPr>
              <w:t xml:space="preserve"> in se občasno pojavi</w:t>
            </w:r>
            <w:r w:rsidRPr="0025537D">
              <w:rPr>
                <w:sz w:val="20"/>
                <w:szCs w:val="20"/>
              </w:rPr>
              <w:t>.</w:t>
            </w:r>
          </w:p>
        </w:tc>
        <w:tc>
          <w:tcPr>
            <w:tcW w:w="1276" w:type="dxa"/>
            <w:shd w:val="clear" w:color="auto" w:fill="7FE300"/>
          </w:tcPr>
          <w:p w14:paraId="427AC237" w14:textId="77777777" w:rsidR="00A920F6" w:rsidRPr="0025537D" w:rsidRDefault="00A920F6" w:rsidP="00A920F6">
            <w:pPr>
              <w:jc w:val="center"/>
              <w:rPr>
                <w:sz w:val="20"/>
                <w:szCs w:val="20"/>
              </w:rPr>
            </w:pPr>
            <w:r w:rsidRPr="0025537D">
              <w:rPr>
                <w:sz w:val="20"/>
                <w:szCs w:val="20"/>
              </w:rPr>
              <w:t>1</w:t>
            </w:r>
          </w:p>
          <w:p w14:paraId="7A799231" w14:textId="77777777" w:rsidR="00A920F6" w:rsidRPr="0025537D" w:rsidRDefault="00A920F6" w:rsidP="00A920F6">
            <w:pPr>
              <w:jc w:val="center"/>
              <w:rPr>
                <w:sz w:val="20"/>
                <w:szCs w:val="20"/>
              </w:rPr>
            </w:pPr>
            <w:r w:rsidRPr="0025537D">
              <w:rPr>
                <w:sz w:val="20"/>
                <w:szCs w:val="20"/>
              </w:rPr>
              <w:t>(x = 0)</w:t>
            </w:r>
          </w:p>
        </w:tc>
        <w:tc>
          <w:tcPr>
            <w:tcW w:w="1275" w:type="dxa"/>
            <w:shd w:val="clear" w:color="auto" w:fill="7FE300"/>
          </w:tcPr>
          <w:p w14:paraId="24EA5651" w14:textId="77777777" w:rsidR="00A920F6" w:rsidRPr="0025537D" w:rsidRDefault="00A920F6" w:rsidP="00A920F6">
            <w:pPr>
              <w:jc w:val="center"/>
              <w:rPr>
                <w:sz w:val="20"/>
                <w:szCs w:val="20"/>
              </w:rPr>
            </w:pPr>
            <w:r w:rsidRPr="0025537D">
              <w:rPr>
                <w:sz w:val="20"/>
                <w:szCs w:val="20"/>
              </w:rPr>
              <w:t>1</w:t>
            </w:r>
          </w:p>
          <w:p w14:paraId="4CFE2649" w14:textId="77777777" w:rsidR="00A920F6" w:rsidRPr="0025537D" w:rsidRDefault="00A920F6" w:rsidP="00A920F6">
            <w:pPr>
              <w:jc w:val="center"/>
              <w:rPr>
                <w:i/>
                <w:iCs/>
                <w:sz w:val="20"/>
                <w:szCs w:val="20"/>
              </w:rPr>
            </w:pPr>
            <w:r w:rsidRPr="0025537D">
              <w:rPr>
                <w:sz w:val="20"/>
                <w:szCs w:val="20"/>
              </w:rPr>
              <w:t>(x = 0)</w:t>
            </w:r>
          </w:p>
        </w:tc>
      </w:tr>
      <w:tr w:rsidR="00A920F6" w:rsidRPr="0025537D" w14:paraId="2A8EA02C" w14:textId="77777777" w:rsidTr="00A920F6">
        <w:trPr>
          <w:trHeight w:val="405"/>
        </w:trPr>
        <w:tc>
          <w:tcPr>
            <w:tcW w:w="2020" w:type="dxa"/>
            <w:vMerge/>
            <w:shd w:val="clear" w:color="auto" w:fill="F2F2F2"/>
            <w:vAlign w:val="center"/>
          </w:tcPr>
          <w:p w14:paraId="69EA77E0" w14:textId="77777777" w:rsidR="00A920F6" w:rsidRPr="0025537D" w:rsidRDefault="00A920F6" w:rsidP="00A920F6">
            <w:pPr>
              <w:jc w:val="center"/>
              <w:rPr>
                <w:bCs/>
                <w:sz w:val="20"/>
                <w:szCs w:val="20"/>
              </w:rPr>
            </w:pPr>
          </w:p>
        </w:tc>
        <w:tc>
          <w:tcPr>
            <w:tcW w:w="2052" w:type="dxa"/>
            <w:shd w:val="clear" w:color="auto" w:fill="F2F2F2"/>
          </w:tcPr>
          <w:p w14:paraId="6305CB27" w14:textId="77777777" w:rsidR="00A920F6" w:rsidRPr="0025537D" w:rsidRDefault="00A920F6" w:rsidP="00A920F6">
            <w:pPr>
              <w:jc w:val="center"/>
              <w:rPr>
                <w:bCs/>
                <w:sz w:val="20"/>
                <w:szCs w:val="20"/>
              </w:rPr>
            </w:pPr>
            <w:r w:rsidRPr="0025537D">
              <w:rPr>
                <w:sz w:val="20"/>
                <w:szCs w:val="20"/>
              </w:rPr>
              <w:t xml:space="preserve">Povprečna poletna referenčna </w:t>
            </w:r>
            <w:proofErr w:type="spellStart"/>
            <w:r w:rsidRPr="0025537D">
              <w:rPr>
                <w:sz w:val="20"/>
                <w:szCs w:val="20"/>
              </w:rPr>
              <w:t>evapotranspiracija</w:t>
            </w:r>
            <w:proofErr w:type="spellEnd"/>
          </w:p>
        </w:tc>
        <w:tc>
          <w:tcPr>
            <w:tcW w:w="2727" w:type="dxa"/>
          </w:tcPr>
          <w:p w14:paraId="704F7DE4" w14:textId="77777777" w:rsidR="00A920F6" w:rsidRPr="0025537D" w:rsidRDefault="00A920F6" w:rsidP="00A920F6">
            <w:pPr>
              <w:rPr>
                <w:sz w:val="20"/>
                <w:szCs w:val="20"/>
              </w:rPr>
            </w:pPr>
            <w:r w:rsidRPr="0025537D">
              <w:rPr>
                <w:sz w:val="20"/>
                <w:szCs w:val="20"/>
              </w:rPr>
              <w:t>Poraba vode se z višanjem temperatur</w:t>
            </w:r>
            <w:r>
              <w:rPr>
                <w:sz w:val="20"/>
                <w:szCs w:val="20"/>
              </w:rPr>
              <w:t xml:space="preserve"> </w:t>
            </w:r>
            <w:r w:rsidRPr="0025537D">
              <w:rPr>
                <w:sz w:val="20"/>
                <w:szCs w:val="20"/>
              </w:rPr>
              <w:t>veča,</w:t>
            </w:r>
            <w:r>
              <w:rPr>
                <w:sz w:val="20"/>
                <w:szCs w:val="20"/>
              </w:rPr>
              <w:t xml:space="preserve"> </w:t>
            </w:r>
            <w:r w:rsidRPr="0025537D">
              <w:rPr>
                <w:sz w:val="20"/>
                <w:szCs w:val="20"/>
              </w:rPr>
              <w:t xml:space="preserve"> izpostavljenost je </w:t>
            </w:r>
            <w:r>
              <w:rPr>
                <w:sz w:val="20"/>
                <w:szCs w:val="20"/>
              </w:rPr>
              <w:t>še vedno zmerna</w:t>
            </w:r>
            <w:r w:rsidRPr="0025537D">
              <w:rPr>
                <w:sz w:val="20"/>
                <w:szCs w:val="20"/>
              </w:rPr>
              <w:t xml:space="preserve">, </w:t>
            </w:r>
            <w:r>
              <w:rPr>
                <w:sz w:val="20"/>
                <w:szCs w:val="20"/>
              </w:rPr>
              <w:t>vendar tudi na račun nižjih vrednosti v višje ležečih območjih.</w:t>
            </w:r>
          </w:p>
        </w:tc>
        <w:tc>
          <w:tcPr>
            <w:tcW w:w="1276" w:type="dxa"/>
            <w:shd w:val="clear" w:color="auto" w:fill="FFFF00"/>
          </w:tcPr>
          <w:p w14:paraId="349D9528" w14:textId="77777777" w:rsidR="00A920F6" w:rsidRPr="0025537D" w:rsidRDefault="00A920F6" w:rsidP="00A920F6">
            <w:pPr>
              <w:jc w:val="center"/>
              <w:rPr>
                <w:sz w:val="20"/>
                <w:szCs w:val="20"/>
              </w:rPr>
            </w:pPr>
            <w:r>
              <w:rPr>
                <w:sz w:val="20"/>
                <w:szCs w:val="20"/>
              </w:rPr>
              <w:t>3</w:t>
            </w:r>
          </w:p>
          <w:p w14:paraId="1C6FE6CA" w14:textId="77777777" w:rsidR="00A920F6" w:rsidRPr="0025537D" w:rsidRDefault="00A920F6" w:rsidP="00A920F6">
            <w:pPr>
              <w:jc w:val="center"/>
              <w:rPr>
                <w:sz w:val="20"/>
                <w:szCs w:val="20"/>
              </w:rPr>
            </w:pPr>
            <w:r w:rsidRPr="0025537D">
              <w:rPr>
                <w:sz w:val="20"/>
                <w:szCs w:val="20"/>
              </w:rPr>
              <w:t>(x = 0,</w:t>
            </w:r>
            <w:r>
              <w:rPr>
                <w:sz w:val="20"/>
                <w:szCs w:val="20"/>
              </w:rPr>
              <w:t>47</w:t>
            </w:r>
            <w:r w:rsidRPr="0025537D">
              <w:rPr>
                <w:sz w:val="20"/>
                <w:szCs w:val="20"/>
              </w:rPr>
              <w:t>)</w:t>
            </w:r>
          </w:p>
        </w:tc>
        <w:tc>
          <w:tcPr>
            <w:tcW w:w="1275" w:type="dxa"/>
            <w:shd w:val="clear" w:color="auto" w:fill="FFFF00"/>
          </w:tcPr>
          <w:p w14:paraId="0BF5A343" w14:textId="77777777" w:rsidR="00A920F6" w:rsidRPr="0025537D" w:rsidRDefault="00A920F6" w:rsidP="00A920F6">
            <w:pPr>
              <w:jc w:val="center"/>
              <w:rPr>
                <w:sz w:val="20"/>
                <w:szCs w:val="20"/>
              </w:rPr>
            </w:pPr>
            <w:r>
              <w:rPr>
                <w:sz w:val="20"/>
                <w:szCs w:val="20"/>
              </w:rPr>
              <w:t>3</w:t>
            </w:r>
          </w:p>
          <w:p w14:paraId="6984E694" w14:textId="77777777" w:rsidR="00A920F6" w:rsidRPr="0025537D" w:rsidRDefault="00A920F6" w:rsidP="00A920F6">
            <w:pPr>
              <w:jc w:val="center"/>
              <w:rPr>
                <w:i/>
                <w:iCs/>
                <w:sz w:val="20"/>
                <w:szCs w:val="20"/>
              </w:rPr>
            </w:pPr>
            <w:r w:rsidRPr="0025537D">
              <w:rPr>
                <w:sz w:val="20"/>
                <w:szCs w:val="20"/>
              </w:rPr>
              <w:t>(x = 0,</w:t>
            </w:r>
            <w:r>
              <w:rPr>
                <w:sz w:val="20"/>
                <w:szCs w:val="20"/>
              </w:rPr>
              <w:t>54</w:t>
            </w:r>
            <w:r w:rsidRPr="0025537D">
              <w:rPr>
                <w:sz w:val="20"/>
                <w:szCs w:val="20"/>
              </w:rPr>
              <w:t xml:space="preserve">) </w:t>
            </w:r>
          </w:p>
        </w:tc>
      </w:tr>
      <w:tr w:rsidR="00A920F6" w:rsidRPr="0025537D" w14:paraId="21459E4B" w14:textId="77777777" w:rsidTr="00A920F6">
        <w:trPr>
          <w:trHeight w:val="405"/>
        </w:trPr>
        <w:tc>
          <w:tcPr>
            <w:tcW w:w="2020" w:type="dxa"/>
            <w:vMerge/>
            <w:shd w:val="clear" w:color="auto" w:fill="F2F2F2"/>
            <w:vAlign w:val="center"/>
          </w:tcPr>
          <w:p w14:paraId="3CA37ABF" w14:textId="77777777" w:rsidR="00A920F6" w:rsidRPr="0025537D" w:rsidRDefault="00A920F6" w:rsidP="00A920F6">
            <w:pPr>
              <w:jc w:val="center"/>
              <w:rPr>
                <w:bCs/>
                <w:sz w:val="20"/>
                <w:szCs w:val="20"/>
              </w:rPr>
            </w:pPr>
          </w:p>
        </w:tc>
        <w:tc>
          <w:tcPr>
            <w:tcW w:w="2052" w:type="dxa"/>
            <w:shd w:val="clear" w:color="auto" w:fill="F2F2F2"/>
          </w:tcPr>
          <w:p w14:paraId="66A8C528" w14:textId="77777777" w:rsidR="00A920F6" w:rsidRPr="0025537D" w:rsidRDefault="00A920F6" w:rsidP="00A920F6">
            <w:pPr>
              <w:jc w:val="center"/>
              <w:rPr>
                <w:bCs/>
                <w:sz w:val="20"/>
                <w:szCs w:val="20"/>
              </w:rPr>
            </w:pPr>
            <w:r w:rsidRPr="0025537D">
              <w:rPr>
                <w:sz w:val="20"/>
                <w:szCs w:val="20"/>
              </w:rPr>
              <w:t>Povprečna pomladna višina padavin</w:t>
            </w:r>
          </w:p>
        </w:tc>
        <w:tc>
          <w:tcPr>
            <w:tcW w:w="2727" w:type="dxa"/>
          </w:tcPr>
          <w:p w14:paraId="73A06C37" w14:textId="77777777" w:rsidR="00A920F6" w:rsidRPr="0025537D" w:rsidRDefault="00A920F6" w:rsidP="00A920F6">
            <w:pPr>
              <w:rPr>
                <w:sz w:val="20"/>
                <w:szCs w:val="20"/>
              </w:rPr>
            </w:pPr>
            <w:r w:rsidRPr="00987D3A">
              <w:rPr>
                <w:sz w:val="20"/>
                <w:szCs w:val="20"/>
              </w:rPr>
              <w:t>Padavin</w:t>
            </w:r>
            <w:r w:rsidRPr="0025537D">
              <w:rPr>
                <w:sz w:val="20"/>
                <w:szCs w:val="20"/>
              </w:rPr>
              <w:t xml:space="preserve"> </w:t>
            </w:r>
            <w:r>
              <w:rPr>
                <w:sz w:val="20"/>
                <w:szCs w:val="20"/>
              </w:rPr>
              <w:t>je količinsko dovolj, izpostavljenost je majhna</w:t>
            </w:r>
            <w:r w:rsidRPr="0025537D">
              <w:rPr>
                <w:sz w:val="20"/>
                <w:szCs w:val="20"/>
              </w:rPr>
              <w:t>.</w:t>
            </w:r>
          </w:p>
        </w:tc>
        <w:tc>
          <w:tcPr>
            <w:tcW w:w="1276" w:type="dxa"/>
            <w:shd w:val="clear" w:color="auto" w:fill="BFF100"/>
          </w:tcPr>
          <w:p w14:paraId="6C646E44" w14:textId="77777777" w:rsidR="00A920F6" w:rsidRPr="0025537D" w:rsidRDefault="00A920F6" w:rsidP="00A920F6">
            <w:pPr>
              <w:jc w:val="center"/>
              <w:rPr>
                <w:sz w:val="20"/>
                <w:szCs w:val="20"/>
              </w:rPr>
            </w:pPr>
            <w:r>
              <w:rPr>
                <w:sz w:val="20"/>
                <w:szCs w:val="20"/>
              </w:rPr>
              <w:t>2</w:t>
            </w:r>
            <w:r w:rsidRPr="0025537D">
              <w:rPr>
                <w:sz w:val="20"/>
                <w:szCs w:val="20"/>
              </w:rPr>
              <w:t xml:space="preserve"> </w:t>
            </w:r>
          </w:p>
          <w:p w14:paraId="63E7234F" w14:textId="77777777" w:rsidR="00A920F6" w:rsidRPr="0025537D" w:rsidRDefault="00A920F6" w:rsidP="00A920F6">
            <w:pPr>
              <w:jc w:val="center"/>
              <w:rPr>
                <w:sz w:val="20"/>
                <w:szCs w:val="20"/>
              </w:rPr>
            </w:pPr>
            <w:r>
              <w:rPr>
                <w:sz w:val="20"/>
                <w:szCs w:val="20"/>
              </w:rPr>
              <w:t>(x = 0,33</w:t>
            </w:r>
            <w:r w:rsidRPr="0025537D">
              <w:rPr>
                <w:sz w:val="20"/>
                <w:szCs w:val="20"/>
              </w:rPr>
              <w:t>)</w:t>
            </w:r>
          </w:p>
        </w:tc>
        <w:tc>
          <w:tcPr>
            <w:tcW w:w="1275" w:type="dxa"/>
            <w:shd w:val="clear" w:color="auto" w:fill="BFF100"/>
          </w:tcPr>
          <w:p w14:paraId="35426A3D" w14:textId="77777777" w:rsidR="00A920F6" w:rsidRPr="0025537D" w:rsidRDefault="00A920F6" w:rsidP="00A920F6">
            <w:pPr>
              <w:jc w:val="center"/>
              <w:rPr>
                <w:sz w:val="20"/>
                <w:szCs w:val="20"/>
              </w:rPr>
            </w:pPr>
            <w:r>
              <w:rPr>
                <w:sz w:val="20"/>
                <w:szCs w:val="20"/>
              </w:rPr>
              <w:t>2</w:t>
            </w:r>
            <w:r w:rsidRPr="0025537D">
              <w:rPr>
                <w:sz w:val="20"/>
                <w:szCs w:val="20"/>
              </w:rPr>
              <w:t xml:space="preserve"> </w:t>
            </w:r>
          </w:p>
          <w:p w14:paraId="4FF26626" w14:textId="77777777" w:rsidR="00A920F6" w:rsidRPr="0025537D" w:rsidRDefault="00A920F6" w:rsidP="00A920F6">
            <w:pPr>
              <w:jc w:val="center"/>
              <w:rPr>
                <w:i/>
                <w:iCs/>
                <w:sz w:val="20"/>
                <w:szCs w:val="20"/>
              </w:rPr>
            </w:pPr>
            <w:r>
              <w:rPr>
                <w:sz w:val="20"/>
                <w:szCs w:val="20"/>
              </w:rPr>
              <w:t>(x = 0,32</w:t>
            </w:r>
            <w:r w:rsidRPr="0025537D">
              <w:rPr>
                <w:sz w:val="20"/>
                <w:szCs w:val="20"/>
              </w:rPr>
              <w:t>)</w:t>
            </w:r>
          </w:p>
        </w:tc>
      </w:tr>
      <w:tr w:rsidR="00A920F6" w:rsidRPr="0025537D" w14:paraId="605044A8" w14:textId="77777777" w:rsidTr="00A920F6">
        <w:trPr>
          <w:trHeight w:val="405"/>
        </w:trPr>
        <w:tc>
          <w:tcPr>
            <w:tcW w:w="2020" w:type="dxa"/>
            <w:vMerge/>
            <w:shd w:val="clear" w:color="auto" w:fill="F2F2F2"/>
            <w:vAlign w:val="center"/>
          </w:tcPr>
          <w:p w14:paraId="06D65899" w14:textId="77777777" w:rsidR="00A920F6" w:rsidRPr="0025537D" w:rsidRDefault="00A920F6" w:rsidP="00A920F6">
            <w:pPr>
              <w:jc w:val="center"/>
              <w:rPr>
                <w:bCs/>
                <w:sz w:val="20"/>
                <w:szCs w:val="20"/>
              </w:rPr>
            </w:pPr>
          </w:p>
        </w:tc>
        <w:tc>
          <w:tcPr>
            <w:tcW w:w="2052" w:type="dxa"/>
            <w:shd w:val="clear" w:color="auto" w:fill="F2F2F2"/>
          </w:tcPr>
          <w:p w14:paraId="6811A5A5" w14:textId="77777777" w:rsidR="00A920F6" w:rsidRPr="0025537D" w:rsidRDefault="00A920F6" w:rsidP="00A920F6">
            <w:pPr>
              <w:jc w:val="center"/>
              <w:rPr>
                <w:bCs/>
                <w:sz w:val="20"/>
                <w:szCs w:val="20"/>
              </w:rPr>
            </w:pPr>
            <w:r w:rsidRPr="0025537D">
              <w:rPr>
                <w:sz w:val="20"/>
                <w:szCs w:val="20"/>
              </w:rPr>
              <w:t>Povprečna poletna višina padavin</w:t>
            </w:r>
          </w:p>
        </w:tc>
        <w:tc>
          <w:tcPr>
            <w:tcW w:w="2727" w:type="dxa"/>
          </w:tcPr>
          <w:p w14:paraId="080C9066" w14:textId="77777777" w:rsidR="00A920F6" w:rsidRPr="0025537D" w:rsidRDefault="00A920F6" w:rsidP="00A920F6">
            <w:pPr>
              <w:rPr>
                <w:sz w:val="20"/>
                <w:szCs w:val="20"/>
              </w:rPr>
            </w:pPr>
            <w:r>
              <w:rPr>
                <w:sz w:val="20"/>
                <w:szCs w:val="20"/>
              </w:rPr>
              <w:t xml:space="preserve">Padavin </w:t>
            </w:r>
            <w:r w:rsidRPr="0025537D">
              <w:rPr>
                <w:sz w:val="20"/>
                <w:szCs w:val="20"/>
              </w:rPr>
              <w:t>poleti</w:t>
            </w:r>
            <w:r>
              <w:rPr>
                <w:sz w:val="20"/>
                <w:szCs w:val="20"/>
              </w:rPr>
              <w:t xml:space="preserve"> količinsko še ne primanjkuje, zato je izpostavljenost zmerna. Vendar pa neenakomerna porazdelitev pomeni večjo izpostav</w:t>
            </w:r>
            <w:r w:rsidRPr="0025537D">
              <w:rPr>
                <w:sz w:val="20"/>
                <w:szCs w:val="20"/>
              </w:rPr>
              <w:t xml:space="preserve">ljenost suši, ki </w:t>
            </w:r>
            <w:r>
              <w:rPr>
                <w:sz w:val="20"/>
                <w:szCs w:val="20"/>
              </w:rPr>
              <w:t>zahteva pripravljenost.</w:t>
            </w:r>
          </w:p>
        </w:tc>
        <w:tc>
          <w:tcPr>
            <w:tcW w:w="1276" w:type="dxa"/>
            <w:shd w:val="clear" w:color="auto" w:fill="FFFF00"/>
          </w:tcPr>
          <w:p w14:paraId="650C4A48" w14:textId="77777777" w:rsidR="00A920F6" w:rsidRPr="0025537D" w:rsidRDefault="00A920F6" w:rsidP="00A920F6">
            <w:pPr>
              <w:jc w:val="center"/>
              <w:rPr>
                <w:sz w:val="20"/>
                <w:szCs w:val="20"/>
              </w:rPr>
            </w:pPr>
            <w:r>
              <w:rPr>
                <w:sz w:val="20"/>
                <w:szCs w:val="20"/>
              </w:rPr>
              <w:t>3</w:t>
            </w:r>
          </w:p>
          <w:p w14:paraId="238A92F6" w14:textId="77777777" w:rsidR="00A920F6" w:rsidRPr="0025537D" w:rsidRDefault="00A920F6" w:rsidP="00A920F6">
            <w:pPr>
              <w:jc w:val="center"/>
              <w:rPr>
                <w:sz w:val="20"/>
                <w:szCs w:val="20"/>
              </w:rPr>
            </w:pPr>
            <w:r>
              <w:rPr>
                <w:sz w:val="20"/>
                <w:szCs w:val="20"/>
              </w:rPr>
              <w:t>(x = 0,51</w:t>
            </w:r>
            <w:r w:rsidRPr="0025537D">
              <w:rPr>
                <w:sz w:val="20"/>
                <w:szCs w:val="20"/>
              </w:rPr>
              <w:t>)</w:t>
            </w:r>
          </w:p>
        </w:tc>
        <w:tc>
          <w:tcPr>
            <w:tcW w:w="1275" w:type="dxa"/>
            <w:shd w:val="clear" w:color="auto" w:fill="FFFF00"/>
          </w:tcPr>
          <w:p w14:paraId="1634A2F0" w14:textId="77777777" w:rsidR="00A920F6" w:rsidRPr="0025537D" w:rsidRDefault="00A920F6" w:rsidP="00A920F6">
            <w:pPr>
              <w:jc w:val="center"/>
              <w:rPr>
                <w:sz w:val="20"/>
                <w:szCs w:val="20"/>
              </w:rPr>
            </w:pPr>
            <w:r>
              <w:rPr>
                <w:sz w:val="20"/>
                <w:szCs w:val="20"/>
              </w:rPr>
              <w:t>3</w:t>
            </w:r>
          </w:p>
          <w:p w14:paraId="7C5B942C" w14:textId="77777777" w:rsidR="00A920F6" w:rsidRPr="0025537D" w:rsidRDefault="00A920F6" w:rsidP="00A920F6">
            <w:pPr>
              <w:jc w:val="center"/>
              <w:rPr>
                <w:i/>
                <w:iCs/>
                <w:sz w:val="20"/>
                <w:szCs w:val="20"/>
              </w:rPr>
            </w:pPr>
            <w:r>
              <w:rPr>
                <w:sz w:val="20"/>
                <w:szCs w:val="20"/>
              </w:rPr>
              <w:t>(x = 0,58</w:t>
            </w:r>
            <w:r w:rsidRPr="0025537D">
              <w:rPr>
                <w:sz w:val="20"/>
                <w:szCs w:val="20"/>
              </w:rPr>
              <w:t>)</w:t>
            </w:r>
          </w:p>
        </w:tc>
      </w:tr>
      <w:tr w:rsidR="00A920F6" w:rsidRPr="0025537D" w14:paraId="070D554D" w14:textId="77777777" w:rsidTr="00A920F6">
        <w:trPr>
          <w:trHeight w:val="70"/>
        </w:trPr>
        <w:tc>
          <w:tcPr>
            <w:tcW w:w="2020" w:type="dxa"/>
            <w:vMerge/>
            <w:shd w:val="clear" w:color="auto" w:fill="F2F2F2"/>
            <w:vAlign w:val="center"/>
          </w:tcPr>
          <w:p w14:paraId="0266D7CC" w14:textId="77777777" w:rsidR="00A920F6" w:rsidRPr="0025537D" w:rsidRDefault="00A920F6" w:rsidP="00A920F6">
            <w:pPr>
              <w:jc w:val="center"/>
              <w:rPr>
                <w:bCs/>
                <w:sz w:val="20"/>
                <w:szCs w:val="20"/>
              </w:rPr>
            </w:pPr>
          </w:p>
        </w:tc>
        <w:tc>
          <w:tcPr>
            <w:tcW w:w="2052" w:type="dxa"/>
            <w:shd w:val="clear" w:color="auto" w:fill="F2F2F2"/>
          </w:tcPr>
          <w:p w14:paraId="3E715CC4" w14:textId="77777777" w:rsidR="00A920F6" w:rsidRPr="0025537D" w:rsidRDefault="00A920F6" w:rsidP="00A920F6">
            <w:pPr>
              <w:jc w:val="center"/>
              <w:rPr>
                <w:bCs/>
                <w:sz w:val="20"/>
                <w:szCs w:val="20"/>
              </w:rPr>
            </w:pPr>
            <w:r w:rsidRPr="0025537D">
              <w:rPr>
                <w:sz w:val="20"/>
                <w:szCs w:val="20"/>
              </w:rPr>
              <w:t>Povprečno letno število dni s padavinami nad 50 mm</w:t>
            </w:r>
          </w:p>
        </w:tc>
        <w:tc>
          <w:tcPr>
            <w:tcW w:w="2727" w:type="dxa"/>
          </w:tcPr>
          <w:p w14:paraId="1E0092C4" w14:textId="77777777" w:rsidR="00A920F6" w:rsidRPr="0025537D" w:rsidRDefault="00A920F6" w:rsidP="00A920F6">
            <w:pPr>
              <w:rPr>
                <w:sz w:val="20"/>
                <w:szCs w:val="20"/>
              </w:rPr>
            </w:pPr>
            <w:r w:rsidRPr="0025537D">
              <w:rPr>
                <w:sz w:val="20"/>
                <w:szCs w:val="20"/>
              </w:rPr>
              <w:t xml:space="preserve">Izpostavljenost intenzivnim padavinam ostaja </w:t>
            </w:r>
            <w:r>
              <w:rPr>
                <w:sz w:val="20"/>
                <w:szCs w:val="20"/>
              </w:rPr>
              <w:t>zmerna</w:t>
            </w:r>
            <w:r w:rsidRPr="0025537D">
              <w:rPr>
                <w:sz w:val="20"/>
                <w:szCs w:val="20"/>
              </w:rPr>
              <w:t xml:space="preserve">, </w:t>
            </w:r>
            <w:r>
              <w:rPr>
                <w:sz w:val="20"/>
                <w:szCs w:val="20"/>
              </w:rPr>
              <w:t>potrebno je ukrepanje na stalno poplavnih kmetijskih površinah.</w:t>
            </w:r>
          </w:p>
        </w:tc>
        <w:tc>
          <w:tcPr>
            <w:tcW w:w="1276" w:type="dxa"/>
            <w:shd w:val="clear" w:color="auto" w:fill="FFFF00"/>
          </w:tcPr>
          <w:p w14:paraId="170B1F3B" w14:textId="77777777" w:rsidR="00A920F6" w:rsidRPr="0025537D" w:rsidRDefault="00A920F6" w:rsidP="00A920F6">
            <w:pPr>
              <w:jc w:val="center"/>
              <w:rPr>
                <w:sz w:val="20"/>
                <w:szCs w:val="20"/>
              </w:rPr>
            </w:pPr>
            <w:r>
              <w:rPr>
                <w:sz w:val="20"/>
                <w:szCs w:val="20"/>
              </w:rPr>
              <w:t>3</w:t>
            </w:r>
          </w:p>
          <w:p w14:paraId="20B9CC7D" w14:textId="77777777" w:rsidR="00A920F6" w:rsidRPr="0025537D" w:rsidRDefault="00A920F6" w:rsidP="00A920F6">
            <w:pPr>
              <w:jc w:val="center"/>
              <w:rPr>
                <w:sz w:val="20"/>
                <w:szCs w:val="20"/>
              </w:rPr>
            </w:pPr>
            <w:r>
              <w:rPr>
                <w:sz w:val="20"/>
                <w:szCs w:val="20"/>
              </w:rPr>
              <w:t>(x = 0,49</w:t>
            </w:r>
            <w:r w:rsidRPr="0025537D">
              <w:rPr>
                <w:sz w:val="20"/>
                <w:szCs w:val="20"/>
              </w:rPr>
              <w:t>)</w:t>
            </w:r>
          </w:p>
        </w:tc>
        <w:tc>
          <w:tcPr>
            <w:tcW w:w="1275" w:type="dxa"/>
            <w:shd w:val="clear" w:color="auto" w:fill="FFFF00"/>
          </w:tcPr>
          <w:p w14:paraId="12E697C7" w14:textId="77777777" w:rsidR="00A920F6" w:rsidRPr="0025537D" w:rsidRDefault="00A920F6" w:rsidP="00A920F6">
            <w:pPr>
              <w:jc w:val="center"/>
              <w:rPr>
                <w:sz w:val="20"/>
                <w:szCs w:val="20"/>
              </w:rPr>
            </w:pPr>
            <w:r>
              <w:rPr>
                <w:sz w:val="20"/>
                <w:szCs w:val="20"/>
              </w:rPr>
              <w:t>3</w:t>
            </w:r>
          </w:p>
          <w:p w14:paraId="335961E5" w14:textId="77777777" w:rsidR="00A920F6" w:rsidRPr="0025537D" w:rsidRDefault="00A920F6" w:rsidP="00A920F6">
            <w:pPr>
              <w:jc w:val="center"/>
              <w:rPr>
                <w:sz w:val="20"/>
                <w:szCs w:val="20"/>
              </w:rPr>
            </w:pPr>
            <w:r>
              <w:rPr>
                <w:sz w:val="20"/>
                <w:szCs w:val="20"/>
              </w:rPr>
              <w:t>(x = 0,49</w:t>
            </w:r>
            <w:r w:rsidRPr="0025537D">
              <w:rPr>
                <w:sz w:val="20"/>
                <w:szCs w:val="20"/>
              </w:rPr>
              <w:t>)</w:t>
            </w:r>
          </w:p>
        </w:tc>
      </w:tr>
      <w:tr w:rsidR="00A920F6" w:rsidRPr="0025537D" w14:paraId="054F8827" w14:textId="77777777" w:rsidTr="00A920F6">
        <w:trPr>
          <w:trHeight w:val="70"/>
        </w:trPr>
        <w:tc>
          <w:tcPr>
            <w:tcW w:w="2020" w:type="dxa"/>
            <w:vMerge/>
            <w:shd w:val="clear" w:color="auto" w:fill="F2F2F2"/>
            <w:vAlign w:val="center"/>
          </w:tcPr>
          <w:p w14:paraId="258E2CE9" w14:textId="77777777" w:rsidR="00A920F6" w:rsidRPr="0025537D" w:rsidRDefault="00A920F6" w:rsidP="00A920F6">
            <w:pPr>
              <w:jc w:val="center"/>
              <w:rPr>
                <w:bCs/>
                <w:sz w:val="20"/>
                <w:szCs w:val="20"/>
              </w:rPr>
            </w:pPr>
          </w:p>
        </w:tc>
        <w:tc>
          <w:tcPr>
            <w:tcW w:w="2052" w:type="dxa"/>
            <w:shd w:val="clear" w:color="auto" w:fill="F2F2F2"/>
          </w:tcPr>
          <w:p w14:paraId="5A5DBA7D" w14:textId="77777777" w:rsidR="00A920F6" w:rsidRPr="00A25970" w:rsidRDefault="00A920F6" w:rsidP="00A920F6">
            <w:pPr>
              <w:jc w:val="center"/>
              <w:rPr>
                <w:bCs/>
                <w:sz w:val="20"/>
                <w:szCs w:val="20"/>
              </w:rPr>
            </w:pPr>
            <w:r w:rsidRPr="00A25970">
              <w:rPr>
                <w:bCs/>
                <w:sz w:val="20"/>
                <w:szCs w:val="20"/>
              </w:rPr>
              <w:t>Povprečno letno število dni s snežno odejo</w:t>
            </w:r>
          </w:p>
        </w:tc>
        <w:tc>
          <w:tcPr>
            <w:tcW w:w="2727" w:type="dxa"/>
          </w:tcPr>
          <w:p w14:paraId="58C83110" w14:textId="77777777" w:rsidR="00A920F6" w:rsidRPr="00A25970" w:rsidRDefault="00A920F6" w:rsidP="00A920F6">
            <w:pPr>
              <w:rPr>
                <w:sz w:val="20"/>
                <w:szCs w:val="20"/>
              </w:rPr>
            </w:pPr>
            <w:r w:rsidRPr="00A25970">
              <w:rPr>
                <w:sz w:val="20"/>
                <w:szCs w:val="20"/>
              </w:rPr>
              <w:t>Trajanje snežne odeje se zmanjšuje</w:t>
            </w:r>
            <w:r>
              <w:rPr>
                <w:sz w:val="20"/>
                <w:szCs w:val="20"/>
              </w:rPr>
              <w:t xml:space="preserve"> (</w:t>
            </w:r>
            <w:r w:rsidRPr="00A25970">
              <w:rPr>
                <w:sz w:val="20"/>
                <w:szCs w:val="20"/>
              </w:rPr>
              <w:t>še</w:t>
            </w:r>
            <w:r>
              <w:rPr>
                <w:sz w:val="20"/>
                <w:szCs w:val="20"/>
              </w:rPr>
              <w:t xml:space="preserve"> posebej v višje ležečem </w:t>
            </w:r>
            <w:r w:rsidRPr="00A25970">
              <w:rPr>
                <w:sz w:val="20"/>
                <w:szCs w:val="20"/>
              </w:rPr>
              <w:t>zaledju</w:t>
            </w:r>
            <w:r>
              <w:rPr>
                <w:sz w:val="20"/>
                <w:szCs w:val="20"/>
              </w:rPr>
              <w:t>)</w:t>
            </w:r>
            <w:r w:rsidRPr="00A25970">
              <w:rPr>
                <w:sz w:val="20"/>
                <w:szCs w:val="20"/>
              </w:rPr>
              <w:t xml:space="preserve">, izpostavljenost </w:t>
            </w:r>
            <w:r>
              <w:rPr>
                <w:sz w:val="20"/>
                <w:szCs w:val="20"/>
              </w:rPr>
              <w:t>ostaja zelo velika</w:t>
            </w:r>
            <w:r w:rsidRPr="00A25970">
              <w:rPr>
                <w:sz w:val="20"/>
                <w:szCs w:val="20"/>
              </w:rPr>
              <w:t xml:space="preserve">, ker ni </w:t>
            </w:r>
            <w:r>
              <w:rPr>
                <w:sz w:val="20"/>
                <w:szCs w:val="20"/>
              </w:rPr>
              <w:t>z</w:t>
            </w:r>
            <w:r w:rsidRPr="00A25970">
              <w:rPr>
                <w:sz w:val="20"/>
                <w:szCs w:val="20"/>
              </w:rPr>
              <w:t>alog vode.</w:t>
            </w:r>
          </w:p>
        </w:tc>
        <w:tc>
          <w:tcPr>
            <w:tcW w:w="1276" w:type="dxa"/>
            <w:shd w:val="clear" w:color="auto" w:fill="FF3F00"/>
          </w:tcPr>
          <w:p w14:paraId="130F22FC" w14:textId="77777777" w:rsidR="00A920F6" w:rsidRPr="00A25970" w:rsidRDefault="00A920F6" w:rsidP="00A920F6">
            <w:pPr>
              <w:jc w:val="center"/>
              <w:rPr>
                <w:sz w:val="20"/>
                <w:szCs w:val="20"/>
              </w:rPr>
            </w:pPr>
            <w:r w:rsidRPr="00A25970">
              <w:rPr>
                <w:sz w:val="20"/>
                <w:szCs w:val="20"/>
              </w:rPr>
              <w:t>5</w:t>
            </w:r>
          </w:p>
          <w:p w14:paraId="46BDCDCD" w14:textId="77777777" w:rsidR="00A920F6" w:rsidRPr="00A25970" w:rsidRDefault="00A920F6" w:rsidP="00A920F6">
            <w:pPr>
              <w:jc w:val="center"/>
              <w:rPr>
                <w:sz w:val="20"/>
                <w:szCs w:val="20"/>
              </w:rPr>
            </w:pPr>
            <w:r w:rsidRPr="00A25970">
              <w:rPr>
                <w:sz w:val="20"/>
                <w:szCs w:val="20"/>
              </w:rPr>
              <w:t>(ocena)</w:t>
            </w:r>
          </w:p>
        </w:tc>
        <w:tc>
          <w:tcPr>
            <w:tcW w:w="1275" w:type="dxa"/>
            <w:shd w:val="clear" w:color="auto" w:fill="FF3F00"/>
          </w:tcPr>
          <w:p w14:paraId="7A8D0A69" w14:textId="77777777" w:rsidR="00A920F6" w:rsidRPr="00A25970" w:rsidRDefault="00A920F6" w:rsidP="00A920F6">
            <w:pPr>
              <w:jc w:val="center"/>
              <w:rPr>
                <w:sz w:val="20"/>
                <w:szCs w:val="20"/>
              </w:rPr>
            </w:pPr>
            <w:r w:rsidRPr="00A25970">
              <w:rPr>
                <w:sz w:val="20"/>
                <w:szCs w:val="20"/>
              </w:rPr>
              <w:t>5</w:t>
            </w:r>
          </w:p>
          <w:p w14:paraId="0FD54F4A" w14:textId="77777777" w:rsidR="00A920F6" w:rsidRPr="00A25970" w:rsidRDefault="00A920F6" w:rsidP="00A920F6">
            <w:pPr>
              <w:jc w:val="center"/>
              <w:rPr>
                <w:sz w:val="20"/>
                <w:szCs w:val="20"/>
              </w:rPr>
            </w:pPr>
            <w:r w:rsidRPr="00A25970">
              <w:rPr>
                <w:sz w:val="20"/>
                <w:szCs w:val="20"/>
              </w:rPr>
              <w:t>(ocena)</w:t>
            </w:r>
          </w:p>
        </w:tc>
      </w:tr>
      <w:tr w:rsidR="00A920F6" w:rsidRPr="0025537D" w14:paraId="440E5E1E" w14:textId="77777777" w:rsidTr="00A920F6">
        <w:trPr>
          <w:trHeight w:val="70"/>
        </w:trPr>
        <w:tc>
          <w:tcPr>
            <w:tcW w:w="2020" w:type="dxa"/>
            <w:vMerge/>
            <w:shd w:val="clear" w:color="auto" w:fill="F2F2F2"/>
            <w:vAlign w:val="center"/>
          </w:tcPr>
          <w:p w14:paraId="5726F178" w14:textId="77777777" w:rsidR="00A920F6" w:rsidRPr="0025537D" w:rsidRDefault="00A920F6" w:rsidP="00A920F6">
            <w:pPr>
              <w:jc w:val="center"/>
              <w:rPr>
                <w:bCs/>
                <w:sz w:val="20"/>
                <w:szCs w:val="20"/>
              </w:rPr>
            </w:pPr>
          </w:p>
        </w:tc>
        <w:tc>
          <w:tcPr>
            <w:tcW w:w="2052" w:type="dxa"/>
            <w:shd w:val="clear" w:color="auto" w:fill="F2F2F2"/>
          </w:tcPr>
          <w:p w14:paraId="0C0A765E" w14:textId="77777777" w:rsidR="00A920F6" w:rsidRPr="0025537D" w:rsidRDefault="00A920F6" w:rsidP="00A920F6">
            <w:pPr>
              <w:jc w:val="center"/>
              <w:rPr>
                <w:sz w:val="20"/>
                <w:szCs w:val="20"/>
              </w:rPr>
            </w:pPr>
            <w:r w:rsidRPr="0025537D">
              <w:rPr>
                <w:sz w:val="20"/>
                <w:szCs w:val="20"/>
              </w:rPr>
              <w:t>Sunki vetra</w:t>
            </w:r>
          </w:p>
        </w:tc>
        <w:tc>
          <w:tcPr>
            <w:tcW w:w="2727" w:type="dxa"/>
          </w:tcPr>
          <w:p w14:paraId="086BAB99" w14:textId="77777777" w:rsidR="00A920F6" w:rsidRPr="0025537D" w:rsidRDefault="00A920F6" w:rsidP="00A920F6">
            <w:pPr>
              <w:rPr>
                <w:sz w:val="20"/>
                <w:szCs w:val="20"/>
              </w:rPr>
            </w:pPr>
            <w:r w:rsidRPr="0025537D">
              <w:rPr>
                <w:sz w:val="20"/>
                <w:szCs w:val="20"/>
              </w:rPr>
              <w:t xml:space="preserve">Izpostavljenost </w:t>
            </w:r>
            <w:r>
              <w:rPr>
                <w:sz w:val="20"/>
                <w:szCs w:val="20"/>
              </w:rPr>
              <w:t>zaradi vetra ostaja velika.</w:t>
            </w:r>
          </w:p>
        </w:tc>
        <w:tc>
          <w:tcPr>
            <w:tcW w:w="1276" w:type="dxa"/>
            <w:shd w:val="clear" w:color="auto" w:fill="FF3F00"/>
          </w:tcPr>
          <w:p w14:paraId="25A2CFF2" w14:textId="77777777" w:rsidR="00A920F6" w:rsidRDefault="00A920F6" w:rsidP="00A920F6">
            <w:pPr>
              <w:jc w:val="center"/>
              <w:rPr>
                <w:sz w:val="20"/>
                <w:szCs w:val="20"/>
              </w:rPr>
            </w:pPr>
            <w:r>
              <w:rPr>
                <w:sz w:val="20"/>
                <w:szCs w:val="20"/>
              </w:rPr>
              <w:t>5</w:t>
            </w:r>
          </w:p>
          <w:p w14:paraId="721035B4" w14:textId="77777777" w:rsidR="00A920F6" w:rsidRPr="0025537D" w:rsidRDefault="00A920F6" w:rsidP="00A920F6">
            <w:pPr>
              <w:jc w:val="center"/>
              <w:rPr>
                <w:sz w:val="20"/>
                <w:szCs w:val="20"/>
              </w:rPr>
            </w:pPr>
            <w:r w:rsidRPr="0025537D">
              <w:rPr>
                <w:sz w:val="20"/>
                <w:szCs w:val="20"/>
              </w:rPr>
              <w:t>(ocena)</w:t>
            </w:r>
          </w:p>
        </w:tc>
        <w:tc>
          <w:tcPr>
            <w:tcW w:w="1275" w:type="dxa"/>
            <w:shd w:val="clear" w:color="auto" w:fill="FF3F00"/>
          </w:tcPr>
          <w:p w14:paraId="72E91C78" w14:textId="77777777" w:rsidR="00A920F6" w:rsidRPr="0025537D" w:rsidRDefault="00A920F6" w:rsidP="00A920F6">
            <w:pPr>
              <w:jc w:val="center"/>
              <w:rPr>
                <w:sz w:val="20"/>
                <w:szCs w:val="20"/>
              </w:rPr>
            </w:pPr>
            <w:r>
              <w:rPr>
                <w:sz w:val="20"/>
                <w:szCs w:val="20"/>
              </w:rPr>
              <w:t>5</w:t>
            </w:r>
          </w:p>
          <w:p w14:paraId="73F61EF4" w14:textId="77777777" w:rsidR="00A920F6" w:rsidRPr="0025537D" w:rsidRDefault="00A920F6" w:rsidP="00A920F6">
            <w:pPr>
              <w:jc w:val="center"/>
              <w:rPr>
                <w:sz w:val="20"/>
                <w:szCs w:val="20"/>
              </w:rPr>
            </w:pPr>
            <w:r w:rsidRPr="0025537D">
              <w:rPr>
                <w:sz w:val="20"/>
                <w:szCs w:val="20"/>
              </w:rPr>
              <w:t>(ocena)</w:t>
            </w:r>
          </w:p>
        </w:tc>
      </w:tr>
    </w:tbl>
    <w:p w14:paraId="763D78E4" w14:textId="77777777" w:rsidR="00A920F6" w:rsidRPr="0025537D" w:rsidRDefault="00A920F6" w:rsidP="00A920F6"/>
    <w:p w14:paraId="2F53B46C" w14:textId="4A238893" w:rsidR="00A920F6" w:rsidRPr="0025537D" w:rsidRDefault="00A920F6" w:rsidP="00A920F6">
      <w:pPr>
        <w:spacing w:after="200" w:line="240" w:lineRule="auto"/>
        <w:rPr>
          <w:rFonts w:ascii="Calibri" w:eastAsia="Calibri" w:hAnsi="Calibri" w:cs="Times New Roman"/>
          <w:i/>
          <w:iCs/>
          <w:color w:val="44546A" w:themeColor="text2"/>
          <w:sz w:val="18"/>
          <w:szCs w:val="18"/>
        </w:rPr>
      </w:pPr>
      <w:bookmarkStart w:id="163" w:name="_Ref75844109"/>
      <w:bookmarkStart w:id="164" w:name="_Toc97026961"/>
      <w:r w:rsidRPr="0025537D">
        <w:rPr>
          <w:rFonts w:eastAsia="Trebuchet MS" w:cs="Trebuchet MS"/>
          <w:i/>
          <w:iCs/>
          <w:color w:val="44546A" w:themeColor="text2"/>
          <w:sz w:val="18"/>
          <w:szCs w:val="18"/>
          <w:lang w:eastAsia="sl-SI"/>
        </w:rPr>
        <w:t xml:space="preserve">Preglednica </w:t>
      </w:r>
      <w:r w:rsidR="00976D80">
        <w:rPr>
          <w:rFonts w:eastAsia="Trebuchet MS" w:cs="Trebuchet MS"/>
          <w:i/>
          <w:iCs/>
          <w:color w:val="44546A" w:themeColor="text2"/>
          <w:sz w:val="18"/>
          <w:szCs w:val="18"/>
          <w:lang w:eastAsia="sl-SI"/>
        </w:rPr>
        <w:fldChar w:fldCharType="begin"/>
      </w:r>
      <w:r w:rsidR="00976D80">
        <w:rPr>
          <w:rFonts w:eastAsia="Trebuchet MS" w:cs="Trebuchet MS"/>
          <w:i/>
          <w:iCs/>
          <w:color w:val="44546A" w:themeColor="text2"/>
          <w:sz w:val="18"/>
          <w:szCs w:val="18"/>
          <w:lang w:eastAsia="sl-SI"/>
        </w:rPr>
        <w:instrText xml:space="preserve"> STYLEREF 1 \s </w:instrText>
      </w:r>
      <w:r w:rsidR="00976D80">
        <w:rPr>
          <w:rFonts w:eastAsia="Trebuchet MS" w:cs="Trebuchet MS"/>
          <w:i/>
          <w:iCs/>
          <w:color w:val="44546A" w:themeColor="text2"/>
          <w:sz w:val="18"/>
          <w:szCs w:val="18"/>
          <w:lang w:eastAsia="sl-SI"/>
        </w:rPr>
        <w:fldChar w:fldCharType="separate"/>
      </w:r>
      <w:r w:rsidR="00976D80">
        <w:rPr>
          <w:rFonts w:eastAsia="Trebuchet MS" w:cs="Trebuchet MS"/>
          <w:i/>
          <w:iCs/>
          <w:noProof/>
          <w:color w:val="44546A" w:themeColor="text2"/>
          <w:sz w:val="18"/>
          <w:szCs w:val="18"/>
          <w:lang w:eastAsia="sl-SI"/>
        </w:rPr>
        <w:t>6</w:t>
      </w:r>
      <w:r w:rsidR="00976D80">
        <w:rPr>
          <w:rFonts w:eastAsia="Trebuchet MS" w:cs="Trebuchet MS"/>
          <w:i/>
          <w:iCs/>
          <w:color w:val="44546A" w:themeColor="text2"/>
          <w:sz w:val="18"/>
          <w:szCs w:val="18"/>
          <w:lang w:eastAsia="sl-SI"/>
        </w:rPr>
        <w:fldChar w:fldCharType="end"/>
      </w:r>
      <w:r w:rsidR="00976D80">
        <w:rPr>
          <w:rFonts w:eastAsia="Trebuchet MS" w:cs="Trebuchet MS"/>
          <w:i/>
          <w:iCs/>
          <w:color w:val="44546A" w:themeColor="text2"/>
          <w:sz w:val="18"/>
          <w:szCs w:val="18"/>
          <w:lang w:eastAsia="sl-SI"/>
        </w:rPr>
        <w:t>.</w:t>
      </w:r>
      <w:r w:rsidR="00976D80">
        <w:rPr>
          <w:rFonts w:eastAsia="Trebuchet MS" w:cs="Trebuchet MS"/>
          <w:i/>
          <w:iCs/>
          <w:color w:val="44546A" w:themeColor="text2"/>
          <w:sz w:val="18"/>
          <w:szCs w:val="18"/>
          <w:lang w:eastAsia="sl-SI"/>
        </w:rPr>
        <w:fldChar w:fldCharType="begin"/>
      </w:r>
      <w:r w:rsidR="00976D80">
        <w:rPr>
          <w:rFonts w:eastAsia="Trebuchet MS" w:cs="Trebuchet MS"/>
          <w:i/>
          <w:iCs/>
          <w:color w:val="44546A" w:themeColor="text2"/>
          <w:sz w:val="18"/>
          <w:szCs w:val="18"/>
          <w:lang w:eastAsia="sl-SI"/>
        </w:rPr>
        <w:instrText xml:space="preserve"> SEQ Preglednica \* ARABIC \s 1 </w:instrText>
      </w:r>
      <w:r w:rsidR="00976D80">
        <w:rPr>
          <w:rFonts w:eastAsia="Trebuchet MS" w:cs="Trebuchet MS"/>
          <w:i/>
          <w:iCs/>
          <w:color w:val="44546A" w:themeColor="text2"/>
          <w:sz w:val="18"/>
          <w:szCs w:val="18"/>
          <w:lang w:eastAsia="sl-SI"/>
        </w:rPr>
        <w:fldChar w:fldCharType="separate"/>
      </w:r>
      <w:r w:rsidR="00976D80">
        <w:rPr>
          <w:rFonts w:eastAsia="Trebuchet MS" w:cs="Trebuchet MS"/>
          <w:i/>
          <w:iCs/>
          <w:noProof/>
          <w:color w:val="44546A" w:themeColor="text2"/>
          <w:sz w:val="18"/>
          <w:szCs w:val="18"/>
          <w:lang w:eastAsia="sl-SI"/>
        </w:rPr>
        <w:t>8</w:t>
      </w:r>
      <w:r w:rsidR="00976D80">
        <w:rPr>
          <w:rFonts w:eastAsia="Trebuchet MS" w:cs="Trebuchet MS"/>
          <w:i/>
          <w:iCs/>
          <w:color w:val="44546A" w:themeColor="text2"/>
          <w:sz w:val="18"/>
          <w:szCs w:val="18"/>
          <w:lang w:eastAsia="sl-SI"/>
        </w:rPr>
        <w:fldChar w:fldCharType="end"/>
      </w:r>
      <w:bookmarkEnd w:id="163"/>
      <w:r w:rsidRPr="0025537D">
        <w:rPr>
          <w:rFonts w:eastAsia="Trebuchet MS" w:cs="Trebuchet MS"/>
          <w:i/>
          <w:iCs/>
          <w:color w:val="44546A" w:themeColor="text2"/>
          <w:sz w:val="18"/>
          <w:szCs w:val="18"/>
          <w:lang w:eastAsia="sl-SI"/>
        </w:rPr>
        <w:t xml:space="preserve">: Kvantitativne ocene spremenljivk kazalnika izpostavljenosti kmetijstva na podnebje po scenariju </w:t>
      </w:r>
      <w:r w:rsidRPr="0025537D">
        <w:rPr>
          <w:rFonts w:ascii="Calibri" w:eastAsia="Calibri" w:hAnsi="Calibri" w:cs="Times New Roman"/>
          <w:i/>
          <w:iCs/>
          <w:color w:val="44546A" w:themeColor="text2"/>
          <w:sz w:val="18"/>
          <w:szCs w:val="18"/>
        </w:rPr>
        <w:t>RCP8.5.</w:t>
      </w:r>
      <w:bookmarkEnd w:id="164"/>
    </w:p>
    <w:tbl>
      <w:tblPr>
        <w:tblStyle w:val="TableGrid21"/>
        <w:tblW w:w="0" w:type="auto"/>
        <w:tblLook w:val="04A0" w:firstRow="1" w:lastRow="0" w:firstColumn="1" w:lastColumn="0" w:noHBand="0" w:noVBand="1"/>
      </w:tblPr>
      <w:tblGrid>
        <w:gridCol w:w="2019"/>
        <w:gridCol w:w="2052"/>
        <w:gridCol w:w="2728"/>
        <w:gridCol w:w="1276"/>
        <w:gridCol w:w="1275"/>
      </w:tblGrid>
      <w:tr w:rsidR="00A920F6" w:rsidRPr="0025537D" w14:paraId="0FAAB348" w14:textId="77777777" w:rsidTr="00A920F6">
        <w:trPr>
          <w:trHeight w:val="270"/>
        </w:trPr>
        <w:tc>
          <w:tcPr>
            <w:tcW w:w="4071" w:type="dxa"/>
            <w:gridSpan w:val="2"/>
            <w:vMerge w:val="restart"/>
            <w:shd w:val="clear" w:color="auto" w:fill="D9D9D9"/>
          </w:tcPr>
          <w:p w14:paraId="393D54CC" w14:textId="77777777" w:rsidR="00A920F6" w:rsidRPr="0025537D" w:rsidRDefault="00A920F6" w:rsidP="00A920F6">
            <w:pPr>
              <w:rPr>
                <w:bCs/>
                <w:sz w:val="20"/>
                <w:szCs w:val="20"/>
              </w:rPr>
            </w:pPr>
            <w:r w:rsidRPr="0025537D">
              <w:rPr>
                <w:bCs/>
                <w:sz w:val="20"/>
                <w:szCs w:val="20"/>
              </w:rPr>
              <w:t>Ocena spremenljivk izpostavljenosti v kmetijstvu po scenariju RCP8.5</w:t>
            </w:r>
          </w:p>
        </w:tc>
        <w:tc>
          <w:tcPr>
            <w:tcW w:w="2728" w:type="dxa"/>
            <w:vMerge w:val="restart"/>
            <w:shd w:val="clear" w:color="auto" w:fill="D9D9D9"/>
            <w:vAlign w:val="center"/>
          </w:tcPr>
          <w:p w14:paraId="00EAED7B" w14:textId="77777777" w:rsidR="00A920F6" w:rsidRPr="0025537D" w:rsidRDefault="00A920F6" w:rsidP="00A920F6">
            <w:pPr>
              <w:rPr>
                <w:sz w:val="20"/>
                <w:szCs w:val="20"/>
              </w:rPr>
            </w:pPr>
            <w:r w:rsidRPr="0025537D">
              <w:rPr>
                <w:sz w:val="20"/>
                <w:szCs w:val="20"/>
              </w:rPr>
              <w:t>Opisno</w:t>
            </w:r>
          </w:p>
        </w:tc>
        <w:tc>
          <w:tcPr>
            <w:tcW w:w="2551" w:type="dxa"/>
            <w:gridSpan w:val="2"/>
            <w:shd w:val="clear" w:color="auto" w:fill="D9D9D9"/>
            <w:vAlign w:val="center"/>
          </w:tcPr>
          <w:p w14:paraId="4FA53337" w14:textId="77777777" w:rsidR="00A920F6" w:rsidRPr="0025537D" w:rsidRDefault="00A920F6" w:rsidP="00A920F6">
            <w:pPr>
              <w:rPr>
                <w:sz w:val="20"/>
                <w:szCs w:val="20"/>
              </w:rPr>
            </w:pPr>
            <w:r w:rsidRPr="0025537D">
              <w:rPr>
                <w:sz w:val="20"/>
                <w:szCs w:val="20"/>
              </w:rPr>
              <w:t>Kvantitativno</w:t>
            </w:r>
          </w:p>
        </w:tc>
      </w:tr>
      <w:tr w:rsidR="00A920F6" w:rsidRPr="0025537D" w14:paraId="1ADD4656" w14:textId="77777777" w:rsidTr="00A920F6">
        <w:trPr>
          <w:trHeight w:val="270"/>
        </w:trPr>
        <w:tc>
          <w:tcPr>
            <w:tcW w:w="4071" w:type="dxa"/>
            <w:gridSpan w:val="2"/>
            <w:vMerge/>
            <w:shd w:val="clear" w:color="auto" w:fill="D9D9D9"/>
          </w:tcPr>
          <w:p w14:paraId="22AC781F" w14:textId="77777777" w:rsidR="00A920F6" w:rsidRPr="0025537D" w:rsidRDefault="00A920F6" w:rsidP="00A920F6">
            <w:pPr>
              <w:rPr>
                <w:bCs/>
                <w:sz w:val="20"/>
                <w:szCs w:val="20"/>
              </w:rPr>
            </w:pPr>
          </w:p>
        </w:tc>
        <w:tc>
          <w:tcPr>
            <w:tcW w:w="2728" w:type="dxa"/>
            <w:vMerge/>
            <w:shd w:val="clear" w:color="auto" w:fill="D9D9D9"/>
          </w:tcPr>
          <w:p w14:paraId="4D89021F" w14:textId="77777777" w:rsidR="00A920F6" w:rsidRPr="0025537D" w:rsidRDefault="00A920F6" w:rsidP="00A920F6">
            <w:pPr>
              <w:rPr>
                <w:sz w:val="20"/>
                <w:szCs w:val="20"/>
              </w:rPr>
            </w:pPr>
          </w:p>
        </w:tc>
        <w:tc>
          <w:tcPr>
            <w:tcW w:w="1276" w:type="dxa"/>
            <w:shd w:val="clear" w:color="auto" w:fill="D9D9D9"/>
            <w:vAlign w:val="center"/>
          </w:tcPr>
          <w:p w14:paraId="1C233655" w14:textId="77777777" w:rsidR="00A920F6" w:rsidRPr="0025537D" w:rsidRDefault="00A920F6" w:rsidP="00A920F6">
            <w:pPr>
              <w:rPr>
                <w:sz w:val="20"/>
                <w:szCs w:val="20"/>
              </w:rPr>
            </w:pPr>
            <w:r w:rsidRPr="0025537D">
              <w:rPr>
                <w:sz w:val="20"/>
                <w:szCs w:val="20"/>
              </w:rPr>
              <w:t>2011-2040</w:t>
            </w:r>
          </w:p>
        </w:tc>
        <w:tc>
          <w:tcPr>
            <w:tcW w:w="1275" w:type="dxa"/>
            <w:shd w:val="clear" w:color="auto" w:fill="D9D9D9"/>
            <w:vAlign w:val="center"/>
          </w:tcPr>
          <w:p w14:paraId="0DE810E8" w14:textId="77777777" w:rsidR="00A920F6" w:rsidRPr="0025537D" w:rsidRDefault="00A920F6" w:rsidP="00A920F6">
            <w:pPr>
              <w:rPr>
                <w:sz w:val="20"/>
                <w:szCs w:val="20"/>
              </w:rPr>
            </w:pPr>
            <w:r w:rsidRPr="0025537D">
              <w:rPr>
                <w:sz w:val="20"/>
                <w:szCs w:val="20"/>
              </w:rPr>
              <w:t>2041-2070</w:t>
            </w:r>
          </w:p>
        </w:tc>
      </w:tr>
      <w:tr w:rsidR="00A920F6" w:rsidRPr="0025537D" w14:paraId="2FEE5EA5" w14:textId="77777777" w:rsidTr="00A920F6">
        <w:trPr>
          <w:trHeight w:val="375"/>
        </w:trPr>
        <w:tc>
          <w:tcPr>
            <w:tcW w:w="2019" w:type="dxa"/>
            <w:vMerge w:val="restart"/>
            <w:shd w:val="clear" w:color="auto" w:fill="F2F2F2"/>
            <w:vAlign w:val="center"/>
          </w:tcPr>
          <w:p w14:paraId="35E0119B" w14:textId="77777777" w:rsidR="00A920F6" w:rsidRPr="0025537D" w:rsidRDefault="00A920F6" w:rsidP="00A920F6">
            <w:pPr>
              <w:rPr>
                <w:bCs/>
                <w:sz w:val="20"/>
                <w:szCs w:val="20"/>
              </w:rPr>
            </w:pPr>
            <w:r w:rsidRPr="0025537D">
              <w:rPr>
                <w:bCs/>
                <w:sz w:val="20"/>
                <w:szCs w:val="20"/>
              </w:rPr>
              <w:t>IZPOSTAVLJENOST</w:t>
            </w:r>
          </w:p>
        </w:tc>
        <w:tc>
          <w:tcPr>
            <w:tcW w:w="2052" w:type="dxa"/>
            <w:shd w:val="clear" w:color="auto" w:fill="F2F2F2"/>
          </w:tcPr>
          <w:p w14:paraId="70104245" w14:textId="77777777" w:rsidR="00A920F6" w:rsidRPr="0025537D" w:rsidRDefault="00A920F6" w:rsidP="00A920F6">
            <w:pPr>
              <w:jc w:val="center"/>
              <w:rPr>
                <w:bCs/>
                <w:sz w:val="20"/>
                <w:szCs w:val="20"/>
              </w:rPr>
            </w:pPr>
            <w:r w:rsidRPr="0025537D">
              <w:rPr>
                <w:sz w:val="20"/>
                <w:szCs w:val="20"/>
              </w:rPr>
              <w:t>Povprečna poletna temperatura zraka</w:t>
            </w:r>
          </w:p>
        </w:tc>
        <w:tc>
          <w:tcPr>
            <w:tcW w:w="2728" w:type="dxa"/>
          </w:tcPr>
          <w:p w14:paraId="3ACB3E8A" w14:textId="77777777" w:rsidR="00A920F6" w:rsidRPr="0025537D" w:rsidRDefault="00A920F6" w:rsidP="00A920F6">
            <w:pPr>
              <w:rPr>
                <w:sz w:val="20"/>
                <w:szCs w:val="20"/>
              </w:rPr>
            </w:pPr>
            <w:r w:rsidRPr="0025537D">
              <w:rPr>
                <w:sz w:val="20"/>
                <w:szCs w:val="20"/>
              </w:rPr>
              <w:t xml:space="preserve">Izpostavljenost toplotni obremenitvi za kmete in živali se </w:t>
            </w:r>
            <w:r>
              <w:rPr>
                <w:sz w:val="20"/>
                <w:szCs w:val="20"/>
              </w:rPr>
              <w:t xml:space="preserve">zelo </w:t>
            </w:r>
            <w:r w:rsidRPr="0025537D">
              <w:rPr>
                <w:sz w:val="20"/>
                <w:szCs w:val="20"/>
              </w:rPr>
              <w:t xml:space="preserve">poveča, </w:t>
            </w:r>
            <w:r>
              <w:rPr>
                <w:sz w:val="20"/>
                <w:szCs w:val="20"/>
              </w:rPr>
              <w:t xml:space="preserve">zelo velike </w:t>
            </w:r>
            <w:r w:rsidRPr="0025537D">
              <w:rPr>
                <w:sz w:val="20"/>
                <w:szCs w:val="20"/>
              </w:rPr>
              <w:t>potrebe po hlajenju</w:t>
            </w:r>
            <w:r>
              <w:rPr>
                <w:sz w:val="20"/>
                <w:szCs w:val="20"/>
              </w:rPr>
              <w:t xml:space="preserve"> in</w:t>
            </w:r>
            <w:r w:rsidRPr="0025537D">
              <w:rPr>
                <w:sz w:val="20"/>
                <w:szCs w:val="20"/>
              </w:rPr>
              <w:t xml:space="preserve"> vročinski stres rastlin, izpostavljenost</w:t>
            </w:r>
            <w:r>
              <w:rPr>
                <w:sz w:val="20"/>
                <w:szCs w:val="20"/>
              </w:rPr>
              <w:t xml:space="preserve"> velika do zelo velika</w:t>
            </w:r>
            <w:r w:rsidRPr="0025537D">
              <w:rPr>
                <w:sz w:val="20"/>
                <w:szCs w:val="20"/>
              </w:rPr>
              <w:t xml:space="preserve">. </w:t>
            </w:r>
          </w:p>
        </w:tc>
        <w:tc>
          <w:tcPr>
            <w:tcW w:w="1276" w:type="dxa"/>
            <w:shd w:val="clear" w:color="auto" w:fill="FFCC00"/>
          </w:tcPr>
          <w:p w14:paraId="222AF626" w14:textId="77777777" w:rsidR="00A920F6" w:rsidRPr="0025537D" w:rsidRDefault="00A920F6" w:rsidP="00A920F6">
            <w:pPr>
              <w:jc w:val="center"/>
              <w:rPr>
                <w:sz w:val="20"/>
                <w:szCs w:val="20"/>
              </w:rPr>
            </w:pPr>
            <w:r>
              <w:rPr>
                <w:sz w:val="20"/>
                <w:szCs w:val="20"/>
              </w:rPr>
              <w:t>4</w:t>
            </w:r>
          </w:p>
          <w:p w14:paraId="6531C441" w14:textId="77777777" w:rsidR="00A920F6" w:rsidRPr="0025537D" w:rsidRDefault="00A920F6" w:rsidP="00A920F6">
            <w:pPr>
              <w:jc w:val="center"/>
              <w:rPr>
                <w:sz w:val="20"/>
                <w:szCs w:val="20"/>
              </w:rPr>
            </w:pPr>
            <w:r>
              <w:rPr>
                <w:sz w:val="20"/>
                <w:szCs w:val="20"/>
              </w:rPr>
              <w:t>(x = 0,73</w:t>
            </w:r>
            <w:r w:rsidRPr="0025537D">
              <w:rPr>
                <w:sz w:val="20"/>
                <w:szCs w:val="20"/>
              </w:rPr>
              <w:t>)</w:t>
            </w:r>
          </w:p>
        </w:tc>
        <w:tc>
          <w:tcPr>
            <w:tcW w:w="1275" w:type="dxa"/>
            <w:shd w:val="clear" w:color="auto" w:fill="FF3F00"/>
          </w:tcPr>
          <w:p w14:paraId="4142D126" w14:textId="77777777" w:rsidR="00A920F6" w:rsidRPr="0025537D" w:rsidRDefault="00A920F6" w:rsidP="00A920F6">
            <w:pPr>
              <w:jc w:val="center"/>
              <w:rPr>
                <w:iCs/>
                <w:sz w:val="20"/>
                <w:szCs w:val="20"/>
              </w:rPr>
            </w:pPr>
            <w:r w:rsidRPr="0025537D">
              <w:rPr>
                <w:iCs/>
                <w:sz w:val="20"/>
                <w:szCs w:val="20"/>
              </w:rPr>
              <w:t>5</w:t>
            </w:r>
          </w:p>
          <w:p w14:paraId="3B5E68FC" w14:textId="77777777" w:rsidR="00A920F6" w:rsidRPr="0025537D" w:rsidRDefault="00A920F6" w:rsidP="00A920F6">
            <w:pPr>
              <w:jc w:val="center"/>
              <w:rPr>
                <w:i/>
                <w:iCs/>
                <w:sz w:val="20"/>
                <w:szCs w:val="20"/>
              </w:rPr>
            </w:pPr>
            <w:r>
              <w:rPr>
                <w:sz w:val="20"/>
                <w:szCs w:val="20"/>
              </w:rPr>
              <w:t>(x = 0,90</w:t>
            </w:r>
            <w:r w:rsidRPr="0025537D">
              <w:rPr>
                <w:sz w:val="20"/>
                <w:szCs w:val="20"/>
              </w:rPr>
              <w:t>)</w:t>
            </w:r>
          </w:p>
        </w:tc>
      </w:tr>
      <w:tr w:rsidR="00A920F6" w:rsidRPr="0025537D" w14:paraId="644645E1" w14:textId="77777777" w:rsidTr="00A920F6">
        <w:trPr>
          <w:trHeight w:val="405"/>
        </w:trPr>
        <w:tc>
          <w:tcPr>
            <w:tcW w:w="2019" w:type="dxa"/>
            <w:vMerge/>
            <w:shd w:val="clear" w:color="auto" w:fill="F2F2F2"/>
            <w:vAlign w:val="center"/>
          </w:tcPr>
          <w:p w14:paraId="66B1A446" w14:textId="77777777" w:rsidR="00A920F6" w:rsidRPr="0025537D" w:rsidRDefault="00A920F6" w:rsidP="00A920F6">
            <w:pPr>
              <w:rPr>
                <w:bCs/>
                <w:sz w:val="20"/>
                <w:szCs w:val="20"/>
              </w:rPr>
            </w:pPr>
          </w:p>
        </w:tc>
        <w:tc>
          <w:tcPr>
            <w:tcW w:w="2052" w:type="dxa"/>
            <w:shd w:val="clear" w:color="auto" w:fill="F2F2F2"/>
          </w:tcPr>
          <w:p w14:paraId="47F80472" w14:textId="77777777" w:rsidR="00A920F6" w:rsidRPr="0025537D" w:rsidRDefault="00A920F6" w:rsidP="00A920F6">
            <w:pPr>
              <w:jc w:val="center"/>
              <w:rPr>
                <w:bCs/>
                <w:sz w:val="20"/>
                <w:szCs w:val="20"/>
                <w:lang w:val="it-IT"/>
              </w:rPr>
            </w:pPr>
            <w:r w:rsidRPr="0025537D">
              <w:rPr>
                <w:sz w:val="20"/>
                <w:szCs w:val="20"/>
              </w:rPr>
              <w:t>Povprečno letno število vročih dni</w:t>
            </w:r>
            <w:r w:rsidRPr="0025537D">
              <w:rPr>
                <w:sz w:val="20"/>
                <w:szCs w:val="20"/>
                <w:lang w:val="it-IT"/>
              </w:rPr>
              <w:t xml:space="preserve"> </w:t>
            </w:r>
            <w:r w:rsidRPr="0025537D">
              <w:rPr>
                <w:bCs/>
                <w:sz w:val="20"/>
                <w:szCs w:val="20"/>
              </w:rPr>
              <w:t>(dnevna temperatura nad 30 °C)</w:t>
            </w:r>
          </w:p>
        </w:tc>
        <w:tc>
          <w:tcPr>
            <w:tcW w:w="2728" w:type="dxa"/>
          </w:tcPr>
          <w:p w14:paraId="10CF5C4A" w14:textId="77777777" w:rsidR="00A920F6" w:rsidRPr="0025537D" w:rsidRDefault="00A920F6" w:rsidP="00A920F6">
            <w:pPr>
              <w:rPr>
                <w:color w:val="FF0000"/>
                <w:sz w:val="20"/>
                <w:szCs w:val="20"/>
              </w:rPr>
            </w:pPr>
            <w:r w:rsidRPr="0025537D">
              <w:rPr>
                <w:sz w:val="20"/>
                <w:szCs w:val="20"/>
              </w:rPr>
              <w:t xml:space="preserve">Število vročih dni se izjemno poveča,  izpostavljenost dolgotrajni toplotni obremenitvi in vročinskemu stresu postane </w:t>
            </w:r>
            <w:r>
              <w:rPr>
                <w:sz w:val="20"/>
                <w:szCs w:val="20"/>
              </w:rPr>
              <w:t>velika do zelo velika</w:t>
            </w:r>
            <w:r w:rsidRPr="0025537D">
              <w:rPr>
                <w:sz w:val="20"/>
                <w:szCs w:val="20"/>
              </w:rPr>
              <w:t xml:space="preserve">. </w:t>
            </w:r>
          </w:p>
        </w:tc>
        <w:tc>
          <w:tcPr>
            <w:tcW w:w="1276" w:type="dxa"/>
            <w:shd w:val="clear" w:color="auto" w:fill="FFCC00"/>
          </w:tcPr>
          <w:p w14:paraId="7E14324F" w14:textId="77777777" w:rsidR="00A920F6" w:rsidRPr="0025537D" w:rsidRDefault="00A920F6" w:rsidP="00A920F6">
            <w:pPr>
              <w:jc w:val="center"/>
              <w:rPr>
                <w:sz w:val="20"/>
                <w:szCs w:val="20"/>
              </w:rPr>
            </w:pPr>
            <w:r>
              <w:rPr>
                <w:sz w:val="20"/>
                <w:szCs w:val="20"/>
              </w:rPr>
              <w:t>4</w:t>
            </w:r>
          </w:p>
          <w:p w14:paraId="67DB0013" w14:textId="77777777" w:rsidR="00A920F6" w:rsidRPr="0025537D" w:rsidRDefault="00A920F6" w:rsidP="00A920F6">
            <w:pPr>
              <w:jc w:val="center"/>
              <w:rPr>
                <w:sz w:val="20"/>
                <w:szCs w:val="20"/>
              </w:rPr>
            </w:pPr>
            <w:r>
              <w:rPr>
                <w:sz w:val="20"/>
                <w:szCs w:val="20"/>
              </w:rPr>
              <w:t>(x = 0,66</w:t>
            </w:r>
            <w:r w:rsidRPr="0025537D">
              <w:rPr>
                <w:sz w:val="20"/>
                <w:szCs w:val="20"/>
              </w:rPr>
              <w:t>)</w:t>
            </w:r>
          </w:p>
        </w:tc>
        <w:tc>
          <w:tcPr>
            <w:tcW w:w="1275" w:type="dxa"/>
            <w:shd w:val="clear" w:color="auto" w:fill="FF3F00"/>
          </w:tcPr>
          <w:p w14:paraId="579ED103" w14:textId="77777777" w:rsidR="00A920F6" w:rsidRPr="0025537D" w:rsidRDefault="00A920F6" w:rsidP="00A920F6">
            <w:pPr>
              <w:jc w:val="center"/>
              <w:rPr>
                <w:iCs/>
                <w:sz w:val="20"/>
                <w:szCs w:val="20"/>
              </w:rPr>
            </w:pPr>
            <w:r w:rsidRPr="0025537D">
              <w:rPr>
                <w:iCs/>
                <w:sz w:val="20"/>
                <w:szCs w:val="20"/>
              </w:rPr>
              <w:t>5</w:t>
            </w:r>
          </w:p>
          <w:p w14:paraId="02C54074" w14:textId="77777777" w:rsidR="00A920F6" w:rsidRPr="0025537D" w:rsidRDefault="00A920F6" w:rsidP="00A920F6">
            <w:pPr>
              <w:jc w:val="center"/>
              <w:rPr>
                <w:iCs/>
                <w:sz w:val="20"/>
                <w:szCs w:val="20"/>
              </w:rPr>
            </w:pPr>
            <w:r w:rsidRPr="0025537D">
              <w:rPr>
                <w:sz w:val="20"/>
                <w:szCs w:val="20"/>
              </w:rPr>
              <w:t xml:space="preserve">(x = </w:t>
            </w:r>
            <w:r>
              <w:rPr>
                <w:sz w:val="20"/>
                <w:szCs w:val="20"/>
              </w:rPr>
              <w:t>0,99</w:t>
            </w:r>
            <w:r w:rsidRPr="0025537D">
              <w:rPr>
                <w:sz w:val="20"/>
                <w:szCs w:val="20"/>
              </w:rPr>
              <w:t>)</w:t>
            </w:r>
          </w:p>
        </w:tc>
      </w:tr>
      <w:tr w:rsidR="00A920F6" w:rsidRPr="0025537D" w14:paraId="4E1A0BC7" w14:textId="77777777" w:rsidTr="00A920F6">
        <w:trPr>
          <w:trHeight w:val="405"/>
        </w:trPr>
        <w:tc>
          <w:tcPr>
            <w:tcW w:w="2019" w:type="dxa"/>
            <w:vMerge/>
            <w:shd w:val="clear" w:color="auto" w:fill="F2F2F2"/>
            <w:vAlign w:val="center"/>
          </w:tcPr>
          <w:p w14:paraId="76F3BB3A" w14:textId="77777777" w:rsidR="00A920F6" w:rsidRPr="0025537D" w:rsidRDefault="00A920F6" w:rsidP="00A920F6">
            <w:pPr>
              <w:rPr>
                <w:bCs/>
                <w:sz w:val="20"/>
                <w:szCs w:val="20"/>
              </w:rPr>
            </w:pPr>
          </w:p>
        </w:tc>
        <w:tc>
          <w:tcPr>
            <w:tcW w:w="2052" w:type="dxa"/>
            <w:shd w:val="clear" w:color="auto" w:fill="F2F2F2"/>
          </w:tcPr>
          <w:p w14:paraId="7F62A5E4" w14:textId="77777777" w:rsidR="00A920F6" w:rsidRPr="0025537D" w:rsidRDefault="00A920F6" w:rsidP="00A920F6">
            <w:pPr>
              <w:jc w:val="center"/>
              <w:rPr>
                <w:bCs/>
                <w:sz w:val="20"/>
                <w:szCs w:val="20"/>
              </w:rPr>
            </w:pPr>
            <w:r w:rsidRPr="0025537D">
              <w:rPr>
                <w:sz w:val="20"/>
                <w:szCs w:val="20"/>
              </w:rPr>
              <w:t>Dolžina rastne dobe za temperaturni prag 5 °C</w:t>
            </w:r>
          </w:p>
        </w:tc>
        <w:tc>
          <w:tcPr>
            <w:tcW w:w="2728" w:type="dxa"/>
          </w:tcPr>
          <w:p w14:paraId="0683058E" w14:textId="77777777" w:rsidR="00A920F6" w:rsidRPr="0025537D" w:rsidRDefault="00A920F6" w:rsidP="00A920F6">
            <w:pPr>
              <w:rPr>
                <w:sz w:val="20"/>
                <w:szCs w:val="20"/>
              </w:rPr>
            </w:pPr>
            <w:r>
              <w:rPr>
                <w:sz w:val="20"/>
                <w:szCs w:val="20"/>
              </w:rPr>
              <w:t>Srednje d</w:t>
            </w:r>
            <w:r w:rsidRPr="0025537D">
              <w:rPr>
                <w:sz w:val="20"/>
                <w:szCs w:val="20"/>
              </w:rPr>
              <w:t>olga rastna doba se z</w:t>
            </w:r>
            <w:r>
              <w:rPr>
                <w:sz w:val="20"/>
                <w:szCs w:val="20"/>
              </w:rPr>
              <w:t xml:space="preserve"> višanjem temperatur</w:t>
            </w:r>
            <w:r w:rsidRPr="0025537D">
              <w:rPr>
                <w:sz w:val="20"/>
                <w:szCs w:val="20"/>
              </w:rPr>
              <w:t xml:space="preserve"> podaljšuje</w:t>
            </w:r>
            <w:r>
              <w:rPr>
                <w:sz w:val="20"/>
                <w:szCs w:val="20"/>
              </w:rPr>
              <w:t xml:space="preserve"> po celi občini</w:t>
            </w:r>
            <w:r w:rsidRPr="0025537D">
              <w:rPr>
                <w:sz w:val="20"/>
                <w:szCs w:val="20"/>
              </w:rPr>
              <w:t>. Izpostavljenost</w:t>
            </w:r>
            <w:r>
              <w:rPr>
                <w:sz w:val="20"/>
                <w:szCs w:val="20"/>
              </w:rPr>
              <w:t xml:space="preserve"> se zmanjša na majhno oz. </w:t>
            </w:r>
            <w:r w:rsidRPr="0025537D">
              <w:rPr>
                <w:sz w:val="20"/>
                <w:szCs w:val="20"/>
              </w:rPr>
              <w:t>neznatn</w:t>
            </w:r>
            <w:r>
              <w:rPr>
                <w:sz w:val="20"/>
                <w:szCs w:val="20"/>
              </w:rPr>
              <w:t>o</w:t>
            </w:r>
            <w:r w:rsidRPr="0025537D">
              <w:rPr>
                <w:sz w:val="20"/>
                <w:szCs w:val="20"/>
              </w:rPr>
              <w:t>.</w:t>
            </w:r>
          </w:p>
        </w:tc>
        <w:tc>
          <w:tcPr>
            <w:tcW w:w="1276" w:type="dxa"/>
            <w:shd w:val="clear" w:color="auto" w:fill="BFF100"/>
          </w:tcPr>
          <w:p w14:paraId="6B78D773" w14:textId="77777777" w:rsidR="00A920F6" w:rsidRPr="0025537D" w:rsidRDefault="00A920F6" w:rsidP="00A920F6">
            <w:pPr>
              <w:jc w:val="center"/>
              <w:rPr>
                <w:iCs/>
                <w:sz w:val="20"/>
                <w:szCs w:val="20"/>
              </w:rPr>
            </w:pPr>
            <w:r>
              <w:rPr>
                <w:iCs/>
                <w:sz w:val="20"/>
                <w:szCs w:val="20"/>
              </w:rPr>
              <w:t>2</w:t>
            </w:r>
          </w:p>
          <w:p w14:paraId="15EE3FD4" w14:textId="77777777" w:rsidR="00A920F6" w:rsidRPr="0025537D" w:rsidRDefault="00A920F6" w:rsidP="00A920F6">
            <w:pPr>
              <w:jc w:val="center"/>
              <w:rPr>
                <w:sz w:val="20"/>
                <w:szCs w:val="20"/>
              </w:rPr>
            </w:pPr>
            <w:r>
              <w:rPr>
                <w:sz w:val="20"/>
                <w:szCs w:val="20"/>
              </w:rPr>
              <w:t>(x = 0,38</w:t>
            </w:r>
            <w:r w:rsidRPr="0025537D">
              <w:rPr>
                <w:sz w:val="20"/>
                <w:szCs w:val="20"/>
              </w:rPr>
              <w:t>)</w:t>
            </w:r>
          </w:p>
        </w:tc>
        <w:tc>
          <w:tcPr>
            <w:tcW w:w="1275" w:type="dxa"/>
            <w:shd w:val="clear" w:color="auto" w:fill="7FE300"/>
          </w:tcPr>
          <w:p w14:paraId="701374F7" w14:textId="77777777" w:rsidR="00A920F6" w:rsidRPr="0025537D" w:rsidRDefault="00A920F6" w:rsidP="00A920F6">
            <w:pPr>
              <w:jc w:val="center"/>
              <w:rPr>
                <w:sz w:val="20"/>
                <w:szCs w:val="20"/>
              </w:rPr>
            </w:pPr>
            <w:r w:rsidRPr="0025537D">
              <w:rPr>
                <w:sz w:val="20"/>
                <w:szCs w:val="20"/>
              </w:rPr>
              <w:t>1</w:t>
            </w:r>
          </w:p>
          <w:p w14:paraId="357B167A" w14:textId="77777777" w:rsidR="00A920F6" w:rsidRPr="0025537D" w:rsidRDefault="00A920F6" w:rsidP="00A920F6">
            <w:pPr>
              <w:jc w:val="center"/>
              <w:rPr>
                <w:i/>
                <w:iCs/>
                <w:sz w:val="20"/>
                <w:szCs w:val="20"/>
              </w:rPr>
            </w:pPr>
            <w:r w:rsidRPr="0025537D">
              <w:rPr>
                <w:sz w:val="20"/>
                <w:szCs w:val="20"/>
              </w:rPr>
              <w:t>(x = 0</w:t>
            </w:r>
            <w:r>
              <w:rPr>
                <w:sz w:val="20"/>
                <w:szCs w:val="20"/>
              </w:rPr>
              <w:t>,19</w:t>
            </w:r>
            <w:r w:rsidRPr="0025537D">
              <w:rPr>
                <w:sz w:val="20"/>
                <w:szCs w:val="20"/>
              </w:rPr>
              <w:t>)</w:t>
            </w:r>
          </w:p>
        </w:tc>
      </w:tr>
      <w:tr w:rsidR="00A920F6" w:rsidRPr="0025537D" w14:paraId="5A286D33" w14:textId="77777777" w:rsidTr="00A920F6">
        <w:trPr>
          <w:trHeight w:val="405"/>
        </w:trPr>
        <w:tc>
          <w:tcPr>
            <w:tcW w:w="2019" w:type="dxa"/>
            <w:vMerge/>
            <w:shd w:val="clear" w:color="auto" w:fill="F2F2F2"/>
            <w:vAlign w:val="center"/>
          </w:tcPr>
          <w:p w14:paraId="5842B9BE" w14:textId="77777777" w:rsidR="00A920F6" w:rsidRPr="0025537D" w:rsidRDefault="00A920F6" w:rsidP="00A920F6">
            <w:pPr>
              <w:rPr>
                <w:bCs/>
                <w:sz w:val="20"/>
                <w:szCs w:val="20"/>
              </w:rPr>
            </w:pPr>
          </w:p>
        </w:tc>
        <w:tc>
          <w:tcPr>
            <w:tcW w:w="2052" w:type="dxa"/>
            <w:shd w:val="clear" w:color="auto" w:fill="F2F2F2"/>
          </w:tcPr>
          <w:p w14:paraId="12DC8FCF" w14:textId="77777777" w:rsidR="00A920F6" w:rsidRPr="0025537D" w:rsidRDefault="00A920F6" w:rsidP="00A920F6">
            <w:pPr>
              <w:jc w:val="center"/>
              <w:rPr>
                <w:bCs/>
                <w:sz w:val="20"/>
                <w:szCs w:val="20"/>
              </w:rPr>
            </w:pPr>
            <w:r w:rsidRPr="0025537D">
              <w:rPr>
                <w:sz w:val="20"/>
                <w:szCs w:val="20"/>
              </w:rPr>
              <w:t>Število dni s spomladansko pozebo (0 °C)</w:t>
            </w:r>
          </w:p>
        </w:tc>
        <w:tc>
          <w:tcPr>
            <w:tcW w:w="2728" w:type="dxa"/>
          </w:tcPr>
          <w:p w14:paraId="3285AD40" w14:textId="77777777" w:rsidR="00A920F6" w:rsidRPr="0025537D" w:rsidRDefault="00A920F6" w:rsidP="00A920F6">
            <w:pPr>
              <w:rPr>
                <w:sz w:val="20"/>
                <w:szCs w:val="20"/>
              </w:rPr>
            </w:pPr>
            <w:r w:rsidRPr="0025537D">
              <w:rPr>
                <w:sz w:val="20"/>
                <w:szCs w:val="20"/>
              </w:rPr>
              <w:t>Povečana možnost škode zaradi pozebe je kljub daljši rastni dobi še vedno neznatna, a je potrebna pazljivost zaradi poznih vdorov hladnega zraka.</w:t>
            </w:r>
          </w:p>
        </w:tc>
        <w:tc>
          <w:tcPr>
            <w:tcW w:w="1276" w:type="dxa"/>
            <w:shd w:val="clear" w:color="auto" w:fill="7FE300"/>
          </w:tcPr>
          <w:p w14:paraId="4D543ACE" w14:textId="77777777" w:rsidR="00A920F6" w:rsidRPr="0025537D" w:rsidRDefault="00A920F6" w:rsidP="00A920F6">
            <w:pPr>
              <w:jc w:val="center"/>
              <w:rPr>
                <w:sz w:val="20"/>
                <w:szCs w:val="20"/>
              </w:rPr>
            </w:pPr>
            <w:r w:rsidRPr="0025537D">
              <w:rPr>
                <w:sz w:val="20"/>
                <w:szCs w:val="20"/>
              </w:rPr>
              <w:t>1</w:t>
            </w:r>
          </w:p>
          <w:p w14:paraId="3360C069" w14:textId="77777777" w:rsidR="00A920F6" w:rsidRPr="0025537D" w:rsidRDefault="00A920F6" w:rsidP="00A920F6">
            <w:pPr>
              <w:jc w:val="center"/>
              <w:rPr>
                <w:sz w:val="20"/>
                <w:szCs w:val="20"/>
              </w:rPr>
            </w:pPr>
            <w:r w:rsidRPr="0025537D">
              <w:rPr>
                <w:sz w:val="20"/>
                <w:szCs w:val="20"/>
              </w:rPr>
              <w:t>(x = 0)</w:t>
            </w:r>
          </w:p>
        </w:tc>
        <w:tc>
          <w:tcPr>
            <w:tcW w:w="1275" w:type="dxa"/>
            <w:shd w:val="clear" w:color="auto" w:fill="7FE300"/>
          </w:tcPr>
          <w:p w14:paraId="21C2523D" w14:textId="77777777" w:rsidR="00A920F6" w:rsidRPr="0025537D" w:rsidRDefault="00A920F6" w:rsidP="00A920F6">
            <w:pPr>
              <w:jc w:val="center"/>
              <w:rPr>
                <w:sz w:val="20"/>
                <w:szCs w:val="20"/>
              </w:rPr>
            </w:pPr>
            <w:r w:rsidRPr="0025537D">
              <w:rPr>
                <w:sz w:val="20"/>
                <w:szCs w:val="20"/>
              </w:rPr>
              <w:t>1</w:t>
            </w:r>
          </w:p>
          <w:p w14:paraId="36D9BCB0" w14:textId="77777777" w:rsidR="00A920F6" w:rsidRPr="0025537D" w:rsidRDefault="00A920F6" w:rsidP="00A920F6">
            <w:pPr>
              <w:jc w:val="center"/>
              <w:rPr>
                <w:i/>
                <w:iCs/>
                <w:sz w:val="20"/>
                <w:szCs w:val="20"/>
              </w:rPr>
            </w:pPr>
            <w:r w:rsidRPr="0025537D">
              <w:rPr>
                <w:sz w:val="20"/>
                <w:szCs w:val="20"/>
              </w:rPr>
              <w:t>(x = 0)</w:t>
            </w:r>
          </w:p>
        </w:tc>
      </w:tr>
      <w:tr w:rsidR="00A920F6" w:rsidRPr="0025537D" w14:paraId="368F60E4" w14:textId="77777777" w:rsidTr="00A920F6">
        <w:trPr>
          <w:trHeight w:val="483"/>
        </w:trPr>
        <w:tc>
          <w:tcPr>
            <w:tcW w:w="2019" w:type="dxa"/>
            <w:vMerge/>
            <w:shd w:val="clear" w:color="auto" w:fill="F2F2F2"/>
            <w:vAlign w:val="center"/>
          </w:tcPr>
          <w:p w14:paraId="5BF21F62" w14:textId="77777777" w:rsidR="00A920F6" w:rsidRPr="0025537D" w:rsidRDefault="00A920F6" w:rsidP="00A920F6">
            <w:pPr>
              <w:rPr>
                <w:bCs/>
                <w:sz w:val="20"/>
                <w:szCs w:val="20"/>
              </w:rPr>
            </w:pPr>
          </w:p>
        </w:tc>
        <w:tc>
          <w:tcPr>
            <w:tcW w:w="2052" w:type="dxa"/>
            <w:shd w:val="clear" w:color="auto" w:fill="F2F2F2"/>
          </w:tcPr>
          <w:p w14:paraId="72AAD4FB" w14:textId="77777777" w:rsidR="00A920F6" w:rsidRPr="0025537D" w:rsidRDefault="00A920F6" w:rsidP="00A920F6">
            <w:pPr>
              <w:jc w:val="center"/>
              <w:rPr>
                <w:bCs/>
                <w:sz w:val="20"/>
                <w:szCs w:val="20"/>
              </w:rPr>
            </w:pPr>
            <w:r w:rsidRPr="0025537D">
              <w:rPr>
                <w:sz w:val="20"/>
                <w:szCs w:val="20"/>
              </w:rPr>
              <w:t xml:space="preserve">Povprečna poletna referenčna </w:t>
            </w:r>
            <w:proofErr w:type="spellStart"/>
            <w:r w:rsidRPr="0025537D">
              <w:rPr>
                <w:sz w:val="20"/>
                <w:szCs w:val="20"/>
              </w:rPr>
              <w:t>evapotranspiracija</w:t>
            </w:r>
            <w:proofErr w:type="spellEnd"/>
          </w:p>
        </w:tc>
        <w:tc>
          <w:tcPr>
            <w:tcW w:w="2728" w:type="dxa"/>
          </w:tcPr>
          <w:p w14:paraId="1EB98DFB" w14:textId="77777777" w:rsidR="00A920F6" w:rsidRPr="0025537D" w:rsidRDefault="00A920F6" w:rsidP="00A920F6">
            <w:pPr>
              <w:rPr>
                <w:sz w:val="20"/>
                <w:szCs w:val="20"/>
              </w:rPr>
            </w:pPr>
            <w:r w:rsidRPr="0025537D">
              <w:rPr>
                <w:sz w:val="20"/>
                <w:szCs w:val="20"/>
              </w:rPr>
              <w:t>Poraba vode se z višanjem temperatur</w:t>
            </w:r>
            <w:r>
              <w:rPr>
                <w:sz w:val="20"/>
                <w:szCs w:val="20"/>
              </w:rPr>
              <w:t xml:space="preserve"> </w:t>
            </w:r>
            <w:r w:rsidRPr="0025537D">
              <w:rPr>
                <w:sz w:val="20"/>
                <w:szCs w:val="20"/>
              </w:rPr>
              <w:t>veča,</w:t>
            </w:r>
            <w:r>
              <w:rPr>
                <w:sz w:val="20"/>
                <w:szCs w:val="20"/>
              </w:rPr>
              <w:t xml:space="preserve"> </w:t>
            </w:r>
            <w:r w:rsidRPr="0025537D">
              <w:rPr>
                <w:sz w:val="20"/>
                <w:szCs w:val="20"/>
              </w:rPr>
              <w:t xml:space="preserve"> izpostavljenost </w:t>
            </w:r>
            <w:r>
              <w:rPr>
                <w:sz w:val="20"/>
                <w:szCs w:val="20"/>
              </w:rPr>
              <w:t>ostaja zmerna</w:t>
            </w:r>
            <w:r w:rsidRPr="0025537D">
              <w:rPr>
                <w:sz w:val="20"/>
                <w:szCs w:val="20"/>
              </w:rPr>
              <w:t xml:space="preserve">, </w:t>
            </w:r>
            <w:r>
              <w:rPr>
                <w:sz w:val="20"/>
                <w:szCs w:val="20"/>
              </w:rPr>
              <w:t>a precej na račun višje ležečega zaledja</w:t>
            </w:r>
            <w:r w:rsidRPr="0025537D">
              <w:rPr>
                <w:sz w:val="20"/>
                <w:szCs w:val="20"/>
              </w:rPr>
              <w:t>.</w:t>
            </w:r>
          </w:p>
        </w:tc>
        <w:tc>
          <w:tcPr>
            <w:tcW w:w="1276" w:type="dxa"/>
            <w:shd w:val="clear" w:color="auto" w:fill="FFFF00"/>
          </w:tcPr>
          <w:p w14:paraId="4F88A622" w14:textId="77777777" w:rsidR="00A920F6" w:rsidRPr="0025537D" w:rsidRDefault="00A920F6" w:rsidP="00A920F6">
            <w:pPr>
              <w:jc w:val="center"/>
              <w:rPr>
                <w:sz w:val="20"/>
                <w:szCs w:val="20"/>
              </w:rPr>
            </w:pPr>
            <w:r>
              <w:rPr>
                <w:sz w:val="20"/>
                <w:szCs w:val="20"/>
              </w:rPr>
              <w:t>3</w:t>
            </w:r>
          </w:p>
          <w:p w14:paraId="485A38EC" w14:textId="77777777" w:rsidR="00A920F6" w:rsidRPr="0025537D" w:rsidRDefault="00A920F6" w:rsidP="00A920F6">
            <w:pPr>
              <w:jc w:val="center"/>
              <w:rPr>
                <w:sz w:val="20"/>
                <w:szCs w:val="20"/>
              </w:rPr>
            </w:pPr>
            <w:r w:rsidRPr="0025537D">
              <w:rPr>
                <w:sz w:val="20"/>
                <w:szCs w:val="20"/>
              </w:rPr>
              <w:t>(x = 0,</w:t>
            </w:r>
            <w:r>
              <w:rPr>
                <w:sz w:val="20"/>
                <w:szCs w:val="20"/>
              </w:rPr>
              <w:t>49</w:t>
            </w:r>
            <w:r w:rsidRPr="0025537D">
              <w:rPr>
                <w:sz w:val="20"/>
                <w:szCs w:val="20"/>
              </w:rPr>
              <w:t>)</w:t>
            </w:r>
          </w:p>
        </w:tc>
        <w:tc>
          <w:tcPr>
            <w:tcW w:w="1275" w:type="dxa"/>
            <w:shd w:val="clear" w:color="auto" w:fill="FFFF00"/>
          </w:tcPr>
          <w:p w14:paraId="48469604" w14:textId="77777777" w:rsidR="00A920F6" w:rsidRPr="0025537D" w:rsidRDefault="00A920F6" w:rsidP="00A920F6">
            <w:pPr>
              <w:jc w:val="center"/>
              <w:rPr>
                <w:sz w:val="20"/>
                <w:szCs w:val="20"/>
              </w:rPr>
            </w:pPr>
            <w:r>
              <w:rPr>
                <w:sz w:val="20"/>
                <w:szCs w:val="20"/>
              </w:rPr>
              <w:t>3</w:t>
            </w:r>
          </w:p>
          <w:p w14:paraId="56F600F3" w14:textId="77777777" w:rsidR="00A920F6" w:rsidRPr="0025537D" w:rsidRDefault="00A920F6" w:rsidP="00A920F6">
            <w:pPr>
              <w:jc w:val="center"/>
              <w:rPr>
                <w:i/>
                <w:iCs/>
                <w:sz w:val="20"/>
                <w:szCs w:val="20"/>
              </w:rPr>
            </w:pPr>
            <w:r w:rsidRPr="0025537D">
              <w:rPr>
                <w:sz w:val="20"/>
                <w:szCs w:val="20"/>
              </w:rPr>
              <w:t>(x = 0,</w:t>
            </w:r>
            <w:r>
              <w:rPr>
                <w:sz w:val="20"/>
                <w:szCs w:val="20"/>
              </w:rPr>
              <w:t>52</w:t>
            </w:r>
            <w:r w:rsidRPr="0025537D">
              <w:rPr>
                <w:sz w:val="20"/>
                <w:szCs w:val="20"/>
              </w:rPr>
              <w:t>)</w:t>
            </w:r>
          </w:p>
        </w:tc>
      </w:tr>
      <w:tr w:rsidR="00A920F6" w:rsidRPr="0025537D" w14:paraId="7B649DA8" w14:textId="77777777" w:rsidTr="00A920F6">
        <w:trPr>
          <w:trHeight w:val="405"/>
        </w:trPr>
        <w:tc>
          <w:tcPr>
            <w:tcW w:w="2019" w:type="dxa"/>
            <w:vMerge/>
            <w:shd w:val="clear" w:color="auto" w:fill="F2F2F2"/>
            <w:vAlign w:val="center"/>
          </w:tcPr>
          <w:p w14:paraId="3584D2E9" w14:textId="77777777" w:rsidR="00A920F6" w:rsidRPr="0025537D" w:rsidRDefault="00A920F6" w:rsidP="00A920F6">
            <w:pPr>
              <w:rPr>
                <w:bCs/>
                <w:sz w:val="20"/>
                <w:szCs w:val="20"/>
              </w:rPr>
            </w:pPr>
          </w:p>
        </w:tc>
        <w:tc>
          <w:tcPr>
            <w:tcW w:w="2052" w:type="dxa"/>
            <w:shd w:val="clear" w:color="auto" w:fill="F2F2F2"/>
          </w:tcPr>
          <w:p w14:paraId="439C0471" w14:textId="77777777" w:rsidR="00A920F6" w:rsidRPr="0025537D" w:rsidRDefault="00A920F6" w:rsidP="00A920F6">
            <w:pPr>
              <w:jc w:val="center"/>
              <w:rPr>
                <w:bCs/>
                <w:sz w:val="20"/>
                <w:szCs w:val="20"/>
              </w:rPr>
            </w:pPr>
            <w:r w:rsidRPr="0025537D">
              <w:rPr>
                <w:sz w:val="20"/>
                <w:szCs w:val="20"/>
              </w:rPr>
              <w:t>Povprečna pomladna višina padavin</w:t>
            </w:r>
          </w:p>
        </w:tc>
        <w:tc>
          <w:tcPr>
            <w:tcW w:w="2728" w:type="dxa"/>
          </w:tcPr>
          <w:p w14:paraId="53634E0C" w14:textId="77777777" w:rsidR="00A920F6" w:rsidRPr="0025537D" w:rsidRDefault="00A920F6" w:rsidP="00A920F6">
            <w:pPr>
              <w:rPr>
                <w:color w:val="FF0000"/>
                <w:sz w:val="20"/>
                <w:szCs w:val="20"/>
              </w:rPr>
            </w:pPr>
            <w:r w:rsidRPr="00987D3A">
              <w:rPr>
                <w:sz w:val="20"/>
                <w:szCs w:val="20"/>
              </w:rPr>
              <w:t>Padavin</w:t>
            </w:r>
            <w:r w:rsidRPr="0025537D">
              <w:rPr>
                <w:sz w:val="20"/>
                <w:szCs w:val="20"/>
              </w:rPr>
              <w:t xml:space="preserve"> </w:t>
            </w:r>
            <w:r>
              <w:rPr>
                <w:sz w:val="20"/>
                <w:szCs w:val="20"/>
              </w:rPr>
              <w:t>je količinsko spomladi dovolj, zato je  izpostavljenost zmerna oz. majhna</w:t>
            </w:r>
            <w:r w:rsidRPr="0025537D">
              <w:rPr>
                <w:sz w:val="20"/>
                <w:szCs w:val="20"/>
              </w:rPr>
              <w:t>.</w:t>
            </w:r>
          </w:p>
        </w:tc>
        <w:tc>
          <w:tcPr>
            <w:tcW w:w="1276" w:type="dxa"/>
            <w:shd w:val="clear" w:color="auto" w:fill="FFFF00"/>
          </w:tcPr>
          <w:p w14:paraId="23B60AE3" w14:textId="77777777" w:rsidR="00A920F6" w:rsidRPr="0025537D" w:rsidRDefault="00A920F6" w:rsidP="00A920F6">
            <w:pPr>
              <w:jc w:val="center"/>
              <w:rPr>
                <w:sz w:val="20"/>
                <w:szCs w:val="20"/>
              </w:rPr>
            </w:pPr>
            <w:r>
              <w:rPr>
                <w:sz w:val="20"/>
                <w:szCs w:val="20"/>
              </w:rPr>
              <w:t>3</w:t>
            </w:r>
          </w:p>
          <w:p w14:paraId="19CC68DB" w14:textId="77777777" w:rsidR="00A920F6" w:rsidRPr="0025537D" w:rsidRDefault="00A920F6" w:rsidP="00A920F6">
            <w:pPr>
              <w:jc w:val="center"/>
              <w:rPr>
                <w:sz w:val="20"/>
                <w:szCs w:val="20"/>
              </w:rPr>
            </w:pPr>
            <w:r>
              <w:rPr>
                <w:sz w:val="20"/>
                <w:szCs w:val="20"/>
              </w:rPr>
              <w:t>(x = 0,43</w:t>
            </w:r>
            <w:r w:rsidRPr="0025537D">
              <w:rPr>
                <w:sz w:val="20"/>
                <w:szCs w:val="20"/>
              </w:rPr>
              <w:t>)</w:t>
            </w:r>
          </w:p>
        </w:tc>
        <w:tc>
          <w:tcPr>
            <w:tcW w:w="1275" w:type="dxa"/>
            <w:shd w:val="clear" w:color="auto" w:fill="BFF100"/>
          </w:tcPr>
          <w:p w14:paraId="51DF4A7C" w14:textId="77777777" w:rsidR="00A920F6" w:rsidRPr="0025537D" w:rsidRDefault="00A920F6" w:rsidP="00A920F6">
            <w:pPr>
              <w:jc w:val="center"/>
              <w:rPr>
                <w:sz w:val="20"/>
                <w:szCs w:val="20"/>
              </w:rPr>
            </w:pPr>
            <w:r>
              <w:rPr>
                <w:sz w:val="20"/>
                <w:szCs w:val="20"/>
              </w:rPr>
              <w:t>2</w:t>
            </w:r>
          </w:p>
          <w:p w14:paraId="7E396856" w14:textId="77777777" w:rsidR="00A920F6" w:rsidRPr="0025537D" w:rsidRDefault="00A920F6" w:rsidP="00A920F6">
            <w:pPr>
              <w:jc w:val="center"/>
              <w:rPr>
                <w:i/>
                <w:iCs/>
                <w:sz w:val="20"/>
                <w:szCs w:val="20"/>
              </w:rPr>
            </w:pPr>
            <w:r>
              <w:rPr>
                <w:sz w:val="20"/>
                <w:szCs w:val="20"/>
              </w:rPr>
              <w:t>(x = 0,31</w:t>
            </w:r>
            <w:r w:rsidRPr="0025537D">
              <w:rPr>
                <w:sz w:val="20"/>
                <w:szCs w:val="20"/>
              </w:rPr>
              <w:t>)</w:t>
            </w:r>
          </w:p>
        </w:tc>
      </w:tr>
      <w:tr w:rsidR="00A920F6" w:rsidRPr="0025537D" w14:paraId="3245C3A3" w14:textId="77777777" w:rsidTr="00A920F6">
        <w:trPr>
          <w:trHeight w:val="405"/>
        </w:trPr>
        <w:tc>
          <w:tcPr>
            <w:tcW w:w="2019" w:type="dxa"/>
            <w:vMerge/>
            <w:shd w:val="clear" w:color="auto" w:fill="F2F2F2"/>
            <w:vAlign w:val="center"/>
          </w:tcPr>
          <w:p w14:paraId="5E011DF5" w14:textId="77777777" w:rsidR="00A920F6" w:rsidRPr="0025537D" w:rsidRDefault="00A920F6" w:rsidP="00A920F6">
            <w:pPr>
              <w:rPr>
                <w:bCs/>
                <w:sz w:val="20"/>
                <w:szCs w:val="20"/>
              </w:rPr>
            </w:pPr>
          </w:p>
        </w:tc>
        <w:tc>
          <w:tcPr>
            <w:tcW w:w="2052" w:type="dxa"/>
            <w:shd w:val="clear" w:color="auto" w:fill="F2F2F2"/>
          </w:tcPr>
          <w:p w14:paraId="6BE71771" w14:textId="77777777" w:rsidR="00A920F6" w:rsidRPr="0025537D" w:rsidRDefault="00A920F6" w:rsidP="00A920F6">
            <w:pPr>
              <w:jc w:val="center"/>
              <w:rPr>
                <w:bCs/>
                <w:sz w:val="20"/>
                <w:szCs w:val="20"/>
              </w:rPr>
            </w:pPr>
            <w:r w:rsidRPr="0025537D">
              <w:rPr>
                <w:sz w:val="20"/>
                <w:szCs w:val="20"/>
              </w:rPr>
              <w:t>Povprečna poletna višina padavin</w:t>
            </w:r>
          </w:p>
        </w:tc>
        <w:tc>
          <w:tcPr>
            <w:tcW w:w="2728" w:type="dxa"/>
          </w:tcPr>
          <w:p w14:paraId="1B7B4948" w14:textId="77777777" w:rsidR="00A920F6" w:rsidRPr="0025537D" w:rsidRDefault="00A920F6" w:rsidP="00A920F6">
            <w:pPr>
              <w:jc w:val="left"/>
              <w:rPr>
                <w:color w:val="FF0000"/>
                <w:sz w:val="20"/>
                <w:szCs w:val="20"/>
              </w:rPr>
            </w:pPr>
            <w:r>
              <w:rPr>
                <w:sz w:val="20"/>
                <w:szCs w:val="20"/>
              </w:rPr>
              <w:t xml:space="preserve">Padavin je tudi </w:t>
            </w:r>
            <w:r w:rsidRPr="0025537D">
              <w:rPr>
                <w:sz w:val="20"/>
                <w:szCs w:val="20"/>
              </w:rPr>
              <w:t xml:space="preserve">poleti </w:t>
            </w:r>
            <w:r>
              <w:rPr>
                <w:sz w:val="20"/>
                <w:szCs w:val="20"/>
              </w:rPr>
              <w:t>količinsko dovolj, a so slabo</w:t>
            </w:r>
            <w:r w:rsidRPr="0025537D">
              <w:rPr>
                <w:sz w:val="20"/>
                <w:szCs w:val="20"/>
              </w:rPr>
              <w:t xml:space="preserve"> razporejene, zato </w:t>
            </w:r>
            <w:r>
              <w:rPr>
                <w:sz w:val="20"/>
                <w:szCs w:val="20"/>
              </w:rPr>
              <w:t>moramo kljub zmerni izpostavljenosti posebno pozornost nameniti sušam.</w:t>
            </w:r>
          </w:p>
        </w:tc>
        <w:tc>
          <w:tcPr>
            <w:tcW w:w="1276" w:type="dxa"/>
            <w:shd w:val="clear" w:color="auto" w:fill="FFFF00"/>
          </w:tcPr>
          <w:p w14:paraId="63B7131D" w14:textId="77777777" w:rsidR="00A920F6" w:rsidRPr="0025537D" w:rsidRDefault="00A920F6" w:rsidP="00A920F6">
            <w:pPr>
              <w:jc w:val="center"/>
              <w:rPr>
                <w:sz w:val="20"/>
                <w:szCs w:val="20"/>
              </w:rPr>
            </w:pPr>
            <w:r>
              <w:rPr>
                <w:sz w:val="20"/>
                <w:szCs w:val="20"/>
              </w:rPr>
              <w:t>3</w:t>
            </w:r>
          </w:p>
          <w:p w14:paraId="01653613" w14:textId="77777777" w:rsidR="00A920F6" w:rsidRPr="0025537D" w:rsidRDefault="00A920F6" w:rsidP="00A920F6">
            <w:pPr>
              <w:jc w:val="center"/>
              <w:rPr>
                <w:sz w:val="20"/>
                <w:szCs w:val="20"/>
              </w:rPr>
            </w:pPr>
            <w:r>
              <w:rPr>
                <w:sz w:val="20"/>
                <w:szCs w:val="20"/>
              </w:rPr>
              <w:t>(x = 0,50</w:t>
            </w:r>
            <w:r w:rsidRPr="0025537D">
              <w:rPr>
                <w:sz w:val="20"/>
                <w:szCs w:val="20"/>
              </w:rPr>
              <w:t>)</w:t>
            </w:r>
          </w:p>
        </w:tc>
        <w:tc>
          <w:tcPr>
            <w:tcW w:w="1275" w:type="dxa"/>
            <w:shd w:val="clear" w:color="auto" w:fill="FFFF00"/>
          </w:tcPr>
          <w:p w14:paraId="22D83804" w14:textId="77777777" w:rsidR="00A920F6" w:rsidRPr="0025537D" w:rsidRDefault="00A920F6" w:rsidP="00A920F6">
            <w:pPr>
              <w:jc w:val="center"/>
              <w:rPr>
                <w:iCs/>
                <w:sz w:val="20"/>
                <w:szCs w:val="20"/>
              </w:rPr>
            </w:pPr>
            <w:r>
              <w:rPr>
                <w:iCs/>
                <w:sz w:val="20"/>
                <w:szCs w:val="20"/>
              </w:rPr>
              <w:t>3</w:t>
            </w:r>
          </w:p>
          <w:p w14:paraId="5BE9C55F" w14:textId="77777777" w:rsidR="00A920F6" w:rsidRPr="0025537D" w:rsidRDefault="00A920F6" w:rsidP="00A920F6">
            <w:pPr>
              <w:jc w:val="center"/>
              <w:rPr>
                <w:i/>
                <w:iCs/>
                <w:sz w:val="20"/>
                <w:szCs w:val="20"/>
              </w:rPr>
            </w:pPr>
            <w:r>
              <w:rPr>
                <w:sz w:val="20"/>
                <w:szCs w:val="20"/>
              </w:rPr>
              <w:t>(x = 0,47</w:t>
            </w:r>
            <w:r w:rsidRPr="0025537D">
              <w:rPr>
                <w:sz w:val="20"/>
                <w:szCs w:val="20"/>
              </w:rPr>
              <w:t>)</w:t>
            </w:r>
          </w:p>
        </w:tc>
      </w:tr>
      <w:tr w:rsidR="00A920F6" w:rsidRPr="0025537D" w14:paraId="37DE871D" w14:textId="77777777" w:rsidTr="00A920F6">
        <w:trPr>
          <w:trHeight w:val="70"/>
        </w:trPr>
        <w:tc>
          <w:tcPr>
            <w:tcW w:w="2019" w:type="dxa"/>
            <w:vMerge/>
            <w:shd w:val="clear" w:color="auto" w:fill="F2F2F2"/>
            <w:vAlign w:val="center"/>
          </w:tcPr>
          <w:p w14:paraId="396F1896" w14:textId="77777777" w:rsidR="00A920F6" w:rsidRPr="0025537D" w:rsidRDefault="00A920F6" w:rsidP="00A920F6">
            <w:pPr>
              <w:rPr>
                <w:bCs/>
                <w:sz w:val="20"/>
                <w:szCs w:val="20"/>
              </w:rPr>
            </w:pPr>
          </w:p>
        </w:tc>
        <w:tc>
          <w:tcPr>
            <w:tcW w:w="2052" w:type="dxa"/>
            <w:shd w:val="clear" w:color="auto" w:fill="F2F2F2"/>
          </w:tcPr>
          <w:p w14:paraId="760EFA32" w14:textId="77777777" w:rsidR="00A920F6" w:rsidRPr="0025537D" w:rsidRDefault="00A920F6" w:rsidP="00A920F6">
            <w:pPr>
              <w:jc w:val="center"/>
              <w:rPr>
                <w:bCs/>
                <w:sz w:val="20"/>
                <w:szCs w:val="20"/>
              </w:rPr>
            </w:pPr>
            <w:r w:rsidRPr="0025537D">
              <w:rPr>
                <w:sz w:val="20"/>
                <w:szCs w:val="20"/>
              </w:rPr>
              <w:t>Povprečno letno število dni s padavinami nad 50 mm</w:t>
            </w:r>
          </w:p>
        </w:tc>
        <w:tc>
          <w:tcPr>
            <w:tcW w:w="2728" w:type="dxa"/>
          </w:tcPr>
          <w:p w14:paraId="37A149D9" w14:textId="77777777" w:rsidR="00A920F6" w:rsidRPr="0025537D" w:rsidRDefault="00A920F6" w:rsidP="00A920F6">
            <w:pPr>
              <w:rPr>
                <w:color w:val="FF0000"/>
                <w:sz w:val="20"/>
                <w:szCs w:val="20"/>
              </w:rPr>
            </w:pPr>
            <w:r w:rsidRPr="0025537D">
              <w:rPr>
                <w:sz w:val="20"/>
                <w:szCs w:val="20"/>
              </w:rPr>
              <w:t xml:space="preserve">Izpostavljenost intenzivnim padavinam ostaja </w:t>
            </w:r>
            <w:r>
              <w:rPr>
                <w:sz w:val="20"/>
                <w:szCs w:val="20"/>
              </w:rPr>
              <w:t>zmerna</w:t>
            </w:r>
            <w:r w:rsidRPr="0025537D">
              <w:rPr>
                <w:sz w:val="20"/>
                <w:szCs w:val="20"/>
              </w:rPr>
              <w:t xml:space="preserve">, </w:t>
            </w:r>
            <w:r>
              <w:rPr>
                <w:sz w:val="20"/>
                <w:szCs w:val="20"/>
              </w:rPr>
              <w:t>potrebno je ukrepanje na stalno poplavnih kmetijskih površinah.</w:t>
            </w:r>
          </w:p>
        </w:tc>
        <w:tc>
          <w:tcPr>
            <w:tcW w:w="1276" w:type="dxa"/>
            <w:shd w:val="clear" w:color="auto" w:fill="FFFF00"/>
          </w:tcPr>
          <w:p w14:paraId="419AE312" w14:textId="77777777" w:rsidR="00A920F6" w:rsidRPr="0025537D" w:rsidRDefault="00A920F6" w:rsidP="00A920F6">
            <w:pPr>
              <w:jc w:val="center"/>
              <w:rPr>
                <w:sz w:val="20"/>
                <w:szCs w:val="20"/>
              </w:rPr>
            </w:pPr>
            <w:r>
              <w:rPr>
                <w:sz w:val="20"/>
                <w:szCs w:val="20"/>
              </w:rPr>
              <w:t>3</w:t>
            </w:r>
          </w:p>
          <w:p w14:paraId="6E061030" w14:textId="77777777" w:rsidR="00A920F6" w:rsidRPr="0025537D" w:rsidRDefault="00A920F6" w:rsidP="00A920F6">
            <w:pPr>
              <w:jc w:val="center"/>
              <w:rPr>
                <w:sz w:val="20"/>
                <w:szCs w:val="20"/>
              </w:rPr>
            </w:pPr>
            <w:r>
              <w:rPr>
                <w:sz w:val="20"/>
                <w:szCs w:val="20"/>
              </w:rPr>
              <w:t>(x = 0,49</w:t>
            </w:r>
            <w:r w:rsidRPr="0025537D">
              <w:rPr>
                <w:sz w:val="20"/>
                <w:szCs w:val="20"/>
              </w:rPr>
              <w:t>)</w:t>
            </w:r>
          </w:p>
        </w:tc>
        <w:tc>
          <w:tcPr>
            <w:tcW w:w="1275" w:type="dxa"/>
            <w:shd w:val="clear" w:color="auto" w:fill="FFFF00"/>
          </w:tcPr>
          <w:p w14:paraId="79A7FBCB" w14:textId="77777777" w:rsidR="00A920F6" w:rsidRPr="0025537D" w:rsidRDefault="00A920F6" w:rsidP="00A920F6">
            <w:pPr>
              <w:jc w:val="center"/>
              <w:rPr>
                <w:sz w:val="20"/>
                <w:szCs w:val="20"/>
              </w:rPr>
            </w:pPr>
            <w:r>
              <w:rPr>
                <w:sz w:val="20"/>
                <w:szCs w:val="20"/>
              </w:rPr>
              <w:t>3</w:t>
            </w:r>
          </w:p>
          <w:p w14:paraId="3C738C6A" w14:textId="77777777" w:rsidR="00A920F6" w:rsidRPr="0025537D" w:rsidRDefault="00A920F6" w:rsidP="00A920F6">
            <w:pPr>
              <w:jc w:val="center"/>
              <w:rPr>
                <w:sz w:val="20"/>
                <w:szCs w:val="20"/>
              </w:rPr>
            </w:pPr>
            <w:r>
              <w:rPr>
                <w:sz w:val="20"/>
                <w:szCs w:val="20"/>
              </w:rPr>
              <w:t>(x = 0,49)</w:t>
            </w:r>
          </w:p>
        </w:tc>
      </w:tr>
      <w:tr w:rsidR="00A920F6" w:rsidRPr="0025537D" w14:paraId="047479E2" w14:textId="77777777" w:rsidTr="00A920F6">
        <w:trPr>
          <w:trHeight w:val="70"/>
        </w:trPr>
        <w:tc>
          <w:tcPr>
            <w:tcW w:w="2019" w:type="dxa"/>
            <w:vMerge/>
            <w:shd w:val="clear" w:color="auto" w:fill="F2F2F2"/>
            <w:vAlign w:val="center"/>
          </w:tcPr>
          <w:p w14:paraId="6EF23DBF" w14:textId="77777777" w:rsidR="00A920F6" w:rsidRPr="0025537D" w:rsidRDefault="00A920F6" w:rsidP="00A920F6">
            <w:pPr>
              <w:rPr>
                <w:bCs/>
                <w:sz w:val="20"/>
                <w:szCs w:val="20"/>
              </w:rPr>
            </w:pPr>
          </w:p>
        </w:tc>
        <w:tc>
          <w:tcPr>
            <w:tcW w:w="2052" w:type="dxa"/>
            <w:shd w:val="clear" w:color="auto" w:fill="F2F2F2"/>
          </w:tcPr>
          <w:p w14:paraId="5E37BCE6" w14:textId="77777777" w:rsidR="00A920F6" w:rsidRPr="00A4001C" w:rsidRDefault="00A920F6" w:rsidP="00A920F6">
            <w:pPr>
              <w:jc w:val="center"/>
              <w:rPr>
                <w:bCs/>
                <w:sz w:val="20"/>
                <w:szCs w:val="20"/>
              </w:rPr>
            </w:pPr>
            <w:r w:rsidRPr="00A4001C">
              <w:rPr>
                <w:bCs/>
                <w:sz w:val="20"/>
                <w:szCs w:val="20"/>
              </w:rPr>
              <w:t>Povprečno letno število dni s snežno odejo</w:t>
            </w:r>
          </w:p>
        </w:tc>
        <w:tc>
          <w:tcPr>
            <w:tcW w:w="2728" w:type="dxa"/>
          </w:tcPr>
          <w:p w14:paraId="1B56AEC8" w14:textId="77777777" w:rsidR="00A920F6" w:rsidRPr="00A4001C" w:rsidRDefault="00A920F6" w:rsidP="00A920F6">
            <w:pPr>
              <w:rPr>
                <w:sz w:val="20"/>
                <w:szCs w:val="20"/>
              </w:rPr>
            </w:pPr>
            <w:r w:rsidRPr="00A25970">
              <w:rPr>
                <w:sz w:val="20"/>
                <w:szCs w:val="20"/>
              </w:rPr>
              <w:t>Trajanje snežne odeje se zmanjšuje</w:t>
            </w:r>
            <w:r>
              <w:rPr>
                <w:sz w:val="20"/>
                <w:szCs w:val="20"/>
              </w:rPr>
              <w:t xml:space="preserve"> (</w:t>
            </w:r>
            <w:r w:rsidRPr="00A25970">
              <w:rPr>
                <w:sz w:val="20"/>
                <w:szCs w:val="20"/>
              </w:rPr>
              <w:t>še</w:t>
            </w:r>
            <w:r>
              <w:rPr>
                <w:sz w:val="20"/>
                <w:szCs w:val="20"/>
              </w:rPr>
              <w:t xml:space="preserve"> posebej v višje ležečem </w:t>
            </w:r>
            <w:r w:rsidRPr="00A25970">
              <w:rPr>
                <w:sz w:val="20"/>
                <w:szCs w:val="20"/>
              </w:rPr>
              <w:t>zaledju</w:t>
            </w:r>
            <w:r>
              <w:rPr>
                <w:sz w:val="20"/>
                <w:szCs w:val="20"/>
              </w:rPr>
              <w:t>)</w:t>
            </w:r>
            <w:r w:rsidRPr="00A25970">
              <w:rPr>
                <w:sz w:val="20"/>
                <w:szCs w:val="20"/>
              </w:rPr>
              <w:t xml:space="preserve">, izpostavljenost </w:t>
            </w:r>
            <w:r>
              <w:rPr>
                <w:sz w:val="20"/>
                <w:szCs w:val="20"/>
              </w:rPr>
              <w:t>ostaja zelo velika</w:t>
            </w:r>
            <w:r w:rsidRPr="00A25970">
              <w:rPr>
                <w:sz w:val="20"/>
                <w:szCs w:val="20"/>
              </w:rPr>
              <w:t xml:space="preserve">, ker ni </w:t>
            </w:r>
            <w:r>
              <w:rPr>
                <w:sz w:val="20"/>
                <w:szCs w:val="20"/>
              </w:rPr>
              <w:t>z</w:t>
            </w:r>
            <w:r w:rsidRPr="00A25970">
              <w:rPr>
                <w:sz w:val="20"/>
                <w:szCs w:val="20"/>
              </w:rPr>
              <w:t>alog vode.</w:t>
            </w:r>
          </w:p>
        </w:tc>
        <w:tc>
          <w:tcPr>
            <w:tcW w:w="1276" w:type="dxa"/>
            <w:shd w:val="clear" w:color="auto" w:fill="FF3F00"/>
          </w:tcPr>
          <w:p w14:paraId="677BDF5C" w14:textId="77777777" w:rsidR="00A920F6" w:rsidRPr="00A4001C" w:rsidRDefault="00A920F6" w:rsidP="00A920F6">
            <w:pPr>
              <w:jc w:val="center"/>
              <w:rPr>
                <w:sz w:val="20"/>
                <w:szCs w:val="20"/>
              </w:rPr>
            </w:pPr>
            <w:r w:rsidRPr="00A4001C">
              <w:rPr>
                <w:sz w:val="20"/>
                <w:szCs w:val="20"/>
              </w:rPr>
              <w:t>5</w:t>
            </w:r>
          </w:p>
          <w:p w14:paraId="1634A8D0" w14:textId="77777777" w:rsidR="00A920F6" w:rsidRPr="00A4001C" w:rsidRDefault="00A920F6" w:rsidP="00A920F6">
            <w:pPr>
              <w:jc w:val="center"/>
              <w:rPr>
                <w:sz w:val="20"/>
                <w:szCs w:val="20"/>
              </w:rPr>
            </w:pPr>
            <w:r w:rsidRPr="00A4001C">
              <w:rPr>
                <w:sz w:val="20"/>
                <w:szCs w:val="20"/>
              </w:rPr>
              <w:t>(ocena)</w:t>
            </w:r>
          </w:p>
        </w:tc>
        <w:tc>
          <w:tcPr>
            <w:tcW w:w="1275" w:type="dxa"/>
            <w:shd w:val="clear" w:color="auto" w:fill="FF3F00"/>
          </w:tcPr>
          <w:p w14:paraId="7D3CE59C" w14:textId="77777777" w:rsidR="00A920F6" w:rsidRPr="00A4001C" w:rsidRDefault="00A920F6" w:rsidP="00A920F6">
            <w:pPr>
              <w:jc w:val="center"/>
              <w:rPr>
                <w:iCs/>
                <w:sz w:val="20"/>
                <w:szCs w:val="20"/>
              </w:rPr>
            </w:pPr>
            <w:r w:rsidRPr="00A4001C">
              <w:rPr>
                <w:iCs/>
                <w:sz w:val="20"/>
                <w:szCs w:val="20"/>
              </w:rPr>
              <w:t>5</w:t>
            </w:r>
          </w:p>
          <w:p w14:paraId="24419EC4" w14:textId="77777777" w:rsidR="00A920F6" w:rsidRPr="00A4001C" w:rsidRDefault="00A920F6" w:rsidP="00A920F6">
            <w:pPr>
              <w:jc w:val="center"/>
              <w:rPr>
                <w:iCs/>
                <w:sz w:val="20"/>
                <w:szCs w:val="20"/>
              </w:rPr>
            </w:pPr>
            <w:r w:rsidRPr="00A4001C">
              <w:rPr>
                <w:sz w:val="20"/>
                <w:szCs w:val="20"/>
              </w:rPr>
              <w:t>(ocena)</w:t>
            </w:r>
          </w:p>
        </w:tc>
      </w:tr>
      <w:tr w:rsidR="00A920F6" w:rsidRPr="0025537D" w14:paraId="0D69D69F" w14:textId="77777777" w:rsidTr="00A920F6">
        <w:trPr>
          <w:trHeight w:val="70"/>
        </w:trPr>
        <w:tc>
          <w:tcPr>
            <w:tcW w:w="2019" w:type="dxa"/>
            <w:vMerge/>
            <w:shd w:val="clear" w:color="auto" w:fill="F2F2F2"/>
            <w:vAlign w:val="center"/>
          </w:tcPr>
          <w:p w14:paraId="03747AD1" w14:textId="77777777" w:rsidR="00A920F6" w:rsidRPr="0025537D" w:rsidRDefault="00A920F6" w:rsidP="00A920F6">
            <w:pPr>
              <w:rPr>
                <w:bCs/>
                <w:sz w:val="20"/>
                <w:szCs w:val="20"/>
              </w:rPr>
            </w:pPr>
          </w:p>
        </w:tc>
        <w:tc>
          <w:tcPr>
            <w:tcW w:w="2052" w:type="dxa"/>
            <w:shd w:val="clear" w:color="auto" w:fill="F2F2F2"/>
          </w:tcPr>
          <w:p w14:paraId="269861BE" w14:textId="77777777" w:rsidR="00A920F6" w:rsidRPr="0025537D" w:rsidRDefault="00A920F6" w:rsidP="00A920F6">
            <w:pPr>
              <w:jc w:val="center"/>
              <w:rPr>
                <w:sz w:val="20"/>
                <w:szCs w:val="20"/>
              </w:rPr>
            </w:pPr>
            <w:r w:rsidRPr="0025537D">
              <w:rPr>
                <w:sz w:val="20"/>
                <w:szCs w:val="20"/>
              </w:rPr>
              <w:t>Sunki vetra</w:t>
            </w:r>
          </w:p>
        </w:tc>
        <w:tc>
          <w:tcPr>
            <w:tcW w:w="2728" w:type="dxa"/>
          </w:tcPr>
          <w:p w14:paraId="3EEA8A3E" w14:textId="77777777" w:rsidR="00A920F6" w:rsidRPr="0025537D" w:rsidRDefault="00A920F6" w:rsidP="00A920F6">
            <w:pPr>
              <w:rPr>
                <w:sz w:val="20"/>
                <w:szCs w:val="20"/>
              </w:rPr>
            </w:pPr>
            <w:r w:rsidRPr="0025537D">
              <w:rPr>
                <w:sz w:val="20"/>
                <w:szCs w:val="20"/>
              </w:rPr>
              <w:t xml:space="preserve">Izpostavljenost </w:t>
            </w:r>
            <w:r>
              <w:rPr>
                <w:sz w:val="20"/>
                <w:szCs w:val="20"/>
              </w:rPr>
              <w:t>zaradi vetra ostaja velika.</w:t>
            </w:r>
          </w:p>
        </w:tc>
        <w:tc>
          <w:tcPr>
            <w:tcW w:w="1276" w:type="dxa"/>
            <w:shd w:val="clear" w:color="auto" w:fill="FF3F00"/>
          </w:tcPr>
          <w:p w14:paraId="46C64CA8" w14:textId="77777777" w:rsidR="00A920F6" w:rsidRPr="0025537D" w:rsidRDefault="00A920F6" w:rsidP="00A920F6">
            <w:pPr>
              <w:jc w:val="center"/>
              <w:rPr>
                <w:sz w:val="20"/>
                <w:szCs w:val="20"/>
              </w:rPr>
            </w:pPr>
            <w:r>
              <w:rPr>
                <w:sz w:val="20"/>
                <w:szCs w:val="20"/>
              </w:rPr>
              <w:t>5</w:t>
            </w:r>
          </w:p>
          <w:p w14:paraId="4077A498" w14:textId="77777777" w:rsidR="00A920F6" w:rsidRPr="0025537D" w:rsidRDefault="00A920F6" w:rsidP="00A920F6">
            <w:pPr>
              <w:jc w:val="center"/>
              <w:rPr>
                <w:sz w:val="20"/>
                <w:szCs w:val="20"/>
              </w:rPr>
            </w:pPr>
            <w:r w:rsidRPr="0025537D">
              <w:rPr>
                <w:sz w:val="20"/>
                <w:szCs w:val="20"/>
              </w:rPr>
              <w:t>(ocena)</w:t>
            </w:r>
          </w:p>
        </w:tc>
        <w:tc>
          <w:tcPr>
            <w:tcW w:w="1275" w:type="dxa"/>
            <w:shd w:val="clear" w:color="auto" w:fill="FF3F00"/>
          </w:tcPr>
          <w:p w14:paraId="48F233B5" w14:textId="77777777" w:rsidR="00A920F6" w:rsidRPr="0025537D" w:rsidRDefault="00A920F6" w:rsidP="00A920F6">
            <w:pPr>
              <w:jc w:val="center"/>
              <w:rPr>
                <w:sz w:val="20"/>
                <w:szCs w:val="20"/>
              </w:rPr>
            </w:pPr>
            <w:r>
              <w:rPr>
                <w:sz w:val="20"/>
                <w:szCs w:val="20"/>
              </w:rPr>
              <w:t>5</w:t>
            </w:r>
          </w:p>
          <w:p w14:paraId="0EB69474" w14:textId="77777777" w:rsidR="00A920F6" w:rsidRPr="0025537D" w:rsidRDefault="00A920F6" w:rsidP="00A920F6">
            <w:pPr>
              <w:jc w:val="center"/>
              <w:rPr>
                <w:sz w:val="20"/>
                <w:szCs w:val="20"/>
              </w:rPr>
            </w:pPr>
            <w:r w:rsidRPr="0025537D">
              <w:rPr>
                <w:sz w:val="20"/>
                <w:szCs w:val="20"/>
              </w:rPr>
              <w:t>(ocena)</w:t>
            </w:r>
          </w:p>
        </w:tc>
      </w:tr>
    </w:tbl>
    <w:p w14:paraId="305B593F" w14:textId="77777777" w:rsidR="00A920F6" w:rsidRPr="0025537D" w:rsidRDefault="00A920F6" w:rsidP="00A920F6"/>
    <w:p w14:paraId="3B7B844D" w14:textId="5023A72C" w:rsidR="00A920F6" w:rsidRPr="0073684B" w:rsidRDefault="00A920F6" w:rsidP="00A920F6">
      <w:r w:rsidRPr="00F155F1">
        <w:t xml:space="preserve">V nadaljevanju opisujemo spremenljivke, ki sestavljajo kazalnik občutljivosti. </w:t>
      </w:r>
      <w:r>
        <w:t>Grafično so glede na ostalo Slovenijo prikazane v prilogi (</w:t>
      </w:r>
      <w:r>
        <w:fldChar w:fldCharType="begin"/>
      </w:r>
      <w:r>
        <w:instrText xml:space="preserve"> REF _Ref74576705 \r \h </w:instrText>
      </w:r>
      <w:r>
        <w:fldChar w:fldCharType="separate"/>
      </w:r>
      <w:r w:rsidR="004700D5">
        <w:t>8.1.1</w:t>
      </w:r>
      <w:r>
        <w:fldChar w:fldCharType="end"/>
      </w:r>
      <w:r>
        <w:t xml:space="preserve">). </w:t>
      </w:r>
      <w:r w:rsidRPr="00F155F1">
        <w:t>Za te</w:t>
      </w:r>
      <w:r w:rsidRPr="004E6E47">
        <w:t xml:space="preserve"> spremenljivke ne moremo predvideti, kako se bodo v prihodnje spremenile, zato jih obravnavamo enako tudi pri spremenjeni izpostavljenosti zaradi podnebnih sprememb (</w:t>
      </w:r>
      <w:r w:rsidRPr="004E6E47">
        <w:fldChar w:fldCharType="begin"/>
      </w:r>
      <w:r w:rsidRPr="004E6E47">
        <w:instrText xml:space="preserve"> REF _Ref39587933 \h </w:instrText>
      </w:r>
      <w:r>
        <w:instrText xml:space="preserve"> \* MERGEFORMAT </w:instrText>
      </w:r>
      <w:r w:rsidRPr="004E6E47">
        <w:fldChar w:fldCharType="separate"/>
      </w:r>
      <w:r w:rsidR="004700D5" w:rsidRPr="0073684B">
        <w:t xml:space="preserve">Preglednica </w:t>
      </w:r>
      <w:r w:rsidR="004700D5">
        <w:rPr>
          <w:noProof/>
        </w:rPr>
        <w:t>6.9</w:t>
      </w:r>
      <w:r w:rsidRPr="004E6E47">
        <w:fldChar w:fldCharType="end"/>
      </w:r>
      <w:r w:rsidRPr="004E6E47">
        <w:t>). Delež poplavno ogroženih kmetijskih zemljišč na ravni te občine je majhen (x=0,</w:t>
      </w:r>
      <w:r>
        <w:t>16</w:t>
      </w:r>
      <w:r w:rsidRPr="004E6E47">
        <w:t xml:space="preserve">), kar pomeni </w:t>
      </w:r>
      <w:r>
        <w:t>neznatno</w:t>
      </w:r>
      <w:r w:rsidRPr="004E6E47">
        <w:t xml:space="preserve"> občutljivost kmetijske pridelave na trenutno poplavno ogroženost kmetijskih zemljišč (ocena 1)</w:t>
      </w:r>
      <w:r>
        <w:t xml:space="preserve"> – kljub temu pa so po izkušnjah poplave reke Vipave za nekatera zemljišča problematične</w:t>
      </w:r>
      <w:r w:rsidRPr="004E6E47">
        <w:t xml:space="preserve">. Delež kmetijskih zemljišč z nizko boniteto je </w:t>
      </w:r>
      <w:r>
        <w:t>precej velik (x=0,60</w:t>
      </w:r>
      <w:r w:rsidRPr="004E6E47">
        <w:t xml:space="preserve">), </w:t>
      </w:r>
      <w:r>
        <w:t>za slabi dve tretjini</w:t>
      </w:r>
      <w:r w:rsidRPr="004E6E47">
        <w:t xml:space="preserve"> kmetijskih zemljišč na območju </w:t>
      </w:r>
      <w:r>
        <w:t xml:space="preserve">pomeni </w:t>
      </w:r>
      <w:r w:rsidRPr="004E6E47">
        <w:t>nizk</w:t>
      </w:r>
      <w:r>
        <w:t>a proizvodna</w:t>
      </w:r>
      <w:r w:rsidRPr="004E6E47">
        <w:t xml:space="preserve"> sposobnost </w:t>
      </w:r>
      <w:r>
        <w:t>neugodne</w:t>
      </w:r>
      <w:r w:rsidRPr="004E6E47">
        <w:t xml:space="preserve"> lastnosti tal, klime, reli</w:t>
      </w:r>
      <w:r>
        <w:t>efa in posebnih vplivov (ocena 3, na meji s 4</w:t>
      </w:r>
      <w:r w:rsidRPr="004E6E47">
        <w:t xml:space="preserve">). </w:t>
      </w:r>
      <w:r>
        <w:t xml:space="preserve">Skoraj vsa </w:t>
      </w:r>
      <w:r w:rsidRPr="004E6E47">
        <w:t xml:space="preserve"> kmetijsk</w:t>
      </w:r>
      <w:r>
        <w:t>a</w:t>
      </w:r>
      <w:r w:rsidRPr="004E6E47">
        <w:t xml:space="preserve"> zemljišč</w:t>
      </w:r>
      <w:r>
        <w:t>a v uporabi v občini (96 %) imajo</w:t>
      </w:r>
      <w:r w:rsidRPr="004E6E47">
        <w:t xml:space="preserve"> omejene možnosti za kmetijsko dejavnost (x=</w:t>
      </w:r>
      <w:r>
        <w:t>0,96), to seveda pomeni zelo veliko občutljivost</w:t>
      </w:r>
      <w:r w:rsidRPr="004E6E47">
        <w:t xml:space="preserve"> </w:t>
      </w:r>
      <w:r>
        <w:t>(</w:t>
      </w:r>
      <w:r w:rsidRPr="00754A11">
        <w:t xml:space="preserve">ocena </w:t>
      </w:r>
      <w:r>
        <w:t>5</w:t>
      </w:r>
      <w:r w:rsidRPr="00754A11">
        <w:t xml:space="preserve">). V </w:t>
      </w:r>
      <w:r>
        <w:t>Goriški</w:t>
      </w:r>
      <w:r w:rsidRPr="00754A11">
        <w:t xml:space="preserve"> regiji je delež povprečne letne škode zaradi vremensko pogojenih naravnih nesreč v povprečnem bruto domačem proizvodu </w:t>
      </w:r>
      <w:r>
        <w:t>precej velik</w:t>
      </w:r>
      <w:r w:rsidRPr="00754A11">
        <w:t xml:space="preserve"> (x=0,</w:t>
      </w:r>
      <w:r>
        <w:t>53</w:t>
      </w:r>
      <w:r w:rsidRPr="00754A11">
        <w:t xml:space="preserve">), kar kaže na </w:t>
      </w:r>
      <w:r>
        <w:t>zmerno</w:t>
      </w:r>
      <w:r w:rsidRPr="00754A11">
        <w:t xml:space="preserve"> občutljivost (ocena </w:t>
      </w:r>
      <w:r>
        <w:t>3</w:t>
      </w:r>
      <w:r w:rsidRPr="00754A11">
        <w:t>). V regiji je zaznati rast števila zaposlenih v kmetijskih dejavnosti</w:t>
      </w:r>
      <w:r>
        <w:t>h</w:t>
      </w:r>
      <w:r w:rsidRPr="00754A11">
        <w:t>, kar nakazuje na</w:t>
      </w:r>
      <w:r w:rsidRPr="004E6E47">
        <w:t xml:space="preserve"> potencialno pozitivne spremembe v kmetijstvu</w:t>
      </w:r>
      <w:r>
        <w:t xml:space="preserve"> in neznatno občutljivost</w:t>
      </w:r>
      <w:r w:rsidRPr="004E6E47">
        <w:t xml:space="preserve"> (x=0, ocena 1). Na ravni občine je zaznati </w:t>
      </w:r>
      <w:r>
        <w:t xml:space="preserve">rahlo </w:t>
      </w:r>
      <w:r w:rsidRPr="0073684B">
        <w:t>povečevanje obsega kmetijskih površin v uporabi</w:t>
      </w:r>
      <w:r>
        <w:t xml:space="preserve"> </w:t>
      </w:r>
      <w:r w:rsidRPr="0073684B">
        <w:t>(x=0</w:t>
      </w:r>
      <w:r>
        <w:t>,42</w:t>
      </w:r>
      <w:r w:rsidRPr="0073684B">
        <w:t>)</w:t>
      </w:r>
      <w:r>
        <w:t>, glede na ostalo Slovenijo gre za zmerno občutljivost</w:t>
      </w:r>
      <w:r w:rsidRPr="0073684B">
        <w:t xml:space="preserve"> (ocena </w:t>
      </w:r>
      <w:r>
        <w:t>3</w:t>
      </w:r>
      <w:r w:rsidRPr="0073684B">
        <w:t>). Boljša je starostna struktura prebivalstva, manj je kmetijstvo občutljivo, ker se hitreje odziva in prilagaja</w:t>
      </w:r>
      <w:r>
        <w:t xml:space="preserve"> ter je manj občutljivo na vročino</w:t>
      </w:r>
      <w:r w:rsidRPr="0073684B">
        <w:t>. V občini beležimo srednje ugodno (ocena 3</w:t>
      </w:r>
      <w:r>
        <w:t>, skoraj 4</w:t>
      </w:r>
      <w:r w:rsidRPr="0073684B">
        <w:t>) povprečno starost nosilca kmetijskega gospodarstva (x=0,</w:t>
      </w:r>
      <w:r>
        <w:t>59</w:t>
      </w:r>
      <w:r w:rsidRPr="0073684B">
        <w:t xml:space="preserve">) in </w:t>
      </w:r>
      <w:r>
        <w:t xml:space="preserve">nekoliko </w:t>
      </w:r>
      <w:r w:rsidRPr="0073684B">
        <w:t>manj ugodno (ocena 4) povprečno starost članov kmetijskega gospodarstva (x=0,</w:t>
      </w:r>
      <w:r>
        <w:t>64</w:t>
      </w:r>
      <w:r w:rsidRPr="0073684B">
        <w:t>).</w:t>
      </w:r>
    </w:p>
    <w:p w14:paraId="0C8F6394" w14:textId="5DA36306" w:rsidR="00A920F6" w:rsidRPr="0073684B" w:rsidRDefault="00A920F6" w:rsidP="00A920F6">
      <w:pPr>
        <w:pStyle w:val="Napis"/>
      </w:pPr>
      <w:bookmarkStart w:id="165" w:name="_Ref39587933"/>
      <w:bookmarkStart w:id="166" w:name="_Toc97026962"/>
      <w:r w:rsidRPr="0073684B">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9</w:t>
      </w:r>
      <w:r w:rsidR="00976D80">
        <w:fldChar w:fldCharType="end"/>
      </w:r>
      <w:bookmarkEnd w:id="165"/>
      <w:r w:rsidRPr="0073684B">
        <w:t>: Kvantitativne ocene spremenljivk kazalnika občutljivosti kmetijstva na podnebje (v referenčnem obdobju 1981–2010 in enako v prihodnje).</w:t>
      </w:r>
      <w:bookmarkEnd w:id="166"/>
    </w:p>
    <w:tbl>
      <w:tblPr>
        <w:tblStyle w:val="TableGrid1"/>
        <w:tblpPr w:leftFromText="180" w:rightFromText="180" w:vertAnchor="text" w:horzAnchor="margin" w:tblpY="69"/>
        <w:tblW w:w="0" w:type="auto"/>
        <w:tblLook w:val="04A0" w:firstRow="1" w:lastRow="0" w:firstColumn="1" w:lastColumn="0" w:noHBand="0" w:noVBand="1"/>
      </w:tblPr>
      <w:tblGrid>
        <w:gridCol w:w="1861"/>
        <w:gridCol w:w="2535"/>
        <w:gridCol w:w="3514"/>
        <w:gridCol w:w="1440"/>
      </w:tblGrid>
      <w:tr w:rsidR="00A920F6" w:rsidRPr="00E24619" w14:paraId="0530DCAA" w14:textId="77777777" w:rsidTr="00A920F6">
        <w:trPr>
          <w:trHeight w:val="270"/>
        </w:trPr>
        <w:tc>
          <w:tcPr>
            <w:tcW w:w="1861" w:type="dxa"/>
            <w:shd w:val="clear" w:color="auto" w:fill="D9D9D9" w:themeFill="background1" w:themeFillShade="D9"/>
            <w:vAlign w:val="center"/>
          </w:tcPr>
          <w:p w14:paraId="73EBE3ED" w14:textId="77777777" w:rsidR="00A920F6" w:rsidRPr="0073684B" w:rsidRDefault="00A920F6" w:rsidP="00A920F6">
            <w:pPr>
              <w:rPr>
                <w:bCs/>
                <w:sz w:val="20"/>
                <w:szCs w:val="20"/>
              </w:rPr>
            </w:pPr>
            <w:r w:rsidRPr="0073684B">
              <w:rPr>
                <w:bCs/>
                <w:sz w:val="20"/>
                <w:szCs w:val="20"/>
              </w:rPr>
              <w:t>Kazalnik</w:t>
            </w:r>
          </w:p>
        </w:tc>
        <w:tc>
          <w:tcPr>
            <w:tcW w:w="2535" w:type="dxa"/>
            <w:shd w:val="clear" w:color="auto" w:fill="D9D9D9" w:themeFill="background1" w:themeFillShade="D9"/>
            <w:vAlign w:val="center"/>
          </w:tcPr>
          <w:p w14:paraId="3B940005" w14:textId="77777777" w:rsidR="00A920F6" w:rsidRPr="0073684B" w:rsidRDefault="00A920F6" w:rsidP="00A920F6">
            <w:pPr>
              <w:rPr>
                <w:bCs/>
                <w:sz w:val="20"/>
                <w:szCs w:val="20"/>
              </w:rPr>
            </w:pPr>
            <w:r w:rsidRPr="0073684B">
              <w:rPr>
                <w:bCs/>
                <w:sz w:val="20"/>
                <w:szCs w:val="20"/>
              </w:rPr>
              <w:t>Spremenljivka</w:t>
            </w:r>
          </w:p>
        </w:tc>
        <w:tc>
          <w:tcPr>
            <w:tcW w:w="3514" w:type="dxa"/>
            <w:shd w:val="clear" w:color="auto" w:fill="D9D9D9" w:themeFill="background1" w:themeFillShade="D9"/>
          </w:tcPr>
          <w:p w14:paraId="37D1A2A6" w14:textId="77777777" w:rsidR="00A920F6" w:rsidRPr="0073684B" w:rsidRDefault="00A920F6" w:rsidP="00A920F6">
            <w:pPr>
              <w:rPr>
                <w:bCs/>
                <w:sz w:val="20"/>
                <w:szCs w:val="20"/>
              </w:rPr>
            </w:pPr>
            <w:r w:rsidRPr="0073684B">
              <w:rPr>
                <w:bCs/>
                <w:sz w:val="20"/>
                <w:szCs w:val="20"/>
              </w:rPr>
              <w:t>Opisno</w:t>
            </w:r>
          </w:p>
        </w:tc>
        <w:tc>
          <w:tcPr>
            <w:tcW w:w="1440" w:type="dxa"/>
            <w:shd w:val="clear" w:color="auto" w:fill="D9D9D9" w:themeFill="background1" w:themeFillShade="D9"/>
          </w:tcPr>
          <w:p w14:paraId="00598430" w14:textId="77777777" w:rsidR="00A920F6" w:rsidRPr="0073684B" w:rsidRDefault="00A920F6" w:rsidP="00A920F6">
            <w:pPr>
              <w:rPr>
                <w:bCs/>
                <w:sz w:val="20"/>
                <w:szCs w:val="20"/>
              </w:rPr>
            </w:pPr>
            <w:r w:rsidRPr="0073684B">
              <w:rPr>
                <w:bCs/>
                <w:sz w:val="20"/>
                <w:szCs w:val="20"/>
              </w:rPr>
              <w:t>Kvantitativno</w:t>
            </w:r>
          </w:p>
        </w:tc>
      </w:tr>
      <w:tr w:rsidR="00A920F6" w:rsidRPr="00E24619" w14:paraId="409115CE" w14:textId="77777777" w:rsidTr="00A920F6">
        <w:trPr>
          <w:trHeight w:val="270"/>
        </w:trPr>
        <w:tc>
          <w:tcPr>
            <w:tcW w:w="1861" w:type="dxa"/>
            <w:vMerge w:val="restart"/>
            <w:shd w:val="clear" w:color="auto" w:fill="F2F2F2"/>
            <w:vAlign w:val="center"/>
          </w:tcPr>
          <w:p w14:paraId="3E8E1437" w14:textId="77777777" w:rsidR="00A920F6" w:rsidRPr="0073684B" w:rsidRDefault="00A920F6" w:rsidP="00A920F6">
            <w:pPr>
              <w:jc w:val="center"/>
              <w:rPr>
                <w:bCs/>
                <w:sz w:val="20"/>
                <w:szCs w:val="20"/>
              </w:rPr>
            </w:pPr>
            <w:r w:rsidRPr="0073684B">
              <w:rPr>
                <w:bCs/>
                <w:sz w:val="20"/>
                <w:szCs w:val="20"/>
              </w:rPr>
              <w:t>OBČUTLJIVOST</w:t>
            </w:r>
          </w:p>
        </w:tc>
        <w:tc>
          <w:tcPr>
            <w:tcW w:w="2535" w:type="dxa"/>
            <w:shd w:val="clear" w:color="auto" w:fill="F2F2F2"/>
            <w:vAlign w:val="center"/>
          </w:tcPr>
          <w:p w14:paraId="6BAA5B81" w14:textId="77777777" w:rsidR="00A920F6" w:rsidRPr="0073684B" w:rsidRDefault="00A920F6" w:rsidP="00A920F6">
            <w:pPr>
              <w:jc w:val="center"/>
              <w:rPr>
                <w:bCs/>
                <w:sz w:val="20"/>
                <w:szCs w:val="20"/>
              </w:rPr>
            </w:pPr>
            <w:r w:rsidRPr="0073684B">
              <w:rPr>
                <w:bCs/>
                <w:sz w:val="20"/>
                <w:szCs w:val="20"/>
              </w:rPr>
              <w:t>Delež poplavno ogroženih kmetijskih zemljišč</w:t>
            </w:r>
          </w:p>
        </w:tc>
        <w:tc>
          <w:tcPr>
            <w:tcW w:w="3514" w:type="dxa"/>
          </w:tcPr>
          <w:p w14:paraId="01854F8A" w14:textId="77777777" w:rsidR="00A920F6" w:rsidRPr="0073684B" w:rsidRDefault="00A920F6" w:rsidP="00A920F6">
            <w:pPr>
              <w:rPr>
                <w:sz w:val="20"/>
                <w:szCs w:val="20"/>
              </w:rPr>
            </w:pPr>
            <w:r w:rsidRPr="0073684B">
              <w:rPr>
                <w:sz w:val="20"/>
                <w:szCs w:val="20"/>
              </w:rPr>
              <w:t xml:space="preserve">Delež poplavno ogroženih kmetijskih zemljišč je majhen, kar pomeni </w:t>
            </w:r>
            <w:r>
              <w:rPr>
                <w:sz w:val="20"/>
                <w:szCs w:val="20"/>
              </w:rPr>
              <w:t>neznatno</w:t>
            </w:r>
            <w:r w:rsidRPr="0073684B">
              <w:rPr>
                <w:sz w:val="20"/>
                <w:szCs w:val="20"/>
              </w:rPr>
              <w:t xml:space="preserve"> občutljivost</w:t>
            </w:r>
            <w:r>
              <w:rPr>
                <w:sz w:val="20"/>
                <w:szCs w:val="20"/>
              </w:rPr>
              <w:t>, vendar se je treba zavedati težav ob reki Vipavi</w:t>
            </w:r>
            <w:r w:rsidRPr="0073684B">
              <w:rPr>
                <w:sz w:val="20"/>
                <w:szCs w:val="20"/>
              </w:rPr>
              <w:t>.</w:t>
            </w:r>
          </w:p>
        </w:tc>
        <w:tc>
          <w:tcPr>
            <w:tcW w:w="1440" w:type="dxa"/>
            <w:shd w:val="clear" w:color="auto" w:fill="7FE300"/>
          </w:tcPr>
          <w:p w14:paraId="7249155B" w14:textId="77777777" w:rsidR="00A920F6" w:rsidRPr="0073684B" w:rsidRDefault="00A920F6" w:rsidP="00A920F6">
            <w:pPr>
              <w:jc w:val="center"/>
              <w:rPr>
                <w:sz w:val="20"/>
                <w:szCs w:val="20"/>
              </w:rPr>
            </w:pPr>
            <w:r w:rsidRPr="0073684B">
              <w:rPr>
                <w:sz w:val="20"/>
                <w:szCs w:val="20"/>
              </w:rPr>
              <w:t>1</w:t>
            </w:r>
          </w:p>
          <w:p w14:paraId="78C5350C" w14:textId="77777777" w:rsidR="00A920F6" w:rsidRPr="0073684B" w:rsidRDefault="00A920F6" w:rsidP="00A920F6">
            <w:pPr>
              <w:jc w:val="center"/>
              <w:rPr>
                <w:sz w:val="20"/>
                <w:szCs w:val="20"/>
              </w:rPr>
            </w:pPr>
            <w:r w:rsidRPr="0073684B">
              <w:rPr>
                <w:sz w:val="20"/>
                <w:szCs w:val="20"/>
              </w:rPr>
              <w:t>(x = 0,</w:t>
            </w:r>
            <w:r>
              <w:rPr>
                <w:sz w:val="20"/>
                <w:szCs w:val="20"/>
              </w:rPr>
              <w:t>16</w:t>
            </w:r>
            <w:r w:rsidRPr="0073684B">
              <w:rPr>
                <w:sz w:val="20"/>
                <w:szCs w:val="20"/>
              </w:rPr>
              <w:t>)</w:t>
            </w:r>
          </w:p>
        </w:tc>
      </w:tr>
      <w:tr w:rsidR="00A920F6" w:rsidRPr="00E24619" w14:paraId="3A699919" w14:textId="77777777" w:rsidTr="00A920F6">
        <w:trPr>
          <w:trHeight w:val="270"/>
        </w:trPr>
        <w:tc>
          <w:tcPr>
            <w:tcW w:w="1861" w:type="dxa"/>
            <w:vMerge/>
            <w:shd w:val="clear" w:color="auto" w:fill="F2F2F2"/>
            <w:vAlign w:val="center"/>
          </w:tcPr>
          <w:p w14:paraId="18FE50D6" w14:textId="77777777" w:rsidR="00A920F6" w:rsidRPr="0073684B" w:rsidRDefault="00A920F6" w:rsidP="00A920F6">
            <w:pPr>
              <w:jc w:val="center"/>
              <w:rPr>
                <w:bCs/>
                <w:sz w:val="20"/>
                <w:szCs w:val="20"/>
              </w:rPr>
            </w:pPr>
          </w:p>
        </w:tc>
        <w:tc>
          <w:tcPr>
            <w:tcW w:w="2535" w:type="dxa"/>
            <w:shd w:val="clear" w:color="auto" w:fill="F2F2F2"/>
            <w:vAlign w:val="center"/>
          </w:tcPr>
          <w:p w14:paraId="6F6FE2C7" w14:textId="77777777" w:rsidR="00A920F6" w:rsidRPr="0073684B" w:rsidRDefault="00A920F6" w:rsidP="00A920F6">
            <w:pPr>
              <w:jc w:val="center"/>
              <w:rPr>
                <w:bCs/>
                <w:sz w:val="20"/>
                <w:szCs w:val="20"/>
              </w:rPr>
            </w:pPr>
            <w:r w:rsidRPr="0073684B">
              <w:rPr>
                <w:bCs/>
                <w:sz w:val="20"/>
                <w:szCs w:val="20"/>
              </w:rPr>
              <w:t xml:space="preserve">Delež kmetijskih zemljišč z boniteto </w:t>
            </w:r>
            <w:r w:rsidRPr="0073684B">
              <w:rPr>
                <w:rFonts w:cs="Calibri"/>
                <w:bCs/>
                <w:sz w:val="20"/>
                <w:szCs w:val="20"/>
              </w:rPr>
              <w:t>≤</w:t>
            </w:r>
            <w:r w:rsidRPr="0073684B">
              <w:rPr>
                <w:bCs/>
                <w:sz w:val="20"/>
                <w:szCs w:val="20"/>
              </w:rPr>
              <w:t>40</w:t>
            </w:r>
          </w:p>
        </w:tc>
        <w:tc>
          <w:tcPr>
            <w:tcW w:w="3514" w:type="dxa"/>
          </w:tcPr>
          <w:p w14:paraId="325BDF9C" w14:textId="77777777" w:rsidR="00A920F6" w:rsidRPr="0073684B" w:rsidRDefault="00A920F6" w:rsidP="00A920F6">
            <w:pPr>
              <w:rPr>
                <w:sz w:val="20"/>
                <w:szCs w:val="20"/>
              </w:rPr>
            </w:pPr>
            <w:r w:rsidRPr="0073684B">
              <w:rPr>
                <w:sz w:val="20"/>
                <w:szCs w:val="20"/>
              </w:rPr>
              <w:t xml:space="preserve">Delež kmetijskih zemljišč z nizko boniteto je </w:t>
            </w:r>
            <w:r>
              <w:rPr>
                <w:sz w:val="20"/>
                <w:szCs w:val="20"/>
              </w:rPr>
              <w:t>60 %</w:t>
            </w:r>
            <w:r w:rsidRPr="0073684B">
              <w:rPr>
                <w:sz w:val="20"/>
                <w:szCs w:val="20"/>
              </w:rPr>
              <w:t xml:space="preserve">, </w:t>
            </w:r>
            <w:r>
              <w:rPr>
                <w:sz w:val="20"/>
                <w:szCs w:val="20"/>
              </w:rPr>
              <w:t>toliko</w:t>
            </w:r>
            <w:r w:rsidRPr="0073684B">
              <w:rPr>
                <w:sz w:val="20"/>
                <w:szCs w:val="20"/>
              </w:rPr>
              <w:t xml:space="preserve"> kmetijskih zemljišč na območju </w:t>
            </w:r>
            <w:r>
              <w:rPr>
                <w:sz w:val="20"/>
                <w:szCs w:val="20"/>
              </w:rPr>
              <w:t xml:space="preserve">občine ima </w:t>
            </w:r>
            <w:r w:rsidRPr="0073684B">
              <w:rPr>
                <w:sz w:val="20"/>
                <w:szCs w:val="20"/>
              </w:rPr>
              <w:t>nizko proizvodno sposobnost zaradi neugodnih lastnosti tal, klime, reliefa in posebnih vplivov.</w:t>
            </w:r>
          </w:p>
        </w:tc>
        <w:tc>
          <w:tcPr>
            <w:tcW w:w="1440" w:type="dxa"/>
            <w:shd w:val="clear" w:color="auto" w:fill="FFFF00"/>
          </w:tcPr>
          <w:p w14:paraId="099E2C22" w14:textId="77777777" w:rsidR="00A920F6" w:rsidRPr="0073684B" w:rsidRDefault="00A920F6" w:rsidP="00A920F6">
            <w:pPr>
              <w:jc w:val="center"/>
              <w:rPr>
                <w:sz w:val="20"/>
                <w:szCs w:val="20"/>
              </w:rPr>
            </w:pPr>
            <w:r>
              <w:rPr>
                <w:sz w:val="20"/>
                <w:szCs w:val="20"/>
              </w:rPr>
              <w:t>3</w:t>
            </w:r>
          </w:p>
          <w:p w14:paraId="140FBA45" w14:textId="77777777" w:rsidR="00A920F6" w:rsidRPr="0073684B" w:rsidRDefault="00A920F6" w:rsidP="00A920F6">
            <w:pPr>
              <w:jc w:val="center"/>
              <w:rPr>
                <w:sz w:val="20"/>
                <w:szCs w:val="20"/>
              </w:rPr>
            </w:pPr>
            <w:r>
              <w:rPr>
                <w:sz w:val="20"/>
                <w:szCs w:val="20"/>
              </w:rPr>
              <w:t>(x = 0,60</w:t>
            </w:r>
            <w:r w:rsidRPr="0073684B">
              <w:rPr>
                <w:sz w:val="20"/>
                <w:szCs w:val="20"/>
              </w:rPr>
              <w:t>)</w:t>
            </w:r>
          </w:p>
        </w:tc>
      </w:tr>
      <w:tr w:rsidR="00A920F6" w:rsidRPr="00E24619" w14:paraId="5EA305AB" w14:textId="77777777" w:rsidTr="00A920F6">
        <w:trPr>
          <w:trHeight w:val="270"/>
        </w:trPr>
        <w:tc>
          <w:tcPr>
            <w:tcW w:w="1861" w:type="dxa"/>
            <w:vMerge/>
            <w:shd w:val="clear" w:color="auto" w:fill="F2F2F2"/>
            <w:vAlign w:val="center"/>
          </w:tcPr>
          <w:p w14:paraId="0023181F" w14:textId="77777777" w:rsidR="00A920F6" w:rsidRPr="00E24619" w:rsidRDefault="00A920F6" w:rsidP="00A920F6">
            <w:pPr>
              <w:jc w:val="center"/>
              <w:rPr>
                <w:bCs/>
                <w:color w:val="FF0000"/>
                <w:sz w:val="20"/>
                <w:szCs w:val="20"/>
              </w:rPr>
            </w:pPr>
          </w:p>
        </w:tc>
        <w:tc>
          <w:tcPr>
            <w:tcW w:w="2535" w:type="dxa"/>
            <w:shd w:val="clear" w:color="auto" w:fill="F2F2F2"/>
            <w:vAlign w:val="center"/>
          </w:tcPr>
          <w:p w14:paraId="5D610E0A" w14:textId="77777777" w:rsidR="00A920F6" w:rsidRPr="0073684B" w:rsidRDefault="00A920F6" w:rsidP="00A920F6">
            <w:pPr>
              <w:jc w:val="center"/>
              <w:rPr>
                <w:bCs/>
                <w:sz w:val="20"/>
                <w:szCs w:val="20"/>
              </w:rPr>
            </w:pPr>
            <w:r w:rsidRPr="0073684B">
              <w:rPr>
                <w:bCs/>
                <w:sz w:val="20"/>
                <w:szCs w:val="20"/>
              </w:rPr>
              <w:t>Delež kmetijskih zemljišč v uporabi v območjih z omejenimi možnostmi za kmetijsko dejavnost</w:t>
            </w:r>
          </w:p>
        </w:tc>
        <w:tc>
          <w:tcPr>
            <w:tcW w:w="3514" w:type="dxa"/>
          </w:tcPr>
          <w:p w14:paraId="6F6478FD" w14:textId="77777777" w:rsidR="00A920F6" w:rsidRPr="0073684B" w:rsidRDefault="00A920F6" w:rsidP="00A920F6">
            <w:pPr>
              <w:rPr>
                <w:sz w:val="20"/>
                <w:szCs w:val="20"/>
              </w:rPr>
            </w:pPr>
            <w:r>
              <w:rPr>
                <w:sz w:val="20"/>
                <w:szCs w:val="20"/>
              </w:rPr>
              <w:t>Skoraj vsa kmetijska</w:t>
            </w:r>
            <w:r w:rsidRPr="0073684B">
              <w:rPr>
                <w:sz w:val="20"/>
                <w:szCs w:val="20"/>
              </w:rPr>
              <w:t xml:space="preserve"> zemljišč</w:t>
            </w:r>
            <w:r>
              <w:rPr>
                <w:sz w:val="20"/>
                <w:szCs w:val="20"/>
              </w:rPr>
              <w:t>a</w:t>
            </w:r>
            <w:r w:rsidRPr="0073684B">
              <w:rPr>
                <w:sz w:val="20"/>
                <w:szCs w:val="20"/>
              </w:rPr>
              <w:t xml:space="preserve"> v uporabi na tem območju imajo omejene možnosti za kmetijsko dejavnost</w:t>
            </w:r>
            <w:r>
              <w:rPr>
                <w:sz w:val="20"/>
                <w:szCs w:val="20"/>
              </w:rPr>
              <w:t>, kar dela občino najbolj občutljivo</w:t>
            </w:r>
            <w:r w:rsidRPr="0073684B">
              <w:rPr>
                <w:sz w:val="20"/>
                <w:szCs w:val="20"/>
              </w:rPr>
              <w:t>.</w:t>
            </w:r>
          </w:p>
        </w:tc>
        <w:tc>
          <w:tcPr>
            <w:tcW w:w="1440" w:type="dxa"/>
            <w:shd w:val="clear" w:color="auto" w:fill="FF3F00"/>
          </w:tcPr>
          <w:p w14:paraId="7C826496" w14:textId="77777777" w:rsidR="00A920F6" w:rsidRPr="0073684B" w:rsidRDefault="00A920F6" w:rsidP="00A920F6">
            <w:pPr>
              <w:jc w:val="center"/>
              <w:rPr>
                <w:sz w:val="20"/>
                <w:szCs w:val="20"/>
              </w:rPr>
            </w:pPr>
            <w:r>
              <w:rPr>
                <w:sz w:val="20"/>
                <w:szCs w:val="20"/>
              </w:rPr>
              <w:t>5</w:t>
            </w:r>
            <w:r w:rsidRPr="0073684B">
              <w:rPr>
                <w:sz w:val="20"/>
                <w:szCs w:val="20"/>
              </w:rPr>
              <w:t xml:space="preserve"> </w:t>
            </w:r>
          </w:p>
          <w:p w14:paraId="3159D73D" w14:textId="77777777" w:rsidR="00A920F6" w:rsidRPr="0073684B" w:rsidRDefault="00A920F6" w:rsidP="00A920F6">
            <w:pPr>
              <w:jc w:val="center"/>
              <w:rPr>
                <w:sz w:val="20"/>
                <w:szCs w:val="20"/>
              </w:rPr>
            </w:pPr>
            <w:r w:rsidRPr="0073684B">
              <w:rPr>
                <w:sz w:val="20"/>
                <w:szCs w:val="20"/>
              </w:rPr>
              <w:t xml:space="preserve">(x = </w:t>
            </w:r>
            <w:r>
              <w:rPr>
                <w:sz w:val="20"/>
                <w:szCs w:val="20"/>
              </w:rPr>
              <w:t>0,96</w:t>
            </w:r>
            <w:r w:rsidRPr="0073684B">
              <w:rPr>
                <w:sz w:val="20"/>
                <w:szCs w:val="20"/>
              </w:rPr>
              <w:t>)</w:t>
            </w:r>
          </w:p>
        </w:tc>
      </w:tr>
      <w:tr w:rsidR="00A920F6" w:rsidRPr="00E24619" w14:paraId="6026D165" w14:textId="77777777" w:rsidTr="00A920F6">
        <w:trPr>
          <w:trHeight w:val="270"/>
        </w:trPr>
        <w:tc>
          <w:tcPr>
            <w:tcW w:w="1861" w:type="dxa"/>
            <w:vMerge/>
            <w:shd w:val="clear" w:color="auto" w:fill="F2F2F2"/>
            <w:vAlign w:val="center"/>
          </w:tcPr>
          <w:p w14:paraId="2F1D480A" w14:textId="77777777" w:rsidR="00A920F6" w:rsidRPr="00E24619" w:rsidRDefault="00A920F6" w:rsidP="00A920F6">
            <w:pPr>
              <w:jc w:val="center"/>
              <w:rPr>
                <w:bCs/>
                <w:color w:val="FF0000"/>
                <w:sz w:val="20"/>
                <w:szCs w:val="20"/>
              </w:rPr>
            </w:pPr>
          </w:p>
        </w:tc>
        <w:tc>
          <w:tcPr>
            <w:tcW w:w="2535" w:type="dxa"/>
            <w:shd w:val="clear" w:color="auto" w:fill="F2F2F2"/>
            <w:vAlign w:val="center"/>
          </w:tcPr>
          <w:p w14:paraId="11617616" w14:textId="77777777" w:rsidR="00A920F6" w:rsidRPr="0073684B" w:rsidRDefault="00A920F6" w:rsidP="00A920F6">
            <w:pPr>
              <w:jc w:val="center"/>
              <w:rPr>
                <w:bCs/>
                <w:sz w:val="20"/>
                <w:szCs w:val="20"/>
              </w:rPr>
            </w:pPr>
            <w:r w:rsidRPr="0073684B">
              <w:rPr>
                <w:bCs/>
                <w:sz w:val="20"/>
                <w:szCs w:val="20"/>
              </w:rPr>
              <w:t xml:space="preserve">Delež povprečne letne škode zaradi vremensko pogojenih naravnih nesreč v povprečnem bruto domačem proizvodu </w:t>
            </w:r>
          </w:p>
        </w:tc>
        <w:tc>
          <w:tcPr>
            <w:tcW w:w="3514" w:type="dxa"/>
          </w:tcPr>
          <w:p w14:paraId="62FBE449" w14:textId="77777777" w:rsidR="00A920F6" w:rsidRPr="0073684B" w:rsidRDefault="00A920F6" w:rsidP="00A920F6">
            <w:pPr>
              <w:rPr>
                <w:sz w:val="20"/>
                <w:szCs w:val="20"/>
              </w:rPr>
            </w:pPr>
            <w:r w:rsidRPr="0073684B">
              <w:rPr>
                <w:sz w:val="20"/>
                <w:szCs w:val="20"/>
              </w:rPr>
              <w:t xml:space="preserve">V </w:t>
            </w:r>
            <w:r>
              <w:rPr>
                <w:sz w:val="20"/>
                <w:szCs w:val="20"/>
              </w:rPr>
              <w:t>Goriški</w:t>
            </w:r>
            <w:r w:rsidRPr="0073684B">
              <w:rPr>
                <w:sz w:val="20"/>
                <w:szCs w:val="20"/>
              </w:rPr>
              <w:t xml:space="preserve"> regiji je delež povprečne letne škode zaradi vremensko pogojenih naravnih nesreč v povprečnem bruto domačem proizvodu </w:t>
            </w:r>
            <w:r>
              <w:rPr>
                <w:sz w:val="20"/>
                <w:szCs w:val="20"/>
              </w:rPr>
              <w:t>srednje velik, občutljivost je zmerna.</w:t>
            </w:r>
          </w:p>
        </w:tc>
        <w:tc>
          <w:tcPr>
            <w:tcW w:w="1440" w:type="dxa"/>
            <w:shd w:val="clear" w:color="auto" w:fill="FFFF00"/>
          </w:tcPr>
          <w:p w14:paraId="7471AA7E" w14:textId="77777777" w:rsidR="00A920F6" w:rsidRPr="0073684B" w:rsidRDefault="00A920F6" w:rsidP="00A920F6">
            <w:pPr>
              <w:jc w:val="center"/>
              <w:rPr>
                <w:sz w:val="20"/>
                <w:szCs w:val="20"/>
              </w:rPr>
            </w:pPr>
            <w:r>
              <w:rPr>
                <w:sz w:val="20"/>
                <w:szCs w:val="20"/>
              </w:rPr>
              <w:t>3</w:t>
            </w:r>
          </w:p>
          <w:p w14:paraId="47A6AC25" w14:textId="77777777" w:rsidR="00A920F6" w:rsidRPr="0073684B" w:rsidRDefault="00A920F6" w:rsidP="00A920F6">
            <w:pPr>
              <w:jc w:val="center"/>
              <w:rPr>
                <w:sz w:val="20"/>
                <w:szCs w:val="20"/>
              </w:rPr>
            </w:pPr>
            <w:r w:rsidRPr="0073684B">
              <w:rPr>
                <w:sz w:val="20"/>
                <w:szCs w:val="20"/>
              </w:rPr>
              <w:t>(x = 0,</w:t>
            </w:r>
            <w:r>
              <w:rPr>
                <w:sz w:val="20"/>
                <w:szCs w:val="20"/>
              </w:rPr>
              <w:t>5</w:t>
            </w:r>
            <w:r w:rsidRPr="0073684B">
              <w:rPr>
                <w:sz w:val="20"/>
                <w:szCs w:val="20"/>
              </w:rPr>
              <w:t>3)</w:t>
            </w:r>
          </w:p>
        </w:tc>
      </w:tr>
      <w:tr w:rsidR="00A920F6" w:rsidRPr="00E24619" w14:paraId="23E26789" w14:textId="77777777" w:rsidTr="00A920F6">
        <w:trPr>
          <w:trHeight w:val="874"/>
        </w:trPr>
        <w:tc>
          <w:tcPr>
            <w:tcW w:w="1861" w:type="dxa"/>
            <w:vMerge/>
            <w:shd w:val="clear" w:color="auto" w:fill="F2F2F2"/>
            <w:vAlign w:val="center"/>
          </w:tcPr>
          <w:p w14:paraId="4C3BF43F" w14:textId="77777777" w:rsidR="00A920F6" w:rsidRPr="00E24619" w:rsidRDefault="00A920F6" w:rsidP="00A920F6">
            <w:pPr>
              <w:jc w:val="center"/>
              <w:rPr>
                <w:bCs/>
                <w:color w:val="FF0000"/>
                <w:sz w:val="20"/>
                <w:szCs w:val="20"/>
              </w:rPr>
            </w:pPr>
          </w:p>
        </w:tc>
        <w:tc>
          <w:tcPr>
            <w:tcW w:w="2535" w:type="dxa"/>
            <w:shd w:val="clear" w:color="auto" w:fill="F2F2F2"/>
            <w:vAlign w:val="center"/>
          </w:tcPr>
          <w:p w14:paraId="3315E596" w14:textId="77777777" w:rsidR="00A920F6" w:rsidRPr="0073684B" w:rsidRDefault="00A920F6" w:rsidP="00A920F6">
            <w:pPr>
              <w:jc w:val="center"/>
              <w:rPr>
                <w:bCs/>
                <w:sz w:val="20"/>
                <w:szCs w:val="20"/>
              </w:rPr>
            </w:pPr>
            <w:r w:rsidRPr="0073684B">
              <w:rPr>
                <w:bCs/>
                <w:sz w:val="20"/>
                <w:szCs w:val="20"/>
              </w:rPr>
              <w:t>Indeks rasti števila zaposlenih v kmetijski dejavnosti</w:t>
            </w:r>
          </w:p>
        </w:tc>
        <w:tc>
          <w:tcPr>
            <w:tcW w:w="3514" w:type="dxa"/>
          </w:tcPr>
          <w:p w14:paraId="6A157705" w14:textId="77777777" w:rsidR="00A920F6" w:rsidRPr="0073684B" w:rsidRDefault="00A920F6" w:rsidP="00A920F6">
            <w:pPr>
              <w:rPr>
                <w:sz w:val="20"/>
                <w:szCs w:val="20"/>
              </w:rPr>
            </w:pPr>
            <w:r w:rsidRPr="0073684B">
              <w:rPr>
                <w:sz w:val="20"/>
                <w:szCs w:val="20"/>
              </w:rPr>
              <w:t xml:space="preserve">V </w:t>
            </w:r>
            <w:r>
              <w:rPr>
                <w:sz w:val="20"/>
                <w:szCs w:val="20"/>
              </w:rPr>
              <w:t xml:space="preserve">Goriški </w:t>
            </w:r>
            <w:r w:rsidRPr="0073684B">
              <w:rPr>
                <w:sz w:val="20"/>
                <w:szCs w:val="20"/>
              </w:rPr>
              <w:t xml:space="preserve">regiji je zaznati rast števila zaposlenih </w:t>
            </w:r>
            <w:r w:rsidRPr="00987D3A">
              <w:rPr>
                <w:sz w:val="20"/>
                <w:szCs w:val="20"/>
              </w:rPr>
              <w:t>v kmetijskih dejavnostih,</w:t>
            </w:r>
            <w:r w:rsidRPr="0073684B">
              <w:rPr>
                <w:sz w:val="20"/>
                <w:szCs w:val="20"/>
              </w:rPr>
              <w:t xml:space="preserve"> kar nakazuje na potencialno pozitivne spremembe v kmetijstvu.</w:t>
            </w:r>
          </w:p>
        </w:tc>
        <w:tc>
          <w:tcPr>
            <w:tcW w:w="1440" w:type="dxa"/>
            <w:shd w:val="clear" w:color="auto" w:fill="7FE300"/>
          </w:tcPr>
          <w:p w14:paraId="5483D840" w14:textId="77777777" w:rsidR="00A920F6" w:rsidRPr="0073684B" w:rsidRDefault="00A920F6" w:rsidP="00A920F6">
            <w:pPr>
              <w:jc w:val="center"/>
              <w:rPr>
                <w:sz w:val="20"/>
                <w:szCs w:val="20"/>
              </w:rPr>
            </w:pPr>
            <w:r w:rsidRPr="0073684B">
              <w:rPr>
                <w:sz w:val="20"/>
                <w:szCs w:val="20"/>
              </w:rPr>
              <w:t>1</w:t>
            </w:r>
          </w:p>
          <w:p w14:paraId="610BFC7E" w14:textId="77777777" w:rsidR="00A920F6" w:rsidRPr="0073684B" w:rsidRDefault="00A920F6" w:rsidP="00A920F6">
            <w:pPr>
              <w:jc w:val="center"/>
              <w:rPr>
                <w:sz w:val="20"/>
                <w:szCs w:val="20"/>
              </w:rPr>
            </w:pPr>
            <w:r w:rsidRPr="0073684B">
              <w:rPr>
                <w:sz w:val="20"/>
                <w:szCs w:val="20"/>
              </w:rPr>
              <w:t>(x = 0)</w:t>
            </w:r>
          </w:p>
        </w:tc>
      </w:tr>
      <w:tr w:rsidR="00A920F6" w:rsidRPr="00E24619" w14:paraId="28345861" w14:textId="77777777" w:rsidTr="00A920F6">
        <w:trPr>
          <w:trHeight w:val="270"/>
        </w:trPr>
        <w:tc>
          <w:tcPr>
            <w:tcW w:w="1861" w:type="dxa"/>
            <w:vMerge/>
            <w:shd w:val="clear" w:color="auto" w:fill="F2F2F2"/>
            <w:vAlign w:val="center"/>
          </w:tcPr>
          <w:p w14:paraId="3FAAAC9D" w14:textId="77777777" w:rsidR="00A920F6" w:rsidRPr="00E24619" w:rsidRDefault="00A920F6" w:rsidP="00A920F6">
            <w:pPr>
              <w:jc w:val="center"/>
              <w:rPr>
                <w:bCs/>
                <w:color w:val="FF0000"/>
                <w:sz w:val="20"/>
                <w:szCs w:val="20"/>
              </w:rPr>
            </w:pPr>
          </w:p>
        </w:tc>
        <w:tc>
          <w:tcPr>
            <w:tcW w:w="2535" w:type="dxa"/>
            <w:shd w:val="clear" w:color="auto" w:fill="F2F2F2"/>
            <w:vAlign w:val="center"/>
          </w:tcPr>
          <w:p w14:paraId="11ACE592" w14:textId="77777777" w:rsidR="00A920F6" w:rsidRPr="0073684B" w:rsidRDefault="00A920F6" w:rsidP="00A920F6">
            <w:pPr>
              <w:jc w:val="center"/>
              <w:rPr>
                <w:bCs/>
                <w:sz w:val="20"/>
                <w:szCs w:val="20"/>
              </w:rPr>
            </w:pPr>
            <w:r w:rsidRPr="0073684B">
              <w:rPr>
                <w:bCs/>
                <w:sz w:val="20"/>
                <w:szCs w:val="20"/>
              </w:rPr>
              <w:t>Indeks rasti kmetijskih zemljišč v uporabi</w:t>
            </w:r>
          </w:p>
        </w:tc>
        <w:tc>
          <w:tcPr>
            <w:tcW w:w="3514" w:type="dxa"/>
          </w:tcPr>
          <w:p w14:paraId="30EFC00C" w14:textId="77777777" w:rsidR="00A920F6" w:rsidRPr="0073684B" w:rsidRDefault="00A920F6" w:rsidP="00A920F6">
            <w:pPr>
              <w:rPr>
                <w:sz w:val="20"/>
                <w:szCs w:val="20"/>
              </w:rPr>
            </w:pPr>
            <w:r w:rsidRPr="0073684B">
              <w:rPr>
                <w:sz w:val="20"/>
                <w:szCs w:val="20"/>
              </w:rPr>
              <w:t xml:space="preserve">Na ravni občine je zaznati </w:t>
            </w:r>
            <w:r>
              <w:rPr>
                <w:sz w:val="20"/>
                <w:szCs w:val="20"/>
              </w:rPr>
              <w:t>rahlo povečevanje</w:t>
            </w:r>
            <w:r w:rsidRPr="0073684B">
              <w:rPr>
                <w:sz w:val="20"/>
                <w:szCs w:val="20"/>
              </w:rPr>
              <w:t xml:space="preserve"> obsega kmetijskih površin v uporabi, kar </w:t>
            </w:r>
            <w:r>
              <w:rPr>
                <w:sz w:val="20"/>
                <w:szCs w:val="20"/>
              </w:rPr>
              <w:t>pomeni zmerno občutljivost</w:t>
            </w:r>
            <w:r w:rsidRPr="0073684B">
              <w:rPr>
                <w:sz w:val="20"/>
                <w:szCs w:val="20"/>
              </w:rPr>
              <w:t>.</w:t>
            </w:r>
          </w:p>
        </w:tc>
        <w:tc>
          <w:tcPr>
            <w:tcW w:w="1440" w:type="dxa"/>
            <w:shd w:val="clear" w:color="auto" w:fill="FFFF00"/>
          </w:tcPr>
          <w:p w14:paraId="78A75410" w14:textId="77777777" w:rsidR="00A920F6" w:rsidRPr="0073684B" w:rsidRDefault="00A920F6" w:rsidP="00A920F6">
            <w:pPr>
              <w:jc w:val="center"/>
              <w:rPr>
                <w:sz w:val="20"/>
                <w:szCs w:val="20"/>
              </w:rPr>
            </w:pPr>
            <w:r>
              <w:rPr>
                <w:sz w:val="20"/>
                <w:szCs w:val="20"/>
              </w:rPr>
              <w:t>3</w:t>
            </w:r>
          </w:p>
          <w:p w14:paraId="4650E37F" w14:textId="77777777" w:rsidR="00A920F6" w:rsidRPr="0073684B" w:rsidRDefault="00A920F6" w:rsidP="00A920F6">
            <w:pPr>
              <w:jc w:val="center"/>
              <w:rPr>
                <w:sz w:val="20"/>
                <w:szCs w:val="20"/>
              </w:rPr>
            </w:pPr>
            <w:r>
              <w:rPr>
                <w:sz w:val="20"/>
                <w:szCs w:val="20"/>
              </w:rPr>
              <w:t>(x = 0,42</w:t>
            </w:r>
            <w:r w:rsidRPr="0073684B">
              <w:rPr>
                <w:sz w:val="20"/>
                <w:szCs w:val="20"/>
              </w:rPr>
              <w:t>)</w:t>
            </w:r>
          </w:p>
        </w:tc>
      </w:tr>
      <w:tr w:rsidR="00A920F6" w:rsidRPr="00E24619" w14:paraId="3DC327A1" w14:textId="77777777" w:rsidTr="00A920F6">
        <w:trPr>
          <w:trHeight w:val="270"/>
        </w:trPr>
        <w:tc>
          <w:tcPr>
            <w:tcW w:w="1861" w:type="dxa"/>
            <w:vMerge/>
            <w:shd w:val="clear" w:color="auto" w:fill="F2F2F2"/>
            <w:vAlign w:val="center"/>
          </w:tcPr>
          <w:p w14:paraId="7B2F4186" w14:textId="77777777" w:rsidR="00A920F6" w:rsidRPr="00E24619" w:rsidRDefault="00A920F6" w:rsidP="00A920F6">
            <w:pPr>
              <w:jc w:val="center"/>
              <w:rPr>
                <w:bCs/>
                <w:color w:val="FF0000"/>
                <w:sz w:val="20"/>
                <w:szCs w:val="20"/>
              </w:rPr>
            </w:pPr>
          </w:p>
        </w:tc>
        <w:tc>
          <w:tcPr>
            <w:tcW w:w="2535" w:type="dxa"/>
            <w:shd w:val="clear" w:color="auto" w:fill="F2F2F2"/>
            <w:vAlign w:val="center"/>
          </w:tcPr>
          <w:p w14:paraId="5EF1AC09" w14:textId="77777777" w:rsidR="00A920F6" w:rsidRPr="0073684B" w:rsidRDefault="00A920F6" w:rsidP="00A920F6">
            <w:pPr>
              <w:jc w:val="center"/>
              <w:rPr>
                <w:bCs/>
                <w:sz w:val="20"/>
                <w:szCs w:val="20"/>
              </w:rPr>
            </w:pPr>
            <w:r w:rsidRPr="0073684B">
              <w:rPr>
                <w:bCs/>
                <w:sz w:val="20"/>
                <w:szCs w:val="20"/>
              </w:rPr>
              <w:t xml:space="preserve">Povprečna starost nosilca kmetijskega gospodarstva </w:t>
            </w:r>
          </w:p>
        </w:tc>
        <w:tc>
          <w:tcPr>
            <w:tcW w:w="3514" w:type="dxa"/>
          </w:tcPr>
          <w:p w14:paraId="7861C6EF" w14:textId="77777777" w:rsidR="00A920F6" w:rsidRPr="0073684B" w:rsidRDefault="00A920F6" w:rsidP="00A920F6">
            <w:pPr>
              <w:pBdr>
                <w:top w:val="nil"/>
                <w:left w:val="nil"/>
                <w:bottom w:val="nil"/>
                <w:right w:val="nil"/>
                <w:between w:val="nil"/>
              </w:pBdr>
              <w:rPr>
                <w:sz w:val="20"/>
                <w:szCs w:val="20"/>
              </w:rPr>
            </w:pPr>
            <w:r w:rsidRPr="0073684B">
              <w:rPr>
                <w:sz w:val="20"/>
                <w:szCs w:val="20"/>
              </w:rPr>
              <w:t>Boljša je starostna struktura prebivalstva, manj je kmetijstvo občutljivo, ker se hitreje odziva in prilagaja. V občini beležimo srednje ugodno povprečno starost nosilca kmetijskega gospodarstva.</w:t>
            </w:r>
          </w:p>
        </w:tc>
        <w:tc>
          <w:tcPr>
            <w:tcW w:w="1440" w:type="dxa"/>
            <w:shd w:val="clear" w:color="auto" w:fill="FFFF00"/>
          </w:tcPr>
          <w:p w14:paraId="5A19ADB8" w14:textId="77777777" w:rsidR="00A920F6" w:rsidRPr="0073684B" w:rsidRDefault="00A920F6" w:rsidP="00A920F6">
            <w:pPr>
              <w:jc w:val="center"/>
              <w:rPr>
                <w:sz w:val="20"/>
                <w:szCs w:val="20"/>
              </w:rPr>
            </w:pPr>
            <w:r w:rsidRPr="0073684B">
              <w:rPr>
                <w:sz w:val="20"/>
                <w:szCs w:val="20"/>
              </w:rPr>
              <w:t>3</w:t>
            </w:r>
          </w:p>
          <w:p w14:paraId="262A3F17" w14:textId="77777777" w:rsidR="00A920F6" w:rsidRPr="0073684B" w:rsidRDefault="00A920F6" w:rsidP="00A920F6">
            <w:pPr>
              <w:jc w:val="center"/>
              <w:rPr>
                <w:sz w:val="20"/>
                <w:szCs w:val="20"/>
              </w:rPr>
            </w:pPr>
            <w:r>
              <w:rPr>
                <w:sz w:val="20"/>
                <w:szCs w:val="20"/>
              </w:rPr>
              <w:t>(x = 0,59</w:t>
            </w:r>
            <w:r w:rsidRPr="0073684B">
              <w:rPr>
                <w:sz w:val="20"/>
                <w:szCs w:val="20"/>
              </w:rPr>
              <w:t>)</w:t>
            </w:r>
          </w:p>
        </w:tc>
      </w:tr>
      <w:tr w:rsidR="00A920F6" w:rsidRPr="00E24619" w14:paraId="567950D5" w14:textId="77777777" w:rsidTr="00A920F6">
        <w:trPr>
          <w:trHeight w:val="270"/>
        </w:trPr>
        <w:tc>
          <w:tcPr>
            <w:tcW w:w="1861" w:type="dxa"/>
            <w:vMerge/>
            <w:shd w:val="clear" w:color="auto" w:fill="F2F2F2"/>
            <w:vAlign w:val="center"/>
          </w:tcPr>
          <w:p w14:paraId="02D40FE7" w14:textId="77777777" w:rsidR="00A920F6" w:rsidRPr="00E24619" w:rsidRDefault="00A920F6" w:rsidP="00A920F6">
            <w:pPr>
              <w:jc w:val="center"/>
              <w:rPr>
                <w:bCs/>
                <w:color w:val="FF0000"/>
                <w:sz w:val="20"/>
                <w:szCs w:val="20"/>
              </w:rPr>
            </w:pPr>
          </w:p>
        </w:tc>
        <w:tc>
          <w:tcPr>
            <w:tcW w:w="2535" w:type="dxa"/>
            <w:shd w:val="clear" w:color="auto" w:fill="F2F2F2"/>
            <w:vAlign w:val="center"/>
          </w:tcPr>
          <w:p w14:paraId="1C72BE2D" w14:textId="77777777" w:rsidR="00A920F6" w:rsidRPr="0073684B" w:rsidRDefault="00A920F6" w:rsidP="00A920F6">
            <w:pPr>
              <w:jc w:val="center"/>
              <w:rPr>
                <w:bCs/>
                <w:sz w:val="20"/>
                <w:szCs w:val="20"/>
              </w:rPr>
            </w:pPr>
            <w:r w:rsidRPr="0073684B">
              <w:rPr>
                <w:bCs/>
                <w:sz w:val="20"/>
                <w:szCs w:val="20"/>
              </w:rPr>
              <w:t>Povprečna starost članov kmetijskega gospodarstva</w:t>
            </w:r>
          </w:p>
        </w:tc>
        <w:tc>
          <w:tcPr>
            <w:tcW w:w="3514" w:type="dxa"/>
          </w:tcPr>
          <w:p w14:paraId="78F69319" w14:textId="77777777" w:rsidR="00A920F6" w:rsidRPr="0073684B" w:rsidRDefault="00A920F6" w:rsidP="00A920F6">
            <w:pPr>
              <w:pBdr>
                <w:top w:val="nil"/>
                <w:left w:val="nil"/>
                <w:bottom w:val="nil"/>
                <w:right w:val="nil"/>
                <w:between w:val="nil"/>
              </w:pBdr>
              <w:rPr>
                <w:sz w:val="20"/>
                <w:szCs w:val="20"/>
              </w:rPr>
            </w:pPr>
            <w:r w:rsidRPr="0073684B">
              <w:rPr>
                <w:sz w:val="20"/>
                <w:szCs w:val="20"/>
              </w:rPr>
              <w:t xml:space="preserve">Boljša je starostna struktura prebivalstva, manj je kmetijstvo občutljivo, ker se hitreje odziva in prilagaja. V občini beležimo </w:t>
            </w:r>
            <w:r>
              <w:rPr>
                <w:sz w:val="20"/>
                <w:szCs w:val="20"/>
              </w:rPr>
              <w:t>veliko občutljivost zaradi povprečne</w:t>
            </w:r>
            <w:r w:rsidRPr="0073684B">
              <w:rPr>
                <w:sz w:val="20"/>
                <w:szCs w:val="20"/>
              </w:rPr>
              <w:t xml:space="preserve"> starost</w:t>
            </w:r>
            <w:r>
              <w:rPr>
                <w:sz w:val="20"/>
                <w:szCs w:val="20"/>
              </w:rPr>
              <w:t>i</w:t>
            </w:r>
            <w:r w:rsidRPr="0073684B">
              <w:rPr>
                <w:sz w:val="20"/>
                <w:szCs w:val="20"/>
              </w:rPr>
              <w:t xml:space="preserve"> članov kmetijskega gospodarstva.</w:t>
            </w:r>
          </w:p>
        </w:tc>
        <w:tc>
          <w:tcPr>
            <w:tcW w:w="1440" w:type="dxa"/>
            <w:shd w:val="clear" w:color="auto" w:fill="FFCC00"/>
          </w:tcPr>
          <w:p w14:paraId="26761341" w14:textId="77777777" w:rsidR="00A920F6" w:rsidRPr="0073684B" w:rsidRDefault="00A920F6" w:rsidP="00A920F6">
            <w:pPr>
              <w:jc w:val="center"/>
              <w:rPr>
                <w:sz w:val="20"/>
                <w:szCs w:val="20"/>
              </w:rPr>
            </w:pPr>
            <w:r>
              <w:rPr>
                <w:sz w:val="20"/>
                <w:szCs w:val="20"/>
              </w:rPr>
              <w:t>4</w:t>
            </w:r>
          </w:p>
          <w:p w14:paraId="1ACD711E" w14:textId="77777777" w:rsidR="00A920F6" w:rsidRPr="0073684B" w:rsidRDefault="00A920F6" w:rsidP="00A920F6">
            <w:pPr>
              <w:jc w:val="center"/>
              <w:rPr>
                <w:sz w:val="20"/>
                <w:szCs w:val="20"/>
              </w:rPr>
            </w:pPr>
            <w:r>
              <w:rPr>
                <w:sz w:val="20"/>
                <w:szCs w:val="20"/>
              </w:rPr>
              <w:t>(x = 0,64</w:t>
            </w:r>
            <w:r w:rsidRPr="0073684B">
              <w:rPr>
                <w:sz w:val="20"/>
                <w:szCs w:val="20"/>
              </w:rPr>
              <w:t>)</w:t>
            </w:r>
          </w:p>
        </w:tc>
      </w:tr>
    </w:tbl>
    <w:p w14:paraId="071ED96B" w14:textId="77777777" w:rsidR="00A920F6" w:rsidRPr="00E24619" w:rsidRDefault="00A920F6" w:rsidP="00A920F6"/>
    <w:p w14:paraId="4C7E107B" w14:textId="69CE22C1" w:rsidR="005913CE" w:rsidRDefault="005913CE" w:rsidP="005913CE">
      <w:pPr>
        <w:pStyle w:val="Naslov3"/>
      </w:pPr>
      <w:bookmarkStart w:id="167" w:name="_Ref74577416"/>
      <w:bookmarkStart w:id="168" w:name="_Toc97026751"/>
      <w:r>
        <w:t>Ocena sposobnosti prilagajanja</w:t>
      </w:r>
      <w:bookmarkEnd w:id="147"/>
      <w:bookmarkEnd w:id="148"/>
      <w:bookmarkEnd w:id="149"/>
      <w:bookmarkEnd w:id="150"/>
      <w:r w:rsidR="00C174E2">
        <w:t xml:space="preserve"> sektorja kmetijstvo</w:t>
      </w:r>
      <w:bookmarkEnd w:id="167"/>
      <w:bookmarkEnd w:id="168"/>
    </w:p>
    <w:p w14:paraId="4EA4C421" w14:textId="781C0FD9" w:rsidR="003A3559" w:rsidRPr="00F5486A" w:rsidRDefault="003A3559" w:rsidP="003A3559">
      <w:pPr>
        <w:spacing w:after="240"/>
      </w:pPr>
      <w:r w:rsidRPr="003A3559">
        <w:t>Kvantitativne ocene spremenljivk kazalnika sposobnosti prilagajanja na podnebne spremembe (</w:t>
      </w:r>
      <w:r w:rsidRPr="003A3559">
        <w:fldChar w:fldCharType="begin"/>
      </w:r>
      <w:r w:rsidRPr="003A3559">
        <w:instrText xml:space="preserve"> REF _Ref39588152 \h </w:instrText>
      </w:r>
      <w:r>
        <w:instrText xml:space="preserve"> \* MERGEFORMAT </w:instrText>
      </w:r>
      <w:r w:rsidRPr="003A3559">
        <w:fldChar w:fldCharType="separate"/>
      </w:r>
      <w:r w:rsidR="004700D5" w:rsidRPr="0073684B">
        <w:t xml:space="preserve">Preglednica </w:t>
      </w:r>
      <w:r w:rsidR="004700D5">
        <w:t>6.10</w:t>
      </w:r>
      <w:r w:rsidRPr="003A3559">
        <w:fldChar w:fldCharType="end"/>
      </w:r>
      <w:r w:rsidRPr="003A3559">
        <w:t>) so delno določene za regijo in delno za občino, glede na dostopnost podatkov. Grafično so glede</w:t>
      </w:r>
      <w:r>
        <w:t xml:space="preserve"> na ostalo Slovenijo prikazane v prilogi (</w:t>
      </w:r>
      <w:r>
        <w:fldChar w:fldCharType="begin"/>
      </w:r>
      <w:r>
        <w:instrText xml:space="preserve"> REF _Ref74576925 \r \h </w:instrText>
      </w:r>
      <w:r>
        <w:fldChar w:fldCharType="separate"/>
      </w:r>
      <w:r w:rsidR="004700D5">
        <w:t>0</w:t>
      </w:r>
      <w:r>
        <w:fldChar w:fldCharType="end"/>
      </w:r>
      <w:r>
        <w:t xml:space="preserve">). </w:t>
      </w:r>
      <w:r w:rsidRPr="0073684B">
        <w:t xml:space="preserve">V </w:t>
      </w:r>
      <w:r>
        <w:t xml:space="preserve">Goriški </w:t>
      </w:r>
      <w:r w:rsidRPr="0073684B">
        <w:t xml:space="preserve">regiji je delež bruto dodane vrednosti kmetijske dejavnosti v skupni bruto dodani vrednosti </w:t>
      </w:r>
      <w:r>
        <w:t xml:space="preserve">srednje </w:t>
      </w:r>
      <w:r w:rsidRPr="0073684B">
        <w:t>ugoden (x=0,</w:t>
      </w:r>
      <w:r>
        <w:t>5, ocena 3</w:t>
      </w:r>
      <w:r w:rsidRPr="0073684B">
        <w:t>)</w:t>
      </w:r>
      <w:r>
        <w:t>, prav tako</w:t>
      </w:r>
      <w:r w:rsidRPr="0073684B">
        <w:t xml:space="preserve"> </w:t>
      </w:r>
      <w:r>
        <w:t xml:space="preserve">tudi </w:t>
      </w:r>
      <w:r w:rsidRPr="0073684B">
        <w:t>razmerje med standardnim prihodkom in polnovredno delovno močjo kmetijskega gospodarstva</w:t>
      </w:r>
      <w:r>
        <w:t xml:space="preserve"> </w:t>
      </w:r>
      <w:r w:rsidRPr="0073684B">
        <w:t>(x=0,4</w:t>
      </w:r>
      <w:r>
        <w:t>5</w:t>
      </w:r>
      <w:r w:rsidRPr="0073684B">
        <w:t>)</w:t>
      </w:r>
      <w:r>
        <w:t>.</w:t>
      </w:r>
      <w:r w:rsidRPr="0073684B">
        <w:t xml:space="preserve"> </w:t>
      </w:r>
      <w:r w:rsidRPr="00045C5A">
        <w:t>Neznatno sposobnost prilagajanja</w:t>
      </w:r>
      <w:r>
        <w:t xml:space="preserve"> (ocena 5)</w:t>
      </w:r>
      <w:r w:rsidRPr="00045C5A">
        <w:t xml:space="preserve"> ima občina zaradi izredno </w:t>
      </w:r>
      <w:r>
        <w:t>majhn</w:t>
      </w:r>
      <w:r w:rsidRPr="00045C5A">
        <w:t>ega deleža kmetijskih gospodarstev  z dopolnilnimi dejavnostmi</w:t>
      </w:r>
      <w:r>
        <w:t xml:space="preserve"> (x=0,12) in ekološkim kmetovanjem ali v preusmeritvi (x=0,12)</w:t>
      </w:r>
      <w:r w:rsidRPr="00045C5A">
        <w:t xml:space="preserve"> </w:t>
      </w:r>
      <w:r>
        <w:t>ter zaradi majhn</w:t>
      </w:r>
      <w:r w:rsidRPr="00022BC1">
        <w:t>ega deleža kmetijskih zemlji</w:t>
      </w:r>
      <w:r>
        <w:t>šč z namakalnimi sistemi (x=0,17</w:t>
      </w:r>
      <w:r w:rsidRPr="00022BC1">
        <w:t>).</w:t>
      </w:r>
      <w:r>
        <w:t xml:space="preserve"> Razmerje </w:t>
      </w:r>
      <w:r w:rsidRPr="0073684B">
        <w:t xml:space="preserve">med povprečnimi plačili ukrepov kmetijske politike in povprečno površino kmetijskih zemljišč v uporabi </w:t>
      </w:r>
      <w:r>
        <w:t xml:space="preserve">je v regiji bolj ugodno </w:t>
      </w:r>
      <w:r w:rsidRPr="0073684B">
        <w:t>(</w:t>
      </w:r>
      <w:r>
        <w:t>x=0,58), kar kaže na zmerno, skoraj veliko</w:t>
      </w:r>
      <w:r w:rsidRPr="0073684B">
        <w:t xml:space="preserve"> sposobnost prilagajanja (ocena </w:t>
      </w:r>
      <w:r>
        <w:t>3), po drugi strani pa je</w:t>
      </w:r>
      <w:r w:rsidRPr="0073684B">
        <w:t xml:space="preserve"> delež povprečnih letnih investicij za varstvo okolja v povprečnem letnem bruto domačem proizvodu </w:t>
      </w:r>
      <w:r>
        <w:t>zelo majhen</w:t>
      </w:r>
      <w:r w:rsidRPr="0073684B">
        <w:t xml:space="preserve"> </w:t>
      </w:r>
      <w:r w:rsidRPr="00022BC1">
        <w:t>(x=0,0</w:t>
      </w:r>
      <w:r>
        <w:t>7</w:t>
      </w:r>
      <w:r w:rsidRPr="00022BC1">
        <w:t>) in kaže na n</w:t>
      </w:r>
      <w:r>
        <w:t>eznatno</w:t>
      </w:r>
      <w:r w:rsidRPr="00022BC1">
        <w:t xml:space="preserve"> sposobnost prilagajanja (ocena 5). Kot je navedeno v metodologiji, je za kazalnik ranljivosti 'suša – </w:t>
      </w:r>
      <w:r w:rsidRPr="0073684B">
        <w:t>zaloge vode' uporabljeno povprečje vseh naved</w:t>
      </w:r>
      <w:r>
        <w:t>enih spremenljivk, za ostale štiri</w:t>
      </w:r>
      <w:r w:rsidRPr="0073684B">
        <w:t xml:space="preserve"> kazalnike ranljivosti pa povprečje vseh spremenljivk razen deleža kmetijskih zemljišč z namakalnimi sistemi.</w:t>
      </w:r>
    </w:p>
    <w:p w14:paraId="2204FA36" w14:textId="043A1D45" w:rsidR="003A3559" w:rsidRPr="0073684B" w:rsidRDefault="003A3559" w:rsidP="003A3559">
      <w:pPr>
        <w:pStyle w:val="Napis"/>
      </w:pPr>
      <w:bookmarkStart w:id="169" w:name="_Ref39588152"/>
      <w:bookmarkStart w:id="170" w:name="_Toc97026963"/>
      <w:r w:rsidRPr="0073684B">
        <w:lastRenderedPageBreak/>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10</w:t>
      </w:r>
      <w:r w:rsidR="00976D80">
        <w:fldChar w:fldCharType="end"/>
      </w:r>
      <w:bookmarkEnd w:id="169"/>
      <w:r w:rsidRPr="0073684B">
        <w:t>: Kvantitativne ocene spremenljivk kazalnika sposobnosti prilagajanja kmetijstva na podnebje (v referenčnem obdobju 1981–2010 in enako v prihodnje).</w:t>
      </w:r>
      <w:bookmarkEnd w:id="170"/>
    </w:p>
    <w:tbl>
      <w:tblPr>
        <w:tblStyle w:val="TableGrid1"/>
        <w:tblpPr w:leftFromText="180" w:rightFromText="180" w:vertAnchor="text" w:horzAnchor="margin" w:tblpY="69"/>
        <w:tblW w:w="0" w:type="auto"/>
        <w:tblLook w:val="04A0" w:firstRow="1" w:lastRow="0" w:firstColumn="1" w:lastColumn="0" w:noHBand="0" w:noVBand="1"/>
      </w:tblPr>
      <w:tblGrid>
        <w:gridCol w:w="1861"/>
        <w:gridCol w:w="2535"/>
        <w:gridCol w:w="3514"/>
        <w:gridCol w:w="1440"/>
      </w:tblGrid>
      <w:tr w:rsidR="003A3559" w:rsidRPr="00E24619" w14:paraId="0801C229" w14:textId="77777777" w:rsidTr="003A3559">
        <w:tc>
          <w:tcPr>
            <w:tcW w:w="1861" w:type="dxa"/>
            <w:shd w:val="clear" w:color="auto" w:fill="D9D9D9" w:themeFill="background1" w:themeFillShade="D9"/>
            <w:vAlign w:val="center"/>
          </w:tcPr>
          <w:p w14:paraId="33FFA363" w14:textId="77777777" w:rsidR="003A3559" w:rsidRPr="00022BC1" w:rsidRDefault="003A3559" w:rsidP="003A3559">
            <w:pPr>
              <w:jc w:val="center"/>
              <w:rPr>
                <w:bCs/>
                <w:sz w:val="20"/>
                <w:szCs w:val="20"/>
              </w:rPr>
            </w:pPr>
            <w:r w:rsidRPr="00022BC1">
              <w:rPr>
                <w:bCs/>
                <w:sz w:val="20"/>
                <w:szCs w:val="20"/>
              </w:rPr>
              <w:t>Kazalnik</w:t>
            </w:r>
          </w:p>
        </w:tc>
        <w:tc>
          <w:tcPr>
            <w:tcW w:w="2535" w:type="dxa"/>
            <w:shd w:val="clear" w:color="auto" w:fill="D9D9D9" w:themeFill="background1" w:themeFillShade="D9"/>
            <w:vAlign w:val="center"/>
          </w:tcPr>
          <w:p w14:paraId="712BE886" w14:textId="77777777" w:rsidR="003A3559" w:rsidRPr="00022BC1" w:rsidRDefault="003A3559" w:rsidP="003A3559">
            <w:pPr>
              <w:jc w:val="center"/>
              <w:rPr>
                <w:bCs/>
                <w:sz w:val="20"/>
                <w:szCs w:val="20"/>
              </w:rPr>
            </w:pPr>
            <w:r w:rsidRPr="00022BC1">
              <w:rPr>
                <w:bCs/>
                <w:sz w:val="20"/>
                <w:szCs w:val="20"/>
              </w:rPr>
              <w:t>Spremenljivka</w:t>
            </w:r>
          </w:p>
        </w:tc>
        <w:tc>
          <w:tcPr>
            <w:tcW w:w="3514" w:type="dxa"/>
            <w:shd w:val="clear" w:color="auto" w:fill="D9D9D9" w:themeFill="background1" w:themeFillShade="D9"/>
          </w:tcPr>
          <w:p w14:paraId="3C845B89" w14:textId="77777777" w:rsidR="003A3559" w:rsidRPr="00022BC1" w:rsidRDefault="003A3559" w:rsidP="003A3559">
            <w:pPr>
              <w:rPr>
                <w:bCs/>
                <w:sz w:val="20"/>
                <w:szCs w:val="20"/>
              </w:rPr>
            </w:pPr>
            <w:r w:rsidRPr="00022BC1">
              <w:rPr>
                <w:bCs/>
                <w:sz w:val="20"/>
                <w:szCs w:val="20"/>
              </w:rPr>
              <w:t>Opisno</w:t>
            </w:r>
          </w:p>
        </w:tc>
        <w:tc>
          <w:tcPr>
            <w:tcW w:w="1440" w:type="dxa"/>
            <w:shd w:val="clear" w:color="auto" w:fill="D9D9D9" w:themeFill="background1" w:themeFillShade="D9"/>
          </w:tcPr>
          <w:p w14:paraId="3CB85E2D" w14:textId="77777777" w:rsidR="003A3559" w:rsidRPr="00022BC1" w:rsidRDefault="003A3559" w:rsidP="003A3559">
            <w:pPr>
              <w:rPr>
                <w:sz w:val="20"/>
                <w:szCs w:val="20"/>
              </w:rPr>
            </w:pPr>
            <w:r w:rsidRPr="00022BC1">
              <w:rPr>
                <w:sz w:val="20"/>
                <w:szCs w:val="20"/>
              </w:rPr>
              <w:t>Kvantitativno</w:t>
            </w:r>
          </w:p>
        </w:tc>
      </w:tr>
      <w:tr w:rsidR="003A3559" w:rsidRPr="00E24619" w14:paraId="68C1631E" w14:textId="77777777" w:rsidTr="003A3559">
        <w:tc>
          <w:tcPr>
            <w:tcW w:w="1861" w:type="dxa"/>
            <w:vMerge w:val="restart"/>
            <w:shd w:val="clear" w:color="auto" w:fill="F2F2F2"/>
            <w:vAlign w:val="center"/>
          </w:tcPr>
          <w:p w14:paraId="46826241" w14:textId="77777777" w:rsidR="003A3559" w:rsidRPr="00022BC1" w:rsidRDefault="003A3559" w:rsidP="003A3559">
            <w:pPr>
              <w:jc w:val="center"/>
              <w:rPr>
                <w:bCs/>
                <w:sz w:val="20"/>
                <w:szCs w:val="20"/>
              </w:rPr>
            </w:pPr>
            <w:r w:rsidRPr="00022BC1">
              <w:rPr>
                <w:bCs/>
                <w:sz w:val="20"/>
                <w:szCs w:val="20"/>
              </w:rPr>
              <w:t>SPOSOBNOST PRILAGAJANJA</w:t>
            </w:r>
          </w:p>
        </w:tc>
        <w:tc>
          <w:tcPr>
            <w:tcW w:w="2535" w:type="dxa"/>
            <w:shd w:val="clear" w:color="auto" w:fill="F2F2F2"/>
            <w:vAlign w:val="center"/>
          </w:tcPr>
          <w:p w14:paraId="13003CC5" w14:textId="77777777" w:rsidR="003A3559" w:rsidRPr="00022BC1" w:rsidRDefault="003A3559" w:rsidP="003A3559">
            <w:pPr>
              <w:jc w:val="center"/>
              <w:rPr>
                <w:bCs/>
                <w:sz w:val="20"/>
                <w:szCs w:val="20"/>
              </w:rPr>
            </w:pPr>
            <w:r w:rsidRPr="00022BC1">
              <w:rPr>
                <w:bCs/>
                <w:sz w:val="20"/>
                <w:szCs w:val="20"/>
              </w:rPr>
              <w:t>Delež bruto dodane vrednosti kmetijske dejavnosti v skupni bruto dodani vrednosti</w:t>
            </w:r>
          </w:p>
        </w:tc>
        <w:tc>
          <w:tcPr>
            <w:tcW w:w="3514" w:type="dxa"/>
          </w:tcPr>
          <w:p w14:paraId="0B280D4A" w14:textId="77777777" w:rsidR="003A3559" w:rsidRPr="00022BC1" w:rsidRDefault="003A3559" w:rsidP="003A3559">
            <w:pPr>
              <w:rPr>
                <w:sz w:val="20"/>
                <w:szCs w:val="20"/>
              </w:rPr>
            </w:pPr>
            <w:r w:rsidRPr="00022BC1">
              <w:rPr>
                <w:bCs/>
                <w:sz w:val="20"/>
                <w:szCs w:val="20"/>
              </w:rPr>
              <w:t xml:space="preserve">V </w:t>
            </w:r>
            <w:r>
              <w:rPr>
                <w:bCs/>
                <w:sz w:val="20"/>
                <w:szCs w:val="20"/>
              </w:rPr>
              <w:t>Goriški</w:t>
            </w:r>
            <w:r w:rsidRPr="00022BC1">
              <w:rPr>
                <w:bCs/>
                <w:sz w:val="20"/>
                <w:szCs w:val="20"/>
              </w:rPr>
              <w:t xml:space="preserve"> regiji je delež bruto dodane vrednosti kmetijske dejavnosti v skupni bruto dodani vrednosti </w:t>
            </w:r>
            <w:r>
              <w:rPr>
                <w:bCs/>
                <w:sz w:val="20"/>
                <w:szCs w:val="20"/>
              </w:rPr>
              <w:t xml:space="preserve">srednje </w:t>
            </w:r>
            <w:r w:rsidRPr="00022BC1">
              <w:rPr>
                <w:bCs/>
                <w:sz w:val="20"/>
                <w:szCs w:val="20"/>
              </w:rPr>
              <w:t xml:space="preserve">ugoden in kaže na </w:t>
            </w:r>
            <w:r>
              <w:rPr>
                <w:bCs/>
                <w:sz w:val="20"/>
                <w:szCs w:val="20"/>
              </w:rPr>
              <w:t xml:space="preserve">zmerno </w:t>
            </w:r>
            <w:r w:rsidRPr="00022BC1">
              <w:rPr>
                <w:bCs/>
                <w:sz w:val="20"/>
                <w:szCs w:val="20"/>
              </w:rPr>
              <w:t>sposobnost prilagajanja.</w:t>
            </w:r>
          </w:p>
        </w:tc>
        <w:tc>
          <w:tcPr>
            <w:tcW w:w="1440" w:type="dxa"/>
            <w:shd w:val="clear" w:color="auto" w:fill="FFFF00"/>
          </w:tcPr>
          <w:p w14:paraId="1A927A72" w14:textId="77777777" w:rsidR="003A3559" w:rsidRPr="00022BC1" w:rsidRDefault="003A3559" w:rsidP="003A3559">
            <w:pPr>
              <w:jc w:val="center"/>
              <w:rPr>
                <w:sz w:val="20"/>
                <w:szCs w:val="20"/>
              </w:rPr>
            </w:pPr>
            <w:r>
              <w:rPr>
                <w:sz w:val="20"/>
                <w:szCs w:val="20"/>
              </w:rPr>
              <w:t>3</w:t>
            </w:r>
          </w:p>
          <w:p w14:paraId="0070217D" w14:textId="77777777" w:rsidR="003A3559" w:rsidRPr="00022BC1" w:rsidRDefault="003A3559" w:rsidP="003A3559">
            <w:pPr>
              <w:jc w:val="center"/>
              <w:rPr>
                <w:sz w:val="20"/>
                <w:szCs w:val="20"/>
              </w:rPr>
            </w:pPr>
            <w:r w:rsidRPr="00022BC1">
              <w:rPr>
                <w:sz w:val="20"/>
                <w:szCs w:val="20"/>
              </w:rPr>
              <w:t>(x = 0,</w:t>
            </w:r>
            <w:r>
              <w:rPr>
                <w:sz w:val="20"/>
                <w:szCs w:val="20"/>
              </w:rPr>
              <w:t>50</w:t>
            </w:r>
            <w:r w:rsidRPr="00022BC1">
              <w:rPr>
                <w:sz w:val="20"/>
                <w:szCs w:val="20"/>
              </w:rPr>
              <w:t>)</w:t>
            </w:r>
          </w:p>
        </w:tc>
      </w:tr>
      <w:tr w:rsidR="003A3559" w:rsidRPr="00E24619" w14:paraId="34F2E6CD" w14:textId="77777777" w:rsidTr="003A3559">
        <w:tc>
          <w:tcPr>
            <w:tcW w:w="1861" w:type="dxa"/>
            <w:vMerge/>
            <w:shd w:val="clear" w:color="auto" w:fill="F2F2F2"/>
            <w:vAlign w:val="center"/>
          </w:tcPr>
          <w:p w14:paraId="5E046444" w14:textId="77777777" w:rsidR="003A3559" w:rsidRPr="00022BC1" w:rsidRDefault="003A3559" w:rsidP="003A3559">
            <w:pPr>
              <w:jc w:val="center"/>
              <w:rPr>
                <w:bCs/>
                <w:sz w:val="20"/>
                <w:szCs w:val="20"/>
              </w:rPr>
            </w:pPr>
          </w:p>
        </w:tc>
        <w:tc>
          <w:tcPr>
            <w:tcW w:w="2535" w:type="dxa"/>
            <w:shd w:val="clear" w:color="auto" w:fill="F2F2F2"/>
            <w:vAlign w:val="center"/>
          </w:tcPr>
          <w:p w14:paraId="69877F5C" w14:textId="77777777" w:rsidR="003A3559" w:rsidRPr="00022BC1" w:rsidRDefault="003A3559" w:rsidP="003A3559">
            <w:pPr>
              <w:jc w:val="center"/>
              <w:rPr>
                <w:bCs/>
                <w:sz w:val="20"/>
                <w:szCs w:val="20"/>
              </w:rPr>
            </w:pPr>
            <w:r w:rsidRPr="00022BC1">
              <w:rPr>
                <w:bCs/>
                <w:sz w:val="20"/>
                <w:szCs w:val="20"/>
              </w:rPr>
              <w:t>Razmerje med standardnim prihodkom in polnovredno delovno močjo kmetijskega gospodarstva</w:t>
            </w:r>
          </w:p>
        </w:tc>
        <w:tc>
          <w:tcPr>
            <w:tcW w:w="3514" w:type="dxa"/>
          </w:tcPr>
          <w:p w14:paraId="0E2DD387" w14:textId="77777777" w:rsidR="003A3559" w:rsidRPr="00022BC1" w:rsidRDefault="003A3559" w:rsidP="003A3559">
            <w:pPr>
              <w:rPr>
                <w:sz w:val="20"/>
                <w:szCs w:val="20"/>
              </w:rPr>
            </w:pPr>
            <w:r>
              <w:rPr>
                <w:bCs/>
                <w:sz w:val="20"/>
                <w:szCs w:val="20"/>
              </w:rPr>
              <w:t>V Gorišk</w:t>
            </w:r>
            <w:r w:rsidRPr="00022BC1">
              <w:rPr>
                <w:bCs/>
                <w:sz w:val="20"/>
                <w:szCs w:val="20"/>
              </w:rPr>
              <w:t>i regiji</w:t>
            </w:r>
            <w:r w:rsidRPr="00022BC1">
              <w:rPr>
                <w:sz w:val="20"/>
                <w:szCs w:val="20"/>
              </w:rPr>
              <w:t xml:space="preserve"> je razmerje med standardnim prihodkom in polnovredno delovno močjo kmetijskega gospodarstva srednje ugodno in kaže na </w:t>
            </w:r>
            <w:r>
              <w:rPr>
                <w:sz w:val="20"/>
                <w:szCs w:val="20"/>
              </w:rPr>
              <w:t>zmerno</w:t>
            </w:r>
            <w:r w:rsidRPr="00022BC1">
              <w:rPr>
                <w:sz w:val="20"/>
                <w:szCs w:val="20"/>
              </w:rPr>
              <w:t xml:space="preserve"> sposobnost prilagajanja.</w:t>
            </w:r>
          </w:p>
        </w:tc>
        <w:tc>
          <w:tcPr>
            <w:tcW w:w="1440" w:type="dxa"/>
            <w:shd w:val="clear" w:color="auto" w:fill="FFFF00"/>
          </w:tcPr>
          <w:p w14:paraId="0F189320" w14:textId="77777777" w:rsidR="003A3559" w:rsidRPr="00022BC1" w:rsidRDefault="003A3559" w:rsidP="003A3559">
            <w:pPr>
              <w:jc w:val="center"/>
              <w:rPr>
                <w:sz w:val="20"/>
                <w:szCs w:val="20"/>
              </w:rPr>
            </w:pPr>
            <w:r w:rsidRPr="00022BC1">
              <w:rPr>
                <w:sz w:val="20"/>
                <w:szCs w:val="20"/>
              </w:rPr>
              <w:t>3</w:t>
            </w:r>
          </w:p>
          <w:p w14:paraId="3CD0E521" w14:textId="77777777" w:rsidR="003A3559" w:rsidRPr="00022BC1" w:rsidRDefault="003A3559" w:rsidP="003A3559">
            <w:pPr>
              <w:jc w:val="center"/>
              <w:rPr>
                <w:sz w:val="20"/>
                <w:szCs w:val="20"/>
              </w:rPr>
            </w:pPr>
            <w:r w:rsidRPr="00022BC1">
              <w:rPr>
                <w:sz w:val="20"/>
                <w:szCs w:val="20"/>
              </w:rPr>
              <w:t>(x = 0,4</w:t>
            </w:r>
            <w:r>
              <w:rPr>
                <w:sz w:val="20"/>
                <w:szCs w:val="20"/>
              </w:rPr>
              <w:t>5</w:t>
            </w:r>
            <w:r w:rsidRPr="00022BC1">
              <w:rPr>
                <w:sz w:val="20"/>
                <w:szCs w:val="20"/>
              </w:rPr>
              <w:t>)</w:t>
            </w:r>
          </w:p>
        </w:tc>
      </w:tr>
      <w:tr w:rsidR="003A3559" w:rsidRPr="00E24619" w14:paraId="11D61F53" w14:textId="77777777" w:rsidTr="003A3559">
        <w:tc>
          <w:tcPr>
            <w:tcW w:w="1861" w:type="dxa"/>
            <w:vMerge/>
            <w:shd w:val="clear" w:color="auto" w:fill="F2F2F2"/>
            <w:vAlign w:val="center"/>
          </w:tcPr>
          <w:p w14:paraId="658D08B5" w14:textId="77777777" w:rsidR="003A3559" w:rsidRPr="00E24619" w:rsidRDefault="003A3559" w:rsidP="003A3559">
            <w:pPr>
              <w:jc w:val="center"/>
              <w:rPr>
                <w:bCs/>
                <w:color w:val="FF0000"/>
                <w:sz w:val="20"/>
                <w:szCs w:val="20"/>
              </w:rPr>
            </w:pPr>
          </w:p>
        </w:tc>
        <w:tc>
          <w:tcPr>
            <w:tcW w:w="2535" w:type="dxa"/>
            <w:shd w:val="clear" w:color="auto" w:fill="F2F2F2"/>
            <w:vAlign w:val="center"/>
          </w:tcPr>
          <w:p w14:paraId="6E93F778" w14:textId="77777777" w:rsidR="003A3559" w:rsidRPr="00022BC1" w:rsidRDefault="003A3559" w:rsidP="003A3559">
            <w:pPr>
              <w:jc w:val="center"/>
              <w:rPr>
                <w:bCs/>
                <w:sz w:val="20"/>
                <w:szCs w:val="20"/>
              </w:rPr>
            </w:pPr>
            <w:r w:rsidRPr="00022BC1">
              <w:rPr>
                <w:bCs/>
                <w:sz w:val="20"/>
                <w:szCs w:val="20"/>
              </w:rPr>
              <w:t>Delež kmetijskih gospodarstev z dopolnilnimi dejavnostmi</w:t>
            </w:r>
          </w:p>
        </w:tc>
        <w:tc>
          <w:tcPr>
            <w:tcW w:w="3514" w:type="dxa"/>
          </w:tcPr>
          <w:p w14:paraId="3D89B021" w14:textId="77777777" w:rsidR="003A3559" w:rsidRPr="00022BC1" w:rsidRDefault="003A3559" w:rsidP="003A3559">
            <w:pPr>
              <w:rPr>
                <w:sz w:val="20"/>
                <w:szCs w:val="20"/>
              </w:rPr>
            </w:pPr>
            <w:r w:rsidRPr="00022BC1">
              <w:rPr>
                <w:sz w:val="20"/>
                <w:szCs w:val="20"/>
              </w:rPr>
              <w:t xml:space="preserve">Neznatno sposobnost prilagajanja ima občina zaradi izredno </w:t>
            </w:r>
            <w:r>
              <w:rPr>
                <w:sz w:val="20"/>
                <w:szCs w:val="20"/>
              </w:rPr>
              <w:t>majhneg</w:t>
            </w:r>
            <w:r w:rsidRPr="00022BC1">
              <w:rPr>
                <w:sz w:val="20"/>
                <w:szCs w:val="20"/>
              </w:rPr>
              <w:t>a deleža kmetijskih gospodarstev  z dopolnilnimi dejavnostmi.</w:t>
            </w:r>
          </w:p>
        </w:tc>
        <w:tc>
          <w:tcPr>
            <w:tcW w:w="1440" w:type="dxa"/>
            <w:shd w:val="clear" w:color="auto" w:fill="FF3F00"/>
          </w:tcPr>
          <w:p w14:paraId="6636AD70" w14:textId="77777777" w:rsidR="003A3559" w:rsidRPr="00022BC1" w:rsidRDefault="003A3559" w:rsidP="003A3559">
            <w:pPr>
              <w:jc w:val="center"/>
              <w:rPr>
                <w:sz w:val="20"/>
                <w:szCs w:val="20"/>
              </w:rPr>
            </w:pPr>
            <w:r w:rsidRPr="00022BC1">
              <w:rPr>
                <w:sz w:val="20"/>
                <w:szCs w:val="20"/>
              </w:rPr>
              <w:t>5</w:t>
            </w:r>
          </w:p>
          <w:p w14:paraId="5AA89E84" w14:textId="77777777" w:rsidR="003A3559" w:rsidRPr="00022BC1" w:rsidRDefault="003A3559" w:rsidP="003A3559">
            <w:pPr>
              <w:jc w:val="center"/>
              <w:rPr>
                <w:sz w:val="20"/>
                <w:szCs w:val="20"/>
              </w:rPr>
            </w:pPr>
            <w:r>
              <w:rPr>
                <w:sz w:val="20"/>
                <w:szCs w:val="20"/>
              </w:rPr>
              <w:t>(x = 0,12</w:t>
            </w:r>
            <w:r w:rsidRPr="00022BC1">
              <w:rPr>
                <w:sz w:val="20"/>
                <w:szCs w:val="20"/>
              </w:rPr>
              <w:t>)</w:t>
            </w:r>
          </w:p>
        </w:tc>
      </w:tr>
      <w:tr w:rsidR="003A3559" w:rsidRPr="00E24619" w14:paraId="17F96B92" w14:textId="77777777" w:rsidTr="003A3559">
        <w:tc>
          <w:tcPr>
            <w:tcW w:w="1861" w:type="dxa"/>
            <w:vMerge/>
            <w:shd w:val="clear" w:color="auto" w:fill="F2F2F2"/>
            <w:vAlign w:val="center"/>
          </w:tcPr>
          <w:p w14:paraId="5E7C5FCF" w14:textId="77777777" w:rsidR="003A3559" w:rsidRPr="00E24619" w:rsidRDefault="003A3559" w:rsidP="003A3559">
            <w:pPr>
              <w:jc w:val="center"/>
              <w:rPr>
                <w:bCs/>
                <w:color w:val="FF0000"/>
                <w:sz w:val="20"/>
                <w:szCs w:val="20"/>
              </w:rPr>
            </w:pPr>
          </w:p>
        </w:tc>
        <w:tc>
          <w:tcPr>
            <w:tcW w:w="2535" w:type="dxa"/>
            <w:shd w:val="clear" w:color="auto" w:fill="F2F2F2"/>
            <w:vAlign w:val="center"/>
          </w:tcPr>
          <w:p w14:paraId="64746BED" w14:textId="77777777" w:rsidR="003A3559" w:rsidRPr="00022BC1" w:rsidRDefault="003A3559" w:rsidP="003A3559">
            <w:pPr>
              <w:jc w:val="center"/>
              <w:rPr>
                <w:bCs/>
                <w:sz w:val="20"/>
                <w:szCs w:val="20"/>
              </w:rPr>
            </w:pPr>
            <w:r w:rsidRPr="00022BC1">
              <w:rPr>
                <w:bCs/>
                <w:sz w:val="20"/>
                <w:szCs w:val="20"/>
              </w:rPr>
              <w:t>Razmerje med povprečnimi plačili ukrepov kmetijske politike in povprečno površino kmetijskih zemljišč v uporabi</w:t>
            </w:r>
          </w:p>
        </w:tc>
        <w:tc>
          <w:tcPr>
            <w:tcW w:w="3514" w:type="dxa"/>
          </w:tcPr>
          <w:p w14:paraId="615D5A3B" w14:textId="77777777" w:rsidR="003A3559" w:rsidRPr="00022BC1" w:rsidRDefault="003A3559" w:rsidP="003A3559">
            <w:pPr>
              <w:rPr>
                <w:sz w:val="20"/>
                <w:szCs w:val="20"/>
              </w:rPr>
            </w:pPr>
            <w:r w:rsidRPr="00022BC1">
              <w:rPr>
                <w:bCs/>
                <w:sz w:val="20"/>
                <w:szCs w:val="20"/>
              </w:rPr>
              <w:t xml:space="preserve">V </w:t>
            </w:r>
            <w:r>
              <w:rPr>
                <w:bCs/>
                <w:sz w:val="20"/>
                <w:szCs w:val="20"/>
              </w:rPr>
              <w:t>Goriški</w:t>
            </w:r>
            <w:r w:rsidRPr="00022BC1">
              <w:rPr>
                <w:bCs/>
                <w:sz w:val="20"/>
                <w:szCs w:val="20"/>
              </w:rPr>
              <w:t xml:space="preserve"> regiji</w:t>
            </w:r>
            <w:r w:rsidRPr="00022BC1">
              <w:rPr>
                <w:sz w:val="20"/>
                <w:szCs w:val="20"/>
              </w:rPr>
              <w:t xml:space="preserve"> je razmerje med  povprečnimi plačili ukrepov kmetijske politike in povprečno površino kmetijskih zemljišč v uporabi ugodn</w:t>
            </w:r>
            <w:r>
              <w:rPr>
                <w:sz w:val="20"/>
                <w:szCs w:val="20"/>
              </w:rPr>
              <w:t>o in kaže na srednjo, skoraj že velik</w:t>
            </w:r>
            <w:r w:rsidRPr="00022BC1">
              <w:rPr>
                <w:sz w:val="20"/>
                <w:szCs w:val="20"/>
              </w:rPr>
              <w:t>o sposobnost prilagajanja.</w:t>
            </w:r>
          </w:p>
        </w:tc>
        <w:tc>
          <w:tcPr>
            <w:tcW w:w="1440" w:type="dxa"/>
            <w:shd w:val="clear" w:color="auto" w:fill="FFFF00"/>
          </w:tcPr>
          <w:p w14:paraId="555B824B" w14:textId="77777777" w:rsidR="003A3559" w:rsidRPr="00022BC1" w:rsidRDefault="003A3559" w:rsidP="003A3559">
            <w:pPr>
              <w:jc w:val="center"/>
              <w:rPr>
                <w:sz w:val="20"/>
                <w:szCs w:val="20"/>
              </w:rPr>
            </w:pPr>
            <w:r>
              <w:rPr>
                <w:sz w:val="20"/>
                <w:szCs w:val="20"/>
              </w:rPr>
              <w:t>3</w:t>
            </w:r>
          </w:p>
          <w:p w14:paraId="32A25090" w14:textId="77777777" w:rsidR="003A3559" w:rsidRPr="00022BC1" w:rsidRDefault="003A3559" w:rsidP="003A3559">
            <w:pPr>
              <w:jc w:val="center"/>
              <w:rPr>
                <w:sz w:val="20"/>
                <w:szCs w:val="20"/>
              </w:rPr>
            </w:pPr>
            <w:r w:rsidRPr="00022BC1">
              <w:rPr>
                <w:sz w:val="20"/>
                <w:szCs w:val="20"/>
              </w:rPr>
              <w:t>(x = 0,</w:t>
            </w:r>
            <w:r>
              <w:rPr>
                <w:sz w:val="20"/>
                <w:szCs w:val="20"/>
              </w:rPr>
              <w:t>58</w:t>
            </w:r>
            <w:r w:rsidRPr="00022BC1">
              <w:rPr>
                <w:sz w:val="20"/>
                <w:szCs w:val="20"/>
              </w:rPr>
              <w:t>)</w:t>
            </w:r>
          </w:p>
        </w:tc>
      </w:tr>
      <w:tr w:rsidR="003A3559" w:rsidRPr="00E24619" w14:paraId="1BD8E3C0" w14:textId="77777777" w:rsidTr="003A3559">
        <w:tc>
          <w:tcPr>
            <w:tcW w:w="1861" w:type="dxa"/>
            <w:vMerge/>
            <w:shd w:val="clear" w:color="auto" w:fill="F2F2F2"/>
            <w:vAlign w:val="center"/>
          </w:tcPr>
          <w:p w14:paraId="56A08FE9" w14:textId="77777777" w:rsidR="003A3559" w:rsidRPr="00E24619" w:rsidRDefault="003A3559" w:rsidP="003A3559">
            <w:pPr>
              <w:jc w:val="center"/>
              <w:rPr>
                <w:bCs/>
                <w:color w:val="FF0000"/>
                <w:sz w:val="20"/>
                <w:szCs w:val="20"/>
              </w:rPr>
            </w:pPr>
          </w:p>
        </w:tc>
        <w:tc>
          <w:tcPr>
            <w:tcW w:w="2535" w:type="dxa"/>
            <w:shd w:val="clear" w:color="auto" w:fill="F2F2F2"/>
            <w:vAlign w:val="center"/>
          </w:tcPr>
          <w:p w14:paraId="68BDCF9C" w14:textId="77777777" w:rsidR="003A3559" w:rsidRPr="00022BC1" w:rsidRDefault="003A3559" w:rsidP="003A3559">
            <w:pPr>
              <w:jc w:val="center"/>
              <w:rPr>
                <w:bCs/>
                <w:sz w:val="20"/>
                <w:szCs w:val="20"/>
              </w:rPr>
            </w:pPr>
            <w:r w:rsidRPr="00022BC1">
              <w:rPr>
                <w:bCs/>
                <w:sz w:val="20"/>
                <w:szCs w:val="20"/>
              </w:rPr>
              <w:t>Delež povprečnih letnih investicij za varstvo okolja v povprečnem letnem bruto domačem proizvodu</w:t>
            </w:r>
          </w:p>
        </w:tc>
        <w:tc>
          <w:tcPr>
            <w:tcW w:w="3514" w:type="dxa"/>
          </w:tcPr>
          <w:p w14:paraId="54D27813" w14:textId="77777777" w:rsidR="003A3559" w:rsidRPr="00022BC1" w:rsidRDefault="003A3559" w:rsidP="003A3559">
            <w:pPr>
              <w:rPr>
                <w:sz w:val="20"/>
                <w:szCs w:val="20"/>
              </w:rPr>
            </w:pPr>
            <w:r w:rsidRPr="00022BC1">
              <w:rPr>
                <w:bCs/>
                <w:sz w:val="20"/>
                <w:szCs w:val="20"/>
              </w:rPr>
              <w:t xml:space="preserve">V </w:t>
            </w:r>
            <w:r>
              <w:rPr>
                <w:bCs/>
                <w:sz w:val="20"/>
                <w:szCs w:val="20"/>
              </w:rPr>
              <w:t xml:space="preserve">Goriški </w:t>
            </w:r>
            <w:r w:rsidRPr="00022BC1">
              <w:rPr>
                <w:bCs/>
                <w:sz w:val="20"/>
                <w:szCs w:val="20"/>
              </w:rPr>
              <w:t>regiji</w:t>
            </w:r>
            <w:r w:rsidRPr="00022BC1">
              <w:rPr>
                <w:sz w:val="20"/>
                <w:szCs w:val="20"/>
              </w:rPr>
              <w:t xml:space="preserve"> je delež povprečnih letnih investicij za varstvo okolja v povprečnem letnem bruto domačem </w:t>
            </w:r>
            <w:r>
              <w:rPr>
                <w:sz w:val="20"/>
                <w:szCs w:val="20"/>
              </w:rPr>
              <w:t>proizvodu majhen in kaže na neznatno</w:t>
            </w:r>
            <w:r w:rsidRPr="00022BC1">
              <w:rPr>
                <w:sz w:val="20"/>
                <w:szCs w:val="20"/>
              </w:rPr>
              <w:t xml:space="preserve"> sposobnost prilagajanja.</w:t>
            </w:r>
          </w:p>
        </w:tc>
        <w:tc>
          <w:tcPr>
            <w:tcW w:w="1440" w:type="dxa"/>
            <w:shd w:val="clear" w:color="auto" w:fill="FF3F00"/>
          </w:tcPr>
          <w:p w14:paraId="29555A07" w14:textId="77777777" w:rsidR="003A3559" w:rsidRPr="00022BC1" w:rsidRDefault="003A3559" w:rsidP="003A3559">
            <w:pPr>
              <w:jc w:val="center"/>
              <w:rPr>
                <w:sz w:val="20"/>
                <w:szCs w:val="20"/>
              </w:rPr>
            </w:pPr>
            <w:r w:rsidRPr="00022BC1">
              <w:rPr>
                <w:sz w:val="20"/>
                <w:szCs w:val="20"/>
              </w:rPr>
              <w:t>5</w:t>
            </w:r>
          </w:p>
          <w:p w14:paraId="4A6B9250" w14:textId="77777777" w:rsidR="003A3559" w:rsidRPr="00022BC1" w:rsidRDefault="003A3559" w:rsidP="003A3559">
            <w:pPr>
              <w:jc w:val="center"/>
              <w:rPr>
                <w:sz w:val="20"/>
                <w:szCs w:val="20"/>
              </w:rPr>
            </w:pPr>
            <w:r w:rsidRPr="00022BC1">
              <w:rPr>
                <w:sz w:val="20"/>
                <w:szCs w:val="20"/>
              </w:rPr>
              <w:t>(x = 0,0</w:t>
            </w:r>
            <w:r>
              <w:rPr>
                <w:sz w:val="20"/>
                <w:szCs w:val="20"/>
              </w:rPr>
              <w:t>7</w:t>
            </w:r>
            <w:r w:rsidRPr="00022BC1">
              <w:rPr>
                <w:sz w:val="20"/>
                <w:szCs w:val="20"/>
              </w:rPr>
              <w:t>)</w:t>
            </w:r>
          </w:p>
        </w:tc>
      </w:tr>
      <w:tr w:rsidR="003A3559" w:rsidRPr="00E24619" w14:paraId="286113EC" w14:textId="77777777" w:rsidTr="003A3559">
        <w:tc>
          <w:tcPr>
            <w:tcW w:w="1861" w:type="dxa"/>
            <w:vMerge/>
            <w:shd w:val="clear" w:color="auto" w:fill="F2F2F2"/>
            <w:vAlign w:val="center"/>
          </w:tcPr>
          <w:p w14:paraId="6AA60AAC" w14:textId="77777777" w:rsidR="003A3559" w:rsidRPr="00E24619" w:rsidRDefault="003A3559" w:rsidP="003A3559">
            <w:pPr>
              <w:jc w:val="center"/>
              <w:rPr>
                <w:bCs/>
                <w:color w:val="FF0000"/>
                <w:sz w:val="20"/>
                <w:szCs w:val="20"/>
              </w:rPr>
            </w:pPr>
          </w:p>
        </w:tc>
        <w:tc>
          <w:tcPr>
            <w:tcW w:w="2535" w:type="dxa"/>
            <w:shd w:val="clear" w:color="auto" w:fill="F2F2F2"/>
            <w:vAlign w:val="center"/>
          </w:tcPr>
          <w:p w14:paraId="7EF46516" w14:textId="77777777" w:rsidR="003A3559" w:rsidRPr="00022BC1" w:rsidRDefault="003A3559" w:rsidP="003A3559">
            <w:pPr>
              <w:jc w:val="center"/>
              <w:rPr>
                <w:bCs/>
                <w:sz w:val="20"/>
                <w:szCs w:val="20"/>
              </w:rPr>
            </w:pPr>
            <w:r w:rsidRPr="00022BC1">
              <w:rPr>
                <w:bCs/>
                <w:sz w:val="20"/>
                <w:szCs w:val="20"/>
              </w:rPr>
              <w:t>Delež kmetijskih gospodarstev z ekološkim kmetovanjem ali v preusmeritvi</w:t>
            </w:r>
          </w:p>
        </w:tc>
        <w:tc>
          <w:tcPr>
            <w:tcW w:w="3514" w:type="dxa"/>
          </w:tcPr>
          <w:p w14:paraId="00D6FFD2" w14:textId="77777777" w:rsidR="003A3559" w:rsidRPr="00022BC1" w:rsidRDefault="003A3559" w:rsidP="003A3559">
            <w:pPr>
              <w:rPr>
                <w:sz w:val="20"/>
                <w:szCs w:val="20"/>
              </w:rPr>
            </w:pPr>
            <w:r>
              <w:rPr>
                <w:sz w:val="20"/>
                <w:szCs w:val="20"/>
              </w:rPr>
              <w:t>Neznatno</w:t>
            </w:r>
            <w:r w:rsidRPr="00022BC1">
              <w:rPr>
                <w:sz w:val="20"/>
                <w:szCs w:val="20"/>
              </w:rPr>
              <w:t xml:space="preserve"> spo</w:t>
            </w:r>
            <w:r>
              <w:rPr>
                <w:sz w:val="20"/>
                <w:szCs w:val="20"/>
              </w:rPr>
              <w:t xml:space="preserve">sobnost prilagajanja ima občina </w:t>
            </w:r>
            <w:r w:rsidRPr="00022BC1">
              <w:rPr>
                <w:sz w:val="20"/>
                <w:szCs w:val="20"/>
              </w:rPr>
              <w:t xml:space="preserve">zaradi </w:t>
            </w:r>
            <w:r>
              <w:rPr>
                <w:sz w:val="20"/>
                <w:szCs w:val="20"/>
              </w:rPr>
              <w:t>majhnega</w:t>
            </w:r>
            <w:r w:rsidRPr="00022BC1">
              <w:rPr>
                <w:sz w:val="20"/>
                <w:szCs w:val="20"/>
              </w:rPr>
              <w:t xml:space="preserve"> deleža kmetijskih gospodarstev z ekološkim kmetovanjem ali v preusmeritvi.</w:t>
            </w:r>
          </w:p>
        </w:tc>
        <w:tc>
          <w:tcPr>
            <w:tcW w:w="1440" w:type="dxa"/>
            <w:shd w:val="clear" w:color="auto" w:fill="FF3F00"/>
          </w:tcPr>
          <w:p w14:paraId="5320D475" w14:textId="77777777" w:rsidR="003A3559" w:rsidRPr="00022BC1" w:rsidRDefault="003A3559" w:rsidP="003A3559">
            <w:pPr>
              <w:jc w:val="center"/>
              <w:rPr>
                <w:sz w:val="20"/>
                <w:szCs w:val="20"/>
              </w:rPr>
            </w:pPr>
            <w:r>
              <w:rPr>
                <w:sz w:val="20"/>
                <w:szCs w:val="20"/>
              </w:rPr>
              <w:t>5</w:t>
            </w:r>
          </w:p>
          <w:p w14:paraId="2D837D0C" w14:textId="77777777" w:rsidR="003A3559" w:rsidRPr="00022BC1" w:rsidRDefault="003A3559" w:rsidP="003A3559">
            <w:pPr>
              <w:jc w:val="center"/>
              <w:rPr>
                <w:sz w:val="20"/>
                <w:szCs w:val="20"/>
              </w:rPr>
            </w:pPr>
            <w:r w:rsidRPr="00022BC1">
              <w:rPr>
                <w:sz w:val="20"/>
                <w:szCs w:val="20"/>
              </w:rPr>
              <w:t>(x = 0,</w:t>
            </w:r>
            <w:r>
              <w:rPr>
                <w:sz w:val="20"/>
                <w:szCs w:val="20"/>
              </w:rPr>
              <w:t>12</w:t>
            </w:r>
            <w:r w:rsidRPr="00022BC1">
              <w:rPr>
                <w:sz w:val="20"/>
                <w:szCs w:val="20"/>
              </w:rPr>
              <w:t>)</w:t>
            </w:r>
          </w:p>
        </w:tc>
      </w:tr>
      <w:tr w:rsidR="003A3559" w:rsidRPr="00E24619" w14:paraId="4D413DF5" w14:textId="77777777" w:rsidTr="003A3559">
        <w:tc>
          <w:tcPr>
            <w:tcW w:w="1861" w:type="dxa"/>
            <w:vMerge/>
            <w:shd w:val="clear" w:color="auto" w:fill="F2F2F2"/>
            <w:vAlign w:val="center"/>
          </w:tcPr>
          <w:p w14:paraId="2F46010E" w14:textId="77777777" w:rsidR="003A3559" w:rsidRPr="00E24619" w:rsidRDefault="003A3559" w:rsidP="003A3559">
            <w:pPr>
              <w:jc w:val="center"/>
              <w:rPr>
                <w:bCs/>
                <w:color w:val="FF0000"/>
                <w:sz w:val="20"/>
                <w:szCs w:val="20"/>
              </w:rPr>
            </w:pPr>
          </w:p>
        </w:tc>
        <w:tc>
          <w:tcPr>
            <w:tcW w:w="2535" w:type="dxa"/>
            <w:shd w:val="clear" w:color="auto" w:fill="F2F2F2"/>
            <w:vAlign w:val="center"/>
          </w:tcPr>
          <w:p w14:paraId="2BA33208" w14:textId="77777777" w:rsidR="003A3559" w:rsidRPr="00022BC1" w:rsidRDefault="003A3559" w:rsidP="003A3559">
            <w:pPr>
              <w:jc w:val="center"/>
              <w:rPr>
                <w:bCs/>
                <w:sz w:val="20"/>
                <w:szCs w:val="20"/>
              </w:rPr>
            </w:pPr>
            <w:r w:rsidRPr="00022BC1">
              <w:rPr>
                <w:bCs/>
                <w:sz w:val="20"/>
                <w:szCs w:val="20"/>
              </w:rPr>
              <w:t>Delež kmetijskih zemljišč z namakalnimi sistemi</w:t>
            </w:r>
          </w:p>
        </w:tc>
        <w:tc>
          <w:tcPr>
            <w:tcW w:w="3514" w:type="dxa"/>
          </w:tcPr>
          <w:p w14:paraId="2EC31C5F" w14:textId="77777777" w:rsidR="003A3559" w:rsidRPr="00022BC1" w:rsidRDefault="003A3559" w:rsidP="003A3559">
            <w:pPr>
              <w:rPr>
                <w:i/>
                <w:iCs/>
                <w:sz w:val="20"/>
                <w:szCs w:val="20"/>
              </w:rPr>
            </w:pPr>
            <w:r w:rsidRPr="00022BC1">
              <w:rPr>
                <w:sz w:val="20"/>
                <w:szCs w:val="20"/>
              </w:rPr>
              <w:t>Neznatno sposobnost prilag</w:t>
            </w:r>
            <w:r>
              <w:rPr>
                <w:sz w:val="20"/>
                <w:szCs w:val="20"/>
              </w:rPr>
              <w:t>ajanja ima občina zaradi majhnega</w:t>
            </w:r>
            <w:r w:rsidRPr="00022BC1">
              <w:rPr>
                <w:sz w:val="20"/>
                <w:szCs w:val="20"/>
              </w:rPr>
              <w:t xml:space="preserve"> deleža kmetijskih</w:t>
            </w:r>
            <w:r>
              <w:rPr>
                <w:sz w:val="20"/>
                <w:szCs w:val="20"/>
              </w:rPr>
              <w:t xml:space="preserve"> zemljišč z namakalnimi sistemi in težav z virom.</w:t>
            </w:r>
          </w:p>
        </w:tc>
        <w:tc>
          <w:tcPr>
            <w:tcW w:w="1440" w:type="dxa"/>
            <w:shd w:val="clear" w:color="auto" w:fill="FF3F00"/>
          </w:tcPr>
          <w:p w14:paraId="0E243C96" w14:textId="77777777" w:rsidR="003A3559" w:rsidRPr="005927F6" w:rsidRDefault="003A3559" w:rsidP="003A3559">
            <w:pPr>
              <w:jc w:val="center"/>
              <w:rPr>
                <w:sz w:val="20"/>
                <w:szCs w:val="20"/>
              </w:rPr>
            </w:pPr>
            <w:r w:rsidRPr="005927F6">
              <w:rPr>
                <w:sz w:val="20"/>
                <w:szCs w:val="20"/>
              </w:rPr>
              <w:t>5</w:t>
            </w:r>
          </w:p>
          <w:p w14:paraId="1F34F254" w14:textId="77777777" w:rsidR="003A3559" w:rsidRPr="00E24619" w:rsidRDefault="003A3559" w:rsidP="003A3559">
            <w:pPr>
              <w:jc w:val="center"/>
              <w:rPr>
                <w:color w:val="FF0000"/>
                <w:sz w:val="20"/>
                <w:szCs w:val="20"/>
              </w:rPr>
            </w:pPr>
            <w:r w:rsidRPr="005927F6">
              <w:rPr>
                <w:sz w:val="20"/>
                <w:szCs w:val="20"/>
              </w:rPr>
              <w:t>(x = 0</w:t>
            </w:r>
            <w:r>
              <w:rPr>
                <w:sz w:val="20"/>
                <w:szCs w:val="20"/>
              </w:rPr>
              <w:t>,17</w:t>
            </w:r>
            <w:r w:rsidRPr="005927F6">
              <w:rPr>
                <w:sz w:val="20"/>
                <w:szCs w:val="20"/>
              </w:rPr>
              <w:t>)</w:t>
            </w:r>
          </w:p>
        </w:tc>
      </w:tr>
    </w:tbl>
    <w:p w14:paraId="5AF2B7BE" w14:textId="77777777" w:rsidR="003A3559" w:rsidRDefault="003A3559" w:rsidP="003A3559">
      <w:pPr>
        <w:spacing w:after="0"/>
        <w:rPr>
          <w:highlight w:val="yellow"/>
        </w:rPr>
      </w:pPr>
    </w:p>
    <w:p w14:paraId="2C7FE8C3" w14:textId="77777777" w:rsidR="003A3559" w:rsidRDefault="003A3559" w:rsidP="003A3559">
      <w:r w:rsidRPr="00A25B1E">
        <w:t xml:space="preserve">Glede namakanja Kmetijsko svetovalna služba dodaja, da bi bilo potrebno urediti namakalni sistem iz akumulacije </w:t>
      </w:r>
      <w:proofErr w:type="spellStart"/>
      <w:r w:rsidRPr="00A25B1E">
        <w:t>Vogršček</w:t>
      </w:r>
      <w:proofErr w:type="spellEnd"/>
      <w:r w:rsidRPr="00A25B1E">
        <w:t>, da bi nemoteno deloval in kmetom zagotovil nemoteno</w:t>
      </w:r>
      <w:r>
        <w:t xml:space="preserve"> namakanje. Priporočljivo bi bilo tudi v sadjarski panogi čim več intenzivnih nasadov opremiti z namakalnim sistemom. Tudi vrtnarska panoga bi se prav gotovo razširila, če bi bilo omogočeno nemoteno namakanje in organiziran odkup pridelkov.</w:t>
      </w:r>
    </w:p>
    <w:p w14:paraId="425C7540" w14:textId="77777777" w:rsidR="00B33DE5" w:rsidRDefault="00B33DE5" w:rsidP="00232620"/>
    <w:p w14:paraId="0E8A1E6C" w14:textId="3C9892F2" w:rsidR="005913CE" w:rsidRDefault="005913CE" w:rsidP="005913CE">
      <w:pPr>
        <w:pStyle w:val="Naslov3"/>
      </w:pPr>
      <w:bookmarkStart w:id="171" w:name="_Toc39744527"/>
      <w:bookmarkStart w:id="172" w:name="_Ref41551119"/>
      <w:bookmarkStart w:id="173" w:name="_Toc48724559"/>
      <w:bookmarkStart w:id="174" w:name="_Ref59179945"/>
      <w:bookmarkStart w:id="175" w:name="_Toc97026752"/>
      <w:r>
        <w:t>Ocena ranljivosti sektorja</w:t>
      </w:r>
      <w:bookmarkEnd w:id="171"/>
      <w:bookmarkEnd w:id="172"/>
      <w:bookmarkEnd w:id="173"/>
      <w:r w:rsidR="00C174E2">
        <w:t xml:space="preserve"> kmetijstvo</w:t>
      </w:r>
      <w:bookmarkEnd w:id="174"/>
      <w:bookmarkEnd w:id="175"/>
    </w:p>
    <w:p w14:paraId="3795583D" w14:textId="4A7250FE" w:rsidR="003A3559" w:rsidRDefault="003A3559" w:rsidP="003A3559">
      <w:r>
        <w:t xml:space="preserve">Ranljivost smo, kot je opisano v metodologiji, določili najprej ločeno za pet kazalnikov ranljivosti iz izbranih spremenljivk izpostavljenosti in občutljivosti (po matriki združeni v potencialni vpliv) in sposobnosti prilagajanja. Spremenljivke imajo vrednosti med 0 in 1 (x), ocene pa med 1 in 5, </w:t>
      </w:r>
      <w:r>
        <w:lastRenderedPageBreak/>
        <w:t>kot je predstavljeno v prejšnjih dveh poglavjih. Posamezne spremenljivke in kazalniki so bili opisani že v prejšnjih poglavjih, zato je na tem mestu dodan le kratek opis (</w:t>
      </w:r>
      <w:r>
        <w:fldChar w:fldCharType="begin"/>
      </w:r>
      <w:r>
        <w:instrText xml:space="preserve"> REF _Ref74577012 \h </w:instrText>
      </w:r>
      <w:r>
        <w:fldChar w:fldCharType="separate"/>
      </w:r>
      <w:r w:rsidR="004700D5">
        <w:t xml:space="preserve">Preglednica </w:t>
      </w:r>
      <w:r w:rsidR="004700D5">
        <w:rPr>
          <w:noProof/>
        </w:rPr>
        <w:t>6</w:t>
      </w:r>
      <w:r w:rsidR="004700D5">
        <w:t>.</w:t>
      </w:r>
      <w:r w:rsidR="004700D5">
        <w:rPr>
          <w:noProof/>
        </w:rPr>
        <w:t>11</w:t>
      </w:r>
      <w:r>
        <w:fldChar w:fldCharType="end"/>
      </w:r>
      <w:r>
        <w:t xml:space="preserve">). </w:t>
      </w:r>
    </w:p>
    <w:p w14:paraId="23D8FA14" w14:textId="77777777" w:rsidR="003A3559" w:rsidRPr="003E6AED" w:rsidRDefault="003A3559" w:rsidP="003A3559">
      <w:r w:rsidRPr="009051F4">
        <w:t>Potencialni vpliv se</w:t>
      </w:r>
      <w:r>
        <w:t xml:space="preserve"> v referenčnem obdobju</w:t>
      </w:r>
      <w:r w:rsidRPr="009051F4">
        <w:t xml:space="preserve"> pri posameznih kazalnikih ranljivosti močno razlikuje. </w:t>
      </w:r>
      <w:r>
        <w:t>Majhen</w:t>
      </w:r>
      <w:r w:rsidRPr="009051F4">
        <w:t xml:space="preserve"> (ocena </w:t>
      </w:r>
      <w:r>
        <w:t>2</w:t>
      </w:r>
      <w:r w:rsidRPr="009051F4">
        <w:t>)</w:t>
      </w:r>
      <w:r>
        <w:t>, a na meji zmernega, je za neurja – poplave,</w:t>
      </w:r>
      <w:r w:rsidRPr="009051F4">
        <w:t xml:space="preserve"> kar pomeni, da </w:t>
      </w:r>
      <w:r>
        <w:t xml:space="preserve">je </w:t>
      </w:r>
      <w:r w:rsidRPr="009051F4">
        <w:t>kmetijstvo</w:t>
      </w:r>
      <w:r>
        <w:t xml:space="preserve"> delno izpostavljeno in občutljivo. Intenzivnih padavinskih dogodkov je v povprečju nekaj (6) letno, malo pa je kmetijskih zemljišč, izpostavljenih poplavam, vendar lahko pride tudi do zastajanja vode na kmetijskih zemljiščih. Dolžina</w:t>
      </w:r>
      <w:r w:rsidRPr="009051F4">
        <w:t xml:space="preserve"> rastn</w:t>
      </w:r>
      <w:r>
        <w:t>e</w:t>
      </w:r>
      <w:r w:rsidRPr="009051F4">
        <w:t xml:space="preserve"> dob</w:t>
      </w:r>
      <w:r>
        <w:t>e je precej dolga, v povprečju jo krajšajo višje ležeča območja. Potencialni vpliv je zmeren (ocena 3), k čemur pripomorejo tudi površine z majhno boniteto in območja OMD. Izpostavljenost pozebi je po modelskih rezultatih neznatna, a ker izkušnje kažejo, da je spomladanska pozeba na bolj izpostavljenih območjih občasno prisotna, se je treba predvsem v sadjarstvu pripraviti tudi v tej smeri. Tudi potencialni vpliv toplotne obremenitve – vročinskega stresa je zmeren (ocena 3), čeprav je sama izpostavljenost</w:t>
      </w:r>
      <w:r w:rsidRPr="009051F4">
        <w:t xml:space="preserve"> vročini </w:t>
      </w:r>
      <w:r>
        <w:t>v nižjih legah lahko velika</w:t>
      </w:r>
      <w:r w:rsidRPr="009051F4">
        <w:t xml:space="preserve">, občutljivost pa je manjša predvsem na račun dejstva, da je v </w:t>
      </w:r>
      <w:r>
        <w:t>Goriški</w:t>
      </w:r>
      <w:r w:rsidRPr="009051F4">
        <w:t xml:space="preserve"> regiji zaznati</w:t>
      </w:r>
      <w:r>
        <w:t xml:space="preserve"> </w:t>
      </w:r>
      <w:r w:rsidRPr="009051F4">
        <w:t xml:space="preserve">rast števila zaposlenih v </w:t>
      </w:r>
      <w:r w:rsidRPr="00987D3A">
        <w:t>kmetijskih dejavnostih</w:t>
      </w:r>
      <w:r>
        <w:t>. Vendar lahko pri tem zaradi skupno manjše ocene potencialnega vpliva dobimo lažen vtis, da vročina in naraščanje temperatur še ne predstavljata težav, kar pa gotovo ne drži. Potencialni vpliv vetra in suše pa je bil velik (ocena 4) že v referenčnem obdobju in bo tudi v prvem prihodnjem obdobju. Območje je s padavinami dobro preskrbljeno, a so (vedno bolj) neenakomerno razporejene, tudi veter pripomore k večjemu izhlapevanju. Na zaloge vode v snežni odeji v višjih delih občine so že v referenčnem obdobju lahko le malo računali, trajanje snežne odeje pa se izrazito zmanjšuje.</w:t>
      </w:r>
      <w:r w:rsidRPr="00987D3A">
        <w:t xml:space="preserve"> </w:t>
      </w:r>
    </w:p>
    <w:p w14:paraId="55FE9E37" w14:textId="77777777" w:rsidR="003A3559" w:rsidRPr="004C39F0" w:rsidRDefault="003A3559" w:rsidP="003A3559">
      <w:r w:rsidRPr="004C39F0">
        <w:t xml:space="preserve">Rezultati so po ocenah za celotno preglednico enaki za </w:t>
      </w:r>
      <w:r>
        <w:t xml:space="preserve">referenčno obdobje in </w:t>
      </w:r>
      <w:r w:rsidRPr="004C39F0">
        <w:t>prvo prihodnje obdobje (2011</w:t>
      </w:r>
      <w:r>
        <w:rPr>
          <w:rFonts w:asciiTheme="minorHAnsi" w:hAnsiTheme="minorHAnsi"/>
        </w:rPr>
        <w:t>–</w:t>
      </w:r>
      <w:r w:rsidRPr="004C39F0">
        <w:t>2040) po obeh</w:t>
      </w:r>
      <w:r>
        <w:t xml:space="preserve"> scenarijih podnebnih sprememb. Pri kazalnikih ranljivosti se ocena razlikuje le za toplotno obremenitev – vročinski stres.</w:t>
      </w:r>
    </w:p>
    <w:p w14:paraId="240892BA" w14:textId="77777777" w:rsidR="003A3559" w:rsidRPr="004C39F0" w:rsidRDefault="003A3559" w:rsidP="003A3559">
      <w:r w:rsidRPr="004C39F0">
        <w:t>Ranljivost je zmerna (ocena 3) za</w:t>
      </w:r>
      <w:r>
        <w:t xml:space="preserve"> rastno dobo in</w:t>
      </w:r>
      <w:r w:rsidRPr="004C39F0">
        <w:t xml:space="preserve"> neurja – poplave</w:t>
      </w:r>
      <w:r>
        <w:t>, v referenčnem obdobju je bila zmerna tudi za toplotno obremenitev - vročinski stres</w:t>
      </w:r>
      <w:r w:rsidRPr="004C39F0">
        <w:t xml:space="preserve">. Velika (ocena 4) pa je ranljivost za </w:t>
      </w:r>
      <w:r>
        <w:t xml:space="preserve">veter in </w:t>
      </w:r>
      <w:r w:rsidRPr="004C39F0">
        <w:t>sušo – zaloge vode</w:t>
      </w:r>
      <w:r>
        <w:t xml:space="preserve"> ter v prvem obdobju po obeh scenarijih tudi za toplotno obremenitev – vročinski stres</w:t>
      </w:r>
      <w:r w:rsidRPr="004C39F0">
        <w:t xml:space="preserve">. Skupna ocena za sektor kmetijstvo je </w:t>
      </w:r>
      <w:r>
        <w:t>za referenčno obdobje in prvo prihodnje obdobje ocenjena na veliko (4</w:t>
      </w:r>
      <w:r w:rsidRPr="004C39F0">
        <w:t xml:space="preserve">). Zaradi slabe sposobnosti prilagajanja </w:t>
      </w:r>
      <w:r>
        <w:t xml:space="preserve">(ocena 4) </w:t>
      </w:r>
      <w:r w:rsidRPr="004C39F0">
        <w:t xml:space="preserve">je </w:t>
      </w:r>
      <w:r>
        <w:t>nujno uvajati</w:t>
      </w:r>
      <w:r w:rsidRPr="004C39F0">
        <w:t xml:space="preserve"> ukrepe na tem področju, ponekod pa lahko tudi zmanjšamo </w:t>
      </w:r>
      <w:r>
        <w:t xml:space="preserve">izpostavljenost in </w:t>
      </w:r>
      <w:r w:rsidRPr="004C39F0">
        <w:t xml:space="preserve">občutljivost. </w:t>
      </w:r>
    </w:p>
    <w:p w14:paraId="755047A2" w14:textId="77777777" w:rsidR="003A3559" w:rsidRDefault="003A3559" w:rsidP="003A3559"/>
    <w:p w14:paraId="2BD228BD" w14:textId="63532EEF" w:rsidR="003A3559" w:rsidRDefault="003A3559" w:rsidP="003A3559">
      <w:pPr>
        <w:pStyle w:val="Napis"/>
        <w:keepNext/>
      </w:pPr>
      <w:bookmarkStart w:id="176" w:name="_Ref74577012"/>
      <w:bookmarkStart w:id="177" w:name="_Toc97026964"/>
      <w:r>
        <w:lastRenderedPageBreak/>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11</w:t>
      </w:r>
      <w:r w:rsidR="00976D80">
        <w:fldChar w:fldCharType="end"/>
      </w:r>
      <w:bookmarkEnd w:id="176"/>
      <w:r w:rsidRPr="00ED7253">
        <w:t>: Ranljivost kmetijstva, sestavljena iz petih kazalnikov ranljivosti s pripadajočimi potencialnimi vplivi in sposobnostjo prilagajanja, v referenčnem obdobju 1981–2010 in po obeh scenarijih v obdobju 2011–2040.</w:t>
      </w:r>
      <w:bookmarkEnd w:id="177"/>
    </w:p>
    <w:p w14:paraId="4317F9C2" w14:textId="77777777" w:rsidR="003A3559" w:rsidRDefault="003A3559" w:rsidP="003A3559">
      <w:pPr>
        <w:spacing w:after="0"/>
      </w:pPr>
      <w:r w:rsidRPr="00676C81">
        <w:rPr>
          <w:noProof/>
          <w:lang w:eastAsia="sl-SI"/>
        </w:rPr>
        <w:drawing>
          <wp:inline distT="0" distB="0" distL="0" distR="0" wp14:anchorId="4A6E8233" wp14:editId="2C9AE061">
            <wp:extent cx="7031081" cy="5171883"/>
            <wp:effectExtent l="0" t="3810" r="0" b="0"/>
            <wp:docPr id="898580705" name="Picture 89858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16200000">
                      <a:off x="0" y="0"/>
                      <a:ext cx="7050005" cy="5185803"/>
                    </a:xfrm>
                    <a:prstGeom prst="rect">
                      <a:avLst/>
                    </a:prstGeom>
                    <a:noFill/>
                    <a:ln>
                      <a:noFill/>
                    </a:ln>
                  </pic:spPr>
                </pic:pic>
              </a:graphicData>
            </a:graphic>
          </wp:inline>
        </w:drawing>
      </w:r>
    </w:p>
    <w:p w14:paraId="09D56F68" w14:textId="77777777" w:rsidR="003A3559" w:rsidRPr="008910CA" w:rsidRDefault="003A3559" w:rsidP="003A3559">
      <w:pPr>
        <w:rPr>
          <w:sz w:val="18"/>
        </w:rPr>
      </w:pPr>
      <w:r w:rsidRPr="008910CA">
        <w:rPr>
          <w:sz w:val="18"/>
        </w:rPr>
        <w:t>*le ocena ranljivosti za kazalnik 'toplotna obremenitev in vročinski stres' je v referenčnem obdobju 3 in v prvem obdobju po obeh scenarijih 4</w:t>
      </w:r>
    </w:p>
    <w:p w14:paraId="66D2DE48" w14:textId="6F1962F7" w:rsidR="005913CE" w:rsidRDefault="005913CE" w:rsidP="005913CE">
      <w:pPr>
        <w:pStyle w:val="Naslov3"/>
      </w:pPr>
      <w:bookmarkStart w:id="178" w:name="_Toc39744528"/>
      <w:bookmarkStart w:id="179" w:name="_Ref41551153"/>
      <w:bookmarkStart w:id="180" w:name="_Toc48724560"/>
      <w:bookmarkStart w:id="181" w:name="_Ref59179976"/>
      <w:bookmarkStart w:id="182" w:name="_Toc97026753"/>
      <w:r>
        <w:t>Ocena tveganja</w:t>
      </w:r>
      <w:bookmarkEnd w:id="178"/>
      <w:bookmarkEnd w:id="179"/>
      <w:bookmarkEnd w:id="180"/>
      <w:r>
        <w:t xml:space="preserve"> </w:t>
      </w:r>
      <w:r w:rsidR="00C174E2">
        <w:t>sektorja kmetijstvo</w:t>
      </w:r>
      <w:bookmarkEnd w:id="181"/>
      <w:bookmarkEnd w:id="182"/>
    </w:p>
    <w:p w14:paraId="1BAB17AF" w14:textId="07112E67" w:rsidR="003A3559" w:rsidRPr="003A3559" w:rsidRDefault="003A3559" w:rsidP="003A3559">
      <w:bookmarkStart w:id="183" w:name="_Toc48724561"/>
      <w:r>
        <w:lastRenderedPageBreak/>
        <w:t xml:space="preserve">Tveganje ocenjujemo kot spremembo ranljivosti zaradi vplivov podnebnih sprememb. Ti se v kmetijstvu v večini kažejo kot spremenjena izpostavljenost, zato smo iz modelskih vrednosti projekcij podnebnih sprememb izračunali nove vrednosti spremenljivk v kazalniku izpostavljenosti. Spremembe so opisane že v poglavju o potencialnih vplivih, tu pa so prikazane tabelarično s kratkim </w:t>
      </w:r>
      <w:r w:rsidRPr="003A3559">
        <w:t>opisom (</w:t>
      </w:r>
      <w:r>
        <w:fldChar w:fldCharType="begin"/>
      </w:r>
      <w:r>
        <w:instrText xml:space="preserve"> REF _Ref74577091 \h </w:instrText>
      </w:r>
      <w:r>
        <w:fldChar w:fldCharType="separate"/>
      </w:r>
      <w:r w:rsidR="004700D5">
        <w:t xml:space="preserve">Preglednica </w:t>
      </w:r>
      <w:r w:rsidR="004700D5">
        <w:rPr>
          <w:noProof/>
        </w:rPr>
        <w:t>6</w:t>
      </w:r>
      <w:r w:rsidR="004700D5">
        <w:t>.</w:t>
      </w:r>
      <w:r w:rsidR="004700D5">
        <w:rPr>
          <w:noProof/>
        </w:rPr>
        <w:t>12</w:t>
      </w:r>
      <w:r>
        <w:fldChar w:fldCharType="end"/>
      </w:r>
      <w:r w:rsidRPr="003A3559">
        <w:t xml:space="preserve">). </w:t>
      </w:r>
    </w:p>
    <w:p w14:paraId="0DB85A09" w14:textId="77777777" w:rsidR="003A3559" w:rsidRDefault="003A3559" w:rsidP="003A3559">
      <w:r w:rsidRPr="00064A51">
        <w:t xml:space="preserve">Kot smo že </w:t>
      </w:r>
      <w:r>
        <w:t xml:space="preserve">izpostavili </w:t>
      </w:r>
      <w:r w:rsidRPr="00064A51">
        <w:t>pri opisu ranljivosti, se ta po obeh scenarijih podnebnih sprememb v prvem obdobju ne bo spremenila</w:t>
      </w:r>
      <w:r>
        <w:t xml:space="preserve"> (razen za kazalnik toplotna obremenitev – vročinski stres)</w:t>
      </w:r>
      <w:r w:rsidRPr="00064A51">
        <w:t xml:space="preserve">, </w:t>
      </w:r>
      <w:r>
        <w:t>enako velja za</w:t>
      </w:r>
      <w:r w:rsidRPr="00064A51">
        <w:t xml:space="preserve"> potencialni vpliv</w:t>
      </w:r>
      <w:r>
        <w:t>, čeprav se bo sama izpostavljenost pri večini kazalnikov zaradi podnebnih sprememb povečala</w:t>
      </w:r>
      <w:r w:rsidRPr="00064A51">
        <w:t>. V drugem obdobju (2041</w:t>
      </w:r>
      <w:r>
        <w:rPr>
          <w:rFonts w:asciiTheme="minorHAnsi" w:hAnsiTheme="minorHAnsi"/>
        </w:rPr>
        <w:t>–</w:t>
      </w:r>
      <w:r w:rsidRPr="00064A51">
        <w:t xml:space="preserve">2070) </w:t>
      </w:r>
      <w:r>
        <w:t xml:space="preserve">prav tako po modelskih projekcijah </w:t>
      </w:r>
      <w:r w:rsidRPr="00064A51">
        <w:t xml:space="preserve">predvidevamo vse ocene enako kot </w:t>
      </w:r>
      <w:r>
        <w:t>v prvem obdobju z izjemo potencialnega vpliva toplotne obremenitve - vročinskega stresa, ki se poveča na velikega (ocena 4). Ocene ranljivosti po posameznih kazalnikih in skupno ostanejo enake, zato je tudi tveganje ocenjeno kot veliko (ocena 4).</w:t>
      </w:r>
    </w:p>
    <w:p w14:paraId="7462CD5A" w14:textId="579D50B9" w:rsidR="003A3559" w:rsidRPr="003A3559" w:rsidRDefault="003A3559" w:rsidP="003A3559">
      <w:r>
        <w:t>Na območju Mestne občine Nova Gorica so že v referenčnem obdobju opažali težave zaradi vetra, občasno poplav reke Vipave in zastajanja vode na kmetijskih zemljiščih, poletnih suš in vročine ter občasnih pozeb v izpostavljenih legah. Zaradi podnebnih sprememb z veliko gotovostjo pričakujemo pogostejše ekstremne vremenske dogodke in se tem večje tveganje. (</w:t>
      </w:r>
      <w:r w:rsidRPr="003A3559">
        <w:fldChar w:fldCharType="begin"/>
      </w:r>
      <w:r w:rsidRPr="003A3559">
        <w:instrText xml:space="preserve"> REF _Ref39744406 \h </w:instrText>
      </w:r>
      <w:r>
        <w:instrText xml:space="preserve"> \* MERGEFORMAT </w:instrText>
      </w:r>
      <w:r w:rsidRPr="003A3559">
        <w:fldChar w:fldCharType="separate"/>
      </w:r>
      <w:r w:rsidR="004700D5">
        <w:t>Slika 6.4</w:t>
      </w:r>
      <w:r w:rsidRPr="003A3559">
        <w:fldChar w:fldCharType="end"/>
      </w:r>
      <w:r w:rsidRPr="003A3559">
        <w:t xml:space="preserve">, </w:t>
      </w:r>
      <w:r w:rsidRPr="003A3559">
        <w:fldChar w:fldCharType="begin"/>
      </w:r>
      <w:r w:rsidRPr="003A3559">
        <w:instrText xml:space="preserve"> REF _Ref39744419 \h </w:instrText>
      </w:r>
      <w:r>
        <w:instrText xml:space="preserve"> \* MERGEFORMAT </w:instrText>
      </w:r>
      <w:r w:rsidRPr="003A3559">
        <w:fldChar w:fldCharType="separate"/>
      </w:r>
      <w:r w:rsidR="004700D5" w:rsidRPr="004700D5">
        <w:t>Slika 6.5</w:t>
      </w:r>
      <w:r w:rsidRPr="003A3559">
        <w:fldChar w:fldCharType="end"/>
      </w:r>
      <w:r w:rsidRPr="003A3559">
        <w:t>). Občutljivost in sposobnost prilagajanja smo obravnavali kot nespremenjeni, zato na zmanjšanje tveganja lahko vplivamo z izvajanjem primernih ukrepov.</w:t>
      </w:r>
    </w:p>
    <w:p w14:paraId="0F9FE6BF" w14:textId="6F78E501" w:rsidR="003A3559" w:rsidRDefault="003A3559" w:rsidP="003A3559">
      <w:pPr>
        <w:pStyle w:val="Napis"/>
        <w:keepNext/>
      </w:pPr>
      <w:bookmarkStart w:id="184" w:name="_Ref74577091"/>
      <w:bookmarkStart w:id="185" w:name="_Toc97026965"/>
      <w:r>
        <w:lastRenderedPageBreak/>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12</w:t>
      </w:r>
      <w:r w:rsidR="00976D80">
        <w:fldChar w:fldCharType="end"/>
      </w:r>
      <w:bookmarkEnd w:id="184"/>
      <w:r w:rsidRPr="0002331E">
        <w:t>: Ranljivost kmetijstva, sestavljena iz petih kazalnikov ranljivosti s pripadajočimi potencialnimi vplivi in sposobnostjo prilagajanja, po scenarijih RCP4.5 in RCP8.5 v drugem obdobju (2041–2070) in ocena tveganja.</w:t>
      </w:r>
      <w:bookmarkEnd w:id="185"/>
    </w:p>
    <w:p w14:paraId="2952FC98" w14:textId="67959978" w:rsidR="003A3559" w:rsidRDefault="003A3559" w:rsidP="003A3559">
      <w:r w:rsidRPr="00676C81">
        <w:rPr>
          <w:noProof/>
          <w:lang w:eastAsia="sl-SI"/>
        </w:rPr>
        <w:drawing>
          <wp:inline distT="0" distB="0" distL="0" distR="0" wp14:anchorId="5DEA473D" wp14:editId="4C9EBB5C">
            <wp:extent cx="6486319" cy="4254500"/>
            <wp:effectExtent l="0" t="0" r="0" b="0"/>
            <wp:docPr id="898580706" name="Picture 898580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491467" cy="4257877"/>
                    </a:xfrm>
                    <a:prstGeom prst="rect">
                      <a:avLst/>
                    </a:prstGeom>
                    <a:noFill/>
                    <a:ln>
                      <a:noFill/>
                    </a:ln>
                  </pic:spPr>
                </pic:pic>
              </a:graphicData>
            </a:graphic>
          </wp:inline>
        </w:drawing>
      </w:r>
    </w:p>
    <w:p w14:paraId="712D79DE" w14:textId="77777777" w:rsidR="003A3559" w:rsidRDefault="003A3559" w:rsidP="003A3559"/>
    <w:p w14:paraId="6FB124BD" w14:textId="6373D12B" w:rsidR="003A3559" w:rsidRDefault="003A3559" w:rsidP="003A3559">
      <w:pPr>
        <w:jc w:val="center"/>
      </w:pPr>
      <w:r>
        <w:rPr>
          <w:noProof/>
          <w:lang w:eastAsia="sl-SI"/>
        </w:rPr>
        <w:lastRenderedPageBreak/>
        <w:drawing>
          <wp:inline distT="0" distB="0" distL="0" distR="0" wp14:anchorId="6567F0A6" wp14:editId="00869543">
            <wp:extent cx="3781425" cy="30861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2178" t="1778" r="1757" b="2252"/>
                    <a:stretch/>
                  </pic:blipFill>
                  <pic:spPr bwMode="auto">
                    <a:xfrm>
                      <a:off x="0" y="0"/>
                      <a:ext cx="3800021" cy="3101277"/>
                    </a:xfrm>
                    <a:prstGeom prst="rect">
                      <a:avLst/>
                    </a:prstGeom>
                    <a:noFill/>
                    <a:ln>
                      <a:noFill/>
                    </a:ln>
                    <a:extLst>
                      <a:ext uri="{53640926-AAD7-44D8-BBD7-CCE9431645EC}">
                        <a14:shadowObscured xmlns:a14="http://schemas.microsoft.com/office/drawing/2010/main"/>
                      </a:ext>
                    </a:extLst>
                  </pic:spPr>
                </pic:pic>
              </a:graphicData>
            </a:graphic>
          </wp:inline>
        </w:drawing>
      </w:r>
    </w:p>
    <w:p w14:paraId="79DB5879" w14:textId="46243ADF" w:rsidR="003A3559" w:rsidRDefault="003A3559" w:rsidP="003A3559">
      <w:pPr>
        <w:pStyle w:val="Napis"/>
        <w:jc w:val="center"/>
      </w:pPr>
      <w:bookmarkStart w:id="186" w:name="_Ref39744406"/>
      <w:bookmarkStart w:id="187" w:name="_Toc97026855"/>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4</w:t>
      </w:r>
      <w:r w:rsidR="008334B2">
        <w:fldChar w:fldCharType="end"/>
      </w:r>
      <w:bookmarkEnd w:id="186"/>
      <w:r>
        <w:t>: Prikaz ocen potencialnih vplivov za pet kazalnikov ranljivosti v kmetijstvu v referenčnem obdobju ter v prvem in drugem obdobju po scenarijih RCP4.5 in RCP8.5.</w:t>
      </w:r>
      <w:bookmarkEnd w:id="187"/>
    </w:p>
    <w:p w14:paraId="591FEE55" w14:textId="77777777" w:rsidR="003A3559" w:rsidRDefault="003A3559" w:rsidP="003A3559">
      <w:pPr>
        <w:jc w:val="center"/>
      </w:pPr>
      <w:r>
        <w:rPr>
          <w:noProof/>
          <w:lang w:eastAsia="sl-SI"/>
        </w:rPr>
        <w:drawing>
          <wp:inline distT="0" distB="0" distL="0" distR="0" wp14:anchorId="7E844436" wp14:editId="4618E0D7">
            <wp:extent cx="3933824" cy="31908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2313" t="2577" r="2147" b="1507"/>
                    <a:stretch/>
                  </pic:blipFill>
                  <pic:spPr bwMode="auto">
                    <a:xfrm>
                      <a:off x="0" y="0"/>
                      <a:ext cx="3970549" cy="3220664"/>
                    </a:xfrm>
                    <a:prstGeom prst="rect">
                      <a:avLst/>
                    </a:prstGeom>
                    <a:noFill/>
                    <a:ln>
                      <a:noFill/>
                    </a:ln>
                    <a:extLst>
                      <a:ext uri="{53640926-AAD7-44D8-BBD7-CCE9431645EC}">
                        <a14:shadowObscured xmlns:a14="http://schemas.microsoft.com/office/drawing/2010/main"/>
                      </a:ext>
                    </a:extLst>
                  </pic:spPr>
                </pic:pic>
              </a:graphicData>
            </a:graphic>
          </wp:inline>
        </w:drawing>
      </w:r>
    </w:p>
    <w:p w14:paraId="390708D3" w14:textId="3D648DCF" w:rsidR="003A3559" w:rsidRDefault="003A3559" w:rsidP="003A3559">
      <w:pPr>
        <w:rPr>
          <w:rFonts w:eastAsia="Trebuchet MS" w:cs="Trebuchet MS"/>
          <w:i/>
          <w:iCs/>
          <w:color w:val="44546A" w:themeColor="text2"/>
          <w:sz w:val="18"/>
          <w:szCs w:val="18"/>
          <w:lang w:eastAsia="sl-SI"/>
        </w:rPr>
      </w:pPr>
      <w:bookmarkStart w:id="188" w:name="_Ref39744419"/>
      <w:bookmarkStart w:id="189" w:name="_Toc97026856"/>
      <w:r w:rsidRPr="00745EAC">
        <w:rPr>
          <w:rFonts w:eastAsia="Trebuchet MS" w:cs="Trebuchet MS"/>
          <w:i/>
          <w:iCs/>
          <w:color w:val="44546A" w:themeColor="text2"/>
          <w:sz w:val="18"/>
          <w:szCs w:val="18"/>
          <w:lang w:eastAsia="sl-SI"/>
        </w:rPr>
        <w:t xml:space="preserve">Slika </w:t>
      </w:r>
      <w:r w:rsidR="008334B2">
        <w:rPr>
          <w:rFonts w:eastAsia="Trebuchet MS" w:cs="Trebuchet MS"/>
          <w:i/>
          <w:iCs/>
          <w:color w:val="44546A" w:themeColor="text2"/>
          <w:sz w:val="18"/>
          <w:szCs w:val="18"/>
          <w:lang w:eastAsia="sl-SI"/>
        </w:rPr>
        <w:fldChar w:fldCharType="begin"/>
      </w:r>
      <w:r w:rsidR="008334B2">
        <w:rPr>
          <w:rFonts w:eastAsia="Trebuchet MS" w:cs="Trebuchet MS"/>
          <w:i/>
          <w:iCs/>
          <w:color w:val="44546A" w:themeColor="text2"/>
          <w:sz w:val="18"/>
          <w:szCs w:val="18"/>
          <w:lang w:eastAsia="sl-SI"/>
        </w:rPr>
        <w:instrText xml:space="preserve"> STYLEREF 1 \s </w:instrText>
      </w:r>
      <w:r w:rsidR="008334B2">
        <w:rPr>
          <w:rFonts w:eastAsia="Trebuchet MS" w:cs="Trebuchet MS"/>
          <w:i/>
          <w:iCs/>
          <w:color w:val="44546A" w:themeColor="text2"/>
          <w:sz w:val="18"/>
          <w:szCs w:val="18"/>
          <w:lang w:eastAsia="sl-SI"/>
        </w:rPr>
        <w:fldChar w:fldCharType="separate"/>
      </w:r>
      <w:r w:rsidR="008334B2">
        <w:rPr>
          <w:rFonts w:eastAsia="Trebuchet MS" w:cs="Trebuchet MS"/>
          <w:i/>
          <w:iCs/>
          <w:noProof/>
          <w:color w:val="44546A" w:themeColor="text2"/>
          <w:sz w:val="18"/>
          <w:szCs w:val="18"/>
          <w:lang w:eastAsia="sl-SI"/>
        </w:rPr>
        <w:t>6</w:t>
      </w:r>
      <w:r w:rsidR="008334B2">
        <w:rPr>
          <w:rFonts w:eastAsia="Trebuchet MS" w:cs="Trebuchet MS"/>
          <w:i/>
          <w:iCs/>
          <w:color w:val="44546A" w:themeColor="text2"/>
          <w:sz w:val="18"/>
          <w:szCs w:val="18"/>
          <w:lang w:eastAsia="sl-SI"/>
        </w:rPr>
        <w:fldChar w:fldCharType="end"/>
      </w:r>
      <w:r w:rsidR="008334B2">
        <w:rPr>
          <w:rFonts w:eastAsia="Trebuchet MS" w:cs="Trebuchet MS"/>
          <w:i/>
          <w:iCs/>
          <w:color w:val="44546A" w:themeColor="text2"/>
          <w:sz w:val="18"/>
          <w:szCs w:val="18"/>
          <w:lang w:eastAsia="sl-SI"/>
        </w:rPr>
        <w:t>.</w:t>
      </w:r>
      <w:r w:rsidR="008334B2">
        <w:rPr>
          <w:rFonts w:eastAsia="Trebuchet MS" w:cs="Trebuchet MS"/>
          <w:i/>
          <w:iCs/>
          <w:color w:val="44546A" w:themeColor="text2"/>
          <w:sz w:val="18"/>
          <w:szCs w:val="18"/>
          <w:lang w:eastAsia="sl-SI"/>
        </w:rPr>
        <w:fldChar w:fldCharType="begin"/>
      </w:r>
      <w:r w:rsidR="008334B2">
        <w:rPr>
          <w:rFonts w:eastAsia="Trebuchet MS" w:cs="Trebuchet MS"/>
          <w:i/>
          <w:iCs/>
          <w:color w:val="44546A" w:themeColor="text2"/>
          <w:sz w:val="18"/>
          <w:szCs w:val="18"/>
          <w:lang w:eastAsia="sl-SI"/>
        </w:rPr>
        <w:instrText xml:space="preserve"> SEQ Slika \* ARABIC \s 1 </w:instrText>
      </w:r>
      <w:r w:rsidR="008334B2">
        <w:rPr>
          <w:rFonts w:eastAsia="Trebuchet MS" w:cs="Trebuchet MS"/>
          <w:i/>
          <w:iCs/>
          <w:color w:val="44546A" w:themeColor="text2"/>
          <w:sz w:val="18"/>
          <w:szCs w:val="18"/>
          <w:lang w:eastAsia="sl-SI"/>
        </w:rPr>
        <w:fldChar w:fldCharType="separate"/>
      </w:r>
      <w:r w:rsidR="008334B2">
        <w:rPr>
          <w:rFonts w:eastAsia="Trebuchet MS" w:cs="Trebuchet MS"/>
          <w:i/>
          <w:iCs/>
          <w:noProof/>
          <w:color w:val="44546A" w:themeColor="text2"/>
          <w:sz w:val="18"/>
          <w:szCs w:val="18"/>
          <w:lang w:eastAsia="sl-SI"/>
        </w:rPr>
        <w:t>5</w:t>
      </w:r>
      <w:r w:rsidR="008334B2">
        <w:rPr>
          <w:rFonts w:eastAsia="Trebuchet MS" w:cs="Trebuchet MS"/>
          <w:i/>
          <w:iCs/>
          <w:color w:val="44546A" w:themeColor="text2"/>
          <w:sz w:val="18"/>
          <w:szCs w:val="18"/>
          <w:lang w:eastAsia="sl-SI"/>
        </w:rPr>
        <w:fldChar w:fldCharType="end"/>
      </w:r>
      <w:bookmarkEnd w:id="188"/>
      <w:r w:rsidRPr="00745EAC">
        <w:rPr>
          <w:rFonts w:eastAsia="Trebuchet MS" w:cs="Trebuchet MS"/>
          <w:i/>
          <w:iCs/>
          <w:color w:val="44546A" w:themeColor="text2"/>
          <w:sz w:val="18"/>
          <w:szCs w:val="18"/>
          <w:lang w:eastAsia="sl-SI"/>
        </w:rPr>
        <w:t xml:space="preserve">: Prikaz kazalnikov ranljivosti kmetijstva na podnebne spremembe v referenčnem obdobju 1981–2010 in po obeh scenarijih v obdobju 2011–2040 </w:t>
      </w:r>
      <w:r>
        <w:rPr>
          <w:rFonts w:eastAsia="Trebuchet MS" w:cs="Trebuchet MS"/>
          <w:i/>
          <w:iCs/>
          <w:color w:val="44546A" w:themeColor="text2"/>
          <w:sz w:val="18"/>
          <w:szCs w:val="18"/>
          <w:lang w:eastAsia="sl-SI"/>
        </w:rPr>
        <w:t>(</w:t>
      </w:r>
      <w:r w:rsidRPr="00745EAC">
        <w:rPr>
          <w:rFonts w:eastAsia="Trebuchet MS" w:cs="Trebuchet MS"/>
          <w:i/>
          <w:iCs/>
          <w:color w:val="44546A" w:themeColor="text2"/>
          <w:sz w:val="18"/>
          <w:szCs w:val="18"/>
          <w:lang w:eastAsia="sl-SI"/>
        </w:rPr>
        <w:t>*le ocena ranljivosti za kazalnik 'toplotna obremenitev in vročinski stres' je v referenčnem obdobju 3 in v prvem obdobju po obeh scenarijih 4</w:t>
      </w:r>
      <w:r>
        <w:rPr>
          <w:rFonts w:eastAsia="Trebuchet MS" w:cs="Trebuchet MS"/>
          <w:i/>
          <w:iCs/>
          <w:color w:val="44546A" w:themeColor="text2"/>
          <w:sz w:val="18"/>
          <w:szCs w:val="18"/>
          <w:lang w:eastAsia="sl-SI"/>
        </w:rPr>
        <w:t xml:space="preserve"> – glej preglednico 6.11) ter 2041</w:t>
      </w:r>
      <w:r w:rsidRPr="00745EAC">
        <w:rPr>
          <w:rFonts w:eastAsia="Trebuchet MS" w:cs="Trebuchet MS"/>
          <w:i/>
          <w:iCs/>
          <w:color w:val="44546A" w:themeColor="text2"/>
          <w:sz w:val="18"/>
          <w:szCs w:val="18"/>
          <w:lang w:eastAsia="sl-SI"/>
        </w:rPr>
        <w:t>–</w:t>
      </w:r>
      <w:r>
        <w:rPr>
          <w:rFonts w:eastAsia="Trebuchet MS" w:cs="Trebuchet MS"/>
          <w:i/>
          <w:iCs/>
          <w:color w:val="44546A" w:themeColor="text2"/>
          <w:sz w:val="18"/>
          <w:szCs w:val="18"/>
          <w:lang w:eastAsia="sl-SI"/>
        </w:rPr>
        <w:t>2070.</w:t>
      </w:r>
      <w:bookmarkEnd w:id="189"/>
      <w:r>
        <w:rPr>
          <w:rFonts w:eastAsia="Trebuchet MS" w:cs="Trebuchet MS"/>
          <w:i/>
          <w:iCs/>
          <w:color w:val="44546A" w:themeColor="text2"/>
          <w:sz w:val="18"/>
          <w:szCs w:val="18"/>
          <w:lang w:eastAsia="sl-SI"/>
        </w:rPr>
        <w:t xml:space="preserve"> </w:t>
      </w:r>
    </w:p>
    <w:p w14:paraId="6D668D1B" w14:textId="1240270B" w:rsidR="003A3559" w:rsidRDefault="003A3559" w:rsidP="003A3559">
      <w:pPr>
        <w:rPr>
          <w:lang w:eastAsia="sl-SI"/>
        </w:rPr>
      </w:pPr>
    </w:p>
    <w:p w14:paraId="42268991" w14:textId="77777777" w:rsidR="003A3559" w:rsidRPr="00745EAC" w:rsidRDefault="003A3559" w:rsidP="003A3559">
      <w:pPr>
        <w:rPr>
          <w:lang w:eastAsia="sl-SI"/>
        </w:rPr>
      </w:pPr>
    </w:p>
    <w:p w14:paraId="408B1028" w14:textId="77777777" w:rsidR="005913CE" w:rsidRDefault="005913CE" w:rsidP="005913CE">
      <w:pPr>
        <w:pStyle w:val="Naslov3"/>
      </w:pPr>
      <w:bookmarkStart w:id="190" w:name="_Toc97026754"/>
      <w:r>
        <w:lastRenderedPageBreak/>
        <w:t>Ukrepi za prilagajanje na podnebne spremembe v kmetijstvu</w:t>
      </w:r>
      <w:bookmarkEnd w:id="183"/>
      <w:bookmarkEnd w:id="190"/>
    </w:p>
    <w:p w14:paraId="668C52DA" w14:textId="77777777" w:rsidR="003A3559" w:rsidRDefault="003A3559" w:rsidP="003A3559">
      <w:pPr>
        <w:pStyle w:val="Contenutocornice"/>
      </w:pPr>
      <w:r>
        <w:t>Na podlagi strokovnih izhodišč ocene ranljivosti so bila določena naslednja pomembna področja ukrepanja (PPU), razvrščena so po pomembnosti:</w:t>
      </w:r>
    </w:p>
    <w:tbl>
      <w:tblPr>
        <w:tblW w:w="4710" w:type="pct"/>
        <w:tblLayout w:type="fixed"/>
        <w:tblCellMar>
          <w:left w:w="70" w:type="dxa"/>
          <w:right w:w="70" w:type="dxa"/>
        </w:tblCellMar>
        <w:tblLook w:val="04A0" w:firstRow="1" w:lastRow="0" w:firstColumn="1" w:lastColumn="0" w:noHBand="0" w:noVBand="1"/>
      </w:tblPr>
      <w:tblGrid>
        <w:gridCol w:w="1336"/>
        <w:gridCol w:w="7743"/>
      </w:tblGrid>
      <w:tr w:rsidR="003A3559" w:rsidRPr="004806FB" w14:paraId="78F5D289" w14:textId="77777777" w:rsidTr="003A3559">
        <w:trPr>
          <w:trHeight w:val="330"/>
        </w:trPr>
        <w:tc>
          <w:tcPr>
            <w:tcW w:w="736" w:type="pct"/>
            <w:shd w:val="clear" w:color="auto" w:fill="auto"/>
            <w:noWrap/>
            <w:vAlign w:val="center"/>
            <w:hideMark/>
          </w:tcPr>
          <w:p w14:paraId="3053557B" w14:textId="77777777" w:rsidR="003A3559" w:rsidRPr="004806FB" w:rsidRDefault="003A3559" w:rsidP="003A3559">
            <w:pPr>
              <w:spacing w:after="0" w:line="240" w:lineRule="auto"/>
              <w:jc w:val="left"/>
              <w:rPr>
                <w:rFonts w:ascii="Calibri" w:eastAsia="Times New Roman" w:hAnsi="Calibri" w:cs="Calibri"/>
                <w:lang w:eastAsia="sl-SI"/>
              </w:rPr>
            </w:pPr>
            <w:r w:rsidRPr="004806FB">
              <w:rPr>
                <w:rFonts w:ascii="Calibri" w:eastAsia="Times New Roman" w:hAnsi="Calibri" w:cs="Calibri"/>
                <w:lang w:eastAsia="sl-SI"/>
              </w:rPr>
              <w:t>PPU1</w:t>
            </w:r>
          </w:p>
        </w:tc>
        <w:tc>
          <w:tcPr>
            <w:tcW w:w="4264" w:type="pct"/>
            <w:shd w:val="clear" w:color="auto" w:fill="auto"/>
            <w:noWrap/>
            <w:vAlign w:val="center"/>
          </w:tcPr>
          <w:p w14:paraId="080312D3" w14:textId="77777777" w:rsidR="003A3559" w:rsidRPr="004806FB" w:rsidRDefault="003A3559" w:rsidP="003A3559">
            <w:pPr>
              <w:spacing w:after="0" w:line="240" w:lineRule="auto"/>
              <w:jc w:val="left"/>
              <w:rPr>
                <w:rFonts w:eastAsia="Times New Roman" w:cs="Calibri"/>
                <w:lang w:eastAsia="sl-SI"/>
              </w:rPr>
            </w:pPr>
            <w:r>
              <w:rPr>
                <w:rFonts w:eastAsia="Times New Roman" w:cs="Calibri"/>
                <w:lang w:eastAsia="sl-SI"/>
              </w:rPr>
              <w:t>ureditev možnosti namakanja (</w:t>
            </w:r>
            <w:r w:rsidRPr="006804DE">
              <w:rPr>
                <w:rFonts w:eastAsia="Times New Roman" w:cs="Calibri"/>
                <w:lang w:eastAsia="sl-SI"/>
              </w:rPr>
              <w:t xml:space="preserve">povečati delež kmetijskih zemljišč z </w:t>
            </w:r>
            <w:r>
              <w:rPr>
                <w:rFonts w:eastAsia="Times New Roman" w:cs="Calibri"/>
                <w:lang w:eastAsia="sl-SI"/>
              </w:rPr>
              <w:t xml:space="preserve">možnostjo </w:t>
            </w:r>
            <w:r w:rsidRPr="006804DE">
              <w:rPr>
                <w:rFonts w:eastAsia="Times New Roman" w:cs="Calibri"/>
                <w:lang w:eastAsia="sl-SI"/>
              </w:rPr>
              <w:t>namaka</w:t>
            </w:r>
            <w:r>
              <w:rPr>
                <w:rFonts w:eastAsia="Times New Roman" w:cs="Calibri"/>
                <w:lang w:eastAsia="sl-SI"/>
              </w:rPr>
              <w:t xml:space="preserve">nja na podlagi investicij v napravo namakalnih sistemov in sanacijo zadrževalnika </w:t>
            </w:r>
            <w:proofErr w:type="spellStart"/>
            <w:r>
              <w:rPr>
                <w:rFonts w:eastAsia="Times New Roman" w:cs="Calibri"/>
                <w:lang w:eastAsia="sl-SI"/>
              </w:rPr>
              <w:t>Vogršček</w:t>
            </w:r>
            <w:proofErr w:type="spellEnd"/>
            <w:r>
              <w:rPr>
                <w:rFonts w:eastAsia="Times New Roman" w:cs="Calibri"/>
                <w:lang w:eastAsia="sl-SI"/>
              </w:rPr>
              <w:t xml:space="preserve"> ter možnosti zajema vode še iz drugih virov), sistemi bodo služili tudi večji možnosti aktivne zaščite rastlin proti pozebi</w:t>
            </w:r>
          </w:p>
        </w:tc>
      </w:tr>
      <w:tr w:rsidR="003A3559" w:rsidRPr="004806FB" w14:paraId="1C04F609" w14:textId="77777777" w:rsidTr="003A3559">
        <w:trPr>
          <w:trHeight w:val="330"/>
        </w:trPr>
        <w:tc>
          <w:tcPr>
            <w:tcW w:w="736" w:type="pct"/>
            <w:shd w:val="clear" w:color="auto" w:fill="auto"/>
            <w:noWrap/>
            <w:vAlign w:val="center"/>
          </w:tcPr>
          <w:p w14:paraId="099AC038" w14:textId="77777777" w:rsidR="003A3559" w:rsidRPr="004806FB" w:rsidRDefault="003A3559" w:rsidP="003A3559">
            <w:pPr>
              <w:spacing w:after="0" w:line="240" w:lineRule="auto"/>
              <w:jc w:val="left"/>
              <w:rPr>
                <w:rFonts w:ascii="Calibri" w:eastAsia="Times New Roman" w:hAnsi="Calibri" w:cs="Calibri"/>
                <w:lang w:eastAsia="sl-SI"/>
              </w:rPr>
            </w:pPr>
            <w:r w:rsidRPr="004806FB">
              <w:rPr>
                <w:rFonts w:ascii="Calibri" w:eastAsia="Times New Roman" w:hAnsi="Calibri" w:cs="Calibri"/>
                <w:lang w:eastAsia="sl-SI"/>
              </w:rPr>
              <w:t>PPU2</w:t>
            </w:r>
          </w:p>
        </w:tc>
        <w:tc>
          <w:tcPr>
            <w:tcW w:w="4264" w:type="pct"/>
            <w:shd w:val="clear" w:color="auto" w:fill="auto"/>
            <w:noWrap/>
            <w:vAlign w:val="center"/>
          </w:tcPr>
          <w:p w14:paraId="10CCCDEF" w14:textId="77777777" w:rsidR="003A3559" w:rsidRPr="004806FB" w:rsidRDefault="003A3559" w:rsidP="003A3559">
            <w:pPr>
              <w:spacing w:after="0" w:line="240" w:lineRule="auto"/>
              <w:jc w:val="left"/>
              <w:rPr>
                <w:rFonts w:eastAsia="Times New Roman" w:cs="Calibri"/>
                <w:lang w:eastAsia="sl-SI"/>
              </w:rPr>
            </w:pPr>
            <w:r>
              <w:rPr>
                <w:rFonts w:eastAsia="Times New Roman" w:cs="Calibri"/>
                <w:lang w:eastAsia="sl-SI"/>
              </w:rPr>
              <w:t>agrotehnični ukrepi za odpravo zastajanja vode na kmetijskih zemljiščih</w:t>
            </w:r>
          </w:p>
        </w:tc>
      </w:tr>
      <w:tr w:rsidR="003A3559" w:rsidRPr="004806FB" w14:paraId="6AB6F26F" w14:textId="77777777" w:rsidTr="003A3559">
        <w:trPr>
          <w:trHeight w:val="330"/>
        </w:trPr>
        <w:tc>
          <w:tcPr>
            <w:tcW w:w="736" w:type="pct"/>
            <w:shd w:val="clear" w:color="auto" w:fill="auto"/>
            <w:noWrap/>
            <w:vAlign w:val="center"/>
          </w:tcPr>
          <w:p w14:paraId="055F7131" w14:textId="77777777" w:rsidR="003A3559" w:rsidRPr="004806FB" w:rsidRDefault="003A3559" w:rsidP="003A3559">
            <w:pPr>
              <w:spacing w:after="0" w:line="240" w:lineRule="auto"/>
              <w:jc w:val="left"/>
              <w:rPr>
                <w:rFonts w:ascii="Calibri" w:eastAsia="Times New Roman" w:hAnsi="Calibri" w:cs="Calibri"/>
                <w:lang w:eastAsia="sl-SI"/>
              </w:rPr>
            </w:pPr>
            <w:r w:rsidRPr="004806FB">
              <w:rPr>
                <w:rFonts w:ascii="Calibri" w:eastAsia="Times New Roman" w:hAnsi="Calibri" w:cs="Calibri"/>
                <w:lang w:eastAsia="sl-SI"/>
              </w:rPr>
              <w:t>PPU3</w:t>
            </w:r>
          </w:p>
        </w:tc>
        <w:tc>
          <w:tcPr>
            <w:tcW w:w="4264" w:type="pct"/>
            <w:shd w:val="clear" w:color="auto" w:fill="auto"/>
            <w:noWrap/>
            <w:vAlign w:val="center"/>
          </w:tcPr>
          <w:p w14:paraId="398627F0" w14:textId="77777777" w:rsidR="003A3559" w:rsidRPr="004806FB" w:rsidRDefault="003A3559" w:rsidP="003A3559">
            <w:pPr>
              <w:spacing w:after="0" w:line="240" w:lineRule="auto"/>
              <w:jc w:val="left"/>
              <w:rPr>
                <w:rFonts w:eastAsia="Times New Roman" w:cs="Calibri"/>
                <w:lang w:eastAsia="sl-SI"/>
              </w:rPr>
            </w:pPr>
            <w:r>
              <w:rPr>
                <w:rFonts w:eastAsia="Times New Roman" w:cs="Calibri"/>
                <w:lang w:eastAsia="sl-SI"/>
              </w:rPr>
              <w:t>povečevanje deleža pridelave v pokritih površinah (investicije v izgradnjo steklenjakov in plastenjakov)</w:t>
            </w:r>
          </w:p>
        </w:tc>
      </w:tr>
      <w:tr w:rsidR="003A3559" w:rsidRPr="004806FB" w14:paraId="484285C8" w14:textId="77777777" w:rsidTr="003A3559">
        <w:trPr>
          <w:trHeight w:val="330"/>
        </w:trPr>
        <w:tc>
          <w:tcPr>
            <w:tcW w:w="736" w:type="pct"/>
            <w:shd w:val="clear" w:color="auto" w:fill="auto"/>
            <w:noWrap/>
            <w:vAlign w:val="center"/>
          </w:tcPr>
          <w:p w14:paraId="077F7AC6" w14:textId="77777777" w:rsidR="003A3559" w:rsidRPr="004806FB" w:rsidRDefault="003A3559" w:rsidP="003A3559">
            <w:pPr>
              <w:spacing w:after="0" w:line="240" w:lineRule="auto"/>
              <w:jc w:val="left"/>
              <w:rPr>
                <w:rFonts w:ascii="Calibri" w:eastAsia="Times New Roman" w:hAnsi="Calibri" w:cs="Calibri"/>
                <w:lang w:eastAsia="sl-SI"/>
              </w:rPr>
            </w:pPr>
            <w:r w:rsidRPr="004806FB">
              <w:rPr>
                <w:rFonts w:ascii="Calibri" w:eastAsia="Times New Roman" w:hAnsi="Calibri" w:cs="Calibri"/>
                <w:lang w:eastAsia="sl-SI"/>
              </w:rPr>
              <w:t>PPU4</w:t>
            </w:r>
          </w:p>
        </w:tc>
        <w:tc>
          <w:tcPr>
            <w:tcW w:w="4264" w:type="pct"/>
            <w:shd w:val="clear" w:color="auto" w:fill="auto"/>
            <w:noWrap/>
            <w:vAlign w:val="center"/>
          </w:tcPr>
          <w:p w14:paraId="4095A75E" w14:textId="77777777" w:rsidR="003A3559" w:rsidRPr="004806FB" w:rsidRDefault="003A3559" w:rsidP="003A3559">
            <w:pPr>
              <w:spacing w:after="0" w:line="240" w:lineRule="auto"/>
              <w:jc w:val="left"/>
              <w:rPr>
                <w:rFonts w:eastAsia="Times New Roman" w:cs="Calibri"/>
                <w:lang w:eastAsia="sl-SI"/>
              </w:rPr>
            </w:pPr>
            <w:r>
              <w:rPr>
                <w:rFonts w:eastAsia="Times New Roman" w:cs="Calibri"/>
                <w:lang w:eastAsia="sl-SI"/>
              </w:rPr>
              <w:t>investicije v protitočne mreže v trajnih nasadih</w:t>
            </w:r>
          </w:p>
        </w:tc>
      </w:tr>
      <w:tr w:rsidR="003A3559" w:rsidRPr="004806FB" w14:paraId="3DBA4129" w14:textId="77777777" w:rsidTr="003A3559">
        <w:trPr>
          <w:trHeight w:val="330"/>
        </w:trPr>
        <w:tc>
          <w:tcPr>
            <w:tcW w:w="736" w:type="pct"/>
            <w:shd w:val="clear" w:color="auto" w:fill="auto"/>
            <w:noWrap/>
            <w:vAlign w:val="center"/>
          </w:tcPr>
          <w:p w14:paraId="3B13322F" w14:textId="77777777" w:rsidR="003A3559" w:rsidRPr="004806FB" w:rsidRDefault="003A3559" w:rsidP="003A3559">
            <w:pPr>
              <w:spacing w:after="0" w:line="240" w:lineRule="auto"/>
              <w:jc w:val="left"/>
              <w:rPr>
                <w:rFonts w:ascii="Calibri" w:eastAsia="Times New Roman" w:hAnsi="Calibri" w:cs="Calibri"/>
                <w:lang w:eastAsia="sl-SI"/>
              </w:rPr>
            </w:pPr>
            <w:r w:rsidRPr="004806FB">
              <w:rPr>
                <w:rFonts w:ascii="Calibri" w:eastAsia="Times New Roman" w:hAnsi="Calibri" w:cs="Calibri"/>
                <w:lang w:eastAsia="sl-SI"/>
              </w:rPr>
              <w:t>PPU5</w:t>
            </w:r>
          </w:p>
        </w:tc>
        <w:tc>
          <w:tcPr>
            <w:tcW w:w="4264" w:type="pct"/>
            <w:shd w:val="clear" w:color="auto" w:fill="auto"/>
            <w:noWrap/>
            <w:vAlign w:val="center"/>
          </w:tcPr>
          <w:p w14:paraId="6A78F775" w14:textId="77777777" w:rsidR="003A3559" w:rsidRPr="004806FB" w:rsidRDefault="003A3559" w:rsidP="003A3559">
            <w:pPr>
              <w:spacing w:after="0" w:line="240" w:lineRule="auto"/>
              <w:jc w:val="left"/>
              <w:rPr>
                <w:rFonts w:eastAsia="Times New Roman" w:cs="Calibri"/>
                <w:lang w:eastAsia="sl-SI"/>
              </w:rPr>
            </w:pPr>
            <w:r>
              <w:rPr>
                <w:rFonts w:eastAsia="Times New Roman" w:cs="Calibri"/>
                <w:lang w:eastAsia="sl-SI"/>
              </w:rPr>
              <w:t>uvajanje učinkovitih protivetrnih zaščit</w:t>
            </w:r>
          </w:p>
        </w:tc>
      </w:tr>
      <w:tr w:rsidR="003A3559" w:rsidRPr="004806FB" w14:paraId="69C24F3D" w14:textId="77777777" w:rsidTr="003A3559">
        <w:trPr>
          <w:trHeight w:val="330"/>
        </w:trPr>
        <w:tc>
          <w:tcPr>
            <w:tcW w:w="736" w:type="pct"/>
            <w:shd w:val="clear" w:color="auto" w:fill="auto"/>
            <w:noWrap/>
            <w:vAlign w:val="center"/>
          </w:tcPr>
          <w:p w14:paraId="2D628CD3" w14:textId="77777777" w:rsidR="003A3559" w:rsidRPr="004806FB" w:rsidRDefault="003A3559" w:rsidP="003A3559">
            <w:pPr>
              <w:spacing w:after="0" w:line="240" w:lineRule="auto"/>
              <w:jc w:val="left"/>
              <w:rPr>
                <w:rFonts w:ascii="Calibri" w:eastAsia="Times New Roman" w:hAnsi="Calibri" w:cs="Calibri"/>
                <w:lang w:eastAsia="sl-SI"/>
              </w:rPr>
            </w:pPr>
            <w:r w:rsidRPr="004806FB">
              <w:rPr>
                <w:rFonts w:ascii="Calibri" w:eastAsia="Times New Roman" w:hAnsi="Calibri" w:cs="Calibri"/>
                <w:lang w:eastAsia="sl-SI"/>
              </w:rPr>
              <w:t>PPU</w:t>
            </w:r>
            <w:r>
              <w:rPr>
                <w:rFonts w:ascii="Calibri" w:eastAsia="Times New Roman" w:hAnsi="Calibri" w:cs="Calibri"/>
                <w:lang w:eastAsia="sl-SI"/>
              </w:rPr>
              <w:t>6</w:t>
            </w:r>
          </w:p>
        </w:tc>
        <w:tc>
          <w:tcPr>
            <w:tcW w:w="4264" w:type="pct"/>
            <w:shd w:val="clear" w:color="auto" w:fill="auto"/>
            <w:noWrap/>
            <w:vAlign w:val="center"/>
          </w:tcPr>
          <w:p w14:paraId="38C146B5" w14:textId="77777777" w:rsidR="003A3559" w:rsidRPr="004806FB" w:rsidRDefault="003A3559" w:rsidP="003A3559">
            <w:pPr>
              <w:spacing w:after="0" w:line="240" w:lineRule="auto"/>
              <w:jc w:val="left"/>
              <w:rPr>
                <w:rFonts w:eastAsia="Times New Roman" w:cs="Calibri"/>
                <w:lang w:eastAsia="sl-SI"/>
              </w:rPr>
            </w:pPr>
            <w:r>
              <w:rPr>
                <w:rFonts w:eastAsia="Times New Roman" w:cs="Calibri"/>
                <w:lang w:eastAsia="sl-SI"/>
              </w:rPr>
              <w:t>zaščita pred divjadjo na poljih</w:t>
            </w:r>
          </w:p>
        </w:tc>
      </w:tr>
      <w:tr w:rsidR="003A3559" w:rsidRPr="004806FB" w14:paraId="1A4E2FAC" w14:textId="77777777" w:rsidTr="003A3559">
        <w:trPr>
          <w:trHeight w:val="330"/>
        </w:trPr>
        <w:tc>
          <w:tcPr>
            <w:tcW w:w="736" w:type="pct"/>
            <w:shd w:val="clear" w:color="auto" w:fill="auto"/>
            <w:noWrap/>
            <w:vAlign w:val="center"/>
          </w:tcPr>
          <w:p w14:paraId="5E66CDEC" w14:textId="77777777" w:rsidR="003A3559" w:rsidRPr="004806FB" w:rsidRDefault="003A3559" w:rsidP="003A3559">
            <w:pPr>
              <w:spacing w:after="0" w:line="240" w:lineRule="auto"/>
              <w:jc w:val="left"/>
              <w:rPr>
                <w:rFonts w:ascii="Calibri" w:eastAsia="Times New Roman" w:hAnsi="Calibri" w:cs="Calibri"/>
                <w:lang w:eastAsia="sl-SI"/>
              </w:rPr>
            </w:pPr>
            <w:r w:rsidRPr="004806FB">
              <w:rPr>
                <w:rFonts w:ascii="Calibri" w:eastAsia="Times New Roman" w:hAnsi="Calibri" w:cs="Calibri"/>
                <w:lang w:eastAsia="sl-SI"/>
              </w:rPr>
              <w:t>PPU</w:t>
            </w:r>
            <w:r>
              <w:rPr>
                <w:rFonts w:ascii="Calibri" w:eastAsia="Times New Roman" w:hAnsi="Calibri" w:cs="Calibri"/>
                <w:lang w:eastAsia="sl-SI"/>
              </w:rPr>
              <w:t>7</w:t>
            </w:r>
          </w:p>
        </w:tc>
        <w:tc>
          <w:tcPr>
            <w:tcW w:w="4264" w:type="pct"/>
            <w:shd w:val="clear" w:color="auto" w:fill="auto"/>
            <w:noWrap/>
            <w:vAlign w:val="center"/>
          </w:tcPr>
          <w:p w14:paraId="28F6ACC1" w14:textId="77777777" w:rsidR="003A3559" w:rsidRPr="004806FB" w:rsidRDefault="003A3559" w:rsidP="003A3559">
            <w:pPr>
              <w:spacing w:after="0" w:line="240" w:lineRule="auto"/>
              <w:jc w:val="left"/>
              <w:rPr>
                <w:rFonts w:eastAsia="Times New Roman" w:cs="Calibri"/>
                <w:lang w:eastAsia="sl-SI"/>
              </w:rPr>
            </w:pPr>
            <w:r w:rsidRPr="004806FB">
              <w:rPr>
                <w:rFonts w:eastAsia="Times New Roman" w:cs="Calibri"/>
                <w:lang w:eastAsia="sl-SI"/>
              </w:rPr>
              <w:t xml:space="preserve">izobraževanje in ozaveščanje ljudi o ranljivosti in tveganju zaradi podnebnih sprememb </w:t>
            </w:r>
            <w:r>
              <w:rPr>
                <w:rFonts w:eastAsia="Times New Roman" w:cs="Calibri"/>
                <w:lang w:eastAsia="sl-SI"/>
              </w:rPr>
              <w:t xml:space="preserve">(npr. </w:t>
            </w:r>
            <w:r w:rsidRPr="004806FB">
              <w:rPr>
                <w:rFonts w:eastAsia="Times New Roman" w:cs="Calibri"/>
                <w:lang w:eastAsia="sl-SI"/>
              </w:rPr>
              <w:t>toplotn</w:t>
            </w:r>
            <w:r>
              <w:rPr>
                <w:rFonts w:eastAsia="Times New Roman" w:cs="Calibri"/>
                <w:lang w:eastAsia="sl-SI"/>
              </w:rPr>
              <w:t>e</w:t>
            </w:r>
            <w:r w:rsidRPr="004806FB">
              <w:rPr>
                <w:rFonts w:eastAsia="Times New Roman" w:cs="Calibri"/>
                <w:lang w:eastAsia="sl-SI"/>
              </w:rPr>
              <w:t xml:space="preserve"> obremenitv</w:t>
            </w:r>
            <w:r>
              <w:rPr>
                <w:rFonts w:eastAsia="Times New Roman" w:cs="Calibri"/>
                <w:lang w:eastAsia="sl-SI"/>
              </w:rPr>
              <w:t>e)</w:t>
            </w:r>
          </w:p>
        </w:tc>
      </w:tr>
      <w:tr w:rsidR="003A3559" w:rsidRPr="004806FB" w14:paraId="249AB3E5" w14:textId="77777777" w:rsidTr="003A3559">
        <w:trPr>
          <w:trHeight w:val="330"/>
        </w:trPr>
        <w:tc>
          <w:tcPr>
            <w:tcW w:w="736" w:type="pct"/>
            <w:shd w:val="clear" w:color="auto" w:fill="auto"/>
            <w:noWrap/>
            <w:vAlign w:val="center"/>
          </w:tcPr>
          <w:p w14:paraId="44879EDE" w14:textId="77777777" w:rsidR="003A3559" w:rsidRPr="004806FB" w:rsidRDefault="003A3559" w:rsidP="003A3559">
            <w:pPr>
              <w:spacing w:after="0" w:line="240" w:lineRule="auto"/>
              <w:jc w:val="left"/>
              <w:rPr>
                <w:rFonts w:ascii="Calibri" w:eastAsia="Times New Roman" w:hAnsi="Calibri" w:cs="Calibri"/>
                <w:lang w:eastAsia="sl-SI"/>
              </w:rPr>
            </w:pPr>
            <w:r w:rsidRPr="004806FB">
              <w:rPr>
                <w:rFonts w:ascii="Calibri" w:eastAsia="Times New Roman" w:hAnsi="Calibri" w:cs="Calibri"/>
                <w:lang w:eastAsia="sl-SI"/>
              </w:rPr>
              <w:t>PPU</w:t>
            </w:r>
            <w:r>
              <w:rPr>
                <w:rFonts w:ascii="Calibri" w:eastAsia="Times New Roman" w:hAnsi="Calibri" w:cs="Calibri"/>
                <w:lang w:eastAsia="sl-SI"/>
              </w:rPr>
              <w:t>8</w:t>
            </w:r>
          </w:p>
        </w:tc>
        <w:tc>
          <w:tcPr>
            <w:tcW w:w="4264" w:type="pct"/>
            <w:shd w:val="clear" w:color="auto" w:fill="auto"/>
            <w:noWrap/>
            <w:vAlign w:val="center"/>
          </w:tcPr>
          <w:p w14:paraId="21E68C22" w14:textId="77777777" w:rsidR="003A3559" w:rsidRPr="004806FB" w:rsidRDefault="003A3559" w:rsidP="003A3559">
            <w:pPr>
              <w:spacing w:after="0" w:line="240" w:lineRule="auto"/>
              <w:jc w:val="left"/>
              <w:rPr>
                <w:rFonts w:eastAsia="Times New Roman" w:cs="Calibri"/>
                <w:lang w:eastAsia="sl-SI"/>
              </w:rPr>
            </w:pPr>
            <w:r w:rsidRPr="004806FB">
              <w:rPr>
                <w:rFonts w:eastAsia="Times New Roman" w:cs="Calibri"/>
                <w:lang w:eastAsia="sl-SI"/>
              </w:rPr>
              <w:t>lokalna oskrba s hrano</w:t>
            </w:r>
            <w:r>
              <w:rPr>
                <w:rFonts w:eastAsia="Times New Roman" w:cs="Calibri"/>
                <w:lang w:eastAsia="sl-SI"/>
              </w:rPr>
              <w:t xml:space="preserve"> in večja organiziranost odkupa pridelkov in izdelkov s kmetij</w:t>
            </w:r>
          </w:p>
        </w:tc>
      </w:tr>
      <w:tr w:rsidR="003A3559" w:rsidRPr="004806FB" w14:paraId="370A9363" w14:textId="77777777" w:rsidTr="003A3559">
        <w:trPr>
          <w:trHeight w:val="330"/>
        </w:trPr>
        <w:tc>
          <w:tcPr>
            <w:tcW w:w="736" w:type="pct"/>
            <w:shd w:val="clear" w:color="auto" w:fill="auto"/>
            <w:noWrap/>
            <w:vAlign w:val="center"/>
          </w:tcPr>
          <w:p w14:paraId="5DF40CDD" w14:textId="77777777" w:rsidR="003A3559" w:rsidRPr="004806FB" w:rsidRDefault="003A3559" w:rsidP="003A3559">
            <w:pPr>
              <w:spacing w:after="0" w:line="240" w:lineRule="auto"/>
              <w:jc w:val="left"/>
              <w:rPr>
                <w:rFonts w:ascii="Calibri" w:eastAsia="Times New Roman" w:hAnsi="Calibri" w:cs="Calibri"/>
                <w:lang w:eastAsia="sl-SI"/>
              </w:rPr>
            </w:pPr>
            <w:r w:rsidRPr="004806FB">
              <w:rPr>
                <w:rFonts w:ascii="Calibri" w:eastAsia="Times New Roman" w:hAnsi="Calibri" w:cs="Calibri"/>
                <w:lang w:eastAsia="sl-SI"/>
              </w:rPr>
              <w:t>PPU</w:t>
            </w:r>
            <w:r>
              <w:rPr>
                <w:rFonts w:ascii="Calibri" w:eastAsia="Times New Roman" w:hAnsi="Calibri" w:cs="Calibri"/>
                <w:lang w:eastAsia="sl-SI"/>
              </w:rPr>
              <w:t>9</w:t>
            </w:r>
          </w:p>
        </w:tc>
        <w:tc>
          <w:tcPr>
            <w:tcW w:w="4264" w:type="pct"/>
            <w:shd w:val="clear" w:color="auto" w:fill="auto"/>
            <w:noWrap/>
            <w:vAlign w:val="center"/>
          </w:tcPr>
          <w:p w14:paraId="769E6EB9" w14:textId="77777777" w:rsidR="003A3559" w:rsidRPr="004806FB" w:rsidRDefault="003A3559" w:rsidP="003A3559">
            <w:pPr>
              <w:spacing w:after="0" w:line="240" w:lineRule="auto"/>
              <w:jc w:val="left"/>
              <w:rPr>
                <w:rFonts w:eastAsia="Times New Roman" w:cs="Calibri"/>
                <w:lang w:eastAsia="sl-SI"/>
              </w:rPr>
            </w:pPr>
            <w:r w:rsidRPr="006804DE">
              <w:rPr>
                <w:rFonts w:eastAsia="Times New Roman" w:cs="Calibri"/>
                <w:lang w:eastAsia="sl-SI"/>
              </w:rPr>
              <w:t>načrtovanje spremembe sortimenta glede na predvidene toplotne razmere in dolžino rastne dobe</w:t>
            </w:r>
            <w:r>
              <w:rPr>
                <w:rFonts w:eastAsia="Times New Roman" w:cs="Calibri"/>
                <w:lang w:eastAsia="sl-SI"/>
              </w:rPr>
              <w:t xml:space="preserve"> ter uporaba odpornejših sort</w:t>
            </w:r>
          </w:p>
        </w:tc>
      </w:tr>
      <w:tr w:rsidR="003A3559" w:rsidRPr="004806FB" w14:paraId="5EC0EEB5" w14:textId="77777777" w:rsidTr="003A3559">
        <w:trPr>
          <w:trHeight w:val="330"/>
        </w:trPr>
        <w:tc>
          <w:tcPr>
            <w:tcW w:w="736" w:type="pct"/>
            <w:shd w:val="clear" w:color="auto" w:fill="auto"/>
            <w:noWrap/>
            <w:vAlign w:val="center"/>
          </w:tcPr>
          <w:p w14:paraId="2BC51143" w14:textId="77777777" w:rsidR="003A3559" w:rsidRPr="004806FB" w:rsidRDefault="003A3559" w:rsidP="003A3559">
            <w:pPr>
              <w:spacing w:after="0" w:line="240" w:lineRule="auto"/>
              <w:jc w:val="left"/>
              <w:rPr>
                <w:rFonts w:ascii="Calibri" w:eastAsia="Times New Roman" w:hAnsi="Calibri" w:cs="Calibri"/>
                <w:lang w:eastAsia="sl-SI"/>
              </w:rPr>
            </w:pPr>
            <w:r w:rsidRPr="004806FB">
              <w:rPr>
                <w:rFonts w:ascii="Calibri" w:eastAsia="Times New Roman" w:hAnsi="Calibri" w:cs="Calibri"/>
                <w:lang w:eastAsia="sl-SI"/>
              </w:rPr>
              <w:t>PPU1</w:t>
            </w:r>
            <w:r>
              <w:rPr>
                <w:rFonts w:ascii="Calibri" w:eastAsia="Times New Roman" w:hAnsi="Calibri" w:cs="Calibri"/>
                <w:lang w:eastAsia="sl-SI"/>
              </w:rPr>
              <w:t>0</w:t>
            </w:r>
          </w:p>
        </w:tc>
        <w:tc>
          <w:tcPr>
            <w:tcW w:w="4264" w:type="pct"/>
            <w:shd w:val="clear" w:color="auto" w:fill="auto"/>
            <w:noWrap/>
            <w:vAlign w:val="center"/>
          </w:tcPr>
          <w:p w14:paraId="4233F814" w14:textId="77777777" w:rsidR="003A3559" w:rsidRPr="004806FB" w:rsidRDefault="003A3559" w:rsidP="003A3559">
            <w:pPr>
              <w:spacing w:after="0" w:line="240" w:lineRule="auto"/>
              <w:jc w:val="left"/>
              <w:rPr>
                <w:rFonts w:eastAsia="Times New Roman" w:cs="Calibri"/>
                <w:lang w:eastAsia="sl-SI"/>
              </w:rPr>
            </w:pPr>
            <w:r w:rsidRPr="006804DE">
              <w:rPr>
                <w:rFonts w:eastAsia="Times New Roman" w:cs="Calibri"/>
                <w:lang w:eastAsia="sl-SI"/>
              </w:rPr>
              <w:t>izdelava kart ogroženosti zaradi posameznih vremenskih ekstremov in upoštevanje le-teh pri urbanističnem načrtovanju</w:t>
            </w:r>
            <w:r>
              <w:rPr>
                <w:rFonts w:eastAsia="Times New Roman" w:cs="Calibri"/>
                <w:lang w:eastAsia="sl-SI"/>
              </w:rPr>
              <w:t>,</w:t>
            </w:r>
            <w:r w:rsidRPr="006804DE">
              <w:rPr>
                <w:rFonts w:eastAsia="Times New Roman" w:cs="Calibri"/>
                <w:lang w:eastAsia="sl-SI"/>
              </w:rPr>
              <w:t xml:space="preserve"> učinkovit sistem opozarjanja pred nevarnimi vremenskimi dogodki</w:t>
            </w:r>
          </w:p>
        </w:tc>
      </w:tr>
      <w:tr w:rsidR="003A3559" w:rsidRPr="004806FB" w14:paraId="000602A5" w14:textId="77777777" w:rsidTr="003A3559">
        <w:trPr>
          <w:trHeight w:val="330"/>
        </w:trPr>
        <w:tc>
          <w:tcPr>
            <w:tcW w:w="736" w:type="pct"/>
            <w:shd w:val="clear" w:color="auto" w:fill="auto"/>
            <w:noWrap/>
            <w:vAlign w:val="center"/>
          </w:tcPr>
          <w:p w14:paraId="2A926E9F" w14:textId="77777777" w:rsidR="003A3559" w:rsidRPr="004806FB" w:rsidRDefault="003A3559" w:rsidP="003A3559">
            <w:pPr>
              <w:spacing w:after="0" w:line="240" w:lineRule="auto"/>
              <w:jc w:val="left"/>
              <w:rPr>
                <w:rFonts w:ascii="Calibri" w:eastAsia="Times New Roman" w:hAnsi="Calibri" w:cs="Calibri"/>
                <w:lang w:eastAsia="sl-SI"/>
              </w:rPr>
            </w:pPr>
            <w:r>
              <w:rPr>
                <w:rFonts w:ascii="Calibri" w:eastAsia="Times New Roman" w:hAnsi="Calibri" w:cs="Calibri"/>
                <w:lang w:eastAsia="sl-SI"/>
              </w:rPr>
              <w:t>PPU11</w:t>
            </w:r>
          </w:p>
        </w:tc>
        <w:tc>
          <w:tcPr>
            <w:tcW w:w="4264" w:type="pct"/>
            <w:shd w:val="clear" w:color="auto" w:fill="auto"/>
            <w:noWrap/>
            <w:vAlign w:val="center"/>
          </w:tcPr>
          <w:p w14:paraId="4EAA8D92" w14:textId="77777777" w:rsidR="003A3559" w:rsidRPr="006804DE" w:rsidRDefault="003A3559" w:rsidP="003A3559">
            <w:pPr>
              <w:spacing w:after="0" w:line="240" w:lineRule="auto"/>
              <w:jc w:val="left"/>
              <w:rPr>
                <w:rFonts w:eastAsia="Times New Roman" w:cs="Calibri"/>
                <w:lang w:eastAsia="sl-SI"/>
              </w:rPr>
            </w:pPr>
            <w:r w:rsidRPr="006804DE">
              <w:rPr>
                <w:rFonts w:eastAsia="Times New Roman" w:cs="Calibri"/>
                <w:lang w:eastAsia="sl-SI"/>
              </w:rPr>
              <w:t>z ustrezno kmetijsko politiko spodbujati povečevanje obsega kmetijskih površin</w:t>
            </w:r>
          </w:p>
        </w:tc>
      </w:tr>
      <w:tr w:rsidR="003A3559" w:rsidRPr="004806FB" w14:paraId="14FF8C99" w14:textId="77777777" w:rsidTr="003A3559">
        <w:trPr>
          <w:trHeight w:val="330"/>
        </w:trPr>
        <w:tc>
          <w:tcPr>
            <w:tcW w:w="736" w:type="pct"/>
            <w:shd w:val="clear" w:color="auto" w:fill="auto"/>
            <w:noWrap/>
            <w:vAlign w:val="center"/>
          </w:tcPr>
          <w:p w14:paraId="01A016F0" w14:textId="77777777" w:rsidR="003A3559" w:rsidRDefault="003A3559" w:rsidP="003A3559">
            <w:pPr>
              <w:spacing w:after="0" w:line="240" w:lineRule="auto"/>
              <w:jc w:val="left"/>
              <w:rPr>
                <w:rFonts w:ascii="Calibri" w:eastAsia="Times New Roman" w:hAnsi="Calibri" w:cs="Calibri"/>
                <w:lang w:eastAsia="sl-SI"/>
              </w:rPr>
            </w:pPr>
            <w:r w:rsidRPr="004806FB">
              <w:rPr>
                <w:rFonts w:ascii="Calibri" w:eastAsia="Times New Roman" w:hAnsi="Calibri" w:cs="Calibri"/>
                <w:lang w:eastAsia="sl-SI"/>
              </w:rPr>
              <w:t>PPU1</w:t>
            </w:r>
            <w:r>
              <w:rPr>
                <w:rFonts w:ascii="Calibri" w:eastAsia="Times New Roman" w:hAnsi="Calibri" w:cs="Calibri"/>
                <w:lang w:eastAsia="sl-SI"/>
              </w:rPr>
              <w:t>2</w:t>
            </w:r>
          </w:p>
        </w:tc>
        <w:tc>
          <w:tcPr>
            <w:tcW w:w="4264" w:type="pct"/>
            <w:shd w:val="clear" w:color="auto" w:fill="auto"/>
            <w:noWrap/>
            <w:vAlign w:val="center"/>
          </w:tcPr>
          <w:p w14:paraId="759CA1FE" w14:textId="77777777" w:rsidR="003A3559" w:rsidRPr="004806FB" w:rsidRDefault="003A3559" w:rsidP="003A3559">
            <w:pPr>
              <w:spacing w:after="0" w:line="240" w:lineRule="auto"/>
              <w:jc w:val="left"/>
              <w:rPr>
                <w:rFonts w:eastAsia="Times New Roman" w:cs="Calibri"/>
                <w:lang w:eastAsia="sl-SI"/>
              </w:rPr>
            </w:pPr>
            <w:r w:rsidRPr="006804DE">
              <w:rPr>
                <w:rFonts w:eastAsia="Times New Roman" w:cs="Calibri"/>
                <w:lang w:eastAsia="sl-SI"/>
              </w:rPr>
              <w:t>z ustrezno kmetijsko politiko izboljševati starostno strukturo kmetijskih gospodarstev</w:t>
            </w:r>
            <w:r>
              <w:rPr>
                <w:rFonts w:eastAsia="Times New Roman" w:cs="Calibri"/>
                <w:lang w:eastAsia="sl-SI"/>
              </w:rPr>
              <w:t xml:space="preserve"> (podpirati mlade prevzemnike + omogočiti zaposlovanje)</w:t>
            </w:r>
          </w:p>
        </w:tc>
      </w:tr>
      <w:tr w:rsidR="003A3559" w:rsidRPr="004806FB" w14:paraId="1D1F26C0" w14:textId="77777777" w:rsidTr="003A3559">
        <w:trPr>
          <w:trHeight w:val="330"/>
        </w:trPr>
        <w:tc>
          <w:tcPr>
            <w:tcW w:w="736" w:type="pct"/>
            <w:shd w:val="clear" w:color="auto" w:fill="auto"/>
            <w:noWrap/>
            <w:vAlign w:val="center"/>
          </w:tcPr>
          <w:p w14:paraId="2AC1811B" w14:textId="77777777" w:rsidR="003A3559" w:rsidRPr="004806FB" w:rsidRDefault="003A3559" w:rsidP="003A3559">
            <w:pPr>
              <w:spacing w:after="0" w:line="240" w:lineRule="auto"/>
              <w:jc w:val="left"/>
              <w:rPr>
                <w:rFonts w:ascii="Calibri" w:eastAsia="Times New Roman" w:hAnsi="Calibri" w:cs="Calibri"/>
                <w:lang w:eastAsia="sl-SI"/>
              </w:rPr>
            </w:pPr>
            <w:r w:rsidRPr="004806FB">
              <w:rPr>
                <w:rFonts w:ascii="Calibri" w:eastAsia="Times New Roman" w:hAnsi="Calibri" w:cs="Calibri"/>
                <w:lang w:eastAsia="sl-SI"/>
              </w:rPr>
              <w:t>PPU1</w:t>
            </w:r>
            <w:r>
              <w:rPr>
                <w:rFonts w:ascii="Calibri" w:eastAsia="Times New Roman" w:hAnsi="Calibri" w:cs="Calibri"/>
                <w:lang w:eastAsia="sl-SI"/>
              </w:rPr>
              <w:t>3</w:t>
            </w:r>
          </w:p>
        </w:tc>
        <w:tc>
          <w:tcPr>
            <w:tcW w:w="4264" w:type="pct"/>
            <w:shd w:val="clear" w:color="auto" w:fill="auto"/>
            <w:noWrap/>
            <w:vAlign w:val="center"/>
          </w:tcPr>
          <w:p w14:paraId="5C82B323" w14:textId="77777777" w:rsidR="003A3559" w:rsidRPr="004806FB" w:rsidRDefault="003A3559" w:rsidP="003A3559">
            <w:pPr>
              <w:spacing w:after="0" w:line="240" w:lineRule="auto"/>
              <w:jc w:val="left"/>
              <w:rPr>
                <w:rFonts w:eastAsia="Times New Roman" w:cs="Calibri"/>
                <w:lang w:eastAsia="sl-SI"/>
              </w:rPr>
            </w:pPr>
            <w:r w:rsidRPr="006804DE">
              <w:rPr>
                <w:rFonts w:eastAsia="Times New Roman" w:cs="Calibri"/>
                <w:lang w:eastAsia="sl-SI"/>
              </w:rPr>
              <w:t>povečati delež kmetijskih gospodarstev z dopolnilnimi dejavnostmi</w:t>
            </w:r>
          </w:p>
        </w:tc>
      </w:tr>
      <w:tr w:rsidR="003A3559" w:rsidRPr="004806FB" w14:paraId="1F17DCD7" w14:textId="77777777" w:rsidTr="003A3559">
        <w:trPr>
          <w:trHeight w:val="330"/>
        </w:trPr>
        <w:tc>
          <w:tcPr>
            <w:tcW w:w="736" w:type="pct"/>
            <w:shd w:val="clear" w:color="auto" w:fill="auto"/>
            <w:noWrap/>
            <w:vAlign w:val="center"/>
            <w:hideMark/>
          </w:tcPr>
          <w:p w14:paraId="4F1E4FD8" w14:textId="77777777" w:rsidR="003A3559" w:rsidRPr="004806FB" w:rsidRDefault="003A3559" w:rsidP="003A3559">
            <w:pPr>
              <w:spacing w:after="0" w:line="240" w:lineRule="auto"/>
              <w:jc w:val="left"/>
              <w:rPr>
                <w:rFonts w:ascii="Calibri" w:eastAsia="Times New Roman" w:hAnsi="Calibri" w:cs="Calibri"/>
                <w:lang w:eastAsia="sl-SI"/>
              </w:rPr>
            </w:pPr>
            <w:r>
              <w:rPr>
                <w:rFonts w:ascii="Calibri" w:eastAsia="Times New Roman" w:hAnsi="Calibri" w:cs="Calibri"/>
                <w:lang w:eastAsia="sl-SI"/>
              </w:rPr>
              <w:t>PPU14</w:t>
            </w:r>
          </w:p>
        </w:tc>
        <w:tc>
          <w:tcPr>
            <w:tcW w:w="4264" w:type="pct"/>
            <w:shd w:val="clear" w:color="auto" w:fill="auto"/>
            <w:noWrap/>
            <w:vAlign w:val="center"/>
            <w:hideMark/>
          </w:tcPr>
          <w:p w14:paraId="58E9DEDE" w14:textId="77777777" w:rsidR="003A3559" w:rsidRPr="004806FB" w:rsidRDefault="003A3559" w:rsidP="003A3559">
            <w:pPr>
              <w:spacing w:after="0" w:line="240" w:lineRule="auto"/>
              <w:jc w:val="left"/>
              <w:rPr>
                <w:rFonts w:eastAsia="Times New Roman" w:cs="Calibri"/>
                <w:lang w:eastAsia="sl-SI"/>
              </w:rPr>
            </w:pPr>
            <w:r w:rsidRPr="006804DE">
              <w:rPr>
                <w:rFonts w:eastAsia="Times New Roman" w:cs="Calibri"/>
                <w:lang w:eastAsia="sl-SI"/>
              </w:rPr>
              <w:t>povečati delež povprečnih letnih investicij za varstvo okolja</w:t>
            </w:r>
          </w:p>
        </w:tc>
      </w:tr>
      <w:tr w:rsidR="003A3559" w:rsidRPr="006804DE" w14:paraId="020E8C18" w14:textId="77777777" w:rsidTr="003A3559">
        <w:trPr>
          <w:trHeight w:val="329"/>
        </w:trPr>
        <w:tc>
          <w:tcPr>
            <w:tcW w:w="736" w:type="pct"/>
            <w:shd w:val="clear" w:color="auto" w:fill="auto"/>
            <w:noWrap/>
            <w:vAlign w:val="center"/>
            <w:hideMark/>
          </w:tcPr>
          <w:p w14:paraId="717FF70C" w14:textId="77777777" w:rsidR="003A3559" w:rsidRPr="004806FB" w:rsidRDefault="003A3559" w:rsidP="003A3559">
            <w:pPr>
              <w:spacing w:after="0" w:line="240" w:lineRule="auto"/>
              <w:jc w:val="left"/>
              <w:rPr>
                <w:rFonts w:ascii="Calibri" w:eastAsia="Times New Roman" w:hAnsi="Calibri" w:cs="Calibri"/>
                <w:lang w:eastAsia="sl-SI"/>
              </w:rPr>
            </w:pPr>
            <w:r>
              <w:rPr>
                <w:rFonts w:ascii="Calibri" w:eastAsia="Times New Roman" w:hAnsi="Calibri" w:cs="Calibri"/>
                <w:lang w:eastAsia="sl-SI"/>
              </w:rPr>
              <w:t>PPU15</w:t>
            </w:r>
          </w:p>
        </w:tc>
        <w:tc>
          <w:tcPr>
            <w:tcW w:w="4264" w:type="pct"/>
            <w:shd w:val="clear" w:color="auto" w:fill="auto"/>
            <w:noWrap/>
            <w:vAlign w:val="center"/>
            <w:hideMark/>
          </w:tcPr>
          <w:p w14:paraId="55358A7C" w14:textId="77777777" w:rsidR="003A3559" w:rsidRPr="006804DE" w:rsidRDefault="003A3559" w:rsidP="003A3559">
            <w:pPr>
              <w:spacing w:after="0" w:line="240" w:lineRule="auto"/>
              <w:jc w:val="left"/>
              <w:rPr>
                <w:rFonts w:eastAsia="Times New Roman" w:cs="Calibri"/>
                <w:lang w:eastAsia="sl-SI"/>
              </w:rPr>
            </w:pPr>
            <w:r>
              <w:rPr>
                <w:rFonts w:eastAsia="Times New Roman" w:cs="Calibri"/>
                <w:lang w:eastAsia="sl-SI"/>
              </w:rPr>
              <w:t>spodbujati k</w:t>
            </w:r>
            <w:r w:rsidRPr="006804DE">
              <w:rPr>
                <w:rFonts w:eastAsia="Times New Roman" w:cs="Calibri"/>
                <w:lang w:eastAsia="sl-SI"/>
              </w:rPr>
              <w:t xml:space="preserve"> ekološk</w:t>
            </w:r>
            <w:r>
              <w:rPr>
                <w:rFonts w:eastAsia="Times New Roman" w:cs="Calibri"/>
                <w:lang w:eastAsia="sl-SI"/>
              </w:rPr>
              <w:t>emu</w:t>
            </w:r>
            <w:r w:rsidRPr="006804DE">
              <w:rPr>
                <w:rFonts w:eastAsia="Times New Roman" w:cs="Calibri"/>
                <w:lang w:eastAsia="sl-SI"/>
              </w:rPr>
              <w:t xml:space="preserve"> kmetovanj</w:t>
            </w:r>
            <w:r>
              <w:rPr>
                <w:rFonts w:eastAsia="Times New Roman" w:cs="Calibri"/>
                <w:lang w:eastAsia="sl-SI"/>
              </w:rPr>
              <w:t>u</w:t>
            </w:r>
          </w:p>
        </w:tc>
      </w:tr>
      <w:tr w:rsidR="003A3559" w:rsidRPr="006804DE" w14:paraId="7DAC720D" w14:textId="77777777" w:rsidTr="003A3559">
        <w:trPr>
          <w:trHeight w:val="330"/>
        </w:trPr>
        <w:tc>
          <w:tcPr>
            <w:tcW w:w="736" w:type="pct"/>
            <w:shd w:val="clear" w:color="auto" w:fill="auto"/>
            <w:noWrap/>
            <w:vAlign w:val="center"/>
            <w:hideMark/>
          </w:tcPr>
          <w:p w14:paraId="03212E6B" w14:textId="77777777" w:rsidR="003A3559" w:rsidRPr="004806FB" w:rsidRDefault="003A3559" w:rsidP="003A3559">
            <w:pPr>
              <w:spacing w:after="0" w:line="240" w:lineRule="auto"/>
              <w:jc w:val="left"/>
              <w:rPr>
                <w:rFonts w:ascii="Calibri" w:eastAsia="Times New Roman" w:hAnsi="Calibri" w:cs="Calibri"/>
                <w:lang w:eastAsia="sl-SI"/>
              </w:rPr>
            </w:pPr>
            <w:r>
              <w:rPr>
                <w:rFonts w:ascii="Calibri" w:eastAsia="Times New Roman" w:hAnsi="Calibri" w:cs="Calibri"/>
                <w:lang w:eastAsia="sl-SI"/>
              </w:rPr>
              <w:t>PPU16</w:t>
            </w:r>
          </w:p>
        </w:tc>
        <w:tc>
          <w:tcPr>
            <w:tcW w:w="4264" w:type="pct"/>
            <w:shd w:val="clear" w:color="auto" w:fill="auto"/>
            <w:noWrap/>
            <w:vAlign w:val="center"/>
            <w:hideMark/>
          </w:tcPr>
          <w:p w14:paraId="2AFE6D1B" w14:textId="77777777" w:rsidR="003A3559" w:rsidRPr="006804DE" w:rsidRDefault="003A3559" w:rsidP="003A3559">
            <w:pPr>
              <w:spacing w:after="0" w:line="240" w:lineRule="auto"/>
              <w:jc w:val="left"/>
              <w:rPr>
                <w:rFonts w:eastAsia="Times New Roman" w:cs="Calibri"/>
                <w:lang w:eastAsia="sl-SI"/>
              </w:rPr>
            </w:pPr>
            <w:r w:rsidRPr="006804DE">
              <w:rPr>
                <w:rFonts w:eastAsia="Times New Roman" w:cs="Calibri"/>
                <w:lang w:eastAsia="sl-SI"/>
              </w:rPr>
              <w:t>ustrezen monitoring okolja</w:t>
            </w:r>
            <w:r>
              <w:rPr>
                <w:rFonts w:eastAsia="Times New Roman" w:cs="Calibri"/>
                <w:lang w:eastAsia="sl-SI"/>
              </w:rPr>
              <w:t>,</w:t>
            </w:r>
            <w:r w:rsidRPr="006804DE">
              <w:rPr>
                <w:rFonts w:eastAsia="Times New Roman" w:cs="Calibri"/>
                <w:lang w:eastAsia="sl-SI"/>
              </w:rPr>
              <w:t xml:space="preserve"> sprotne analize stanja okolja in spremljanje sprememb okolja</w:t>
            </w:r>
          </w:p>
        </w:tc>
      </w:tr>
    </w:tbl>
    <w:p w14:paraId="5BA05FB2" w14:textId="77777777" w:rsidR="003A3559" w:rsidRDefault="003A3559" w:rsidP="003A3559"/>
    <w:p w14:paraId="32841CFC" w14:textId="1F56DC55" w:rsidR="003A3559" w:rsidRDefault="003A3559" w:rsidP="003A3559">
      <w:r>
        <w:t>Na podlagi posvetovanja z deležniki je bil določen končni nabor ukrepov, ki je podrobno opredeljen v poglavju</w:t>
      </w:r>
      <w:r w:rsidR="00F06648">
        <w:t xml:space="preserve"> </w:t>
      </w:r>
      <w:r w:rsidR="00F06648">
        <w:fldChar w:fldCharType="begin"/>
      </w:r>
      <w:r w:rsidR="00F06648">
        <w:instrText xml:space="preserve"> REF _Ref75844190 \r \h </w:instrText>
      </w:r>
      <w:r w:rsidR="00F06648">
        <w:fldChar w:fldCharType="separate"/>
      </w:r>
      <w:r w:rsidR="004700D5">
        <w:t>7.1</w:t>
      </w:r>
      <w:r w:rsidR="00F06648">
        <w:fldChar w:fldCharType="end"/>
      </w:r>
      <w:r>
        <w:t xml:space="preserve">. </w:t>
      </w:r>
      <w:r w:rsidRPr="001B4653">
        <w:t>Za vodenje evidence izvajanja posameznih ukrepov iz Programa razvoja podeželja je odgovorna Agencija RS za kmetijske trge in razvoj podeželja.</w:t>
      </w:r>
      <w:r w:rsidRPr="005B66BB">
        <w:t xml:space="preserve"> </w:t>
      </w:r>
      <w:r>
        <w:t>Za spremljanje ukrepov, ki jih preko svojega proračuna izvajajo občine, so odgovorne Občine. Medsektorsko priporočamo, da Občina poskrbi za pripravo kart ogroženosti zaradi vremenskih ekstremov (PPU10) in izobraževanje/ozaveščanje občanov o podnebnih spremembah, ranljivosti in ogroženosti zaradi njih ter možnostih blaženja in prilagajanja (PPU7).</w:t>
      </w:r>
    </w:p>
    <w:p w14:paraId="1158C9EA" w14:textId="77777777" w:rsidR="003A3559" w:rsidRDefault="003A3559" w:rsidP="003A3559">
      <w:r w:rsidRPr="00976C68">
        <w:t xml:space="preserve">Če povzamemo še mnenje Kmetijske svetovalne službe, je potrebno urediti namakalni sistem iz akumulacije </w:t>
      </w:r>
      <w:proofErr w:type="spellStart"/>
      <w:r w:rsidRPr="00976C68">
        <w:t>Vogršček</w:t>
      </w:r>
      <w:proofErr w:type="spellEnd"/>
      <w:r w:rsidRPr="00976C68">
        <w:t>, da bi sistem nemoteno deloval. V sadjarski panogi bi bilo priporočljivo čim</w:t>
      </w:r>
      <w:r>
        <w:t xml:space="preserve"> več intenzivnih nasadov zaščititi s protitočnimi mrežami in jih opremiti z namakalnim sistemom. V vrtnarski panogi pa zagotoviti čim več pokritih površin (rastlinjakov), kar bi omogočilo lažje </w:t>
      </w:r>
      <w:r>
        <w:lastRenderedPageBreak/>
        <w:t>pridelovanje vrtnin, zaščito pred podnebnimi neprilikami ter večje pridelke.</w:t>
      </w:r>
      <w:r w:rsidRPr="00292791">
        <w:t xml:space="preserve"> </w:t>
      </w:r>
      <w:r>
        <w:t>Pri tem se zaradi Zakona o kmetijskih površinah pojavljajo težave z umestitvijo v prostor. Tudi vrtnarska panoga bi se prav gotovo razširila, če bi bilo omogočeno nemoteno namakanje in organiziran odkup pridelkov. Spodbujajo še k sajenju medonosnih rastlin zaradi čebel.</w:t>
      </w:r>
    </w:p>
    <w:p w14:paraId="51683E6A" w14:textId="77777777" w:rsidR="007D2249" w:rsidRPr="00C94305" w:rsidRDefault="007D2249" w:rsidP="005913CE"/>
    <w:p w14:paraId="0FA1325E" w14:textId="03B26B67" w:rsidR="005913CE" w:rsidRDefault="005913CE" w:rsidP="005913CE">
      <w:pPr>
        <w:pStyle w:val="Naslov3"/>
      </w:pPr>
      <w:bookmarkStart w:id="191" w:name="_Toc39744530"/>
      <w:bookmarkStart w:id="192" w:name="_Toc48724562"/>
      <w:bookmarkStart w:id="193" w:name="_Toc97026755"/>
      <w:r>
        <w:t>Ključna sporočila</w:t>
      </w:r>
      <w:bookmarkEnd w:id="191"/>
      <w:bookmarkEnd w:id="192"/>
      <w:r>
        <w:t xml:space="preserve"> </w:t>
      </w:r>
      <w:r w:rsidR="00C174E2">
        <w:t>sektorja kmetijstvo</w:t>
      </w:r>
      <w:bookmarkEnd w:id="193"/>
    </w:p>
    <w:p w14:paraId="360EE330" w14:textId="0EC8F3B0" w:rsidR="003A3559" w:rsidRPr="0022582B" w:rsidRDefault="003A3559" w:rsidP="003A3559">
      <w:r w:rsidRPr="0055057F">
        <w:t xml:space="preserve">V občini je bilo leta 2018 4070 ha kmetijskih površin v uporabi, obseg se rahlo povečuje. Velika večina kmetijskih zemljišč je na območjih z omejenimi možnostmi za kmetijsko dejavnost, kar predstavlja (poleg starosti članov kmetijskih gospodarstev) veliko občutljivost kmetijstva na podnebne spremembe (poglavji </w:t>
      </w:r>
      <w:r>
        <w:fldChar w:fldCharType="begin"/>
      </w:r>
      <w:r>
        <w:instrText xml:space="preserve"> REF _Ref74577379 \r \h </w:instrText>
      </w:r>
      <w:r>
        <w:fldChar w:fldCharType="separate"/>
      </w:r>
      <w:r w:rsidR="004700D5">
        <w:t>6.1.3</w:t>
      </w:r>
      <w:r>
        <w:fldChar w:fldCharType="end"/>
      </w:r>
      <w:r>
        <w:t xml:space="preserve"> </w:t>
      </w:r>
      <w:r w:rsidRPr="0055057F">
        <w:t>in</w:t>
      </w:r>
      <w:r>
        <w:t xml:space="preserve"> </w:t>
      </w:r>
      <w:r>
        <w:fldChar w:fldCharType="begin"/>
      </w:r>
      <w:r>
        <w:instrText xml:space="preserve"> REF _Ref74577392 \r \h </w:instrText>
      </w:r>
      <w:r>
        <w:fldChar w:fldCharType="separate"/>
      </w:r>
      <w:r w:rsidR="004700D5">
        <w:t>6.1.4</w:t>
      </w:r>
      <w:r>
        <w:fldChar w:fldCharType="end"/>
      </w:r>
      <w:r w:rsidRPr="0055057F">
        <w:t>), ostali dejavniki manjšo. Močni sunki vetra in  malo dni s snežno odejo predstavlja</w:t>
      </w:r>
      <w:r>
        <w:t>jo</w:t>
      </w:r>
      <w:r w:rsidRPr="0055057F">
        <w:t xml:space="preserve"> zelo veliko izpostavljenost kmetijstva podnebju. Po scenarijih podnebnih sprememb pričakujemo dodatno veliko do zelo veliko izpostavljenost zaradi višjih poletnih temperatur, ki že sedaj v nižjih legah pomenijo veliko obremenitev. Pri padavinah je bolj kot količina težava razporeditev. Sposobnost prilagajanja podnebnim spremembam (poglavje</w:t>
      </w:r>
      <w:r>
        <w:t xml:space="preserve"> </w:t>
      </w:r>
      <w:r>
        <w:fldChar w:fldCharType="begin"/>
      </w:r>
      <w:r>
        <w:instrText xml:space="preserve"> REF _Ref74577416 \r \h </w:instrText>
      </w:r>
      <w:r>
        <w:fldChar w:fldCharType="separate"/>
      </w:r>
      <w:r w:rsidR="004700D5">
        <w:t>6.1.5</w:t>
      </w:r>
      <w:r>
        <w:fldChar w:fldCharType="end"/>
      </w:r>
      <w:r w:rsidRPr="0055057F">
        <w:t>) je v povprečju majhna, najbolj zaradi regijsko zelo majhnega d</w:t>
      </w:r>
      <w:r w:rsidRPr="0055057F">
        <w:rPr>
          <w:bCs/>
        </w:rPr>
        <w:t xml:space="preserve">eleža povprečnih letnih investicij za varstvo okolja v povprečnem letnem bruto domačem proizvodu, majhnega deleža kmetijskih gospodarstev z </w:t>
      </w:r>
      <w:r w:rsidRPr="0055057F">
        <w:t xml:space="preserve">ekološkim kmetovanjem ali z dopolnilnimi dejavnostmi ter majhnega deleža kmetijskih zemljišč z namakalnimi sistemi. Ranljivost na podnebne spremembe (poglavje </w:t>
      </w:r>
      <w:r>
        <w:fldChar w:fldCharType="begin"/>
      </w:r>
      <w:r>
        <w:instrText xml:space="preserve"> REF _Ref59179945 \r \h </w:instrText>
      </w:r>
      <w:r>
        <w:fldChar w:fldCharType="separate"/>
      </w:r>
      <w:r w:rsidR="004700D5">
        <w:t>6.1.6</w:t>
      </w:r>
      <w:r>
        <w:fldChar w:fldCharType="end"/>
      </w:r>
      <w:r w:rsidR="00F06648">
        <w:t xml:space="preserve">) </w:t>
      </w:r>
      <w:r w:rsidRPr="0055057F">
        <w:t>je v referenčnem in prvem obdobju projekcij (2011—2040) po obeh scenarijih podnebnih sprememb zmerna za kazalnika rastna doba in neurja – poplave. Velika je ranljivost za sušo – zaloge vode in veter. Le pri kazalniku toplotna obremenitev in vročinski stres se prvo obdobje razlikuje od referenčnega – v referenčnem je ocenjena ranljivost zmerna, v prvem obdobju pa velika. Skupna ocena ranljivosti za sektor kmetijstvo je ocenjena na veliko. V drugem obdobju (2041—2070) bo pri kazalniku ranljivosti toplotna obremenitev in vročinski stres po obeh scenarijih potencialni vpliv velik (prej zmeren). Skupna ranljivost sektorja bo še naprej velika in ocenjena na 4, prav tako tudi tveganje. Zavedati se moramo, da so številčne ocene lahko zavajajoče z vidika enake ocene, a da je tudi razpon znotraj ene ocene velik in se zato ranljivost vseeno povečuje.</w:t>
      </w:r>
      <w:r w:rsidRPr="000F4E69">
        <w:t xml:space="preserve"> Med glavnimi prioritetnimi področji ukrepanja so: ureditev namakalnih sistemov in zajetja </w:t>
      </w:r>
      <w:proofErr w:type="spellStart"/>
      <w:r w:rsidRPr="000F4E69">
        <w:t>Vogršček</w:t>
      </w:r>
      <w:proofErr w:type="spellEnd"/>
      <w:r w:rsidRPr="000F4E69">
        <w:t xml:space="preserve"> (skupno urejanje vodnih pravic in prioritet), agrotehnični ukrepi za odpravo zastajanja vode, povečevanje deleža pridelave v pokritih površinah, investicije v protitočne mreže, uvajanje protivetrnih zaščit in zaščit pred divjadjo, izobraževanje, prioritetna lokalna oskrba, spremembe sortimenta, spodbujanje ekološkega kmetovanja, mladih prevzemnikov, dopolnilnih dejavnosti ipd. Na podlagi posvetovanja z deležniki je bil določen končni nabor ukrepov (27) s prioritetami, ki je opredeljen v poglavju </w:t>
      </w:r>
      <w:r w:rsidR="00F06648">
        <w:fldChar w:fldCharType="begin"/>
      </w:r>
      <w:r w:rsidR="00F06648">
        <w:instrText xml:space="preserve"> REF _Ref75844260 \r \h </w:instrText>
      </w:r>
      <w:r w:rsidR="00F06648">
        <w:fldChar w:fldCharType="separate"/>
      </w:r>
      <w:r w:rsidR="004700D5">
        <w:t>7.1</w:t>
      </w:r>
      <w:r w:rsidR="00F06648">
        <w:fldChar w:fldCharType="end"/>
      </w:r>
      <w:r w:rsidRPr="000F4E69">
        <w:t xml:space="preserve">. </w:t>
      </w:r>
    </w:p>
    <w:p w14:paraId="49C9A24F" w14:textId="054B1D58" w:rsidR="00F06648" w:rsidRDefault="00F06648">
      <w:pPr>
        <w:jc w:val="left"/>
      </w:pPr>
      <w:r>
        <w:br w:type="page"/>
      </w:r>
    </w:p>
    <w:p w14:paraId="016CC71B" w14:textId="77777777" w:rsidR="005913CE" w:rsidRDefault="005913CE" w:rsidP="005913CE">
      <w:pPr>
        <w:pStyle w:val="Naslov3"/>
      </w:pPr>
      <w:bookmarkStart w:id="194" w:name="_Toc39744531"/>
      <w:bookmarkStart w:id="195" w:name="_Toc48724563"/>
      <w:bookmarkStart w:id="196" w:name="_Toc97026756"/>
      <w:r>
        <w:lastRenderedPageBreak/>
        <w:t>Viri</w:t>
      </w:r>
      <w:bookmarkEnd w:id="194"/>
      <w:bookmarkEnd w:id="195"/>
      <w:bookmarkEnd w:id="196"/>
    </w:p>
    <w:p w14:paraId="01527004" w14:textId="77777777" w:rsidR="00DF3C6D" w:rsidRDefault="00DF3C6D" w:rsidP="00DF3C6D">
      <w:pPr>
        <w:spacing w:after="0"/>
        <w:ind w:left="567" w:hanging="567"/>
      </w:pPr>
      <w:bookmarkStart w:id="197" w:name="_heading=h.4k668n3" w:colFirst="0" w:colLast="0"/>
      <w:bookmarkEnd w:id="197"/>
      <w:r>
        <w:t>ARSO, 2020. Agencija RS za okolje. Projekcije podnebnih sprememb za izbrane spremenljivke po naročilu.</w:t>
      </w:r>
    </w:p>
    <w:p w14:paraId="52A00386" w14:textId="77777777" w:rsidR="00DF3C6D" w:rsidRPr="005F400D" w:rsidRDefault="00DF3C6D" w:rsidP="00DF3C6D">
      <w:pPr>
        <w:spacing w:after="0"/>
        <w:ind w:left="567" w:hanging="567"/>
      </w:pPr>
      <w:r>
        <w:t xml:space="preserve">GURS, 2020. Boniteta kmetijskih zemljišč: vektorski sloj. Ljubljana, </w:t>
      </w:r>
      <w:r w:rsidRPr="005F400D">
        <w:t>GURS, 2020.</w:t>
      </w:r>
    </w:p>
    <w:p w14:paraId="5FB3FCC0" w14:textId="77777777" w:rsidR="00DF3C6D" w:rsidRPr="00D759B5" w:rsidRDefault="00DF3C6D" w:rsidP="00DF3C6D">
      <w:pPr>
        <w:spacing w:after="0"/>
        <w:ind w:left="567" w:hanging="567"/>
      </w:pPr>
      <w:r w:rsidRPr="00D759B5">
        <w:t xml:space="preserve">KOCIPER D. </w:t>
      </w:r>
      <w:r w:rsidRPr="00D759B5">
        <w:rPr>
          <w:i/>
        </w:rPr>
        <w:t>Kazalniki ranljivosti slovenskega kmetijstva zaradi podnebja.</w:t>
      </w:r>
      <w:r w:rsidRPr="00D759B5">
        <w:t xml:space="preserve"> Doktorska disertacija. Ljubljana: Univerza v Ljubljani, Biotehniška fakulteta, 20</w:t>
      </w:r>
      <w:r>
        <w:t>20</w:t>
      </w:r>
      <w:r w:rsidRPr="00D759B5">
        <w:t>, 232 str. (v postopku zagovora)</w:t>
      </w:r>
    </w:p>
    <w:p w14:paraId="16F44B96" w14:textId="77777777" w:rsidR="00DF3C6D" w:rsidRPr="005F400D" w:rsidRDefault="00DF3C6D" w:rsidP="00DF3C6D">
      <w:pPr>
        <w:spacing w:after="0"/>
        <w:ind w:left="567" w:hanging="567"/>
      </w:pPr>
      <w:r w:rsidRPr="005F400D">
        <w:t>MKGP, 2020a. Dejanska raba kmetijskih in gozdnih zemljišč. Ljubljana, MKGP, 2020.</w:t>
      </w:r>
    </w:p>
    <w:p w14:paraId="35047A4E" w14:textId="77777777" w:rsidR="00DF3C6D" w:rsidRPr="00D759B5" w:rsidRDefault="00DF3C6D" w:rsidP="00DF3C6D">
      <w:pPr>
        <w:spacing w:after="0"/>
        <w:ind w:left="567" w:hanging="567"/>
      </w:pPr>
      <w:r w:rsidRPr="005F400D">
        <w:t>MKGP, 2020b. Grafične enote rabe zemljišča kmetijskega gospodarstva. Ljubljana, MKGP, 2020.</w:t>
      </w:r>
    </w:p>
    <w:p w14:paraId="07D4E0C0" w14:textId="77777777" w:rsidR="00DF3C6D" w:rsidRDefault="00DF3C6D" w:rsidP="00DF3C6D">
      <w:pPr>
        <w:spacing w:after="0"/>
        <w:ind w:left="567" w:hanging="567"/>
      </w:pPr>
      <w:r w:rsidRPr="00D759B5">
        <w:t>MKGP</w:t>
      </w:r>
      <w:r>
        <w:t>, 2020c</w:t>
      </w:r>
      <w:r w:rsidRPr="00D759B5">
        <w:t xml:space="preserve">. </w:t>
      </w:r>
      <w:r w:rsidRPr="00D759B5">
        <w:rPr>
          <w:i/>
        </w:rPr>
        <w:t>Program razvoja podeželja Republike Slovenije za obdobje 2014–2020</w:t>
      </w:r>
      <w:r>
        <w:rPr>
          <w:rFonts w:eastAsia="Calibri"/>
          <w:lang w:eastAsia="sl-SI"/>
        </w:rPr>
        <w:t xml:space="preserve"> -</w:t>
      </w:r>
      <w:r w:rsidRPr="00FA43BD">
        <w:rPr>
          <w:rFonts w:eastAsia="Calibri"/>
          <w:lang w:eastAsia="sl-SI"/>
        </w:rPr>
        <w:t xml:space="preserve"> 8. sprememba (potrjena 23. 7. 2020)</w:t>
      </w:r>
      <w:r>
        <w:rPr>
          <w:rFonts w:eastAsia="Calibri"/>
          <w:lang w:eastAsia="sl-SI"/>
        </w:rPr>
        <w:t>.</w:t>
      </w:r>
      <w:r w:rsidRPr="00C92FEE">
        <w:t xml:space="preserve"> </w:t>
      </w:r>
      <w:r w:rsidRPr="00D759B5">
        <w:t xml:space="preserve">[citirano 13. </w:t>
      </w:r>
      <w:r>
        <w:t>9</w:t>
      </w:r>
      <w:r w:rsidRPr="00D759B5">
        <w:t>. 2020]</w:t>
      </w:r>
      <w:r>
        <w:t xml:space="preserve"> </w:t>
      </w:r>
      <w:r w:rsidRPr="00C92FEE">
        <w:t>Dostopno na svetovnem spletu:</w:t>
      </w:r>
      <w:r w:rsidRPr="00C92FEE">
        <w:rPr>
          <w:rFonts w:eastAsia="Calibri"/>
          <w:lang w:eastAsia="sl-SI"/>
        </w:rPr>
        <w:t xml:space="preserve"> https://www.program-podezelja.si/sl/kaj-je-program-razvoja-podezelja-2014-2020</w:t>
      </w:r>
      <w:r w:rsidRPr="00D759B5">
        <w:t>.</w:t>
      </w:r>
    </w:p>
    <w:p w14:paraId="0CBED422" w14:textId="77777777" w:rsidR="00DF3C6D" w:rsidRPr="006B4A38" w:rsidRDefault="00DF3C6D" w:rsidP="00DF3C6D">
      <w:pPr>
        <w:spacing w:after="0"/>
        <w:ind w:left="567" w:hanging="567"/>
      </w:pPr>
      <w:r>
        <w:t>MKGP, 2020d. Ukrepi Ministrstva za kmetijstvo, gozdarstvo in prehrano za prilagajanje na podnebne spremembe. Številka 354-10/2020/2, 30.4.2020, MKGP, 2020, 6 str.</w:t>
      </w:r>
    </w:p>
    <w:p w14:paraId="0FDCE08A" w14:textId="77777777" w:rsidR="00DF3C6D" w:rsidRPr="006B4A38" w:rsidRDefault="00DF3C6D" w:rsidP="00DF3C6D">
      <w:pPr>
        <w:spacing w:after="0"/>
        <w:ind w:left="567" w:hanging="567"/>
      </w:pPr>
      <w:r>
        <w:t xml:space="preserve">MKGP, 2020e. </w:t>
      </w:r>
      <w:r w:rsidRPr="006B4A38">
        <w:t>Območja z omejenimi m</w:t>
      </w:r>
      <w:r>
        <w:t>ožnostmi za kmetijsko dejavnost. Ljubljana, MKGP, 2020.</w:t>
      </w:r>
    </w:p>
    <w:p w14:paraId="279ECCDA" w14:textId="77777777" w:rsidR="00DF3C6D" w:rsidRPr="006B4A38" w:rsidRDefault="00DF3C6D" w:rsidP="00DF3C6D">
      <w:pPr>
        <w:spacing w:after="0"/>
        <w:ind w:left="567" w:hanging="567"/>
      </w:pPr>
      <w:r w:rsidRPr="006B4A38">
        <w:t>Opozorilna karta poplav: vektorski sloji. Ljubljana, DRSV</w:t>
      </w:r>
      <w:r>
        <w:t xml:space="preserve">, </w:t>
      </w:r>
      <w:r w:rsidRPr="006B4A38">
        <w:t>2020 (osebni vir KOCIPER D.)</w:t>
      </w:r>
    </w:p>
    <w:p w14:paraId="12257BF3" w14:textId="77777777" w:rsidR="00DF3C6D" w:rsidRPr="005F400D" w:rsidRDefault="00DF3C6D" w:rsidP="00DF3C6D">
      <w:pPr>
        <w:spacing w:after="0"/>
        <w:ind w:left="567" w:hanging="567"/>
      </w:pPr>
      <w:r w:rsidRPr="005F400D">
        <w:t xml:space="preserve">PARRY M. L., CANZIANI O. F., PALUTIKOF J. P., VAN DER LINDEN P. J.,HANSON C.E. </w:t>
      </w:r>
      <w:proofErr w:type="spellStart"/>
      <w:r w:rsidRPr="005F400D">
        <w:rPr>
          <w:i/>
        </w:rPr>
        <w:t>Climate</w:t>
      </w:r>
      <w:proofErr w:type="spellEnd"/>
      <w:r w:rsidRPr="005F400D">
        <w:rPr>
          <w:i/>
        </w:rPr>
        <w:t xml:space="preserve"> </w:t>
      </w:r>
      <w:proofErr w:type="spellStart"/>
      <w:r w:rsidRPr="005F400D">
        <w:rPr>
          <w:i/>
        </w:rPr>
        <w:t>Change</w:t>
      </w:r>
      <w:proofErr w:type="spellEnd"/>
      <w:r w:rsidRPr="005F400D">
        <w:rPr>
          <w:i/>
        </w:rPr>
        <w:t xml:space="preserve"> 2007: </w:t>
      </w:r>
      <w:proofErr w:type="spellStart"/>
      <w:r w:rsidRPr="005F400D">
        <w:rPr>
          <w:i/>
        </w:rPr>
        <w:t>Impacts</w:t>
      </w:r>
      <w:proofErr w:type="spellEnd"/>
      <w:r w:rsidRPr="005F400D">
        <w:rPr>
          <w:i/>
        </w:rPr>
        <w:t xml:space="preserve">, </w:t>
      </w:r>
      <w:proofErr w:type="spellStart"/>
      <w:r w:rsidRPr="005F400D">
        <w:rPr>
          <w:i/>
        </w:rPr>
        <w:t>Adaptation</w:t>
      </w:r>
      <w:proofErr w:type="spellEnd"/>
      <w:r w:rsidRPr="005F400D">
        <w:rPr>
          <w:i/>
        </w:rPr>
        <w:t xml:space="preserve"> </w:t>
      </w:r>
      <w:proofErr w:type="spellStart"/>
      <w:r w:rsidRPr="005F400D">
        <w:rPr>
          <w:i/>
        </w:rPr>
        <w:t>and</w:t>
      </w:r>
      <w:proofErr w:type="spellEnd"/>
      <w:r w:rsidRPr="005F400D">
        <w:rPr>
          <w:i/>
        </w:rPr>
        <w:t xml:space="preserve"> </w:t>
      </w:r>
      <w:proofErr w:type="spellStart"/>
      <w:r w:rsidRPr="005F400D">
        <w:rPr>
          <w:i/>
        </w:rPr>
        <w:t>Vulnerability</w:t>
      </w:r>
      <w:proofErr w:type="spellEnd"/>
      <w:r w:rsidRPr="005F400D">
        <w:rPr>
          <w:i/>
        </w:rPr>
        <w:t xml:space="preserve">: </w:t>
      </w:r>
      <w:proofErr w:type="spellStart"/>
      <w:r w:rsidRPr="005F400D">
        <w:rPr>
          <w:i/>
        </w:rPr>
        <w:t>Contribution</w:t>
      </w:r>
      <w:proofErr w:type="spellEnd"/>
      <w:r w:rsidRPr="005F400D">
        <w:rPr>
          <w:i/>
        </w:rPr>
        <w:t xml:space="preserve"> of </w:t>
      </w:r>
      <w:proofErr w:type="spellStart"/>
      <w:r w:rsidRPr="005F400D">
        <w:rPr>
          <w:i/>
        </w:rPr>
        <w:t>Working</w:t>
      </w:r>
      <w:proofErr w:type="spellEnd"/>
      <w:r w:rsidRPr="005F400D">
        <w:rPr>
          <w:i/>
        </w:rPr>
        <w:t xml:space="preserve"> </w:t>
      </w:r>
      <w:proofErr w:type="spellStart"/>
      <w:r w:rsidRPr="005F400D">
        <w:rPr>
          <w:i/>
        </w:rPr>
        <w:t>Group</w:t>
      </w:r>
      <w:proofErr w:type="spellEnd"/>
      <w:r w:rsidRPr="005F400D">
        <w:rPr>
          <w:i/>
        </w:rPr>
        <w:t xml:space="preserve"> II to </w:t>
      </w:r>
      <w:proofErr w:type="spellStart"/>
      <w:r w:rsidRPr="005F400D">
        <w:rPr>
          <w:i/>
        </w:rPr>
        <w:t>the</w:t>
      </w:r>
      <w:proofErr w:type="spellEnd"/>
      <w:r w:rsidRPr="005F400D">
        <w:rPr>
          <w:i/>
        </w:rPr>
        <w:t xml:space="preserve"> </w:t>
      </w:r>
      <w:proofErr w:type="spellStart"/>
      <w:r w:rsidRPr="005F400D">
        <w:rPr>
          <w:i/>
        </w:rPr>
        <w:t>Fourth</w:t>
      </w:r>
      <w:proofErr w:type="spellEnd"/>
      <w:r w:rsidRPr="005F400D">
        <w:rPr>
          <w:i/>
        </w:rPr>
        <w:t xml:space="preserve"> </w:t>
      </w:r>
      <w:proofErr w:type="spellStart"/>
      <w:r w:rsidRPr="005F400D">
        <w:rPr>
          <w:i/>
        </w:rPr>
        <w:t>Assessment</w:t>
      </w:r>
      <w:proofErr w:type="spellEnd"/>
      <w:r w:rsidRPr="005F400D">
        <w:rPr>
          <w:i/>
        </w:rPr>
        <w:t xml:space="preserve"> </w:t>
      </w:r>
      <w:proofErr w:type="spellStart"/>
      <w:r w:rsidRPr="005F400D">
        <w:rPr>
          <w:i/>
        </w:rPr>
        <w:t>Report</w:t>
      </w:r>
      <w:proofErr w:type="spellEnd"/>
      <w:r w:rsidRPr="005F400D">
        <w:rPr>
          <w:i/>
        </w:rPr>
        <w:t xml:space="preserve"> of </w:t>
      </w:r>
      <w:proofErr w:type="spellStart"/>
      <w:r w:rsidRPr="005F400D">
        <w:rPr>
          <w:i/>
        </w:rPr>
        <w:t>the</w:t>
      </w:r>
      <w:proofErr w:type="spellEnd"/>
      <w:r w:rsidRPr="005F400D">
        <w:rPr>
          <w:i/>
        </w:rPr>
        <w:t xml:space="preserve"> </w:t>
      </w:r>
      <w:proofErr w:type="spellStart"/>
      <w:r w:rsidRPr="005F400D">
        <w:rPr>
          <w:i/>
        </w:rPr>
        <w:t>Intergovernmental</w:t>
      </w:r>
      <w:proofErr w:type="spellEnd"/>
      <w:r w:rsidRPr="005F400D">
        <w:rPr>
          <w:i/>
        </w:rPr>
        <w:t xml:space="preserve"> Panel on </w:t>
      </w:r>
      <w:proofErr w:type="spellStart"/>
      <w:r w:rsidRPr="005F400D">
        <w:rPr>
          <w:i/>
        </w:rPr>
        <w:t>Climate</w:t>
      </w:r>
      <w:proofErr w:type="spellEnd"/>
      <w:r w:rsidRPr="005F400D">
        <w:rPr>
          <w:i/>
        </w:rPr>
        <w:t xml:space="preserve"> </w:t>
      </w:r>
      <w:proofErr w:type="spellStart"/>
      <w:r w:rsidRPr="005F400D">
        <w:rPr>
          <w:i/>
        </w:rPr>
        <w:t>Change</w:t>
      </w:r>
      <w:proofErr w:type="spellEnd"/>
      <w:r w:rsidRPr="005F400D">
        <w:t xml:space="preserve">. Cambridge: Cambridge </w:t>
      </w:r>
      <w:proofErr w:type="spellStart"/>
      <w:r w:rsidRPr="005F400D">
        <w:t>University</w:t>
      </w:r>
      <w:proofErr w:type="spellEnd"/>
      <w:r w:rsidRPr="005F400D">
        <w:t xml:space="preserve"> </w:t>
      </w:r>
      <w:proofErr w:type="spellStart"/>
      <w:r w:rsidRPr="005F400D">
        <w:t>Press</w:t>
      </w:r>
      <w:proofErr w:type="spellEnd"/>
      <w:r w:rsidRPr="005F400D">
        <w:t>, 2007, 976 str.</w:t>
      </w:r>
    </w:p>
    <w:p w14:paraId="4310C7F5" w14:textId="77777777" w:rsidR="00DF3C6D" w:rsidRDefault="00DF3C6D" w:rsidP="00DF3C6D">
      <w:pPr>
        <w:spacing w:after="0"/>
        <w:ind w:left="567" w:hanging="567"/>
      </w:pPr>
      <w:r w:rsidRPr="005F400D">
        <w:t>PINTAR M., GLAVAN M., TRATNIK M., CVEJIĆ R., ZUPANC V., KORPAR P., ZUPAN M., PRUS T.,</w:t>
      </w:r>
      <w:r w:rsidRPr="006B4A38">
        <w:t xml:space="preserve"> MIHELIČ R</w:t>
      </w:r>
      <w:r>
        <w:t>.</w:t>
      </w:r>
      <w:r w:rsidRPr="006B4A38">
        <w:t>, GRČMAN H</w:t>
      </w:r>
      <w:r>
        <w:t>.</w:t>
      </w:r>
      <w:r w:rsidRPr="006B4A38">
        <w:t>, SUHADOLC M</w:t>
      </w:r>
      <w:r>
        <w:t>.</w:t>
      </w:r>
      <w:r w:rsidRPr="006B4A38">
        <w:t>, TIČ I</w:t>
      </w:r>
      <w:r>
        <w:t>.</w:t>
      </w:r>
      <w:r w:rsidRPr="006B4A38">
        <w:t>, KRALJ T</w:t>
      </w:r>
      <w:r>
        <w:t>.</w:t>
      </w:r>
      <w:r w:rsidRPr="006B4A38">
        <w:t>, FAZARINC R</w:t>
      </w:r>
      <w:r>
        <w:t>.</w:t>
      </w:r>
      <w:r w:rsidRPr="006B4A38">
        <w:t>, MELJO J</w:t>
      </w:r>
      <w:r>
        <w:t>.</w:t>
      </w:r>
      <w:r w:rsidRPr="006B4A38">
        <w:t>, KREGAR M</w:t>
      </w:r>
      <w:r>
        <w:t>.</w:t>
      </w:r>
      <w:r w:rsidRPr="006B4A38">
        <w:t>, KRAJČIČ J</w:t>
      </w:r>
      <w:r>
        <w:t>.</w:t>
      </w:r>
      <w:r w:rsidRPr="006B4A38">
        <w:t>, BIZJAK A</w:t>
      </w:r>
      <w:r>
        <w:t>.</w:t>
      </w:r>
      <w:r w:rsidRPr="006B4A38">
        <w:t>, ZAKRAJŠEK J</w:t>
      </w:r>
      <w:r>
        <w:t>.</w:t>
      </w:r>
      <w:r w:rsidRPr="006B4A38">
        <w:t xml:space="preserve"> </w:t>
      </w:r>
      <w:r w:rsidRPr="004C4D7F">
        <w:rPr>
          <w:i/>
          <w:iCs/>
        </w:rPr>
        <w:t>Projekcija vodnih količin za namakanje v Sloveniji, Ciljni raziskovalni program "Konkurenčnost Slovenije 2006-2013" v letu 2010, končno poročilo</w:t>
      </w:r>
      <w:r w:rsidRPr="004C4D7F">
        <w:t>. Ljublja</w:t>
      </w:r>
      <w:r>
        <w:t>na: Biotehniška fakulteta, 2012,</w:t>
      </w:r>
      <w:r w:rsidRPr="004C4D7F">
        <w:t xml:space="preserve"> 179 str</w:t>
      </w:r>
      <w:r>
        <w:t>.</w:t>
      </w:r>
    </w:p>
    <w:p w14:paraId="75D3E20F" w14:textId="77777777" w:rsidR="00DF3C6D" w:rsidRPr="006B4A38" w:rsidRDefault="00DF3C6D" w:rsidP="00DF3C6D">
      <w:pPr>
        <w:spacing w:after="0"/>
        <w:ind w:left="567" w:hanging="567"/>
      </w:pPr>
      <w:r w:rsidRPr="006B4A38">
        <w:t>Predlog uredbe evropskega parlamenta in sveta o določitvi pravil o podpori za strateške načrte, ki jih pripravijo države članice v okviru skupne kmetijske politike (strateški načrti SKP) in se financirajo iz Evropskega kmetijskega jamstvenega sklada (EKJS) in Evropskega kmetijskega sklada za razvoj podeželja (EKSRP) ter o razveljavitvi Uredbe (EU) št. 1305/2013 Evropskega parlamenta in Sveta in Uredbe (EU) št. 1307/2013 Evropskega parlamenta in Sveta</w:t>
      </w:r>
    </w:p>
    <w:p w14:paraId="5C945468" w14:textId="77777777" w:rsidR="00DF3C6D" w:rsidRPr="006B4A38" w:rsidRDefault="00DF3C6D" w:rsidP="00DF3C6D">
      <w:pPr>
        <w:spacing w:after="0"/>
        <w:ind w:left="567" w:hanging="567"/>
      </w:pPr>
      <w:r w:rsidRPr="00C92FEE">
        <w:t>SKP</w:t>
      </w:r>
      <w:r>
        <w:t>, 2020</w:t>
      </w:r>
      <w:r w:rsidRPr="00C92FEE">
        <w:t xml:space="preserve">. Skupna kmetijska politika po letu 2020. Ljubljana: MKGP, 2020. </w:t>
      </w:r>
      <w:r w:rsidRPr="00C92FEE">
        <w:rPr>
          <w:rFonts w:ascii="Calibri" w:hAnsi="Calibri"/>
        </w:rPr>
        <w:t xml:space="preserve">[citirano </w:t>
      </w:r>
      <w:r w:rsidRPr="00C92FEE">
        <w:t>13. 4. 2020</w:t>
      </w:r>
      <w:r w:rsidRPr="00C92FEE">
        <w:rPr>
          <w:rFonts w:ascii="Calibri" w:hAnsi="Calibri"/>
        </w:rPr>
        <w:t>]</w:t>
      </w:r>
      <w:r w:rsidRPr="00C92FEE">
        <w:t xml:space="preserve"> Dostopno na svetovnem spletu: https://www.gov.si/zbirke/projekti-in-programi/skupna-kmetijska-</w:t>
      </w:r>
      <w:r w:rsidRPr="006B4A38">
        <w:t>politika-po-letu-2020/</w:t>
      </w:r>
      <w:r>
        <w:t>.</w:t>
      </w:r>
    </w:p>
    <w:p w14:paraId="4176F678" w14:textId="77777777" w:rsidR="00DF3C6D" w:rsidRDefault="00DF3C6D" w:rsidP="00DF3C6D">
      <w:pPr>
        <w:spacing w:after="0"/>
        <w:ind w:left="567" w:hanging="567"/>
      </w:pPr>
      <w:bookmarkStart w:id="198" w:name="97"/>
      <w:bookmarkEnd w:id="198"/>
      <w:r w:rsidRPr="006B4A38">
        <w:t>SUŠNIK A., POGAČAR T. 2011. Vremensko povzročeni stresi kmetijski</w:t>
      </w:r>
      <w:r>
        <w:t>h rastlin v letu 2011. Ujma, št. 25,</w:t>
      </w:r>
      <w:r w:rsidRPr="006B4A38">
        <w:t xml:space="preserve"> </w:t>
      </w:r>
      <w:r>
        <w:t xml:space="preserve">str. </w:t>
      </w:r>
      <w:r w:rsidRPr="006B4A38">
        <w:t>81–92</w:t>
      </w:r>
      <w:r>
        <w:t>.</w:t>
      </w:r>
    </w:p>
    <w:p w14:paraId="0BDA2786" w14:textId="77777777" w:rsidR="00DF3C6D" w:rsidRPr="006B4A38" w:rsidRDefault="00DF3C6D" w:rsidP="00DF3C6D">
      <w:pPr>
        <w:spacing w:after="0"/>
        <w:ind w:left="567" w:hanging="567"/>
      </w:pPr>
      <w:r w:rsidRPr="006B4A38">
        <w:t>VERTAČNIK</w:t>
      </w:r>
      <w:r>
        <w:t xml:space="preserve"> G.</w:t>
      </w:r>
      <w:r w:rsidRPr="006B4A38">
        <w:t>, BERTALANIČ</w:t>
      </w:r>
      <w:r>
        <w:t xml:space="preserve"> R. (ur.), 2017. </w:t>
      </w:r>
      <w:r w:rsidRPr="006B4A38">
        <w:t>Podnebna spremenljivost Slovenije v obdobju 1961-2011. 3, Značilnosti podnebja v Sloveniji. Ljubljana</w:t>
      </w:r>
      <w:r>
        <w:t xml:space="preserve">: </w:t>
      </w:r>
      <w:r w:rsidRPr="006B4A38">
        <w:t>MOP, ARSO</w:t>
      </w:r>
      <w:r>
        <w:t xml:space="preserve">, </w:t>
      </w:r>
      <w:r w:rsidRPr="006B4A38">
        <w:t xml:space="preserve">2017. </w:t>
      </w:r>
    </w:p>
    <w:p w14:paraId="2AD8E51C" w14:textId="7CDB3A24" w:rsidR="00FA4E45" w:rsidRDefault="00FA4E45" w:rsidP="00B33DE5">
      <w:pPr>
        <w:spacing w:after="120"/>
        <w:rPr>
          <w:rFonts w:eastAsia="Calibri" w:cstheme="majorBidi"/>
          <w:b/>
          <w:bCs/>
          <w:color w:val="2F5496" w:themeColor="accent1" w:themeShade="BF"/>
          <w:sz w:val="28"/>
          <w:szCs w:val="28"/>
          <w:lang w:eastAsia="sl-SI"/>
        </w:rPr>
      </w:pPr>
      <w:r>
        <w:rPr>
          <w:rFonts w:eastAsia="Calibri"/>
          <w:lang w:eastAsia="sl-SI"/>
        </w:rPr>
        <w:br w:type="page"/>
      </w:r>
    </w:p>
    <w:p w14:paraId="3647D988" w14:textId="66A1D87A" w:rsidR="00FC7B8E" w:rsidRPr="00B14994" w:rsidRDefault="00A43187" w:rsidP="00CE43D7">
      <w:pPr>
        <w:pStyle w:val="Naslov2"/>
        <w:rPr>
          <w:rFonts w:eastAsia="Calibri"/>
          <w:lang w:eastAsia="sl-SI"/>
        </w:rPr>
      </w:pPr>
      <w:bookmarkStart w:id="199" w:name="_Toc97026757"/>
      <w:r>
        <w:rPr>
          <w:rFonts w:eastAsia="Calibri"/>
          <w:lang w:eastAsia="sl-SI"/>
        </w:rPr>
        <w:lastRenderedPageBreak/>
        <w:t>Sektor g</w:t>
      </w:r>
      <w:r w:rsidR="00FC7B8E" w:rsidRPr="00B14994">
        <w:rPr>
          <w:rFonts w:eastAsia="Calibri"/>
          <w:lang w:eastAsia="sl-SI"/>
        </w:rPr>
        <w:t>ozdarstvo</w:t>
      </w:r>
      <w:bookmarkEnd w:id="199"/>
    </w:p>
    <w:p w14:paraId="386CEF2B" w14:textId="2096A78B" w:rsidR="00077A6A" w:rsidRDefault="00077A6A" w:rsidP="007C240A">
      <w:pPr>
        <w:pStyle w:val="Naslov3"/>
        <w:rPr>
          <w:rFonts w:eastAsia="Calibri"/>
          <w:lang w:eastAsia="sl-SI"/>
        </w:rPr>
      </w:pPr>
      <w:bookmarkStart w:id="200" w:name="_Toc42238082"/>
      <w:bookmarkStart w:id="201" w:name="_Toc97026758"/>
      <w:r w:rsidRPr="007C240A">
        <w:t>Metodologija</w:t>
      </w:r>
      <w:r w:rsidRPr="00DF1BB4">
        <w:rPr>
          <w:rFonts w:eastAsia="Calibri"/>
          <w:lang w:eastAsia="sl-SI"/>
        </w:rPr>
        <w:t xml:space="preserve"> sektorja</w:t>
      </w:r>
      <w:bookmarkEnd w:id="200"/>
      <w:r w:rsidR="00C174E2">
        <w:rPr>
          <w:rFonts w:eastAsia="Calibri"/>
          <w:lang w:eastAsia="sl-SI"/>
        </w:rPr>
        <w:t xml:space="preserve"> gozdarstvo</w:t>
      </w:r>
      <w:bookmarkEnd w:id="201"/>
    </w:p>
    <w:p w14:paraId="1F468776" w14:textId="77777777" w:rsidR="00545A37" w:rsidRPr="00E82552" w:rsidRDefault="00545A37" w:rsidP="00545A37">
      <w:pPr>
        <w:rPr>
          <w:lang w:eastAsia="sl-SI"/>
        </w:rPr>
      </w:pPr>
      <w:r w:rsidRPr="00E82552">
        <w:rPr>
          <w:lang w:eastAsia="sl-SI"/>
        </w:rPr>
        <w:t>Strokovna analiza vključuje oceno potencialnih vplivov podnebnih sprememb, ranljivosti in tveganja za sektor gozdarstvo v Mestni občini Nova Gorica, upoštevajoč razpoložljive podatke glede na predstavljene in pričakovane scenarije podnebnih sprememb v Sloveniji in na območju Mestne občine Nova Gorica.</w:t>
      </w:r>
    </w:p>
    <w:p w14:paraId="6FC774AF" w14:textId="77777777" w:rsidR="00545A37" w:rsidRPr="00E82552" w:rsidRDefault="00545A37" w:rsidP="00545A37">
      <w:pPr>
        <w:rPr>
          <w:lang w:eastAsia="sl-SI"/>
        </w:rPr>
      </w:pPr>
      <w:bookmarkStart w:id="202" w:name="_Hlk41981792"/>
      <w:r w:rsidRPr="00E82552">
        <w:rPr>
          <w:lang w:eastAsia="sl-SI"/>
        </w:rPr>
        <w:t>Metodologija izdelave analize tveganja na podnebne spremembe za gozdarski sektor v Mestni občini Nova Gorica v največji možni meri sledi metodologiji iz Konvencije županov za podnebne spremembe in energijo, 2. del:</w:t>
      </w:r>
      <w:bookmarkEnd w:id="202"/>
    </w:p>
    <w:p w14:paraId="51D44DF7" w14:textId="4E3957A4" w:rsidR="00545A37" w:rsidRPr="00E82552" w:rsidRDefault="007A0276" w:rsidP="00545A37">
      <w:pPr>
        <w:rPr>
          <w:lang w:eastAsia="sl-SI"/>
        </w:rPr>
      </w:pPr>
      <w:hyperlink r:id="rId83">
        <w:r w:rsidR="00545A37" w:rsidRPr="00E82552">
          <w:rPr>
            <w:rStyle w:val="Hiperpovezava"/>
            <w:sz w:val="18"/>
            <w:szCs w:val="18"/>
            <w:lang w:eastAsia="sl-SI"/>
          </w:rPr>
          <w:t>https://publications.jrc.ec.europa.eu/repository/bitstream/JRC112986/jrc112986_kj-nb-29412-en-n.pdf</w:t>
        </w:r>
      </w:hyperlink>
      <w:r w:rsidR="00545A37" w:rsidRPr="00E82552">
        <w:rPr>
          <w:sz w:val="18"/>
          <w:szCs w:val="18"/>
          <w:lang w:eastAsia="sl-SI"/>
        </w:rPr>
        <w:t xml:space="preserve">. </w:t>
      </w:r>
    </w:p>
    <w:p w14:paraId="58BFE840" w14:textId="77777777" w:rsidR="00545A37" w:rsidRPr="00E82552" w:rsidRDefault="00545A37" w:rsidP="00545A37">
      <w:pPr>
        <w:rPr>
          <w:lang w:eastAsia="sl-SI"/>
        </w:rPr>
      </w:pPr>
      <w:r w:rsidRPr="00E82552">
        <w:rPr>
          <w:lang w:eastAsia="sl-SI"/>
        </w:rPr>
        <w:t xml:space="preserve">Ocena tveganja na podnebne spremembe vključuje analizo obstoječega stanja gozdarstva in oceno potencialnih vplivov podnebnih sprememb na sektor glede na naravno okolje in družbeno okolje. </w:t>
      </w:r>
    </w:p>
    <w:p w14:paraId="553DD230" w14:textId="77777777" w:rsidR="00545A37" w:rsidRPr="00E82552" w:rsidRDefault="00545A37" w:rsidP="00545A37">
      <w:pPr>
        <w:rPr>
          <w:lang w:eastAsia="sl-SI"/>
        </w:rPr>
      </w:pPr>
      <w:r w:rsidRPr="00E82552">
        <w:rPr>
          <w:lang w:eastAsia="sl-SI"/>
        </w:rPr>
        <w:t xml:space="preserve">Za vsakega smo določili kazalnike ranljivosti ter na podlagi ekspertne ocene njihov potencialni vpliv in sposobnost prilagajanja sektorja gozdarstvo na novonastali položaj. Za posamezni kazalnik smo s kvantitativnim določanjem </w:t>
      </w:r>
      <w:proofErr w:type="spellStart"/>
      <w:r w:rsidRPr="00E82552">
        <w:rPr>
          <w:lang w:eastAsia="sl-SI"/>
        </w:rPr>
        <w:t>utežili</w:t>
      </w:r>
      <w:proofErr w:type="spellEnd"/>
      <w:r w:rsidRPr="00E82552">
        <w:rPr>
          <w:lang w:eastAsia="sl-SI"/>
        </w:rPr>
        <w:t xml:space="preserve"> njihov vpliv in sposobnosti prilagajanja glede na ekspertna mnenja ter tako dobili oceno ranljivosti za posamezni kazalnik. Njihovo povprečje je dalo skupno ranljivost sektorja gozdarstvo v referenčnem obdobju </w:t>
      </w:r>
      <w:r w:rsidRPr="00E82552">
        <w:rPr>
          <w:rFonts w:eastAsia="Trebuchet MS" w:cs="Trebuchet MS"/>
          <w:color w:val="000000" w:themeColor="text1"/>
        </w:rPr>
        <w:t>1981-2010</w:t>
      </w:r>
      <w:r w:rsidRPr="00E82552">
        <w:rPr>
          <w:lang w:eastAsia="sl-SI"/>
        </w:rPr>
        <w:t>.</w:t>
      </w:r>
    </w:p>
    <w:p w14:paraId="3FB56DB4" w14:textId="77777777" w:rsidR="00545A37" w:rsidRPr="00E82552" w:rsidRDefault="00545A37" w:rsidP="00545A37">
      <w:pPr>
        <w:rPr>
          <w:lang w:eastAsia="sl-SI"/>
        </w:rPr>
      </w:pPr>
      <w:r w:rsidRPr="00E82552">
        <w:rPr>
          <w:lang w:eastAsia="sl-SI"/>
        </w:rPr>
        <w:t>Oceno tveganja za sektor gozdarstvo je podana kot sprememba ranljivosti v prihodnosti za obdobji 2011-2040 ter 2041-2070</w:t>
      </w:r>
      <w:r w:rsidRPr="00E82552">
        <w:rPr>
          <w:rFonts w:eastAsia="Calibri" w:cs="Calibri"/>
        </w:rPr>
        <w:t xml:space="preserve"> </w:t>
      </w:r>
      <w:r w:rsidRPr="00E82552">
        <w:rPr>
          <w:lang w:eastAsia="sl-SI"/>
        </w:rPr>
        <w:t xml:space="preserve">glede na referenčno obdobje </w:t>
      </w:r>
      <w:r w:rsidRPr="00E82552">
        <w:rPr>
          <w:rFonts w:eastAsia="Trebuchet MS" w:cs="Trebuchet MS"/>
          <w:color w:val="000000" w:themeColor="text1"/>
        </w:rPr>
        <w:t>1981-2010,</w:t>
      </w:r>
      <w:r w:rsidRPr="00E82552">
        <w:rPr>
          <w:rFonts w:eastAsia="Calibri" w:cs="Calibri"/>
        </w:rPr>
        <w:t xml:space="preserve"> pri čemer smo obravnavali scenarija RCP 4.5 in RCP 8.5 združeno, saj so pričakovane spremembe podnebja pri obeh scenarijih podobne.</w:t>
      </w:r>
      <w:r w:rsidRPr="00E82552">
        <w:rPr>
          <w:rFonts w:eastAsia="Trebuchet MS" w:cs="Trebuchet MS"/>
          <w:color w:val="000000" w:themeColor="text1"/>
        </w:rPr>
        <w:t xml:space="preserve"> Na koncu smo predvideli tudi potrebne p</w:t>
      </w:r>
      <w:r w:rsidRPr="00E82552">
        <w:rPr>
          <w:lang w:eastAsia="sl-SI"/>
        </w:rPr>
        <w:t>rilagoditvene ukrepe.</w:t>
      </w:r>
    </w:p>
    <w:p w14:paraId="49B153F2" w14:textId="77777777" w:rsidR="007C240A" w:rsidRDefault="007C240A" w:rsidP="007C240A">
      <w:pPr>
        <w:rPr>
          <w:rFonts w:eastAsia="Trebuchet MS" w:cs="Trebuchet MS"/>
          <w:color w:val="000000" w:themeColor="text1"/>
        </w:rPr>
      </w:pPr>
    </w:p>
    <w:p w14:paraId="32EE4C79" w14:textId="123A260C" w:rsidR="007C240A" w:rsidRPr="00E55008" w:rsidRDefault="007C240A" w:rsidP="007C240A">
      <w:pPr>
        <w:pStyle w:val="Naslov3"/>
        <w:rPr>
          <w:rFonts w:eastAsia="Calibri"/>
          <w:lang w:eastAsia="sl-SI"/>
        </w:rPr>
      </w:pPr>
      <w:bookmarkStart w:id="203" w:name="_Toc57035073"/>
      <w:bookmarkStart w:id="204" w:name="_Toc97026759"/>
      <w:r w:rsidRPr="6BB13322">
        <w:rPr>
          <w:rFonts w:eastAsia="Calibri"/>
          <w:lang w:eastAsia="sl-SI"/>
        </w:rPr>
        <w:t xml:space="preserve">Zakonodajni okvir, </w:t>
      </w:r>
      <w:proofErr w:type="spellStart"/>
      <w:r w:rsidRPr="6BB13322">
        <w:rPr>
          <w:rFonts w:eastAsia="Calibri"/>
          <w:lang w:eastAsia="sl-SI"/>
        </w:rPr>
        <w:t>okoljski</w:t>
      </w:r>
      <w:proofErr w:type="spellEnd"/>
      <w:r w:rsidRPr="6BB13322">
        <w:rPr>
          <w:rFonts w:eastAsia="Calibri"/>
          <w:lang w:eastAsia="sl-SI"/>
        </w:rPr>
        <w:t xml:space="preserve"> cilji, merila in metoda ugotavljanja in </w:t>
      </w:r>
      <w:r w:rsidRPr="00E55008">
        <w:rPr>
          <w:rFonts w:eastAsia="Calibri"/>
          <w:lang w:eastAsia="sl-SI"/>
        </w:rPr>
        <w:t xml:space="preserve">vrednotenja vplivov načrta na </w:t>
      </w:r>
      <w:bookmarkEnd w:id="203"/>
      <w:r w:rsidR="00C174E2">
        <w:rPr>
          <w:rFonts w:eastAsia="Calibri"/>
          <w:lang w:eastAsia="sl-SI"/>
        </w:rPr>
        <w:t>sektor gozdarstvo</w:t>
      </w:r>
      <w:bookmarkEnd w:id="204"/>
    </w:p>
    <w:p w14:paraId="6F3F2385" w14:textId="77777777" w:rsidR="00545A37" w:rsidRPr="00E82552" w:rsidRDefault="00545A37" w:rsidP="00545A37">
      <w:pPr>
        <w:rPr>
          <w:lang w:eastAsia="sl-SI"/>
        </w:rPr>
      </w:pPr>
      <w:r w:rsidRPr="00DB02E5">
        <w:t>Naloge javne gozdarske službe v Mestni občini Nova Gorica opravlja Zavod za gozdove Slovenije (ZGS) skladno z Zakonom o gozdovih s spremembami in dopolnitvami (1993, 1998, 2007, 2010). Gozdovi v Mestni občini Nova Gorica spadajo v Gozdnogospodarsko območje (GGO) ZGS Tolmin ter so upravljavsko razdeljeni v pet gozdnogospodarskih enot (GGE), pri čemer večji del gozdov spada v GGE Banjšice, GGE Gorica, GGE Trnovo, manjši del pa v GGE Predmeja in GGE Most na Soči. Slednja zavzema le ozek pas gozdov neposredno na meji občine Nova Gorica in občine Tolmin. Manjši del gozdov občine spada v GGO ZGS Sežana, GGE Goriško. ZGS za vse gozdove ne glede na lastništvo pripravlja gozdnogospodarske načrte (GGN) v skladu s Pravilnikom o gozdnogospodarskih in gozdnogojitvenih načrtih s spremembami in dopolnitvami (2006). Pri ciljih, usmeritvah in ukrepih GGN sledi tudi določilom Zakona o divjadi in lovstvu (2004, 2008), Pravilniku o gozdnih prometnicah (2004), Pravilniku o varstvu gozdov s spremembami in dopolnitvami (2009, 2016), Uredbi o varovalnih gozdovih in gozdovih s posebnim namenom (2005, 2007, 2009, 2010, 2013, 2015), Uredbi o posebnih varstvenih</w:t>
      </w:r>
      <w:r w:rsidRPr="00E82552">
        <w:rPr>
          <w:rFonts w:eastAsia="Calibri"/>
          <w:lang w:eastAsia="sl-SI"/>
        </w:rPr>
        <w:t xml:space="preserve"> območjih (območjih Natura 2000) (2004, 2007, 2008, 2012, 2013, 2013 – </w:t>
      </w:r>
      <w:proofErr w:type="spellStart"/>
      <w:r w:rsidRPr="00E82552">
        <w:rPr>
          <w:rFonts w:eastAsia="Calibri"/>
          <w:lang w:eastAsia="sl-SI"/>
        </w:rPr>
        <w:t>popr</w:t>
      </w:r>
      <w:proofErr w:type="spellEnd"/>
      <w:r w:rsidRPr="00E82552">
        <w:rPr>
          <w:rFonts w:eastAsia="Calibri"/>
          <w:lang w:eastAsia="sl-SI"/>
        </w:rPr>
        <w:t xml:space="preserve">., 2013 – </w:t>
      </w:r>
      <w:proofErr w:type="spellStart"/>
      <w:r w:rsidRPr="00E82552">
        <w:rPr>
          <w:rFonts w:eastAsia="Calibri"/>
          <w:lang w:eastAsia="sl-SI"/>
        </w:rPr>
        <w:t>odl</w:t>
      </w:r>
      <w:proofErr w:type="spellEnd"/>
      <w:r w:rsidRPr="00E82552">
        <w:rPr>
          <w:rFonts w:eastAsia="Calibri"/>
          <w:lang w:eastAsia="sl-SI"/>
        </w:rPr>
        <w:t xml:space="preserve">. US, 2014 in 2016), </w:t>
      </w:r>
      <w:r w:rsidRPr="00E82552">
        <w:rPr>
          <w:lang w:eastAsia="sl-SI"/>
        </w:rPr>
        <w:t xml:space="preserve">Resoluciji o nacionalnem gozdnem programu 2005-2012 (2007) ter Programu upravljanja območij Natura 2000 </w:t>
      </w:r>
      <w:r w:rsidRPr="00E82552">
        <w:rPr>
          <w:rFonts w:eastAsia="Calibri"/>
          <w:lang w:eastAsia="sl-SI"/>
        </w:rPr>
        <w:t>za obdobje od 2015 do 2020</w:t>
      </w:r>
      <w:r w:rsidRPr="00E82552">
        <w:rPr>
          <w:lang w:eastAsia="sl-SI"/>
        </w:rPr>
        <w:t xml:space="preserve"> </w:t>
      </w:r>
      <w:r w:rsidRPr="00E82552">
        <w:rPr>
          <w:lang w:eastAsia="sl-SI"/>
        </w:rPr>
        <w:lastRenderedPageBreak/>
        <w:t>(2015, 2016), po katerem je GGN pomemben za prilagojeno gospodarjenje z gozdovi, vključenimi v območja Natura 2000.</w:t>
      </w:r>
    </w:p>
    <w:p w14:paraId="64429688" w14:textId="77777777" w:rsidR="00545A37" w:rsidRPr="00E82552" w:rsidRDefault="00545A37" w:rsidP="00545A37">
      <w:pPr>
        <w:rPr>
          <w:rFonts w:eastAsia="Trebuchet MS" w:cs="Trebuchet MS"/>
        </w:rPr>
      </w:pPr>
      <w:r w:rsidRPr="00E82552">
        <w:rPr>
          <w:rFonts w:eastAsia="Trebuchet MS" w:cs="Trebuchet MS"/>
        </w:rPr>
        <w:t xml:space="preserve">Z lovsko upravljavskega vidika večji del Mestne občine Nova Gorica spada v </w:t>
      </w:r>
      <w:proofErr w:type="spellStart"/>
      <w:r w:rsidRPr="00E82552">
        <w:rPr>
          <w:rFonts w:eastAsia="Trebuchet MS" w:cs="Trebuchet MS"/>
        </w:rPr>
        <w:t>Zahodnovisokokraško</w:t>
      </w:r>
      <w:proofErr w:type="spellEnd"/>
      <w:r w:rsidRPr="00E82552">
        <w:rPr>
          <w:rFonts w:eastAsia="Trebuchet MS" w:cs="Trebuchet MS"/>
        </w:rPr>
        <w:t xml:space="preserve"> lovsko upravljavsko območje (LUO), manjši južni del pa v Primorsko LUO. Na območju občine se nahajajo lovišča Lijak, Gorica, Čepovan, Grgar, Trnovski gozd in manjši deli lovišč Anhovo, Čaven, Trebuša, ki spadajo v </w:t>
      </w:r>
      <w:proofErr w:type="spellStart"/>
      <w:r w:rsidRPr="00E82552">
        <w:rPr>
          <w:rFonts w:eastAsia="Trebuchet MS" w:cs="Trebuchet MS"/>
        </w:rPr>
        <w:t>Zahodnovisokokraško</w:t>
      </w:r>
      <w:proofErr w:type="spellEnd"/>
      <w:r w:rsidRPr="00E82552">
        <w:rPr>
          <w:rFonts w:eastAsia="Trebuchet MS" w:cs="Trebuchet MS"/>
        </w:rPr>
        <w:t xml:space="preserve"> LUO. Lovišči Tabor Dornberk, ter manjši del Fajti hrib pa spadata v Primorsko LUO.</w:t>
      </w:r>
    </w:p>
    <w:p w14:paraId="6995CAED" w14:textId="77777777" w:rsidR="00545A37" w:rsidRPr="00E82552" w:rsidRDefault="00545A37" w:rsidP="00545A37">
      <w:pPr>
        <w:rPr>
          <w:rFonts w:cs="Arial"/>
        </w:rPr>
      </w:pPr>
      <w:r w:rsidRPr="00E82552">
        <w:rPr>
          <w:rFonts w:cs="Arial"/>
        </w:rPr>
        <w:t>Z gozdovi v lasti Republike Slovenije gospodari Družba Slovenski državni gozdovi d.o.o. (</w:t>
      </w:r>
      <w:proofErr w:type="spellStart"/>
      <w:r w:rsidRPr="00E82552">
        <w:rPr>
          <w:rFonts w:cs="Arial"/>
        </w:rPr>
        <w:t>SiDG</w:t>
      </w:r>
      <w:proofErr w:type="spellEnd"/>
      <w:r w:rsidRPr="00E82552">
        <w:rPr>
          <w:rFonts w:cs="Arial"/>
        </w:rPr>
        <w:t>) v skladu z Zakonom o gospodarjenju z gozdovi v lasti Republike Slovenije (2016).</w:t>
      </w:r>
    </w:p>
    <w:p w14:paraId="3296D90A" w14:textId="77777777" w:rsidR="00545A37" w:rsidRPr="00E82552" w:rsidRDefault="00545A37" w:rsidP="00545A37">
      <w:pPr>
        <w:rPr>
          <w:lang w:eastAsia="sl-SI"/>
        </w:rPr>
      </w:pPr>
      <w:r w:rsidRPr="00E82552">
        <w:rPr>
          <w:rFonts w:eastAsia="Trebuchet MS" w:cs="Trebuchet MS"/>
        </w:rPr>
        <w:t xml:space="preserve">Na območju </w:t>
      </w:r>
      <w:r>
        <w:rPr>
          <w:rFonts w:eastAsia="Trebuchet MS" w:cs="Trebuchet MS"/>
        </w:rPr>
        <w:t xml:space="preserve">Mestne </w:t>
      </w:r>
      <w:r w:rsidRPr="00E82552">
        <w:rPr>
          <w:rFonts w:eastAsia="Trebuchet MS" w:cs="Trebuchet MS"/>
        </w:rPr>
        <w:t xml:space="preserve">občine Nova Gorica se nahaja del krajinskega parka Južni obronki Trnovskega gozda, del krajinskega parka </w:t>
      </w:r>
      <w:r>
        <w:rPr>
          <w:rFonts w:eastAsia="Trebuchet MS" w:cs="Trebuchet MS"/>
        </w:rPr>
        <w:t xml:space="preserve">Zgornja Idrijca </w:t>
      </w:r>
      <w:r w:rsidRPr="00E82552">
        <w:rPr>
          <w:rFonts w:eastAsia="Trebuchet MS" w:cs="Trebuchet MS"/>
        </w:rPr>
        <w:t xml:space="preserve">ter naravni spomeniki: Vitovlje; Jezero za brestom; Lijak in </w:t>
      </w:r>
      <w:proofErr w:type="spellStart"/>
      <w:r w:rsidRPr="00E82552">
        <w:rPr>
          <w:rFonts w:eastAsia="Trebuchet MS" w:cs="Trebuchet MS"/>
        </w:rPr>
        <w:t>Skozno</w:t>
      </w:r>
      <w:proofErr w:type="spellEnd"/>
      <w:r w:rsidRPr="00E82552">
        <w:rPr>
          <w:rFonts w:eastAsia="Trebuchet MS" w:cs="Trebuchet MS"/>
        </w:rPr>
        <w:t xml:space="preserve">; Kraški izvir in naravni most s spodmolom; Sv. Danijel, Gozd </w:t>
      </w:r>
      <w:proofErr w:type="spellStart"/>
      <w:r w:rsidRPr="00E82552">
        <w:rPr>
          <w:rFonts w:eastAsia="Trebuchet MS" w:cs="Trebuchet MS"/>
        </w:rPr>
        <w:t>Panovec</w:t>
      </w:r>
      <w:proofErr w:type="spellEnd"/>
      <w:r w:rsidRPr="00E82552">
        <w:rPr>
          <w:rFonts w:eastAsia="Trebuchet MS" w:cs="Trebuchet MS"/>
        </w:rPr>
        <w:t xml:space="preserve">; Kromberk, Hrasti; Skalnica - območje gore z Marijinim svetiščem; Grgar, Slatna, potok in ponorne jame; Smrečje v Trnovskem gozdu - mrazišče; velika Ledenica v </w:t>
      </w:r>
      <w:proofErr w:type="spellStart"/>
      <w:r w:rsidRPr="00E82552">
        <w:rPr>
          <w:rFonts w:eastAsia="Trebuchet MS" w:cs="Trebuchet MS"/>
        </w:rPr>
        <w:t>Paradani</w:t>
      </w:r>
      <w:proofErr w:type="spellEnd"/>
      <w:r w:rsidRPr="00E82552">
        <w:rPr>
          <w:rFonts w:eastAsia="Trebuchet MS" w:cs="Trebuchet MS"/>
        </w:rPr>
        <w:t>, Udorna dolina z rastlinskim obratom in jamski splet.</w:t>
      </w:r>
    </w:p>
    <w:p w14:paraId="60112089" w14:textId="2F857E26" w:rsidR="00545A37" w:rsidRPr="00E82552" w:rsidRDefault="00545A37" w:rsidP="00545A37">
      <w:pPr>
        <w:rPr>
          <w:lang w:eastAsia="sl-SI"/>
        </w:rPr>
      </w:pPr>
      <w:r w:rsidRPr="00E82552">
        <w:rPr>
          <w:lang w:eastAsia="sl-SI"/>
        </w:rPr>
        <w:t xml:space="preserve">Pogoje in pravila izvajanja del v gozdovih določajo številne zakonske podlage (Škrk in Triplat, 2019), ki so predstavljene v </w:t>
      </w:r>
      <w:r>
        <w:rPr>
          <w:lang w:eastAsia="sl-SI"/>
        </w:rPr>
        <w:t xml:space="preserve">Prilogi </w:t>
      </w:r>
      <w:r w:rsidR="00976ACB">
        <w:rPr>
          <w:lang w:eastAsia="sl-SI"/>
        </w:rPr>
        <w:fldChar w:fldCharType="begin"/>
      </w:r>
      <w:r w:rsidR="00976ACB">
        <w:rPr>
          <w:lang w:eastAsia="sl-SI"/>
        </w:rPr>
        <w:instrText xml:space="preserve"> REF _Ref57121418 \r \h </w:instrText>
      </w:r>
      <w:r w:rsidR="00976ACB">
        <w:rPr>
          <w:lang w:eastAsia="sl-SI"/>
        </w:rPr>
      </w:r>
      <w:r w:rsidR="00976ACB">
        <w:rPr>
          <w:lang w:eastAsia="sl-SI"/>
        </w:rPr>
        <w:fldChar w:fldCharType="separate"/>
      </w:r>
      <w:r w:rsidR="004700D5">
        <w:rPr>
          <w:lang w:eastAsia="sl-SI"/>
        </w:rPr>
        <w:t>8.2.1</w:t>
      </w:r>
      <w:r w:rsidR="00976ACB">
        <w:rPr>
          <w:lang w:eastAsia="sl-SI"/>
        </w:rPr>
        <w:fldChar w:fldCharType="end"/>
      </w:r>
      <w:r w:rsidR="00976ACB">
        <w:rPr>
          <w:lang w:eastAsia="sl-SI"/>
        </w:rPr>
        <w:t>.</w:t>
      </w:r>
    </w:p>
    <w:p w14:paraId="4692DF01" w14:textId="77777777" w:rsidR="007C240A" w:rsidRPr="00DF1BB4" w:rsidRDefault="007C240A" w:rsidP="007C240A"/>
    <w:p w14:paraId="0B81F352" w14:textId="6C9E3998" w:rsidR="007C240A" w:rsidRPr="00DF1BB4" w:rsidRDefault="007C240A" w:rsidP="007C240A">
      <w:pPr>
        <w:pStyle w:val="Naslov3"/>
        <w:rPr>
          <w:rFonts w:eastAsia="Calibri"/>
          <w:lang w:eastAsia="sl-SI"/>
        </w:rPr>
      </w:pPr>
      <w:bookmarkStart w:id="205" w:name="_Toc57035074"/>
      <w:bookmarkStart w:id="206" w:name="_Hlk42241809"/>
      <w:bookmarkStart w:id="207" w:name="_Toc97026760"/>
      <w:r w:rsidRPr="00DF1BB4">
        <w:rPr>
          <w:rFonts w:eastAsia="Calibri"/>
          <w:lang w:eastAsia="sl-SI"/>
        </w:rPr>
        <w:t>Obstoječe stanje sektorja</w:t>
      </w:r>
      <w:bookmarkEnd w:id="205"/>
      <w:r w:rsidR="00C174E2">
        <w:rPr>
          <w:rFonts w:eastAsia="Calibri"/>
          <w:lang w:eastAsia="sl-SI"/>
        </w:rPr>
        <w:t xml:space="preserve"> gozdarstvo</w:t>
      </w:r>
      <w:bookmarkEnd w:id="207"/>
    </w:p>
    <w:bookmarkEnd w:id="206"/>
    <w:p w14:paraId="13604EFC" w14:textId="50080818" w:rsidR="007C240A" w:rsidRPr="00DF1BB4" w:rsidRDefault="007C240A" w:rsidP="00CE43D7">
      <w:pPr>
        <w:pStyle w:val="Naslov4"/>
      </w:pPr>
      <w:r w:rsidRPr="00DF1BB4">
        <w:t xml:space="preserve">Gozdovi v </w:t>
      </w:r>
      <w:r w:rsidRPr="007C240A">
        <w:t>Mestni</w:t>
      </w:r>
      <w:r>
        <w:t xml:space="preserve"> občini</w:t>
      </w:r>
      <w:r w:rsidRPr="00DF1BB4">
        <w:t xml:space="preserve"> </w:t>
      </w:r>
      <w:r w:rsidR="00545A37">
        <w:t>Nova Gorica</w:t>
      </w:r>
    </w:p>
    <w:p w14:paraId="168BAAB3" w14:textId="49582EF9" w:rsidR="00545A37" w:rsidRPr="00E82552" w:rsidRDefault="00545A37" w:rsidP="00545A37">
      <w:pPr>
        <w:rPr>
          <w:lang w:eastAsia="sl-SI"/>
        </w:rPr>
      </w:pPr>
      <w:r w:rsidRPr="00E82552">
        <w:rPr>
          <w:lang w:eastAsia="sl-SI"/>
        </w:rPr>
        <w:t>Podatke o gozdovih v Mestni občini Nova Gorica smo pridobili iz gozdnogospodarskih načrtov Zavoda za gozdove Slovenije in podatkovne zbirke Gozdni fondi, ki jo ureja Zavod za gozdove Slovenije (ZGS</w:t>
      </w:r>
      <w:r>
        <w:rPr>
          <w:lang w:eastAsia="sl-SI"/>
        </w:rPr>
        <w:t>,</w:t>
      </w:r>
      <w:r w:rsidRPr="00E82552">
        <w:rPr>
          <w:lang w:eastAsia="sl-SI"/>
        </w:rPr>
        <w:t xml:space="preserve"> 2018, 2019).</w:t>
      </w:r>
    </w:p>
    <w:p w14:paraId="0720479C" w14:textId="77777777" w:rsidR="00545A37" w:rsidRPr="00E82552" w:rsidRDefault="00545A37" w:rsidP="00545A37">
      <w:pPr>
        <w:rPr>
          <w:highlight w:val="yellow"/>
          <w:lang w:eastAsia="sl-SI"/>
        </w:rPr>
      </w:pPr>
      <w:r w:rsidRPr="00E82552">
        <w:rPr>
          <w:lang w:eastAsia="sl-SI"/>
        </w:rPr>
        <w:t>Mestna občina Nova Gorica (v nadaljevanju MONG) je po površini deveta največja slovenska občina. Geografsko je zelo raznolika, saj se na tem območju  stikajo in prepletajo dinarski, alpski in submediteranski svet, kar se  kaže v mnogih geomorfoloških in vegetacijskih posebnostih. MONG obsega 280 km</w:t>
      </w:r>
      <w:r w:rsidRPr="00E82552">
        <w:rPr>
          <w:vertAlign w:val="superscript"/>
          <w:lang w:eastAsia="sl-SI"/>
        </w:rPr>
        <w:t>2</w:t>
      </w:r>
      <w:r w:rsidRPr="00E82552">
        <w:rPr>
          <w:lang w:eastAsia="sl-SI"/>
        </w:rPr>
        <w:t xml:space="preserve"> in se na jugu dotika Krasa, na vzhodu Vipavske doline, na zahodu doline reke Soče, na severu pa pokriva del Trnovske in Banjške planote (TUS NG, 2016). Relief je zelo razgiban. Zahodni del dinarskega masiva, ki se dviga iz Vipavske doline in zaključuje v Soški dolini, predstavljata Trnovska in Banjška planota, ki ju ločuje Čepovanski suhi dol. Visoka dinarska planota Trnovskega gozda je močno zakrasela, zanjo so značilne vrtače, udornice in številne kraške jame. Prehod med zakraselimi višjimi predeli in nižje ležečim flišnim gričevjem predstavljajo strma pobočja, ki jih prekinjajo vmesni erozijski jarki. Zanje so značilni številni zemeljski plazovi ter skalni podori. Gričevnat svet spodnje Vipavske doline je dokaj razgiban, zaradi </w:t>
      </w:r>
      <w:proofErr w:type="spellStart"/>
      <w:r w:rsidRPr="00E82552">
        <w:rPr>
          <w:lang w:eastAsia="sl-SI"/>
        </w:rPr>
        <w:t>erodibilne</w:t>
      </w:r>
      <w:proofErr w:type="spellEnd"/>
      <w:r w:rsidRPr="00E82552">
        <w:rPr>
          <w:lang w:eastAsia="sl-SI"/>
        </w:rPr>
        <w:t xml:space="preserve"> podlage je tam nastalo razgibano površje z veliko pestrostjo reliefnih oblik (grape, grebeni, hrbti, terase …), za katerega so značilne razmeroma majhne višinske razlike in blaga položna pobočja. Najnižje dele predstavljajo naplavne ravnice reke Vipave, dolina Soče ter nekoliko višje ležeči Čepovanski dol. Ob spodnjem toku Soče se je izoblikoval širok ravninski pas Goriška raven. Flišno gričevje na obrobju planote Kras je bolj razgibano, mestoma močno razčlenjeno z erozijskimi jarki. Na karbonatnih kamninah, kjer je površje močno zakraselo, prevladujejo </w:t>
      </w:r>
      <w:proofErr w:type="spellStart"/>
      <w:r w:rsidRPr="00E82552">
        <w:rPr>
          <w:lang w:eastAsia="sl-SI"/>
        </w:rPr>
        <w:t>rendzine</w:t>
      </w:r>
      <w:proofErr w:type="spellEnd"/>
      <w:r w:rsidRPr="00E82552">
        <w:rPr>
          <w:lang w:eastAsia="sl-SI"/>
        </w:rPr>
        <w:t xml:space="preserve">, ki prekrivajo 62 % celotne občine, na fliših pa </w:t>
      </w:r>
      <w:proofErr w:type="spellStart"/>
      <w:r w:rsidRPr="00E82552">
        <w:rPr>
          <w:lang w:eastAsia="sl-SI"/>
        </w:rPr>
        <w:t>evtrična</w:t>
      </w:r>
      <w:proofErr w:type="spellEnd"/>
      <w:r w:rsidRPr="00E82552">
        <w:rPr>
          <w:lang w:eastAsia="sl-SI"/>
        </w:rPr>
        <w:t xml:space="preserve"> rjava tla (23 %). </w:t>
      </w:r>
    </w:p>
    <w:p w14:paraId="7C67D015" w14:textId="5F657D51" w:rsidR="00545A37" w:rsidRPr="00E82552" w:rsidRDefault="00545A37" w:rsidP="00545A37">
      <w:pPr>
        <w:rPr>
          <w:rFonts w:eastAsia="Arial"/>
          <w:highlight w:val="yellow"/>
        </w:rPr>
      </w:pPr>
      <w:r w:rsidRPr="00E82552">
        <w:rPr>
          <w:rFonts w:eastAsia="Arial"/>
        </w:rPr>
        <w:lastRenderedPageBreak/>
        <w:t xml:space="preserve">V </w:t>
      </w:r>
      <w:r>
        <w:rPr>
          <w:rFonts w:eastAsia="Arial"/>
        </w:rPr>
        <w:t>MONG</w:t>
      </w:r>
      <w:r w:rsidRPr="00E82552">
        <w:rPr>
          <w:rFonts w:eastAsia="Arial"/>
        </w:rPr>
        <w:t xml:space="preserve"> je po podatkih ZGS iz leta 2019 skupno 19.429 ha gozdov, kar predstavlja 69 % površine celotne občine</w:t>
      </w:r>
      <w:r>
        <w:rPr>
          <w:rFonts w:eastAsia="Arial"/>
        </w:rPr>
        <w:t xml:space="preserve"> (</w:t>
      </w:r>
      <w:r>
        <w:rPr>
          <w:rFonts w:eastAsia="Arial"/>
        </w:rPr>
        <w:fldChar w:fldCharType="begin"/>
      </w:r>
      <w:r>
        <w:rPr>
          <w:rFonts w:eastAsia="Arial"/>
        </w:rPr>
        <w:instrText xml:space="preserve"> REF _Ref74903801 \h </w:instrText>
      </w:r>
      <w:r>
        <w:rPr>
          <w:rFonts w:eastAsia="Arial"/>
        </w:rPr>
      </w:r>
      <w:r>
        <w:rPr>
          <w:rFonts w:eastAsia="Arial"/>
        </w:rPr>
        <w:fldChar w:fldCharType="separate"/>
      </w:r>
      <w:r w:rsidR="004700D5">
        <w:t xml:space="preserve">Slika </w:t>
      </w:r>
      <w:r w:rsidR="004700D5">
        <w:rPr>
          <w:noProof/>
        </w:rPr>
        <w:t>6</w:t>
      </w:r>
      <w:r w:rsidR="004700D5">
        <w:t>.</w:t>
      </w:r>
      <w:r w:rsidR="004700D5">
        <w:rPr>
          <w:noProof/>
        </w:rPr>
        <w:t>6</w:t>
      </w:r>
      <w:r>
        <w:rPr>
          <w:rFonts w:eastAsia="Arial"/>
        </w:rPr>
        <w:fldChar w:fldCharType="end"/>
      </w:r>
      <w:r w:rsidRPr="00E82552">
        <w:rPr>
          <w:rFonts w:eastAsia="Arial"/>
        </w:rPr>
        <w:t>). Prevladujeta dinarski jelovo-bukov gozd (</w:t>
      </w:r>
      <w:proofErr w:type="spellStart"/>
      <w:r w:rsidRPr="00E82552">
        <w:rPr>
          <w:rFonts w:eastAsia="Arial"/>
          <w:i/>
          <w:iCs/>
        </w:rPr>
        <w:t>Omphalodo-Fagetum</w:t>
      </w:r>
      <w:proofErr w:type="spellEnd"/>
      <w:r w:rsidRPr="00E82552">
        <w:rPr>
          <w:rFonts w:eastAsia="Arial"/>
        </w:rPr>
        <w:t>), ki predstavlja 4.046,5 ha oziroma 20,8 % vseh gozdov, ter drugotni gozd črnega gabra in jesenske vilovine (</w:t>
      </w:r>
      <w:proofErr w:type="spellStart"/>
      <w:r w:rsidRPr="00E82552">
        <w:rPr>
          <w:rFonts w:eastAsia="Arial"/>
          <w:i/>
          <w:iCs/>
        </w:rPr>
        <w:t>Seslerio</w:t>
      </w:r>
      <w:proofErr w:type="spellEnd"/>
      <w:r w:rsidRPr="00E82552">
        <w:rPr>
          <w:rFonts w:eastAsia="Arial"/>
          <w:i/>
          <w:iCs/>
        </w:rPr>
        <w:t xml:space="preserve"> </w:t>
      </w:r>
      <w:proofErr w:type="spellStart"/>
      <w:r w:rsidRPr="00E82552">
        <w:rPr>
          <w:rFonts w:eastAsia="Arial"/>
          <w:i/>
          <w:iCs/>
        </w:rPr>
        <w:t>autumnalis-Ostryetum</w:t>
      </w:r>
      <w:proofErr w:type="spellEnd"/>
      <w:r w:rsidRPr="00E82552">
        <w:rPr>
          <w:rFonts w:eastAsia="Arial"/>
        </w:rPr>
        <w:t xml:space="preserve">), ki predstavlja 4.036,8 ha  oziroma 20,7 % vseh gozdov v </w:t>
      </w:r>
      <w:r w:rsidRPr="00E82552">
        <w:rPr>
          <w:lang w:eastAsia="sl-SI"/>
        </w:rPr>
        <w:t>MONG</w:t>
      </w:r>
      <w:r w:rsidRPr="00E82552">
        <w:rPr>
          <w:rFonts w:eastAsia="Arial"/>
        </w:rPr>
        <w:t xml:space="preserve">. </w:t>
      </w:r>
    </w:p>
    <w:p w14:paraId="35A6C079" w14:textId="77777777" w:rsidR="00545A37" w:rsidRPr="00E82552" w:rsidRDefault="00545A37" w:rsidP="00545A37">
      <w:pPr>
        <w:rPr>
          <w:highlight w:val="yellow"/>
          <w:lang w:eastAsia="sl-SI"/>
        </w:rPr>
      </w:pPr>
      <w:r w:rsidRPr="00E82552">
        <w:rPr>
          <w:rFonts w:eastAsia="Arial"/>
          <w:lang w:eastAsia="sl-SI"/>
        </w:rPr>
        <w:t xml:space="preserve">Lesna zaloga gozdov v </w:t>
      </w:r>
      <w:r w:rsidRPr="00E82552">
        <w:rPr>
          <w:lang w:eastAsia="sl-SI"/>
        </w:rPr>
        <w:t>MONG</w:t>
      </w:r>
      <w:r w:rsidRPr="00E82552">
        <w:rPr>
          <w:rFonts w:eastAsia="Arial"/>
          <w:lang w:eastAsia="sl-SI"/>
        </w:rPr>
        <w:t xml:space="preserve"> znaša 4.885.055 m</w:t>
      </w:r>
      <w:r w:rsidRPr="00E82552">
        <w:rPr>
          <w:rFonts w:eastAsia="Arial"/>
          <w:vertAlign w:val="superscript"/>
        </w:rPr>
        <w:t>3</w:t>
      </w:r>
      <w:r w:rsidRPr="00E82552">
        <w:rPr>
          <w:rFonts w:eastAsia="Arial"/>
        </w:rPr>
        <w:t xml:space="preserve"> oziroma 251 m</w:t>
      </w:r>
      <w:r w:rsidRPr="00E82552">
        <w:rPr>
          <w:rFonts w:eastAsia="Arial"/>
          <w:vertAlign w:val="superscript"/>
        </w:rPr>
        <w:t>3</w:t>
      </w:r>
      <w:r w:rsidRPr="00E82552">
        <w:rPr>
          <w:rFonts w:eastAsia="Arial"/>
        </w:rPr>
        <w:t xml:space="preserve"> ha</w:t>
      </w:r>
      <w:r w:rsidRPr="00E82552">
        <w:rPr>
          <w:rFonts w:eastAsia="Arial"/>
          <w:vertAlign w:val="superscript"/>
        </w:rPr>
        <w:t>-1</w:t>
      </w:r>
      <w:r w:rsidRPr="00E82552">
        <w:rPr>
          <w:rFonts w:eastAsia="Arial"/>
        </w:rPr>
        <w:t>. Absolutni letni prirastek je ocenjen na 129.665,3 m</w:t>
      </w:r>
      <w:r w:rsidRPr="00E82552">
        <w:rPr>
          <w:rFonts w:eastAsia="Arial"/>
          <w:vertAlign w:val="superscript"/>
        </w:rPr>
        <w:t>3</w:t>
      </w:r>
      <w:r w:rsidRPr="00E82552">
        <w:rPr>
          <w:rFonts w:eastAsia="Arial"/>
        </w:rPr>
        <w:t xml:space="preserve"> ali 6,67 m</w:t>
      </w:r>
      <w:r w:rsidRPr="00E82552">
        <w:rPr>
          <w:rFonts w:eastAsia="Arial"/>
          <w:vertAlign w:val="superscript"/>
        </w:rPr>
        <w:t>3</w:t>
      </w:r>
      <w:r w:rsidRPr="00E82552">
        <w:rPr>
          <w:rFonts w:eastAsia="Arial"/>
        </w:rPr>
        <w:t xml:space="preserve"> ha</w:t>
      </w:r>
      <w:r w:rsidRPr="00E82552">
        <w:rPr>
          <w:rFonts w:eastAsia="Arial"/>
          <w:vertAlign w:val="superscript"/>
        </w:rPr>
        <w:t>-1</w:t>
      </w:r>
      <w:r w:rsidRPr="00E82552">
        <w:rPr>
          <w:rFonts w:eastAsia="Arial"/>
        </w:rPr>
        <w:t>.</w:t>
      </w:r>
      <w:r w:rsidRPr="00E82552">
        <w:rPr>
          <w:lang w:eastAsia="sl-SI"/>
        </w:rPr>
        <w:t xml:space="preserve"> Zahtevne terenske razmere otežujejo gospodarjenje z gozdom, še posebej pridobivanje lesa in gradnjo gozdnih prometnic. V nekaterih delih občine so spravilne razmere zaradi razgibanega reliefa in velikega deleža malo donosnih gozdov sorazmerno neugodne.</w:t>
      </w:r>
    </w:p>
    <w:p w14:paraId="7DC2A81E" w14:textId="77777777" w:rsidR="00545A37" w:rsidRDefault="00545A37" w:rsidP="00545A37">
      <w:pPr>
        <w:keepNext/>
        <w:jc w:val="center"/>
      </w:pPr>
      <w:r w:rsidRPr="00E82552">
        <w:rPr>
          <w:noProof/>
          <w:lang w:eastAsia="sl-SI"/>
        </w:rPr>
        <w:drawing>
          <wp:inline distT="0" distB="0" distL="0" distR="0" wp14:anchorId="62229303" wp14:editId="4376661B">
            <wp:extent cx="4572000" cy="3760148"/>
            <wp:effectExtent l="0" t="0" r="0" b="0"/>
            <wp:docPr id="2111931299" name="Picture 211193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1931299"/>
                    <pic:cNvPicPr/>
                  </pic:nvPicPr>
                  <pic:blipFill>
                    <a:blip r:embed="rId84">
                      <a:extLst>
                        <a:ext uri="{28A0092B-C50C-407E-A947-70E740481C1C}">
                          <a14:useLocalDpi xmlns:a14="http://schemas.microsoft.com/office/drawing/2010/main" val="0"/>
                        </a:ext>
                      </a:extLst>
                    </a:blip>
                    <a:stretch>
                      <a:fillRect/>
                    </a:stretch>
                  </pic:blipFill>
                  <pic:spPr>
                    <a:xfrm>
                      <a:off x="0" y="0"/>
                      <a:ext cx="4572000" cy="3760148"/>
                    </a:xfrm>
                    <a:prstGeom prst="rect">
                      <a:avLst/>
                    </a:prstGeom>
                  </pic:spPr>
                </pic:pic>
              </a:graphicData>
            </a:graphic>
          </wp:inline>
        </w:drawing>
      </w:r>
    </w:p>
    <w:p w14:paraId="5932ABC3" w14:textId="237F30FD" w:rsidR="00545A37" w:rsidRDefault="00545A37" w:rsidP="00545A37">
      <w:pPr>
        <w:pStyle w:val="Napis"/>
        <w:jc w:val="left"/>
      </w:pPr>
      <w:bookmarkStart w:id="208" w:name="_Ref74903801"/>
      <w:bookmarkStart w:id="209" w:name="_Toc97026857"/>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6</w:t>
      </w:r>
      <w:r w:rsidR="008334B2">
        <w:fldChar w:fldCharType="end"/>
      </w:r>
      <w:bookmarkEnd w:id="208"/>
      <w:r w:rsidRPr="00955C98">
        <w:t>: Gozdovi v Mestni občini Nova Gorica (ZGS, 2019)</w:t>
      </w:r>
      <w:bookmarkEnd w:id="209"/>
    </w:p>
    <w:p w14:paraId="3DA71772" w14:textId="272691D5" w:rsidR="00545A37" w:rsidRPr="00E82552" w:rsidRDefault="00545A37" w:rsidP="00545A37">
      <w:pPr>
        <w:rPr>
          <w:rFonts w:eastAsia="Trebuchet MS" w:cs="Trebuchet MS"/>
        </w:rPr>
      </w:pPr>
      <w:r w:rsidRPr="00E82552">
        <w:rPr>
          <w:rFonts w:eastAsia="Trebuchet MS" w:cs="Trebuchet MS"/>
        </w:rPr>
        <w:t xml:space="preserve">Posek se je v večjem delu MONG v preteklem desetletju močno povečal, predvsem sanitarni.  </w:t>
      </w:r>
      <w:r w:rsidRPr="00E82552">
        <w:rPr>
          <w:lang w:eastAsia="sl-SI"/>
        </w:rPr>
        <w:t>Sanitarni posek predstavlja posek bolnega, poškodovanega ali sušečega se drevja, ki je odstranjeno iz gozda z namenom izboljšanja zdravstvenega stanja gozda (Jurc in sod., 2003) in je dober kazalec zdravja gozda. Sanitarni posek je v letih od 2014 do 2019 v povprečju obsegal 44,3 % celotnega poseka oziroma 165.909 m</w:t>
      </w:r>
      <w:r w:rsidRPr="00E82552">
        <w:rPr>
          <w:vertAlign w:val="superscript"/>
          <w:lang w:eastAsia="sl-SI"/>
        </w:rPr>
        <w:t>3</w:t>
      </w:r>
      <w:r w:rsidRPr="00E82552">
        <w:rPr>
          <w:lang w:eastAsia="sl-SI"/>
        </w:rPr>
        <w:t xml:space="preserve"> (ZGS, 2019). V tem obdobju je bil sanitarni posek najobsežnejši v letih 2015 in 2016, ko je predstavljal 68 % oziroma 67 </w:t>
      </w:r>
      <w:r w:rsidRPr="00E82552">
        <w:rPr>
          <w:rFonts w:eastAsia="Trebuchet MS" w:cs="Trebuchet MS"/>
          <w:lang w:eastAsia="sl-SI"/>
        </w:rPr>
        <w:t>% skupnega poseka v občini (</w:t>
      </w:r>
      <w:r>
        <w:rPr>
          <w:rFonts w:eastAsia="Trebuchet MS" w:cs="Trebuchet MS"/>
          <w:lang w:eastAsia="sl-SI"/>
        </w:rPr>
        <w:fldChar w:fldCharType="begin"/>
      </w:r>
      <w:r>
        <w:rPr>
          <w:rFonts w:eastAsia="Trebuchet MS" w:cs="Trebuchet MS"/>
          <w:lang w:eastAsia="sl-SI"/>
        </w:rPr>
        <w:instrText xml:space="preserve"> REF _Ref74287195 \h </w:instrText>
      </w:r>
      <w:r>
        <w:rPr>
          <w:rFonts w:eastAsia="Trebuchet MS" w:cs="Trebuchet MS"/>
          <w:lang w:eastAsia="sl-SI"/>
        </w:rPr>
      </w:r>
      <w:r>
        <w:rPr>
          <w:rFonts w:eastAsia="Trebuchet MS" w:cs="Trebuchet MS"/>
          <w:lang w:eastAsia="sl-SI"/>
        </w:rPr>
        <w:fldChar w:fldCharType="separate"/>
      </w:r>
      <w:r w:rsidR="004700D5">
        <w:t xml:space="preserve">Slika </w:t>
      </w:r>
      <w:r w:rsidR="004700D5">
        <w:rPr>
          <w:noProof/>
        </w:rPr>
        <w:t>6</w:t>
      </w:r>
      <w:r w:rsidR="004700D5">
        <w:t>.</w:t>
      </w:r>
      <w:r w:rsidR="004700D5">
        <w:rPr>
          <w:noProof/>
        </w:rPr>
        <w:t>7</w:t>
      </w:r>
      <w:r>
        <w:rPr>
          <w:rFonts w:eastAsia="Trebuchet MS" w:cs="Trebuchet MS"/>
          <w:lang w:eastAsia="sl-SI"/>
        </w:rPr>
        <w:fldChar w:fldCharType="end"/>
      </w:r>
      <w:r w:rsidRPr="00E82552">
        <w:rPr>
          <w:rFonts w:eastAsia="Trebuchet MS" w:cs="Trebuchet MS"/>
          <w:lang w:eastAsia="sl-SI"/>
        </w:rPr>
        <w:t>). Glavni vzrok za sanitarni posek v tem obdobju je bil  žledolom, sledij</w:t>
      </w:r>
      <w:r w:rsidRPr="00E82552">
        <w:rPr>
          <w:lang w:eastAsia="sl-SI"/>
        </w:rPr>
        <w:t>o namnožitve insektov ter vetrolom (</w:t>
      </w:r>
      <w:r>
        <w:rPr>
          <w:lang w:eastAsia="sl-SI"/>
        </w:rPr>
        <w:fldChar w:fldCharType="begin"/>
      </w:r>
      <w:r>
        <w:rPr>
          <w:lang w:eastAsia="sl-SI"/>
        </w:rPr>
        <w:instrText xml:space="preserve"> REF _Ref74287214 \h </w:instrText>
      </w:r>
      <w:r>
        <w:rPr>
          <w:lang w:eastAsia="sl-SI"/>
        </w:rPr>
      </w:r>
      <w:r>
        <w:rPr>
          <w:lang w:eastAsia="sl-SI"/>
        </w:rPr>
        <w:fldChar w:fldCharType="separate"/>
      </w:r>
      <w:r w:rsidR="004700D5">
        <w:t xml:space="preserve">Slika </w:t>
      </w:r>
      <w:r w:rsidR="004700D5">
        <w:rPr>
          <w:noProof/>
        </w:rPr>
        <w:t>6</w:t>
      </w:r>
      <w:r w:rsidR="004700D5">
        <w:t>.</w:t>
      </w:r>
      <w:r w:rsidR="004700D5">
        <w:rPr>
          <w:noProof/>
        </w:rPr>
        <w:t>8</w:t>
      </w:r>
      <w:r>
        <w:rPr>
          <w:lang w:eastAsia="sl-SI"/>
        </w:rPr>
        <w:fldChar w:fldCharType="end"/>
      </w:r>
      <w:r w:rsidRPr="00E82552">
        <w:rPr>
          <w:lang w:eastAsia="sl-SI"/>
        </w:rPr>
        <w:t>).</w:t>
      </w:r>
    </w:p>
    <w:p w14:paraId="4E3B3B31" w14:textId="77777777" w:rsidR="00545A37" w:rsidRDefault="00545A37" w:rsidP="00545A37">
      <w:pPr>
        <w:keepNext/>
        <w:spacing w:line="276" w:lineRule="auto"/>
        <w:ind w:left="426"/>
        <w:jc w:val="center"/>
      </w:pPr>
      <w:r w:rsidRPr="00E82552">
        <w:rPr>
          <w:noProof/>
          <w:lang w:eastAsia="sl-SI"/>
        </w:rPr>
        <w:lastRenderedPageBreak/>
        <w:drawing>
          <wp:inline distT="0" distB="0" distL="0" distR="0" wp14:anchorId="2D353261" wp14:editId="3038027C">
            <wp:extent cx="5343525" cy="2828925"/>
            <wp:effectExtent l="0" t="0" r="9525" b="9525"/>
            <wp:docPr id="319530545" name="Picture 319530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530545"/>
                    <pic:cNvPicPr/>
                  </pic:nvPicPr>
                  <pic:blipFill rotWithShape="1">
                    <a:blip r:embed="rId85">
                      <a:extLst>
                        <a:ext uri="{28A0092B-C50C-407E-A947-70E740481C1C}">
                          <a14:useLocalDpi xmlns:a14="http://schemas.microsoft.com/office/drawing/2010/main" val="0"/>
                        </a:ext>
                      </a:extLst>
                    </a:blip>
                    <a:srcRect l="1389" t="1931" r="1192" b="2486"/>
                    <a:stretch/>
                  </pic:blipFill>
                  <pic:spPr bwMode="auto">
                    <a:xfrm>
                      <a:off x="0" y="0"/>
                      <a:ext cx="5344762" cy="2829580"/>
                    </a:xfrm>
                    <a:prstGeom prst="rect">
                      <a:avLst/>
                    </a:prstGeom>
                    <a:ln>
                      <a:noFill/>
                    </a:ln>
                    <a:extLst>
                      <a:ext uri="{53640926-AAD7-44D8-BBD7-CCE9431645EC}">
                        <a14:shadowObscured xmlns:a14="http://schemas.microsoft.com/office/drawing/2010/main"/>
                      </a:ext>
                    </a:extLst>
                  </pic:spPr>
                </pic:pic>
              </a:graphicData>
            </a:graphic>
          </wp:inline>
        </w:drawing>
      </w:r>
    </w:p>
    <w:p w14:paraId="515AAB47" w14:textId="73B7F204" w:rsidR="00545A37" w:rsidRPr="00E82552" w:rsidRDefault="00545A37" w:rsidP="00545A37">
      <w:pPr>
        <w:pStyle w:val="Napis"/>
        <w:jc w:val="left"/>
        <w:rPr>
          <w:rFonts w:eastAsia="Trebuchet MS" w:cs="Trebuchet MS"/>
        </w:rPr>
      </w:pPr>
      <w:bookmarkStart w:id="210" w:name="_Ref74287195"/>
      <w:bookmarkStart w:id="211" w:name="_Toc97026858"/>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7</w:t>
      </w:r>
      <w:r w:rsidR="008334B2">
        <w:fldChar w:fldCharType="end"/>
      </w:r>
      <w:bookmarkEnd w:id="210"/>
      <w:r>
        <w:t xml:space="preserve">: </w:t>
      </w:r>
      <w:r w:rsidRPr="00A36F66">
        <w:t>Delež sanitarnega poseka (m</w:t>
      </w:r>
      <w:r w:rsidRPr="00B32C4C">
        <w:rPr>
          <w:vertAlign w:val="superscript"/>
        </w:rPr>
        <w:t>3</w:t>
      </w:r>
      <w:r w:rsidRPr="00A36F66">
        <w:t xml:space="preserve"> lesne mase) v Mestni občini Nova Gorica v letih od 2014 do 2019 (ZGS, 2014, 2015, 2016, 2017, 2018, 2019).</w:t>
      </w:r>
      <w:bookmarkEnd w:id="211"/>
    </w:p>
    <w:p w14:paraId="1E69B2E3" w14:textId="77777777" w:rsidR="00545A37" w:rsidRDefault="00545A37" w:rsidP="00545A37">
      <w:pPr>
        <w:keepNext/>
        <w:spacing w:line="276" w:lineRule="auto"/>
        <w:ind w:left="426"/>
        <w:jc w:val="left"/>
      </w:pPr>
      <w:r w:rsidRPr="00E82552">
        <w:rPr>
          <w:noProof/>
          <w:lang w:eastAsia="sl-SI"/>
        </w:rPr>
        <w:drawing>
          <wp:inline distT="0" distB="0" distL="0" distR="0" wp14:anchorId="1474CBB2" wp14:editId="6FC41F5E">
            <wp:extent cx="5343098" cy="2080895"/>
            <wp:effectExtent l="0" t="0" r="0" b="0"/>
            <wp:docPr id="193484571" name="Picture 19348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484571"/>
                    <pic:cNvPicPr/>
                  </pic:nvPicPr>
                  <pic:blipFill rotWithShape="1">
                    <a:blip r:embed="rId86">
                      <a:extLst>
                        <a:ext uri="{28A0092B-C50C-407E-A947-70E740481C1C}">
                          <a14:useLocalDpi xmlns:a14="http://schemas.microsoft.com/office/drawing/2010/main" val="0"/>
                        </a:ext>
                      </a:extLst>
                    </a:blip>
                    <a:srcRect l="1245" t="1563" r="1332" b="3085"/>
                    <a:stretch/>
                  </pic:blipFill>
                  <pic:spPr bwMode="auto">
                    <a:xfrm>
                      <a:off x="0" y="0"/>
                      <a:ext cx="5345055" cy="2081657"/>
                    </a:xfrm>
                    <a:prstGeom prst="rect">
                      <a:avLst/>
                    </a:prstGeom>
                    <a:ln>
                      <a:noFill/>
                    </a:ln>
                    <a:extLst>
                      <a:ext uri="{53640926-AAD7-44D8-BBD7-CCE9431645EC}">
                        <a14:shadowObscured xmlns:a14="http://schemas.microsoft.com/office/drawing/2010/main"/>
                      </a:ext>
                    </a:extLst>
                  </pic:spPr>
                </pic:pic>
              </a:graphicData>
            </a:graphic>
          </wp:inline>
        </w:drawing>
      </w:r>
    </w:p>
    <w:p w14:paraId="58007E1D" w14:textId="1A794C2F" w:rsidR="00545A37" w:rsidRDefault="00545A37" w:rsidP="00545A37">
      <w:pPr>
        <w:pStyle w:val="Napis"/>
        <w:jc w:val="left"/>
      </w:pPr>
      <w:bookmarkStart w:id="212" w:name="_Ref74287214"/>
      <w:bookmarkStart w:id="213" w:name="_Toc97026859"/>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8</w:t>
      </w:r>
      <w:r w:rsidR="008334B2">
        <w:fldChar w:fldCharType="end"/>
      </w:r>
      <w:bookmarkEnd w:id="212"/>
      <w:r>
        <w:t xml:space="preserve">: </w:t>
      </w:r>
      <w:r w:rsidRPr="00C50400">
        <w:t>Vrste sanitarnega poseka po vzrokih (m</w:t>
      </w:r>
      <w:r w:rsidRPr="00B32C4C">
        <w:rPr>
          <w:vertAlign w:val="superscript"/>
        </w:rPr>
        <w:t>3</w:t>
      </w:r>
      <w:r w:rsidRPr="00C50400">
        <w:t xml:space="preserve"> lesne mase) v Mestni občini Nova Gorica v letih od 2014 do 2019 (ZGS, 2014, 2015, 2016, 2017, 2018, 2019).</w:t>
      </w:r>
      <w:bookmarkEnd w:id="213"/>
    </w:p>
    <w:p w14:paraId="75AAE6FC" w14:textId="77777777" w:rsidR="00545A37" w:rsidRPr="00545A37" w:rsidRDefault="00545A37" w:rsidP="00900691">
      <w:pPr>
        <w:pStyle w:val="Naslov4"/>
        <w:numPr>
          <w:ilvl w:val="3"/>
          <w:numId w:val="37"/>
        </w:numPr>
        <w:rPr>
          <w:rFonts w:eastAsia="Arial"/>
        </w:rPr>
      </w:pPr>
      <w:r w:rsidRPr="00545A37">
        <w:rPr>
          <w:rFonts w:eastAsia="Arial"/>
        </w:rPr>
        <w:t>Funkcije gozdov v Mestni občini Nova Gorica</w:t>
      </w:r>
    </w:p>
    <w:p w14:paraId="386C398C" w14:textId="77777777" w:rsidR="00545A37" w:rsidRPr="00E82552" w:rsidRDefault="00545A37" w:rsidP="00545A37">
      <w:pPr>
        <w:rPr>
          <w:highlight w:val="yellow"/>
        </w:rPr>
      </w:pPr>
      <w:r w:rsidRPr="00E82552">
        <w:t xml:space="preserve">Gozdovi v </w:t>
      </w:r>
      <w:r w:rsidRPr="00E82552">
        <w:rPr>
          <w:rFonts w:cs="Arial"/>
          <w:lang w:eastAsia="sl-SI"/>
        </w:rPr>
        <w:t>MONG</w:t>
      </w:r>
      <w:r w:rsidRPr="00E82552">
        <w:t xml:space="preserve"> so zaradi svoje lege, površine, podnebne, talne, reliefne in vegetacijske raznolikosti tudi funkcijsko zelo pestri. Poleg lesno-proizvodne funkcije zagotavljajo tudi ekološke funkcije, med katerimi so najpomembnejše hidrološka, varovalna, klimatska in funkcija ohranjanja biotske raznovrstnosti, ter socialne, zlasti zaščitna, higiensko-zdravstvena, rekreacijska funkcija in funkcija varovanja naravnih </w:t>
      </w:r>
      <w:r w:rsidRPr="00B32C4C">
        <w:t xml:space="preserve">vrednot. Najpomembnejše so funkcije na prvi stopnji poudarjenosti, kar pomeni, da ta funkcija določa način gospodarjenja z gozdom. Vsi posegi v gozd morajo biti tako podrejeni tej funkciji. </w:t>
      </w:r>
      <w:r w:rsidRPr="00E82552">
        <w:t xml:space="preserve">V </w:t>
      </w:r>
      <w:r w:rsidRPr="00E82552">
        <w:rPr>
          <w:rFonts w:cs="Arial"/>
          <w:lang w:eastAsia="sl-SI"/>
        </w:rPr>
        <w:t>MONG</w:t>
      </w:r>
      <w:r w:rsidRPr="00E82552">
        <w:t xml:space="preserve"> prevladujejo gozdovi, v katerih je najpomembnejša lesno-proizvodna funkcije (na </w:t>
      </w:r>
      <w:r>
        <w:t xml:space="preserve">prvi </w:t>
      </w:r>
      <w:r w:rsidRPr="00E82552">
        <w:t>stopnji poudarjenosti). Ta obsega gozdove na rastiščih z nadpovprečno proizvodno zmogljivostjo, ki se nahajajo predvsem na območju Trnovskega gozda.</w:t>
      </w:r>
    </w:p>
    <w:p w14:paraId="2AE88E32" w14:textId="77777777" w:rsidR="00545A37" w:rsidRPr="00E82552" w:rsidRDefault="00545A37" w:rsidP="00545A37">
      <w:pPr>
        <w:rPr>
          <w:highlight w:val="yellow"/>
        </w:rPr>
      </w:pPr>
      <w:r w:rsidRPr="00E82552">
        <w:lastRenderedPageBreak/>
        <w:t xml:space="preserve">Varovalno funkcijo zagotavljajo gozdovi na ekstremnih rastiščih, ki varujejo pred erozijo, vetrovi, idr. Prvo stopnjo poudarjenosti imajo vsi varovalni gozdovi, izločeni na podlagi Uredbe (2005) zaradi večjih naklonov terena. Takšni gozdovi se nahajajo zlasti na najstrmejših delih pobočij Trnovske planote, kjer prevladujejo ekstremna strmina, </w:t>
      </w:r>
      <w:proofErr w:type="spellStart"/>
      <w:r w:rsidRPr="00E82552">
        <w:t>skalovitost</w:t>
      </w:r>
      <w:proofErr w:type="spellEnd"/>
      <w:r w:rsidRPr="00E82552">
        <w:t xml:space="preserve"> in pobočna melišča, zato se tu ne izvaja nobenih ukrepov. Varovalno funkcijo s </w:t>
      </w:r>
      <w:r>
        <w:t>prvo</w:t>
      </w:r>
      <w:r w:rsidRPr="00E82552">
        <w:t xml:space="preserve"> stopnjo poudarjenosti zagotavljajo tudi manjši grebeni in strma pobočja, razpršena po vsej občini.</w:t>
      </w:r>
    </w:p>
    <w:p w14:paraId="36A3E1F1" w14:textId="77777777" w:rsidR="00545A37" w:rsidRPr="00E82552" w:rsidRDefault="00545A37" w:rsidP="00545A37">
      <w:r w:rsidRPr="00E82552">
        <w:t>Hidrološka funkcija je pomembna zlasti na vodovarstvenih območjih vodnih virov ter na ožjih območjih vodotokov. Gozdovi na območju Trnovskega gozda predstavljajo veliko vodozbirno zaledje reke Vipave s pritoki, celotno območje visokega krasa pa predstavlja ogromno vodozbirno zaledje večine vodnih virov severno Primorske regije.</w:t>
      </w:r>
    </w:p>
    <w:p w14:paraId="481FA2DB" w14:textId="77777777" w:rsidR="00545A37" w:rsidRPr="00E82552" w:rsidRDefault="00545A37" w:rsidP="00545A37">
      <w:r w:rsidRPr="00E82552">
        <w:t xml:space="preserve">Pomen klimatske funkcije je izrazit zlasti z vidika zmanjševanja hitrosti in spreminjanja smeri vetra. Klimatsko funkcijo opravljajo zlasti gozdovi, ki varujejo kmetijske površine pred vetrom ali pozebo, blažijo klimatske ekstreme in lokalno uravnavajo ter izboljšujejo podnebne razmere v območjih naselij, rekreacijskih in drugih uporabnih površin. Klimatsko funkcijo imajo na prvi stopnji podarjeno gozdovi na </w:t>
      </w:r>
      <w:proofErr w:type="spellStart"/>
      <w:r w:rsidRPr="00E82552">
        <w:t>Lijaškem</w:t>
      </w:r>
      <w:proofErr w:type="spellEnd"/>
      <w:r w:rsidRPr="00E82552">
        <w:t xml:space="preserve"> in </w:t>
      </w:r>
      <w:proofErr w:type="spellStart"/>
      <w:r w:rsidRPr="00E82552">
        <w:t>Šempaskem</w:t>
      </w:r>
      <w:proofErr w:type="spellEnd"/>
      <w:r w:rsidRPr="00E82552">
        <w:t xml:space="preserve"> polju, kjer je burja najbolj izrazita in ima negativen učinek zlasti na kmetijskih površinah, ter v neposredni bližini naselja Nova Gorica, kjer gozd poleg zmanjševanja hitrosti vetra blagodejno vpliva tudi na vlažnost in temperaturo zraka. V bližini naselij Lokve, Nemci in tudi Trnovo</w:t>
      </w:r>
      <w:r>
        <w:t>,</w:t>
      </w:r>
      <w:r w:rsidRPr="00E82552">
        <w:t xml:space="preserve"> gozd varuje tudi pred škodljivimi učinki vremenskih nevšečnosti.</w:t>
      </w:r>
    </w:p>
    <w:p w14:paraId="00B79044" w14:textId="77777777" w:rsidR="00545A37" w:rsidRPr="00E82552" w:rsidRDefault="00545A37" w:rsidP="00545A37">
      <w:r w:rsidRPr="00E82552">
        <w:t xml:space="preserve">Pomembna je tudi funkcija ohranjana biotske </w:t>
      </w:r>
      <w:r w:rsidRPr="00E82552">
        <w:rPr>
          <w:color w:val="000000" w:themeColor="text1"/>
        </w:rPr>
        <w:t>raznovrstnosti</w:t>
      </w:r>
      <w:r w:rsidRPr="00E82552">
        <w:t xml:space="preserve">. Najpomembnejše funkcijske enote s prvo stopnjo poudarjenosti </w:t>
      </w:r>
      <w:proofErr w:type="spellStart"/>
      <w:r w:rsidRPr="00E82552">
        <w:t>biotopske</w:t>
      </w:r>
      <w:proofErr w:type="spellEnd"/>
      <w:r w:rsidRPr="00E82552">
        <w:t xml:space="preserve"> funkcije so predvsem na območju </w:t>
      </w:r>
      <w:proofErr w:type="spellStart"/>
      <w:r w:rsidRPr="00B93534">
        <w:t>Govcev</w:t>
      </w:r>
      <w:proofErr w:type="spellEnd"/>
      <w:r w:rsidRPr="00B93534">
        <w:t xml:space="preserve">, Bukovca, Bisage, </w:t>
      </w:r>
      <w:proofErr w:type="spellStart"/>
      <w:r w:rsidRPr="00B93534">
        <w:t>Mrzovca</w:t>
      </w:r>
      <w:proofErr w:type="spellEnd"/>
      <w:r w:rsidRPr="00B93534">
        <w:t xml:space="preserve"> in Črnega Vrha.</w:t>
      </w:r>
      <w:r w:rsidRPr="00E82552">
        <w:t xml:space="preserve"> Na omenjenih predelih imamo med drugim rastišča divjega petelina, v </w:t>
      </w:r>
      <w:proofErr w:type="spellStart"/>
      <w:r w:rsidRPr="00E82552">
        <w:t>Govcih</w:t>
      </w:r>
      <w:proofErr w:type="spellEnd"/>
      <w:r w:rsidRPr="00E82552">
        <w:t xml:space="preserve"> pa rastišča avtohtonega črnega bora. Prvo stopnjo poudarjenosti funkcije imajo tudi zadnji ohranjeni otoki avtohtonih hrastovih gozdov v spodnji Vipavski dolini, kamor uvrščamo gozdove </w:t>
      </w:r>
      <w:proofErr w:type="spellStart"/>
      <w:r w:rsidRPr="00E82552">
        <w:t>Panovca</w:t>
      </w:r>
      <w:proofErr w:type="spellEnd"/>
      <w:r w:rsidRPr="00E82552">
        <w:t xml:space="preserve"> ter dva druga večja ohranjena kompleksa. Poleg teh so točkovno izločeni tudi nekateri gozdovi v okolici evidentiranih </w:t>
      </w:r>
      <w:proofErr w:type="spellStart"/>
      <w:r w:rsidRPr="00E82552">
        <w:t>zimovališč</w:t>
      </w:r>
      <w:proofErr w:type="spellEnd"/>
      <w:r w:rsidRPr="00E82552">
        <w:t xml:space="preserve"> prostoživečih živali ter vzdrževane travnate površine in stoječe vodne površine v gozdnem prostoru po celotni občini.</w:t>
      </w:r>
    </w:p>
    <w:p w14:paraId="1D2638FA" w14:textId="77777777" w:rsidR="00545A37" w:rsidRPr="00E82552" w:rsidRDefault="00545A37" w:rsidP="00545A37">
      <w:pPr>
        <w:rPr>
          <w:rFonts w:eastAsia="Calibri" w:cs="Arial"/>
        </w:rPr>
      </w:pPr>
      <w:r w:rsidRPr="00E82552">
        <w:t xml:space="preserve">Med socialnimi funkcijami so v MONG pomembne predvsem zaščitna, rekreacijska in turistična funkcija. Kjer gozd zagotavlja varnost ljudi in prometa ter zaščito prometnic, naselij in drugih objektov pred padanjem kamenja, bočnimi vetrovi in zdrsi zemljišča, je poudarjena zaščitna funkcija. Takšni gozdovi so zlasti gozdovi nad železniško progo Most na Soči-Nova Gorica in cesto Deskle-Solkan. Zaradi varovanja kmetijskih zemljišč pred burjo je na prvi stopnji izražena tudi na </w:t>
      </w:r>
      <w:proofErr w:type="spellStart"/>
      <w:r w:rsidRPr="00E82552">
        <w:t>Lijaškem</w:t>
      </w:r>
      <w:proofErr w:type="spellEnd"/>
      <w:r w:rsidRPr="00E82552">
        <w:t xml:space="preserve"> in </w:t>
      </w:r>
      <w:proofErr w:type="spellStart"/>
      <w:r w:rsidRPr="00E82552">
        <w:t>Šempaskem</w:t>
      </w:r>
      <w:proofErr w:type="spellEnd"/>
      <w:r w:rsidRPr="00E82552">
        <w:t xml:space="preserve"> polju. Kjer gozd omogoča izvajanje aktivnosti za telesno krepitev ali duševno sprostitev ter je hkrati dostopen in opremljen z rekreacijsko infrastrukturo, je izražena rekreacijska funkcija. Prvo stopnjo poudarjenosti funkcije imajo zaradi množičnega obiska gozdovi v zahodnem delu </w:t>
      </w:r>
      <w:proofErr w:type="spellStart"/>
      <w:r w:rsidRPr="00E82552">
        <w:t>Panovca</w:t>
      </w:r>
      <w:proofErr w:type="spellEnd"/>
      <w:r w:rsidRPr="00E82552">
        <w:t xml:space="preserve"> ter območje ob planinski poti na Skalnico, linijsko pa tudi pas gozda ob markiranih planinskih poteh, ki se vzpenjajo s Sv. Katarine proti vrhu </w:t>
      </w:r>
      <w:proofErr w:type="spellStart"/>
      <w:r w:rsidRPr="00E82552">
        <w:t>Škabrijela</w:t>
      </w:r>
      <w:proofErr w:type="spellEnd"/>
      <w:r w:rsidRPr="00E82552">
        <w:t xml:space="preserve"> in z Vitovelj proti Kuclju ter se od tod vijejo po obronkih Trnovskega gozda proti </w:t>
      </w:r>
      <w:proofErr w:type="spellStart"/>
      <w:r w:rsidRPr="00E82552">
        <w:t>Trpinovščam</w:t>
      </w:r>
      <w:proofErr w:type="spellEnd"/>
      <w:r w:rsidRPr="00E82552">
        <w:t xml:space="preserve">. Na območju Trnovskega gozda med najbolj priljubljene planinske točke spadajo </w:t>
      </w:r>
      <w:proofErr w:type="spellStart"/>
      <w:r w:rsidRPr="00E82552">
        <w:t>Poldanovec</w:t>
      </w:r>
      <w:proofErr w:type="spellEnd"/>
      <w:r w:rsidRPr="00E82552">
        <w:t xml:space="preserve">, </w:t>
      </w:r>
      <w:proofErr w:type="spellStart"/>
      <w:r w:rsidRPr="00E82552">
        <w:t>Mrzovec</w:t>
      </w:r>
      <w:proofErr w:type="spellEnd"/>
      <w:r w:rsidRPr="00E82552">
        <w:t xml:space="preserve"> in Lazna. Rekreacijska funkcija se pogosto prepleta s turistično funkcijo, ki zadovoljuje potrebe obiskovalcev po oddihu in razvedrilu v gozdu.</w:t>
      </w:r>
      <w:r w:rsidRPr="00E82552">
        <w:rPr>
          <w:rFonts w:eastAsia="Calibri" w:cs="Arial"/>
        </w:rPr>
        <w:t xml:space="preserve"> Higiensko-zdravstvena funkcija gozda izboljšuje oz. ohranja kakovost zdravega življenjskega okolja ter blaži škodljive vplive imisij in hrupa, zato je poudarjena predvsem v neposredni bližini bolnic in zdravilišč ter v gozdovih med bivalnimi objekti </w:t>
      </w:r>
      <w:r w:rsidRPr="00E82552">
        <w:rPr>
          <w:rFonts w:eastAsia="Calibri" w:cs="Arial"/>
        </w:rPr>
        <w:lastRenderedPageBreak/>
        <w:t>in večjimi viri hrupa, smradu, sevanja ali onesnaženja. Funkcijo s prvo stopnjo poudarjenosti opravljajo gozdovi v okolici solkanskega kamnoloma, območje gozdov severno od Kromberka, gozdovi med Panovcem in industrijsko cono Meblo ter gozdovi okrog Pristave.</w:t>
      </w:r>
    </w:p>
    <w:p w14:paraId="5E64921B" w14:textId="77777777" w:rsidR="00545A37" w:rsidRPr="00E82552" w:rsidRDefault="00545A37" w:rsidP="00545A37">
      <w:pPr>
        <w:rPr>
          <w:rFonts w:eastAsia="Calibri" w:cs="Arial"/>
        </w:rPr>
      </w:pPr>
      <w:r w:rsidRPr="00E82552">
        <w:rPr>
          <w:rFonts w:eastAsia="Calibri" w:cs="Arial"/>
        </w:rPr>
        <w:t xml:space="preserve">Funkcija varovanja naravnih in drugih vrednot okolja je poudarjena v gozdovih na območju redkih, dragocenih, znamenitih ali drugih vrednih naravnih pojavov, ki imajo po predpisih o ohranjanju narave status naravne vrednote, na območjih pričakovanih naravnih vrednot, na zavarovanih območjih ter v neposredni bližini izjemnih dreves v gozdnem prostoru. Funkcija je na prvi stopnji poudarjenosti določena v gozdnih rezervatih ter v neposredni bližini naravnih vrednot, kjer se gozdne dobrine ne smejo izkoriščati oz. se z njimi upravlja izključno za varstveni namen. Na drugi stopnji je funkcija ovrednotena v </w:t>
      </w:r>
      <w:proofErr w:type="spellStart"/>
      <w:r w:rsidRPr="00E82552">
        <w:rPr>
          <w:rFonts w:eastAsia="Calibri" w:cs="Arial"/>
        </w:rPr>
        <w:t>Panovcu</w:t>
      </w:r>
      <w:proofErr w:type="spellEnd"/>
      <w:r w:rsidRPr="00E82552">
        <w:rPr>
          <w:rFonts w:eastAsia="Calibri" w:cs="Arial"/>
        </w:rPr>
        <w:t>, v regijskem parku Južni obronki Trnovskega gozda, na območju Skalnice in vrha Štanjela ter na naravnih in drugih vrednotah okolja, za katere je določen blažji varstveni režim, ki dopušča izkoriščanje gozdnih dobrin.</w:t>
      </w:r>
    </w:p>
    <w:p w14:paraId="5345FF7E" w14:textId="77777777" w:rsidR="00545A37" w:rsidRPr="00E82552" w:rsidRDefault="00545A37" w:rsidP="00545A37">
      <w:r w:rsidRPr="00E82552">
        <w:t xml:space="preserve">Na področju pridobivanja </w:t>
      </w:r>
      <w:proofErr w:type="spellStart"/>
      <w:r w:rsidRPr="00E82552">
        <w:t>nelesnih</w:t>
      </w:r>
      <w:proofErr w:type="spellEnd"/>
      <w:r w:rsidRPr="00E82552">
        <w:t xml:space="preserve"> gozdnih dobrin je v občini pomembna lovno-gospodarska funkcija, čebelja paša, nabiranje gozdnih plodov (domači kostanj) ter zelišč.</w:t>
      </w:r>
    </w:p>
    <w:p w14:paraId="7FB33004" w14:textId="77777777" w:rsidR="00545A37" w:rsidRPr="00E82552" w:rsidRDefault="00545A37" w:rsidP="00545A37">
      <w:pPr>
        <w:pStyle w:val="Naslov4"/>
        <w:rPr>
          <w:rFonts w:eastAsia="Arial"/>
        </w:rPr>
      </w:pPr>
      <w:r w:rsidRPr="00E82552">
        <w:rPr>
          <w:rFonts w:eastAsia="Arial"/>
        </w:rPr>
        <w:t>Zavarovana območja</w:t>
      </w:r>
    </w:p>
    <w:p w14:paraId="184611AD" w14:textId="77777777" w:rsidR="00545A37" w:rsidRPr="00B32C4C" w:rsidRDefault="00545A37" w:rsidP="00545A37">
      <w:r w:rsidRPr="00B32C4C">
        <w:t xml:space="preserve">Zavarovana območja so eden izmed ukrepov varstva narave. V MONG se nahaja več zavarovanih območij. Na vzhodnem delu občine je del krajinskega parka Južni obronki Trnovskega gozda, na severnem delu občine pa v občino sega tudi zelo majhen del (2,3 ha) krajinskega parka Zgornja Idrijca. Krajinski park je širše zavarovano območje s poudarjenim kakovostnim in dolgotrajnim prepletom človeka z naravo, ki ima veliko ekološko, biotsko ali krajinsko vrednost. </w:t>
      </w:r>
    </w:p>
    <w:p w14:paraId="5320D604" w14:textId="77777777" w:rsidR="00545A37" w:rsidRPr="00B32C4C" w:rsidRDefault="00545A37" w:rsidP="00545A37">
      <w:r w:rsidRPr="00B32C4C">
        <w:t xml:space="preserve">V občini se nahaja naravni rezervat Golaki in Smrekova draga. Naravni rezervat je območje </w:t>
      </w:r>
      <w:proofErr w:type="spellStart"/>
      <w:r w:rsidRPr="00B32C4C">
        <w:t>geotopov</w:t>
      </w:r>
      <w:proofErr w:type="spellEnd"/>
      <w:r w:rsidRPr="00B32C4C">
        <w:t>, življenjskih prostorov ogroženih, redkih ali značilnih rastlinskih ali živalskih vrst ali območje, pomembno za ohranjanje biotske raznovrstnosti, ki se z uravnoteženim delovanjem človeka v naravi tudi vzdržuje.</w:t>
      </w:r>
    </w:p>
    <w:p w14:paraId="2DBF2BD3" w14:textId="77777777" w:rsidR="00545A37" w:rsidRPr="00E82552" w:rsidRDefault="00545A37" w:rsidP="00545A37">
      <w:pPr>
        <w:rPr>
          <w:rFonts w:eastAsia="Arial" w:cs="Arial"/>
          <w:highlight w:val="yellow"/>
        </w:rPr>
      </w:pPr>
      <w:r w:rsidRPr="00B32C4C">
        <w:t xml:space="preserve">Poleg tega je v občini tudi več naravnih spomenikov, kamor spadajo območja, ki vsebujejo eno ali več naravnih vrednot, ki imajo izjemno obliko, velikost, vsebino ali lego ali so redek primer naravne vrednote. Ti naravni spomeniki so: Smrečje v Trnovskem gozdu - mrazišče, Gozd </w:t>
      </w:r>
      <w:proofErr w:type="spellStart"/>
      <w:r w:rsidRPr="00B32C4C">
        <w:t>Panovec</w:t>
      </w:r>
      <w:proofErr w:type="spellEnd"/>
      <w:r w:rsidRPr="00B32C4C">
        <w:t>,</w:t>
      </w:r>
      <w:r w:rsidRPr="00E82552">
        <w:t xml:space="preserve"> Skalnica - območje gore z Marijinim svetiščem, Kromberk (Hrasti), Velika Ledenica v </w:t>
      </w:r>
      <w:proofErr w:type="spellStart"/>
      <w:r w:rsidRPr="00E82552">
        <w:t>Paradani</w:t>
      </w:r>
      <w:proofErr w:type="spellEnd"/>
      <w:r w:rsidRPr="00E82552">
        <w:t xml:space="preserve"> (Udorna dolina z rastlinskim obratom in jamski splet), Lijak in </w:t>
      </w:r>
      <w:proofErr w:type="spellStart"/>
      <w:r w:rsidRPr="00E82552">
        <w:t>Skozno</w:t>
      </w:r>
      <w:proofErr w:type="spellEnd"/>
      <w:r w:rsidRPr="00E82552">
        <w:t xml:space="preserve"> (kraški izvir in naravni most s spodmolom), Sv. Danijel, Grgar</w:t>
      </w:r>
      <w:r>
        <w:t xml:space="preserve"> ter</w:t>
      </w:r>
      <w:r w:rsidRPr="00E82552">
        <w:t xml:space="preserve"> Slatna (potok in ponorne jame), Vitovlje (Jezero za brestom).</w:t>
      </w:r>
      <w:r w:rsidRPr="00C234FD">
        <w:rPr>
          <w:rFonts w:eastAsia="Arial" w:cs="Arial"/>
        </w:rPr>
        <w:t xml:space="preserve"> </w:t>
      </w:r>
      <w:r w:rsidRPr="00E82552">
        <w:rPr>
          <w:rFonts w:eastAsia="Arial" w:cs="Arial"/>
        </w:rPr>
        <w:t xml:space="preserve">Skupno obsegajo 2.391 ha, kar predstavlja 8,55 % površine celotne občine. </w:t>
      </w:r>
    </w:p>
    <w:p w14:paraId="1A01055D" w14:textId="77777777" w:rsidR="00545A37" w:rsidRPr="00B32C4C" w:rsidRDefault="00545A37" w:rsidP="00545A37">
      <w:pPr>
        <w:rPr>
          <w:rFonts w:eastAsia="Arial" w:cs="Arial"/>
        </w:rPr>
      </w:pPr>
      <w:r w:rsidRPr="00545A37">
        <w:t>V MONG je sedem območij, ki se uvrščajo v območja Natura 2000. Natura 2000 območje oz. posebno varstveno območje, je ekološko pomembno območje, ki je na ozemlju Evropske unije (EU) pomembno za ohranitev ali doseganje ugodnega stanja vrst ptic (posebno območje varstva) in drugih živalskih ter rastlinskih vrst, njihovih habitatov in habitatnih tipov (posebno ohranitveno območje), katerih ohranjanje je v interesu EU. V MONG so ta območja: Banjšice, dolina Branice, dolina Vipave, Kras, Lijak, Trnovski Gozd, Vipavski rob. Na teh območjih je pomembna funkcija</w:t>
      </w:r>
      <w:r w:rsidRPr="00B32C4C">
        <w:t xml:space="preserve"> ohranjanja biotske pestrosti, kar narekuje upoštevanje le-te pri gozdnogospodarskih ukrepih in ostalih posegih v gozd in gozdni prostor. Skupno obsegajo Natura 2000 območja 14.804,5 ha površin, kar predstavlja </w:t>
      </w:r>
      <w:r w:rsidRPr="00B32C4C">
        <w:rPr>
          <w:rFonts w:eastAsia="Arial" w:cs="Arial"/>
        </w:rPr>
        <w:t xml:space="preserve">53 % površine celotne občine. </w:t>
      </w:r>
    </w:p>
    <w:p w14:paraId="34376DBE" w14:textId="77777777" w:rsidR="00545A37" w:rsidRDefault="00545A37" w:rsidP="00545A37">
      <w:pPr>
        <w:rPr>
          <w:rFonts w:eastAsia="Arial" w:cs="Arial"/>
        </w:rPr>
      </w:pPr>
      <w:r w:rsidRPr="00B32C4C">
        <w:rPr>
          <w:rFonts w:eastAsia="Arial" w:cs="Arial"/>
        </w:rPr>
        <w:lastRenderedPageBreak/>
        <w:t xml:space="preserve">Gozdovi s posebnim namenom z izjemno poudarjeno raziskovalno funkcijo so gozdni rezervati. To so gozdovi, ki so zaradi svoje razvojne faze in dosedanjega razvoja izjemno pomembni za raziskovanje, proučevanje in spremljanje naravnega razvoja gozdov, biotske raznovrstnosti in varstva naravnih vrednot ter kulturne dediščine. V </w:t>
      </w:r>
      <w:r w:rsidRPr="00B32C4C">
        <w:t>MONG</w:t>
      </w:r>
      <w:r w:rsidRPr="00B32C4C">
        <w:rPr>
          <w:rFonts w:eastAsia="Arial" w:cs="Arial"/>
        </w:rPr>
        <w:t xml:space="preserve"> je 11 gozdnih rezervatov (</w:t>
      </w:r>
      <w:proofErr w:type="spellStart"/>
      <w:r w:rsidRPr="00B32C4C">
        <w:rPr>
          <w:rFonts w:eastAsia="Arial" w:cs="Arial"/>
        </w:rPr>
        <w:t>Govci</w:t>
      </w:r>
      <w:proofErr w:type="spellEnd"/>
      <w:r w:rsidRPr="00B32C4C">
        <w:rPr>
          <w:rFonts w:eastAsia="Arial" w:cs="Arial"/>
        </w:rPr>
        <w:t>,</w:t>
      </w:r>
      <w:r w:rsidRPr="00E82552">
        <w:rPr>
          <w:rFonts w:eastAsia="Arial" w:cs="Arial"/>
        </w:rPr>
        <w:t xml:space="preserve"> Smrekova draga-Golaki, Lepo brdo (</w:t>
      </w:r>
      <w:proofErr w:type="spellStart"/>
      <w:r w:rsidRPr="00E82552">
        <w:rPr>
          <w:rFonts w:eastAsia="Arial" w:cs="Arial"/>
        </w:rPr>
        <w:t>Paradana</w:t>
      </w:r>
      <w:proofErr w:type="spellEnd"/>
      <w:r w:rsidRPr="00E82552">
        <w:rPr>
          <w:rFonts w:eastAsia="Arial" w:cs="Arial"/>
        </w:rPr>
        <w:t xml:space="preserve">), Čuk, </w:t>
      </w:r>
      <w:proofErr w:type="spellStart"/>
      <w:r w:rsidRPr="00E82552">
        <w:rPr>
          <w:rFonts w:eastAsia="Arial" w:cs="Arial"/>
        </w:rPr>
        <w:t>Panovec</w:t>
      </w:r>
      <w:proofErr w:type="spellEnd"/>
      <w:r w:rsidRPr="00E82552">
        <w:rPr>
          <w:rFonts w:eastAsia="Arial" w:cs="Arial"/>
        </w:rPr>
        <w:t xml:space="preserve">, Pod Kukom, Krajni Žleb (za </w:t>
      </w:r>
      <w:proofErr w:type="spellStart"/>
      <w:r w:rsidRPr="00E82552">
        <w:rPr>
          <w:rFonts w:eastAsia="Arial" w:cs="Arial"/>
        </w:rPr>
        <w:t>Fondekom</w:t>
      </w:r>
      <w:proofErr w:type="spellEnd"/>
      <w:r w:rsidRPr="00E82552">
        <w:rPr>
          <w:rFonts w:eastAsia="Arial" w:cs="Arial"/>
        </w:rPr>
        <w:t xml:space="preserve">), Bukovec, nad Braniškim gradom, Bosna, Lijak), ki skupno obsegajo 244 ha, kar predstavlja 1,25 % vseh gozdnih površin v občini. </w:t>
      </w:r>
    </w:p>
    <w:p w14:paraId="59434FFE" w14:textId="77777777" w:rsidR="00545A37" w:rsidRPr="00E82552" w:rsidRDefault="00545A37" w:rsidP="00545A37">
      <w:pPr>
        <w:pStyle w:val="Naslov4"/>
      </w:pPr>
      <w:r w:rsidRPr="00E82552">
        <w:t>Stanje in perspektive gozdarske industrije</w:t>
      </w:r>
    </w:p>
    <w:p w14:paraId="06609746" w14:textId="77777777" w:rsidR="00545A37" w:rsidRPr="00E82552" w:rsidRDefault="00545A37" w:rsidP="00545A37">
      <w:r w:rsidRPr="00E82552">
        <w:t>Gozdno-lesna veriga v Sloveniji sega od trajnostnega in sonaravnega gospodarjenja z gozdovi, preko predelave lesa, predelave, proizvodnje in prodaje lesnih izdelkov, do rabe lesa za energetske namene (Gale</w:t>
      </w:r>
      <w:r>
        <w:t xml:space="preserve">, </w:t>
      </w:r>
      <w:r w:rsidRPr="00E82552">
        <w:t xml:space="preserve">2011). </w:t>
      </w:r>
    </w:p>
    <w:p w14:paraId="4297FD4B" w14:textId="77777777" w:rsidR="00545A37" w:rsidRPr="00E82552" w:rsidRDefault="00545A37" w:rsidP="00545A37">
      <w:pPr>
        <w:rPr>
          <w:rFonts w:eastAsia="Trebuchet MS" w:cs="Trebuchet MS"/>
          <w:highlight w:val="yellow"/>
        </w:rPr>
      </w:pPr>
      <w:r w:rsidRPr="00E82552">
        <w:rPr>
          <w:rFonts w:eastAsiaTheme="minorEastAsia"/>
          <w:lang w:eastAsia="sl-SI"/>
        </w:rPr>
        <w:t>Demografske in socialne razmere v regiji zaznamuje že več desetletij prisotna depopulacija podeželja in zmanjševanje deleža kmečkega prebivalstva (</w:t>
      </w:r>
      <w:r w:rsidRPr="00E82552">
        <w:rPr>
          <w:rFonts w:eastAsia="Calibri"/>
          <w:lang w:eastAsia="sl-SI"/>
        </w:rPr>
        <w:t>ZGS GGN GGO Tolmin 2011-2020</w:t>
      </w:r>
      <w:r w:rsidRPr="00E82552">
        <w:rPr>
          <w:rFonts w:eastAsiaTheme="minorEastAsia"/>
          <w:lang w:eastAsia="sl-SI"/>
        </w:rPr>
        <w:t>).</w:t>
      </w:r>
      <w:r w:rsidRPr="00E82552">
        <w:rPr>
          <w:rFonts w:eastAsia="Trebuchet MS" w:cs="Trebuchet MS"/>
          <w:lang w:eastAsia="sl-SI"/>
        </w:rPr>
        <w:t xml:space="preserve"> V nižinskem delu MONG število prebivalstva neprestano narašča zlasti zaradi priseljevanja v večja naselja, kot so Nova Gorica, Solkan, idr. (ZGS GGN GE Gorica 2017-2026). Na podeželju je trend drugačen. Naraščanje števila prebivalstva se je ustavilo v tridesetih letih ter do šestdesetih let zaradi izseljevanja v tujino in v večja slovenska mesta intenzivno upadalo. Zaradi </w:t>
      </w:r>
      <w:r w:rsidRPr="00E82552">
        <w:rPr>
          <w:rFonts w:eastAsia="Trebuchet MS" w:cs="Trebuchet MS"/>
        </w:rPr>
        <w:t xml:space="preserve">zmanjševanja deleža kmečkega prebivalstva je intenzivno zaraščanje kmetijskih površin, gozdovi pa so skorajda prepuščeni naravnemu razvoju. Lastniki gozdov, ki so povečini odseljeni, še zlasti v </w:t>
      </w:r>
      <w:proofErr w:type="spellStart"/>
      <w:r w:rsidRPr="00E82552">
        <w:rPr>
          <w:rFonts w:eastAsia="Trebuchet MS" w:cs="Trebuchet MS"/>
        </w:rPr>
        <w:t>malodonosnih</w:t>
      </w:r>
      <w:proofErr w:type="spellEnd"/>
      <w:r w:rsidRPr="00E82552">
        <w:rPr>
          <w:rFonts w:eastAsia="Trebuchet MS" w:cs="Trebuchet MS"/>
        </w:rPr>
        <w:t xml:space="preserve"> in pionirskih gozdovih nimajo želje po intenzivnem gospodarjenju.</w:t>
      </w:r>
    </w:p>
    <w:p w14:paraId="5BDD0E2C" w14:textId="42414A6F" w:rsidR="00545A37" w:rsidRPr="00E82552" w:rsidRDefault="00545A37" w:rsidP="00545A37">
      <w:pPr>
        <w:rPr>
          <w:rFonts w:eastAsia="Arial"/>
        </w:rPr>
      </w:pPr>
      <w:r w:rsidRPr="00E82552">
        <w:rPr>
          <w:rFonts w:eastAsia="Arial"/>
        </w:rPr>
        <w:t>Zasebni gozdovi v Mestni občini Nova Gorica obsegajo 68 % gozdov, 27 % gozdov je v državni lasti, 5 % gozdov pa je v lasti lokalnih skupnosti (</w:t>
      </w:r>
      <w:r>
        <w:rPr>
          <w:rFonts w:eastAsia="Arial"/>
        </w:rPr>
        <w:fldChar w:fldCharType="begin"/>
      </w:r>
      <w:r>
        <w:rPr>
          <w:rFonts w:eastAsia="Arial"/>
        </w:rPr>
        <w:instrText xml:space="preserve"> REF _Ref74287293 \h </w:instrText>
      </w:r>
      <w:r>
        <w:rPr>
          <w:rFonts w:eastAsia="Arial"/>
        </w:rPr>
      </w:r>
      <w:r>
        <w:rPr>
          <w:rFonts w:eastAsia="Arial"/>
        </w:rPr>
        <w:fldChar w:fldCharType="separate"/>
      </w:r>
      <w:r w:rsidR="004700D5">
        <w:t xml:space="preserve">Slika </w:t>
      </w:r>
      <w:r w:rsidR="004700D5">
        <w:rPr>
          <w:noProof/>
        </w:rPr>
        <w:t>6</w:t>
      </w:r>
      <w:r w:rsidR="004700D5">
        <w:t>.</w:t>
      </w:r>
      <w:r w:rsidR="004700D5">
        <w:rPr>
          <w:noProof/>
        </w:rPr>
        <w:t>9</w:t>
      </w:r>
      <w:r>
        <w:rPr>
          <w:rFonts w:eastAsia="Arial"/>
        </w:rPr>
        <w:fldChar w:fldCharType="end"/>
      </w:r>
      <w:r w:rsidRPr="00E82552">
        <w:rPr>
          <w:rFonts w:eastAsia="Arial"/>
        </w:rPr>
        <w:t>) (</w:t>
      </w:r>
      <w:r w:rsidRPr="00E82552">
        <w:rPr>
          <w:rFonts w:eastAsia="Calibri"/>
          <w:lang w:eastAsia="sl-SI"/>
        </w:rPr>
        <w:t>Z</w:t>
      </w:r>
      <w:r w:rsidRPr="00E82552">
        <w:t>GS GGN GGE Trnovo 2013-2022, GGE Gorica 2017-2026, GGE Banjšice 2015-2024</w:t>
      </w:r>
      <w:r w:rsidRPr="00E82552">
        <w:rPr>
          <w:rFonts w:eastAsia="Arial"/>
        </w:rPr>
        <w:t>). Z gozdovi v državni lasti gospodari podjetje Slovenski državni gozdovi (</w:t>
      </w:r>
      <w:proofErr w:type="spellStart"/>
      <w:r w:rsidRPr="00E82552">
        <w:rPr>
          <w:rFonts w:eastAsia="Arial"/>
        </w:rPr>
        <w:t>SiDG</w:t>
      </w:r>
      <w:proofErr w:type="spellEnd"/>
      <w:r w:rsidRPr="00E82552">
        <w:rPr>
          <w:rFonts w:eastAsia="Arial"/>
        </w:rPr>
        <w:t xml:space="preserve">). </w:t>
      </w:r>
    </w:p>
    <w:p w14:paraId="4A75855A" w14:textId="77777777" w:rsidR="00545A37" w:rsidRPr="00E82552" w:rsidRDefault="00545A37" w:rsidP="00545A37">
      <w:pPr>
        <w:rPr>
          <w:rFonts w:eastAsia="Arial"/>
          <w:highlight w:val="yellow"/>
        </w:rPr>
      </w:pPr>
    </w:p>
    <w:p w14:paraId="19899F98" w14:textId="77777777" w:rsidR="00545A37" w:rsidRDefault="00545A37" w:rsidP="00545A37">
      <w:pPr>
        <w:keepNext/>
        <w:jc w:val="center"/>
      </w:pPr>
      <w:r w:rsidRPr="00E82552">
        <w:rPr>
          <w:noProof/>
          <w:lang w:eastAsia="sl-SI"/>
        </w:rPr>
        <w:drawing>
          <wp:inline distT="0" distB="0" distL="0" distR="0" wp14:anchorId="0F5AB7F1" wp14:editId="51F44E8F">
            <wp:extent cx="5440742" cy="2127098"/>
            <wp:effectExtent l="0" t="0" r="7620" b="6985"/>
            <wp:docPr id="804866091" name="Picture 804866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866091"/>
                    <pic:cNvPicPr/>
                  </pic:nvPicPr>
                  <pic:blipFill rotWithShape="1">
                    <a:blip r:embed="rId87">
                      <a:extLst>
                        <a:ext uri="{28A0092B-C50C-407E-A947-70E740481C1C}">
                          <a14:useLocalDpi xmlns:a14="http://schemas.microsoft.com/office/drawing/2010/main" val="0"/>
                        </a:ext>
                      </a:extLst>
                    </a:blip>
                    <a:srcRect l="575" t="528" r="703" b="1448"/>
                    <a:stretch/>
                  </pic:blipFill>
                  <pic:spPr bwMode="auto">
                    <a:xfrm>
                      <a:off x="0" y="0"/>
                      <a:ext cx="5444545" cy="2128585"/>
                    </a:xfrm>
                    <a:prstGeom prst="rect">
                      <a:avLst/>
                    </a:prstGeom>
                    <a:ln>
                      <a:noFill/>
                    </a:ln>
                    <a:extLst>
                      <a:ext uri="{53640926-AAD7-44D8-BBD7-CCE9431645EC}">
                        <a14:shadowObscured xmlns:a14="http://schemas.microsoft.com/office/drawing/2010/main"/>
                      </a:ext>
                    </a:extLst>
                  </pic:spPr>
                </pic:pic>
              </a:graphicData>
            </a:graphic>
          </wp:inline>
        </w:drawing>
      </w:r>
    </w:p>
    <w:p w14:paraId="4FBC5226" w14:textId="699B667B" w:rsidR="00545A37" w:rsidRPr="00E82552" w:rsidRDefault="00545A37" w:rsidP="00545A37">
      <w:pPr>
        <w:pStyle w:val="Napis"/>
      </w:pPr>
      <w:bookmarkStart w:id="214" w:name="_Ref74287293"/>
      <w:bookmarkStart w:id="215" w:name="_Toc97026860"/>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9</w:t>
      </w:r>
      <w:r w:rsidR="008334B2">
        <w:fldChar w:fldCharType="end"/>
      </w:r>
      <w:bookmarkEnd w:id="214"/>
      <w:r>
        <w:t xml:space="preserve">: </w:t>
      </w:r>
      <w:r w:rsidRPr="00024420">
        <w:t>Razčlenjenost lastniške strukture gozdov v Mestni občini Nova Gorica (ZGS GGN GGE Trnovo 2013-2022, GGE Gorica 2017-2026, GGE Banjšice 2015-2024).</w:t>
      </w:r>
      <w:bookmarkEnd w:id="215"/>
    </w:p>
    <w:p w14:paraId="06A86409" w14:textId="77777777" w:rsidR="00545A37" w:rsidRPr="00E82552" w:rsidRDefault="00545A37" w:rsidP="00545A37">
      <w:pPr>
        <w:rPr>
          <w:rFonts w:eastAsia="Trebuchet MS" w:cs="Trebuchet MS"/>
          <w:highlight w:val="yellow"/>
        </w:rPr>
      </w:pPr>
      <w:r w:rsidRPr="00E82552">
        <w:rPr>
          <w:rFonts w:eastAsia="Trebuchet MS" w:cs="Trebuchet MS"/>
        </w:rPr>
        <w:t xml:space="preserve">Na ekonomiko gospodarjenja z gozdovi v MONG imajo največji vpliv neugodna debelinska struktura gozdov, slaba tehnična kakovost ter posledično nizka prodajna cena lesa in ponekod slaba odprtost </w:t>
      </w:r>
      <w:r w:rsidRPr="00E82552">
        <w:rPr>
          <w:rFonts w:eastAsia="Trebuchet MS" w:cs="Trebuchet MS"/>
        </w:rPr>
        <w:lastRenderedPageBreak/>
        <w:t xml:space="preserve">gozdov, ki vpliva na visoke stroške spravila. Slaba kakovost lesa v gozdovih je posledica slabo rodovitnih rastišč, panjevske tradicije gospodarjenja, paše in </w:t>
      </w:r>
      <w:proofErr w:type="spellStart"/>
      <w:r w:rsidRPr="00E82552">
        <w:rPr>
          <w:rFonts w:eastAsia="Trebuchet MS" w:cs="Trebuchet MS"/>
        </w:rPr>
        <w:t>steljarjenja</w:t>
      </w:r>
      <w:proofErr w:type="spellEnd"/>
      <w:r w:rsidRPr="00E82552">
        <w:rPr>
          <w:rFonts w:eastAsia="Trebuchet MS" w:cs="Trebuchet MS"/>
        </w:rPr>
        <w:t xml:space="preserve"> v preteklosti, večkratnih ponavljajočih se žledolomov in snegolomov na manjših površinah, močne burje, ki povzroča zavitost debel in asimetričnost krošenj, kot tudi prevladujočega drobnega zasebnega lastništva in majhnega interesa za gospodarjenje z gozdovi. </w:t>
      </w:r>
    </w:p>
    <w:p w14:paraId="051253C9" w14:textId="77777777" w:rsidR="00545A37" w:rsidRPr="00E82552" w:rsidRDefault="00545A37" w:rsidP="00545A37">
      <w:pPr>
        <w:rPr>
          <w:highlight w:val="yellow"/>
        </w:rPr>
      </w:pPr>
      <w:r w:rsidRPr="00E82552">
        <w:rPr>
          <w:rFonts w:eastAsia="Trebuchet MS" w:cs="Trebuchet MS"/>
        </w:rPr>
        <w:t>Na območju Trnovskega gozda, Predmeje in Banjške planote je razmere za posek in spravilo dodatno otežil žledolom v letu 2014, kateremu je bilo potrebno prilagoditi način sečnje in spravila ter predvsem zagotoviti večjo stopnjo varnosti pri delu v gozdu, ki ima v nepredvidljivih razmerah po žledolomu še poseben pomen. Za namene sanacije poškodovanih gozdov je bilo potrebno zgraditi tudi nove vlake, ter zagotoviti rekonstrukcijo starih cest in vlak. Po žledolomu v letu 2014 in kasnejših napadih podlubnikov se je odprtost gozdov s prometnicami povečala. Zaradi razdrobljene gozdne posesti, ponekod nizke proizvodne sposobnosti rastišč, slabe kakovosti gozdnih lesnih sortimentov ter majhne navezanosti na gozd, lastniki za gradnjo gozdnih prometnic niso zainteresirani. V večjem delu gozdov v MONG prevladuje traktorsko spravilo, v manjši meri pa se na manjšem območju zaradi izpopolnjenih tehnologij povečuje delež spravila z žico in s težkimi gozdarskimi stroji. V prihodnje je pričakovati tudi uporabo strojne sečnje na lažje dostopnih predelih, ki so sicer primerni za traktorsko spravilo. Pod strojno sečnjo razumemo sečnjo in spravilo gozdnih lesnih sortimentov s stroji za sečnjo in spravilo kakor tudi vse oblike sečnje s stroji za sečnjo v kombinaciji z žičnim in drugimi oblikami spravila lesa.</w:t>
      </w:r>
    </w:p>
    <w:p w14:paraId="2B25076F" w14:textId="77777777" w:rsidR="00545A37" w:rsidRPr="00E82552" w:rsidRDefault="00545A37" w:rsidP="00545A37">
      <w:pPr>
        <w:rPr>
          <w:rFonts w:eastAsia="Trebuchet MS" w:cs="Trebuchet MS"/>
          <w:lang w:eastAsia="sl-SI"/>
        </w:rPr>
      </w:pPr>
      <w:r w:rsidRPr="00E82552">
        <w:rPr>
          <w:rFonts w:eastAsia="Trebuchet MS" w:cs="Trebuchet MS"/>
          <w:lang w:eastAsia="sl-SI"/>
        </w:rPr>
        <w:t xml:space="preserve">V obdobju 2001 - 2010 so večja izvajalska podjetja (npr. Soško gozdno gospodarstvo Tolmin, MMG Bovec) posekala okoli 77 % lesne mase, v obdobju 2011 – 2020 pa le še dobrih 50 % lesne mase. Večja podjetja so v upadu vse od spremembe sistema gospodarjenja z državnimi gozdovi oz. z ukinitvijo koncesij. Podjetja so vse bolje opremljena, tudi z najnovejšimi gozdarskimi stroji in sodobnimi žičnimi žerjavi za spravilo lesa. Lastniki gozdov so v večini primerov slabše opremljeni in slabše usposobljeni za to nevarno in zahtevno delo. Čeprav so se tudi zasebni lastniki, predvsem večji posestniki ter zasebni podjetniki, odzvali na javne razpise za sofinanciranje nakupa gozdarske mehanizacije in opreme. </w:t>
      </w:r>
    </w:p>
    <w:p w14:paraId="469AF6C1" w14:textId="77777777" w:rsidR="00545A37" w:rsidRPr="00E82552" w:rsidRDefault="00545A37" w:rsidP="00545A37">
      <w:pPr>
        <w:rPr>
          <w:rFonts w:eastAsiaTheme="minorEastAsia"/>
          <w:lang w:eastAsia="sl-SI"/>
        </w:rPr>
      </w:pPr>
      <w:r w:rsidRPr="00E82552">
        <w:rPr>
          <w:rFonts w:eastAsiaTheme="minorEastAsia"/>
          <w:lang w:eastAsia="sl-SI"/>
        </w:rPr>
        <w:t>Izgube bivših jugoslovanskih trgov in vstop v tržno gospodarstvo so po osamosvojitvi Slovenije spodbudili zaton največje novogoriške lesno-predelovalne družbe Meblo, ki je nekdaj štela nad 3000 zaposlenih. Tudi drugi največji porabniki lesa v regiji so prenehali obratovati (Iverka, Mizar Volčja Draga, Lipa Ajdovščina, itd.) (ZGS GGN GGO Tolmin 2011-2020). Posledično gre čedalje več hlodovine v izvoz, stopnja oplemenitenja (dodana vrednost) lesnih sortimentov pa je čedalje nižja (Gričar</w:t>
      </w:r>
      <w:r>
        <w:rPr>
          <w:rFonts w:eastAsiaTheme="minorEastAsia"/>
          <w:lang w:eastAsia="sl-SI"/>
        </w:rPr>
        <w:t xml:space="preserve">, </w:t>
      </w:r>
      <w:r w:rsidRPr="00E82552">
        <w:rPr>
          <w:rFonts w:eastAsiaTheme="minorEastAsia"/>
          <w:lang w:eastAsia="sl-SI"/>
        </w:rPr>
        <w:t xml:space="preserve">2014). </w:t>
      </w:r>
    </w:p>
    <w:p w14:paraId="41F92441" w14:textId="77777777" w:rsidR="00545A37" w:rsidRPr="00E82552" w:rsidRDefault="00545A37" w:rsidP="00545A37">
      <w:pPr>
        <w:rPr>
          <w:rFonts w:eastAsia="Arial"/>
          <w:lang w:eastAsia="sl-SI"/>
        </w:rPr>
      </w:pPr>
      <w:r w:rsidRPr="00E82552">
        <w:rPr>
          <w:rFonts w:eastAsia="Arial"/>
          <w:lang w:eastAsia="sl-SI"/>
        </w:rPr>
        <w:t xml:space="preserve">Lesna biomasa predstavlja v MONG in širši regiji tradicionalen in pomemben vir energije za ogrevanje in gospodinjske potrebe. V stanovanjih se za ogrevanje, pripravo tople sanitarne vode in porabljene električne energije porabi kar 30 % lesa in lesnih ostankov (ANTE, 2019). Trend naraščanja rabe obnovljivih virov je opazen predvsem v zadnjih letih. MONG v skladu z Akcijskim načrtom za trajnostno energijo (ANTE, 2019) načrtuje ukrepe zamenjave fosilnih goriv z obnovljivimi viri, predvsem lesno biomaso, sončno ter v manjši meri geotermalno in </w:t>
      </w:r>
      <w:proofErr w:type="spellStart"/>
      <w:r w:rsidRPr="00E82552">
        <w:rPr>
          <w:rFonts w:eastAsia="Arial"/>
          <w:lang w:eastAsia="sl-SI"/>
        </w:rPr>
        <w:t>aerotermalno</w:t>
      </w:r>
      <w:proofErr w:type="spellEnd"/>
      <w:r w:rsidRPr="00E82552">
        <w:rPr>
          <w:rFonts w:eastAsia="Arial"/>
          <w:lang w:eastAsia="sl-SI"/>
        </w:rPr>
        <w:t xml:space="preserve"> energijo za proizvodnjo toplote, oziroma uporabo metana, ter </w:t>
      </w:r>
      <w:proofErr w:type="spellStart"/>
      <w:r w:rsidRPr="00E82552">
        <w:rPr>
          <w:rFonts w:eastAsia="Arial"/>
          <w:lang w:eastAsia="sl-SI"/>
        </w:rPr>
        <w:t>biodizla</w:t>
      </w:r>
      <w:proofErr w:type="spellEnd"/>
      <w:r w:rsidRPr="00E82552">
        <w:rPr>
          <w:rFonts w:eastAsia="Arial"/>
          <w:lang w:eastAsia="sl-SI"/>
        </w:rPr>
        <w:t xml:space="preserve"> in elektrifikacije v prometu. Eden od ukrepov je zamenjava obstoječih dotrajanih kotlov na fosilna goriva s kotli na lesno biomaso za terciarne in stanovanjske zgradbe in s tem povečanje rabe lesne biomase za 10 % glede na stanje oskrbe v individualno ogrevanih stanovanjih leta 2013.</w:t>
      </w:r>
    </w:p>
    <w:p w14:paraId="0DF098CC" w14:textId="77777777" w:rsidR="00545A37" w:rsidRPr="00E82552" w:rsidRDefault="00545A37" w:rsidP="00545A37">
      <w:pPr>
        <w:rPr>
          <w:rFonts w:eastAsia="Arial"/>
        </w:rPr>
      </w:pPr>
      <w:r w:rsidRPr="00E82552">
        <w:rPr>
          <w:rFonts w:eastAsia="Arial"/>
        </w:rPr>
        <w:lastRenderedPageBreak/>
        <w:t xml:space="preserve">Glavne družbenogospodarske posledice uvajanja </w:t>
      </w:r>
      <w:proofErr w:type="spellStart"/>
      <w:r w:rsidRPr="00E82552">
        <w:rPr>
          <w:rFonts w:eastAsia="Arial"/>
        </w:rPr>
        <w:t>biomasnih</w:t>
      </w:r>
      <w:proofErr w:type="spellEnd"/>
      <w:r w:rsidRPr="00E82552">
        <w:rPr>
          <w:rFonts w:eastAsia="Arial"/>
        </w:rPr>
        <w:t xml:space="preserve"> sistemov se odražajo v ustvarjanju novih delovnih mest, kot nove aktivnosti na kmetijah ali na podeželju, v povečanju dohodka v regiji, povečanih sredstvih za investicije (tudi v infrastrukturo), zmanjševanju nezaposlenosti, kot povečani javni dohodki v regiji, zmanjšan odliv sredstev iz regije, razvoj turizma, samooskrba in trajnostni razvoj ter zmanjševanje emigracije iz lokalne skupnosti (Krajnc</w:t>
      </w:r>
      <w:r>
        <w:rPr>
          <w:rFonts w:eastAsia="Arial"/>
        </w:rPr>
        <w:t>,</w:t>
      </w:r>
      <w:r w:rsidRPr="00E82552">
        <w:rPr>
          <w:rFonts w:eastAsia="Arial"/>
        </w:rPr>
        <w:t xml:space="preserve"> 2005). Glavne </w:t>
      </w:r>
      <w:proofErr w:type="spellStart"/>
      <w:r w:rsidRPr="00E82552">
        <w:rPr>
          <w:rFonts w:eastAsia="Arial"/>
        </w:rPr>
        <w:t>okoljske</w:t>
      </w:r>
      <w:proofErr w:type="spellEnd"/>
      <w:r w:rsidRPr="00E82552">
        <w:rPr>
          <w:rFonts w:eastAsia="Arial"/>
        </w:rPr>
        <w:t xml:space="preserve"> posledice pa vključujejo zmanjševanje emisij toplogrednih plinov, zmanjševanje onesnaževanja (saje, prašni delci), izkoriščanje domačih virov energije, gospodarjenje z gozdovi, gospodarjenje z odpadki ter ohranjanje kulturne krajine. </w:t>
      </w:r>
    </w:p>
    <w:p w14:paraId="02270598" w14:textId="77777777" w:rsidR="00CA7B20" w:rsidRDefault="00CA7B20" w:rsidP="00F67067">
      <w:pPr>
        <w:rPr>
          <w:rFonts w:eastAsia="Arial" w:cs="Arial"/>
        </w:rPr>
      </w:pPr>
    </w:p>
    <w:p w14:paraId="4A9E2848" w14:textId="0A423354" w:rsidR="007C240A" w:rsidRDefault="007C240A" w:rsidP="00F67067">
      <w:pPr>
        <w:pStyle w:val="Naslov3"/>
        <w:rPr>
          <w:rFonts w:eastAsia="Calibri"/>
          <w:lang w:eastAsia="sl-SI"/>
        </w:rPr>
      </w:pPr>
      <w:bookmarkStart w:id="216" w:name="_Toc57035075"/>
      <w:bookmarkStart w:id="217" w:name="_Hlk42241891"/>
      <w:bookmarkStart w:id="218" w:name="_Toc97026761"/>
      <w:r w:rsidRPr="00DF1BB4">
        <w:rPr>
          <w:rFonts w:eastAsia="Calibri"/>
          <w:lang w:eastAsia="sl-SI"/>
        </w:rPr>
        <w:t>Ocena potencialnih vplivov podnebnih sprememb na sektor</w:t>
      </w:r>
      <w:r w:rsidR="00C174E2">
        <w:rPr>
          <w:rFonts w:eastAsia="Calibri"/>
          <w:lang w:eastAsia="sl-SI"/>
        </w:rPr>
        <w:t xml:space="preserve"> gozdarstvo</w:t>
      </w:r>
      <w:r w:rsidRPr="00DF1BB4">
        <w:rPr>
          <w:rFonts w:eastAsia="Calibri"/>
          <w:lang w:eastAsia="sl-SI"/>
        </w:rPr>
        <w:t xml:space="preserve"> po kazalnikih</w:t>
      </w:r>
      <w:bookmarkEnd w:id="216"/>
      <w:bookmarkEnd w:id="218"/>
    </w:p>
    <w:bookmarkEnd w:id="217"/>
    <w:p w14:paraId="1E8DD8CE" w14:textId="0148DF3A" w:rsidR="00F67067" w:rsidRPr="00F67067" w:rsidRDefault="007C240A" w:rsidP="00CE43D7">
      <w:pPr>
        <w:pStyle w:val="Naslov4"/>
      </w:pPr>
      <w:r w:rsidRPr="007F046A">
        <w:t>Izpostavljenost in občutljivost gozdov dejavnikom</w:t>
      </w:r>
      <w:r>
        <w:t xml:space="preserve"> naravnega okolja</w:t>
      </w:r>
    </w:p>
    <w:p w14:paraId="51FBEA2C" w14:textId="77777777" w:rsidR="00545A37" w:rsidRPr="00DB02E5" w:rsidRDefault="00545A37" w:rsidP="00545A37">
      <w:pPr>
        <w:pStyle w:val="Naslov5"/>
      </w:pPr>
      <w:r w:rsidRPr="00DB02E5">
        <w:t>Kazalnik vpliva: Žled</w:t>
      </w:r>
    </w:p>
    <w:p w14:paraId="48536CDB" w14:textId="77777777" w:rsidR="00545A37" w:rsidRPr="00E82552" w:rsidRDefault="00545A37" w:rsidP="00545A37">
      <w:pPr>
        <w:rPr>
          <w:rFonts w:cs="Arial"/>
        </w:rPr>
      </w:pPr>
      <w:r w:rsidRPr="00E82552">
        <w:t>Žled je najpogostejši v hribih dinarskega gorstva in ne seže do vrhov gora: najbolj izrazit je v pasu od 400 do 1000 metrov nadmorske višine (Kastelec, 1997). Poškodovanost zaradi žleda po navadi povzroča z</w:t>
      </w:r>
      <w:r w:rsidRPr="00E82552">
        <w:rPr>
          <w:rFonts w:cs="Arial"/>
        </w:rPr>
        <w:t xml:space="preserve">manjšano vrednost lesa in povzroči negativne ekonomske posledice za gozdarstvo in lastnike prizadetih gozdov. Posredno se zaradi žleda povečuje tudi dovzetnost gozdnega drevja za različne bolezni in škodljivce (Marinšek in sod., 2015). </w:t>
      </w:r>
    </w:p>
    <w:p w14:paraId="4383E35A" w14:textId="65732366" w:rsidR="00545A37" w:rsidRPr="00E82552" w:rsidRDefault="00545A37" w:rsidP="00545A37">
      <w:r w:rsidRPr="00E82552">
        <w:rPr>
          <w:rFonts w:cs="Arial"/>
        </w:rPr>
        <w:t>V letu 2014 je gozdove v MONG zelo prizadel žled (</w:t>
      </w:r>
      <w:r>
        <w:rPr>
          <w:rFonts w:cs="Arial"/>
        </w:rPr>
        <w:fldChar w:fldCharType="begin"/>
      </w:r>
      <w:r>
        <w:rPr>
          <w:rFonts w:cs="Arial"/>
        </w:rPr>
        <w:instrText xml:space="preserve"> REF _Ref74904006 \h </w:instrText>
      </w:r>
      <w:r>
        <w:rPr>
          <w:rFonts w:cs="Arial"/>
        </w:rPr>
      </w:r>
      <w:r>
        <w:rPr>
          <w:rFonts w:cs="Arial"/>
        </w:rPr>
        <w:fldChar w:fldCharType="separate"/>
      </w:r>
      <w:r w:rsidR="004700D5">
        <w:t xml:space="preserve">Slika </w:t>
      </w:r>
      <w:r w:rsidR="004700D5">
        <w:rPr>
          <w:noProof/>
        </w:rPr>
        <w:t>6</w:t>
      </w:r>
      <w:r w:rsidR="004700D5">
        <w:t>.</w:t>
      </w:r>
      <w:r w:rsidR="004700D5">
        <w:rPr>
          <w:noProof/>
        </w:rPr>
        <w:t>10</w:t>
      </w:r>
      <w:r>
        <w:rPr>
          <w:rFonts w:cs="Arial"/>
        </w:rPr>
        <w:fldChar w:fldCharType="end"/>
      </w:r>
      <w:r w:rsidRPr="00E82552">
        <w:rPr>
          <w:rFonts w:cs="Arial"/>
        </w:rPr>
        <w:t xml:space="preserve">), ki je v kombinaciji s snegom in predhodnimi obilnimi deževnimi padavinami povzročil obsežne poškodbe. Najbolj so bili poškodovani listavci, predvsem bukev, ki ji sledijo pionirske drevesne vrste (vrbe, topoli, breze) in plemeniti listavci. Listavci so bili pretežno okleščeni, na strmih pobočjih in rastiščih s plitvimi tlemi pa tudi izruvani skupaj s koreninskim sistemom. Najbolj so bili poškodovani enomerni enovrstni sestoji v razvojni fazi </w:t>
      </w:r>
      <w:proofErr w:type="spellStart"/>
      <w:r w:rsidRPr="00E82552">
        <w:rPr>
          <w:rFonts w:cs="Arial"/>
        </w:rPr>
        <w:t>drogovnjaka</w:t>
      </w:r>
      <w:proofErr w:type="spellEnd"/>
      <w:r w:rsidRPr="00E82552">
        <w:rPr>
          <w:rFonts w:cs="Arial"/>
        </w:rPr>
        <w:t xml:space="preserve">, pa tudi </w:t>
      </w:r>
      <w:proofErr w:type="spellStart"/>
      <w:r w:rsidRPr="00E82552">
        <w:rPr>
          <w:rFonts w:cs="Arial"/>
        </w:rPr>
        <w:t>debeljaka</w:t>
      </w:r>
      <w:proofErr w:type="spellEnd"/>
      <w:r w:rsidRPr="00E82552">
        <w:rPr>
          <w:rFonts w:cs="Arial"/>
        </w:rPr>
        <w:t xml:space="preserve">. Med iglavci so bila najbolj prizadeti umetno osnovani smrekovi sestoji v razvojni fazi </w:t>
      </w:r>
      <w:proofErr w:type="spellStart"/>
      <w:r w:rsidRPr="00E82552">
        <w:rPr>
          <w:rFonts w:cs="Arial"/>
        </w:rPr>
        <w:t>drogovnjaka</w:t>
      </w:r>
      <w:proofErr w:type="spellEnd"/>
      <w:r w:rsidRPr="00E82552">
        <w:rPr>
          <w:rFonts w:cs="Arial"/>
        </w:rPr>
        <w:t>. Ig</w:t>
      </w:r>
      <w:r w:rsidRPr="00E82552">
        <w:t xml:space="preserve">lavcem žled predvsem lomi vrhove, v primeru razmočenih tal in/ali močnejšega vetra pa jih tudi izruje. </w:t>
      </w:r>
    </w:p>
    <w:p w14:paraId="5FE8A797" w14:textId="77777777" w:rsidR="00545A37" w:rsidRDefault="00545A37" w:rsidP="00545A37">
      <w:pPr>
        <w:keepNext/>
        <w:jc w:val="center"/>
      </w:pPr>
      <w:r w:rsidRPr="00E82552">
        <w:rPr>
          <w:noProof/>
          <w:lang w:eastAsia="sl-SI"/>
        </w:rPr>
        <w:lastRenderedPageBreak/>
        <w:drawing>
          <wp:inline distT="0" distB="0" distL="0" distR="0" wp14:anchorId="7951DFE1" wp14:editId="2476B611">
            <wp:extent cx="4572000" cy="3762375"/>
            <wp:effectExtent l="0" t="0" r="0" b="9525"/>
            <wp:docPr id="1907808205" name="Picture 190780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7808205"/>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572000" cy="3762375"/>
                    </a:xfrm>
                    <a:prstGeom prst="rect">
                      <a:avLst/>
                    </a:prstGeom>
                  </pic:spPr>
                </pic:pic>
              </a:graphicData>
            </a:graphic>
          </wp:inline>
        </w:drawing>
      </w:r>
    </w:p>
    <w:p w14:paraId="35B5CCB6" w14:textId="12E2987F" w:rsidR="00545A37" w:rsidRDefault="00545A37" w:rsidP="00545A37">
      <w:pPr>
        <w:pStyle w:val="Napis"/>
        <w:jc w:val="left"/>
      </w:pPr>
      <w:bookmarkStart w:id="219" w:name="_Ref74904006"/>
      <w:bookmarkStart w:id="220" w:name="_Toc97026861"/>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10</w:t>
      </w:r>
      <w:r w:rsidR="008334B2">
        <w:fldChar w:fldCharType="end"/>
      </w:r>
      <w:bookmarkEnd w:id="219"/>
      <w:r w:rsidRPr="002808DA">
        <w:t>: Gozdovi v Mestni občini Nova Gorica, v katerih je zaradi žleda v letu 2014 prišlo do izgube rastnega potenciala gozdov za 20 % in več (ZGS 2019).</w:t>
      </w:r>
      <w:bookmarkEnd w:id="220"/>
    </w:p>
    <w:p w14:paraId="038185A6" w14:textId="42D647EA" w:rsidR="00545A37" w:rsidRPr="00E82552" w:rsidRDefault="00545A37" w:rsidP="00545A37">
      <w:r w:rsidRPr="00E82552">
        <w:t>Agencija Republike Slovenije za okolje (ARSO) je v sodelovanju z Gozdarskim inštitutom Slovenije v letu 2015 izdala karto območij glede na ogroženost zaradi žleda (</w:t>
      </w:r>
      <w:r>
        <w:fldChar w:fldCharType="begin"/>
      </w:r>
      <w:r>
        <w:instrText xml:space="preserve"> REF _Ref74287417 \h </w:instrText>
      </w:r>
      <w:r>
        <w:fldChar w:fldCharType="separate"/>
      </w:r>
      <w:r w:rsidR="004700D5">
        <w:t xml:space="preserve">Slika </w:t>
      </w:r>
      <w:r w:rsidR="004700D5">
        <w:rPr>
          <w:noProof/>
        </w:rPr>
        <w:t>6</w:t>
      </w:r>
      <w:r w:rsidR="004700D5">
        <w:t>.</w:t>
      </w:r>
      <w:r w:rsidR="004700D5">
        <w:rPr>
          <w:noProof/>
        </w:rPr>
        <w:t>11</w:t>
      </w:r>
      <w:r>
        <w:fldChar w:fldCharType="end"/>
      </w:r>
      <w:r w:rsidRPr="00E82552">
        <w:t>). MONG je zelo ogrožena zaradi žleda, saj je kar 39,7 % površine MONG v 4. razredu ogroženosti, kjer se žled pojavlja na eno do dve leti in povzroči večjo škodo. Na 22,3 % površine se žled pojavlja pogosto in v povprečju na 3 leta povzroči tudi škodo (3. razred ogroženosti) (</w:t>
      </w:r>
      <w:r>
        <w:fldChar w:fldCharType="begin"/>
      </w:r>
      <w:r>
        <w:instrText xml:space="preserve"> REF _Ref74904063 \h </w:instrText>
      </w:r>
      <w:r>
        <w:fldChar w:fldCharType="separate"/>
      </w:r>
      <w:r w:rsidR="004700D5">
        <w:t xml:space="preserve">Preglednica </w:t>
      </w:r>
      <w:r w:rsidR="004700D5">
        <w:rPr>
          <w:noProof/>
        </w:rPr>
        <w:t>6</w:t>
      </w:r>
      <w:r w:rsidR="004700D5">
        <w:t>.</w:t>
      </w:r>
      <w:r w:rsidR="004700D5">
        <w:rPr>
          <w:noProof/>
        </w:rPr>
        <w:t>13</w:t>
      </w:r>
      <w:r>
        <w:fldChar w:fldCharType="end"/>
      </w:r>
      <w:r w:rsidRPr="00E82552">
        <w:t>). Velik delež površine MONG (27,9 %) je v 2. razredu ogroženosti, kjer se žled pojavlja enkrat na 10 let.</w:t>
      </w:r>
    </w:p>
    <w:p w14:paraId="1AF0D50C" w14:textId="77777777" w:rsidR="00545A37" w:rsidRDefault="00545A37" w:rsidP="00545A37">
      <w:pPr>
        <w:keepNext/>
        <w:ind w:left="426"/>
        <w:jc w:val="center"/>
      </w:pPr>
      <w:r w:rsidRPr="00E82552">
        <w:rPr>
          <w:noProof/>
          <w:lang w:eastAsia="sl-SI"/>
        </w:rPr>
        <w:lastRenderedPageBreak/>
        <w:drawing>
          <wp:inline distT="0" distB="0" distL="0" distR="0" wp14:anchorId="7C2AB94B" wp14:editId="79337626">
            <wp:extent cx="4572000" cy="3762375"/>
            <wp:effectExtent l="0" t="0" r="0" b="9525"/>
            <wp:docPr id="1248580636" name="Picture 1248580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58063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572000" cy="3762375"/>
                    </a:xfrm>
                    <a:prstGeom prst="rect">
                      <a:avLst/>
                    </a:prstGeom>
                  </pic:spPr>
                </pic:pic>
              </a:graphicData>
            </a:graphic>
          </wp:inline>
        </w:drawing>
      </w:r>
    </w:p>
    <w:p w14:paraId="2429F97D" w14:textId="32ACF590" w:rsidR="00545A37" w:rsidRDefault="00545A37" w:rsidP="00545A37">
      <w:pPr>
        <w:pStyle w:val="Napis"/>
        <w:jc w:val="left"/>
        <w:rPr>
          <w:rFonts w:ascii="Trebuchet MS" w:hAnsi="Trebuchet MS"/>
          <w:sz w:val="16"/>
          <w:szCs w:val="16"/>
        </w:rPr>
      </w:pPr>
      <w:bookmarkStart w:id="221" w:name="_Ref74287417"/>
      <w:bookmarkStart w:id="222" w:name="_Toc97026862"/>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11</w:t>
      </w:r>
      <w:r w:rsidR="008334B2">
        <w:fldChar w:fldCharType="end"/>
      </w:r>
      <w:bookmarkEnd w:id="221"/>
      <w:r>
        <w:t xml:space="preserve">: </w:t>
      </w:r>
      <w:r w:rsidRPr="00E82552">
        <w:rPr>
          <w:rFonts w:ascii="Trebuchet MS" w:hAnsi="Trebuchet MS"/>
          <w:sz w:val="16"/>
          <w:szCs w:val="16"/>
        </w:rPr>
        <w:t>Karta območij v Mestni občini Nova Gorica glede na ogroženost zaradi žleda v obdobju 1961–2014 (ARSO, 2015). (legenda: Območje 1: Območje, kjer se žled ne pojavlja, ali se pojavlja zelo redko in v tanjših plasteh, tako da ne povzroča škode; Območje 2: Območje, kjer se žled sicer pojavlja, vendar zelo redko povzroči manjšo škodo (enkrat na 10 let); Območje 3: Območje, kjer se žled pojavlja pogosto in v povprečju na 3 leta povzroči tudi škodo; Območje 4: Območje, kjer se žled, ki povzroča škodo, v povprečju pojavlja na 1-2 leti, razmeroma pogosto pa povzroči tudi večjo škodo.)</w:t>
      </w:r>
      <w:bookmarkEnd w:id="222"/>
    </w:p>
    <w:p w14:paraId="7E2FE516" w14:textId="7E98D4D5" w:rsidR="00545A37" w:rsidRDefault="00545A37" w:rsidP="00545A37">
      <w:pPr>
        <w:pStyle w:val="Napis"/>
        <w:keepNext/>
      </w:pPr>
      <w:bookmarkStart w:id="223" w:name="_Ref74904063"/>
      <w:bookmarkStart w:id="224" w:name="_Toc97026966"/>
      <w:r>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13</w:t>
      </w:r>
      <w:r w:rsidR="00976D80">
        <w:fldChar w:fldCharType="end"/>
      </w:r>
      <w:bookmarkEnd w:id="223"/>
      <w:r>
        <w:t xml:space="preserve">: </w:t>
      </w:r>
      <w:r w:rsidRPr="00E82552">
        <w:rPr>
          <w:rFonts w:ascii="Trebuchet MS" w:eastAsiaTheme="minorEastAsia" w:hAnsi="Trebuchet MS"/>
          <w:sz w:val="16"/>
          <w:szCs w:val="16"/>
        </w:rPr>
        <w:t>Delež površine Mestne občine Nova Gorica (%) glede na območja ogroženosti zaradi žleda v obdobju 1961–2014 (ARSO, 2015) (legenda: Območje 1: območje, kjer se žled ne pojavlja, ali se pojavlja zelo redko in v tanjših plasteh, tako da ne povzroča škode; Območje 2: območje, kjer se žled sicer pojavlja, vendar zelo redko povzroči manjšo škodo (enkrat na 10 let); Območje 3: območje, kjer se žled pojavlja pogosto in v povprečju na 3 leta povzroči tudi škodo; Območje 4: območje, kjer se žled, ki povzroča škodo, v povprečju pojavlja na 1-2 leti, razmeroma pogosto pa povzroči tudi večjo škodo.</w:t>
      </w:r>
      <w:bookmarkEnd w:id="224"/>
    </w:p>
    <w:tbl>
      <w:tblPr>
        <w:tblStyle w:val="Grigliatabella1"/>
        <w:tblW w:w="0" w:type="auto"/>
        <w:jc w:val="center"/>
        <w:tblLook w:val="04A0" w:firstRow="1" w:lastRow="0" w:firstColumn="1" w:lastColumn="0" w:noHBand="0" w:noVBand="1"/>
      </w:tblPr>
      <w:tblGrid>
        <w:gridCol w:w="1183"/>
        <w:gridCol w:w="2631"/>
        <w:gridCol w:w="1294"/>
      </w:tblGrid>
      <w:tr w:rsidR="00545A37" w:rsidRPr="00E82552" w14:paraId="76AB944E" w14:textId="77777777" w:rsidTr="00FF0031">
        <w:trPr>
          <w:jc w:val="center"/>
        </w:trPr>
        <w:tc>
          <w:tcPr>
            <w:tcW w:w="0" w:type="auto"/>
            <w:shd w:val="clear" w:color="auto" w:fill="BFBFBF" w:themeFill="background1" w:themeFillShade="BF"/>
          </w:tcPr>
          <w:p w14:paraId="581AE2A4" w14:textId="77777777" w:rsidR="00545A37" w:rsidRPr="00E82552" w:rsidRDefault="00545A37" w:rsidP="00FF0031">
            <w:pPr>
              <w:rPr>
                <w:rFonts w:cs="Arial"/>
              </w:rPr>
            </w:pPr>
          </w:p>
        </w:tc>
        <w:tc>
          <w:tcPr>
            <w:tcW w:w="0" w:type="auto"/>
            <w:shd w:val="clear" w:color="auto" w:fill="BFBFBF" w:themeFill="background1" w:themeFillShade="BF"/>
          </w:tcPr>
          <w:p w14:paraId="1A757F8D" w14:textId="77777777" w:rsidR="00545A37" w:rsidRPr="00E82552" w:rsidRDefault="00545A37" w:rsidP="00FF0031">
            <w:pPr>
              <w:jc w:val="center"/>
              <w:rPr>
                <w:rFonts w:cs="Arial"/>
              </w:rPr>
            </w:pPr>
            <w:r w:rsidRPr="00E82552">
              <w:rPr>
                <w:rFonts w:cs="Arial"/>
              </w:rPr>
              <w:t>Mestna občina Nova Gorica</w:t>
            </w:r>
          </w:p>
          <w:p w14:paraId="28AB1320" w14:textId="77777777" w:rsidR="00545A37" w:rsidRPr="00E82552" w:rsidRDefault="00545A37" w:rsidP="00FF0031">
            <w:pPr>
              <w:jc w:val="center"/>
              <w:rPr>
                <w:rFonts w:cs="Arial"/>
              </w:rPr>
            </w:pPr>
            <w:r w:rsidRPr="00E82552">
              <w:rPr>
                <w:rFonts w:cs="Arial"/>
              </w:rPr>
              <w:t>(% površine)</w:t>
            </w:r>
          </w:p>
        </w:tc>
        <w:tc>
          <w:tcPr>
            <w:tcW w:w="0" w:type="auto"/>
            <w:shd w:val="clear" w:color="auto" w:fill="BFBFBF" w:themeFill="background1" w:themeFillShade="BF"/>
          </w:tcPr>
          <w:p w14:paraId="4609705E" w14:textId="77777777" w:rsidR="00545A37" w:rsidRPr="00E82552" w:rsidRDefault="00545A37" w:rsidP="00FF0031">
            <w:pPr>
              <w:jc w:val="center"/>
              <w:rPr>
                <w:rFonts w:cs="Arial"/>
              </w:rPr>
            </w:pPr>
            <w:r w:rsidRPr="00E82552">
              <w:rPr>
                <w:rFonts w:cs="Arial"/>
              </w:rPr>
              <w:t>Slovenija</w:t>
            </w:r>
          </w:p>
          <w:p w14:paraId="73289366" w14:textId="77777777" w:rsidR="00545A37" w:rsidRPr="00E82552" w:rsidRDefault="00545A37" w:rsidP="00FF0031">
            <w:pPr>
              <w:jc w:val="center"/>
              <w:rPr>
                <w:rFonts w:cs="Arial"/>
              </w:rPr>
            </w:pPr>
            <w:r w:rsidRPr="00E82552">
              <w:rPr>
                <w:rFonts w:cs="Arial"/>
              </w:rPr>
              <w:t>(% površine)</w:t>
            </w:r>
          </w:p>
        </w:tc>
      </w:tr>
      <w:tr w:rsidR="00545A37" w:rsidRPr="00E82552" w14:paraId="3C2F003E" w14:textId="77777777" w:rsidTr="00FF0031">
        <w:trPr>
          <w:jc w:val="center"/>
        </w:trPr>
        <w:tc>
          <w:tcPr>
            <w:tcW w:w="0" w:type="auto"/>
            <w:shd w:val="clear" w:color="auto" w:fill="BFBFBF" w:themeFill="background1" w:themeFillShade="BF"/>
          </w:tcPr>
          <w:p w14:paraId="2F65760A" w14:textId="77777777" w:rsidR="00545A37" w:rsidRPr="00E82552" w:rsidRDefault="00545A37" w:rsidP="00FF0031">
            <w:pPr>
              <w:rPr>
                <w:rFonts w:cs="Arial"/>
              </w:rPr>
            </w:pPr>
            <w:r w:rsidRPr="00E82552">
              <w:rPr>
                <w:rFonts w:cs="Arial"/>
              </w:rPr>
              <w:t>Območje 1</w:t>
            </w:r>
          </w:p>
        </w:tc>
        <w:tc>
          <w:tcPr>
            <w:tcW w:w="0" w:type="auto"/>
          </w:tcPr>
          <w:p w14:paraId="626E214B" w14:textId="77777777" w:rsidR="00545A37" w:rsidRPr="00E82552" w:rsidRDefault="00545A37" w:rsidP="00FF0031">
            <w:pPr>
              <w:jc w:val="right"/>
              <w:rPr>
                <w:rFonts w:eastAsia="Calibri" w:cs="Arial"/>
              </w:rPr>
            </w:pPr>
            <w:r w:rsidRPr="00E82552">
              <w:rPr>
                <w:rFonts w:eastAsia="Calibri" w:cs="Arial"/>
              </w:rPr>
              <w:t>10,1</w:t>
            </w:r>
          </w:p>
        </w:tc>
        <w:tc>
          <w:tcPr>
            <w:tcW w:w="0" w:type="auto"/>
          </w:tcPr>
          <w:p w14:paraId="360014E9" w14:textId="77777777" w:rsidR="00545A37" w:rsidRPr="00E82552" w:rsidRDefault="00545A37" w:rsidP="00FF0031">
            <w:pPr>
              <w:jc w:val="right"/>
              <w:rPr>
                <w:rFonts w:cs="Arial"/>
              </w:rPr>
            </w:pPr>
            <w:r w:rsidRPr="00E82552">
              <w:t>6,5</w:t>
            </w:r>
          </w:p>
        </w:tc>
      </w:tr>
      <w:tr w:rsidR="00545A37" w:rsidRPr="00E82552" w14:paraId="438A7537" w14:textId="77777777" w:rsidTr="00FF0031">
        <w:trPr>
          <w:jc w:val="center"/>
        </w:trPr>
        <w:tc>
          <w:tcPr>
            <w:tcW w:w="0" w:type="auto"/>
            <w:shd w:val="clear" w:color="auto" w:fill="BFBFBF" w:themeFill="background1" w:themeFillShade="BF"/>
          </w:tcPr>
          <w:p w14:paraId="72291CF1" w14:textId="77777777" w:rsidR="00545A37" w:rsidRPr="00E82552" w:rsidRDefault="00545A37" w:rsidP="00FF0031">
            <w:pPr>
              <w:rPr>
                <w:rFonts w:cs="Arial"/>
              </w:rPr>
            </w:pPr>
            <w:r w:rsidRPr="00E82552">
              <w:rPr>
                <w:rFonts w:cs="Arial"/>
              </w:rPr>
              <w:t>Območje 2</w:t>
            </w:r>
          </w:p>
        </w:tc>
        <w:tc>
          <w:tcPr>
            <w:tcW w:w="0" w:type="auto"/>
          </w:tcPr>
          <w:p w14:paraId="2E484243" w14:textId="77777777" w:rsidR="00545A37" w:rsidRPr="00E82552" w:rsidRDefault="00545A37" w:rsidP="00FF0031">
            <w:pPr>
              <w:jc w:val="right"/>
              <w:rPr>
                <w:rFonts w:cs="Arial"/>
              </w:rPr>
            </w:pPr>
            <w:r w:rsidRPr="00E82552">
              <w:rPr>
                <w:rFonts w:cs="Arial"/>
              </w:rPr>
              <w:t>27,9</w:t>
            </w:r>
          </w:p>
        </w:tc>
        <w:tc>
          <w:tcPr>
            <w:tcW w:w="0" w:type="auto"/>
          </w:tcPr>
          <w:p w14:paraId="2522CFCB" w14:textId="77777777" w:rsidR="00545A37" w:rsidRPr="00E82552" w:rsidRDefault="00545A37" w:rsidP="00FF0031">
            <w:pPr>
              <w:jc w:val="right"/>
              <w:rPr>
                <w:rFonts w:cs="Arial"/>
              </w:rPr>
            </w:pPr>
            <w:r w:rsidRPr="00E82552">
              <w:t>32,8</w:t>
            </w:r>
          </w:p>
        </w:tc>
      </w:tr>
      <w:tr w:rsidR="00545A37" w:rsidRPr="00E82552" w14:paraId="3E5F3F8E" w14:textId="77777777" w:rsidTr="00FF0031">
        <w:trPr>
          <w:jc w:val="center"/>
        </w:trPr>
        <w:tc>
          <w:tcPr>
            <w:tcW w:w="0" w:type="auto"/>
            <w:shd w:val="clear" w:color="auto" w:fill="BFBFBF" w:themeFill="background1" w:themeFillShade="BF"/>
          </w:tcPr>
          <w:p w14:paraId="31BF89FC" w14:textId="77777777" w:rsidR="00545A37" w:rsidRPr="00E82552" w:rsidRDefault="00545A37" w:rsidP="00FF0031">
            <w:pPr>
              <w:rPr>
                <w:rFonts w:cs="Arial"/>
              </w:rPr>
            </w:pPr>
            <w:r w:rsidRPr="00E82552">
              <w:rPr>
                <w:rFonts w:cs="Arial"/>
              </w:rPr>
              <w:t>Območje 3</w:t>
            </w:r>
          </w:p>
        </w:tc>
        <w:tc>
          <w:tcPr>
            <w:tcW w:w="0" w:type="auto"/>
          </w:tcPr>
          <w:p w14:paraId="1C1D5B92" w14:textId="77777777" w:rsidR="00545A37" w:rsidRPr="00E82552" w:rsidRDefault="00545A37" w:rsidP="00FF0031">
            <w:pPr>
              <w:jc w:val="right"/>
              <w:rPr>
                <w:rFonts w:cs="Arial"/>
              </w:rPr>
            </w:pPr>
            <w:r w:rsidRPr="00E82552">
              <w:rPr>
                <w:rFonts w:cs="Arial"/>
              </w:rPr>
              <w:t>22,3</w:t>
            </w:r>
          </w:p>
        </w:tc>
        <w:tc>
          <w:tcPr>
            <w:tcW w:w="0" w:type="auto"/>
          </w:tcPr>
          <w:p w14:paraId="2D4EAD68" w14:textId="77777777" w:rsidR="00545A37" w:rsidRPr="00E82552" w:rsidRDefault="00545A37" w:rsidP="00FF0031">
            <w:pPr>
              <w:jc w:val="right"/>
              <w:rPr>
                <w:rFonts w:cs="Arial"/>
              </w:rPr>
            </w:pPr>
            <w:r w:rsidRPr="00E82552">
              <w:t>47,1</w:t>
            </w:r>
          </w:p>
        </w:tc>
      </w:tr>
      <w:tr w:rsidR="00545A37" w:rsidRPr="00E82552" w14:paraId="0BB0C5DD" w14:textId="77777777" w:rsidTr="00FF0031">
        <w:trPr>
          <w:jc w:val="center"/>
        </w:trPr>
        <w:tc>
          <w:tcPr>
            <w:tcW w:w="0" w:type="auto"/>
            <w:shd w:val="clear" w:color="auto" w:fill="BFBFBF" w:themeFill="background1" w:themeFillShade="BF"/>
          </w:tcPr>
          <w:p w14:paraId="6715FD14" w14:textId="77777777" w:rsidR="00545A37" w:rsidRPr="00E82552" w:rsidRDefault="00545A37" w:rsidP="00FF0031">
            <w:pPr>
              <w:rPr>
                <w:rFonts w:cs="Arial"/>
              </w:rPr>
            </w:pPr>
            <w:r w:rsidRPr="00E82552">
              <w:rPr>
                <w:rFonts w:cs="Arial"/>
              </w:rPr>
              <w:t>Območje 4</w:t>
            </w:r>
          </w:p>
        </w:tc>
        <w:tc>
          <w:tcPr>
            <w:tcW w:w="0" w:type="auto"/>
          </w:tcPr>
          <w:p w14:paraId="519AE7F1" w14:textId="77777777" w:rsidR="00545A37" w:rsidRPr="00E82552" w:rsidRDefault="00545A37" w:rsidP="00FF0031">
            <w:pPr>
              <w:jc w:val="right"/>
              <w:rPr>
                <w:rFonts w:cs="Arial"/>
              </w:rPr>
            </w:pPr>
            <w:r w:rsidRPr="00E82552">
              <w:rPr>
                <w:rFonts w:cs="Arial"/>
              </w:rPr>
              <w:t>39,7</w:t>
            </w:r>
          </w:p>
        </w:tc>
        <w:tc>
          <w:tcPr>
            <w:tcW w:w="0" w:type="auto"/>
          </w:tcPr>
          <w:p w14:paraId="3EC0F62C" w14:textId="77777777" w:rsidR="00545A37" w:rsidRPr="00E82552" w:rsidRDefault="00545A37" w:rsidP="00FF0031">
            <w:pPr>
              <w:keepNext/>
              <w:jc w:val="right"/>
              <w:rPr>
                <w:rFonts w:cs="Arial"/>
              </w:rPr>
            </w:pPr>
            <w:r w:rsidRPr="00E82552">
              <w:t>13,7</w:t>
            </w:r>
          </w:p>
        </w:tc>
      </w:tr>
    </w:tbl>
    <w:p w14:paraId="17A35487" w14:textId="77777777" w:rsidR="00545A37" w:rsidRDefault="00545A37" w:rsidP="00545A37">
      <w:pPr>
        <w:jc w:val="left"/>
        <w:rPr>
          <w:rFonts w:cs="Arial"/>
          <w:b/>
        </w:rPr>
      </w:pPr>
    </w:p>
    <w:p w14:paraId="6FEE7D15" w14:textId="77777777" w:rsidR="00545A37" w:rsidRPr="00DB02E5" w:rsidRDefault="00545A37" w:rsidP="00545A37">
      <w:pPr>
        <w:pStyle w:val="Naslov5"/>
      </w:pPr>
      <w:r w:rsidRPr="00DB02E5">
        <w:t>Kazalnik vpliva: Veter</w:t>
      </w:r>
    </w:p>
    <w:p w14:paraId="2B4177C1" w14:textId="77777777" w:rsidR="00545A37" w:rsidRPr="00E82552" w:rsidRDefault="00545A37" w:rsidP="00545A37">
      <w:pPr>
        <w:rPr>
          <w:highlight w:val="yellow"/>
        </w:rPr>
      </w:pPr>
      <w:r w:rsidRPr="00E82552">
        <w:t xml:space="preserve">Močan veter lahko v gozdu povzroča vetrolom - pojav, ko močan veter podre, prelomi, izruva eno ali več dreves (Ogris, 2010). Vetrovnost je v MONG zelo izrazita zaradi intenzivne izmenjave zračnih mas nad gorskimi pregradami in dolino. Značilna vetrova tega območja sta burja in jugo. Medtem ko burja najpogosteje ruva le posamično drevje, pa južni vetrovi uničujejo in lomijo cele sestoje. </w:t>
      </w:r>
    </w:p>
    <w:p w14:paraId="099BFAF6" w14:textId="77777777" w:rsidR="00545A37" w:rsidRPr="00E82552" w:rsidRDefault="00545A37" w:rsidP="00545A37">
      <w:r w:rsidRPr="00E82552">
        <w:lastRenderedPageBreak/>
        <w:t>Burja je najbolj izrazit in najmočnejši veter v Sloveniji. Je izrazito sunkovit veter, saj se njena hitrost lahko zmanjša ali zveča za desetkrat. Običajno ima burja hitrost okoli 40 km h</w:t>
      </w:r>
      <w:r w:rsidRPr="00E82552">
        <w:rPr>
          <w:vertAlign w:val="superscript"/>
        </w:rPr>
        <w:t>-1</w:t>
      </w:r>
      <w:r w:rsidRPr="00E82552">
        <w:t>, enkrat do dvakrat na leto pa doseže hitrost v sunkih tudi do 150 km h</w:t>
      </w:r>
      <w:r w:rsidRPr="00E82552">
        <w:rPr>
          <w:vertAlign w:val="superscript"/>
        </w:rPr>
        <w:t>-1</w:t>
      </w:r>
      <w:r w:rsidRPr="00E82552">
        <w:t xml:space="preserve">. Na Goriškem je učinek burje najbolj izrazit na Banjški in Trnovski planoti, kjer lahko v kombinaciji s snegom ali žledom povzroči veliko škode. Pred začetkom burje v zimskem času po navadi sneži, tako da burja prenaša sneg in neprestano gradi zamete. Poleg tega povzroča tudi vetrno erozijo tal, ker odnaša zgornje plasti prsti in tako dodatno izsušuje tla. Ker je pogosta tudi v času zgodnje pomladne suše, se zaradi burje lahko hitro širijo požari v naravnem okolju kot tudi v naseljih. </w:t>
      </w:r>
    </w:p>
    <w:p w14:paraId="3FF76CA9" w14:textId="77BF9D2B" w:rsidR="00545A37" w:rsidRPr="00E82552" w:rsidRDefault="00545A37" w:rsidP="00545A37">
      <w:r w:rsidRPr="00E82552">
        <w:t>Na vetrolom je najbolj občutljiva smreka. V letu 2015 je bilo zaradi vetroloma s sanitarnim posekom odstranjene 16.000 m</w:t>
      </w:r>
      <w:r w:rsidRPr="00E82552">
        <w:rPr>
          <w:vertAlign w:val="superscript"/>
        </w:rPr>
        <w:t>3</w:t>
      </w:r>
      <w:r w:rsidRPr="00E82552">
        <w:t xml:space="preserve"> lesne mase</w:t>
      </w:r>
      <w:r>
        <w:t xml:space="preserve"> (</w:t>
      </w:r>
      <w:r w:rsidRPr="00DF7BE8">
        <w:fldChar w:fldCharType="begin"/>
      </w:r>
      <w:r w:rsidRPr="00DF7BE8">
        <w:instrText xml:space="preserve"> REF _Ref74287535 \h </w:instrText>
      </w:r>
      <w:r>
        <w:instrText xml:space="preserve"> \* MERGEFORMAT </w:instrText>
      </w:r>
      <w:r w:rsidRPr="00DF7BE8">
        <w:fldChar w:fldCharType="separate"/>
      </w:r>
      <w:r w:rsidR="004700D5" w:rsidRPr="004700D5">
        <w:t xml:space="preserve">Slika </w:t>
      </w:r>
      <w:r w:rsidR="004700D5" w:rsidRPr="004700D5">
        <w:rPr>
          <w:noProof/>
        </w:rPr>
        <w:t>6.12</w:t>
      </w:r>
      <w:r w:rsidRPr="00DF7BE8">
        <w:fldChar w:fldCharType="end"/>
      </w:r>
      <w:r>
        <w:t>)</w:t>
      </w:r>
      <w:r w:rsidRPr="00E82552">
        <w:t>.</w:t>
      </w:r>
    </w:p>
    <w:p w14:paraId="12105934" w14:textId="77777777" w:rsidR="00545A37" w:rsidRPr="00E82552" w:rsidRDefault="00545A37" w:rsidP="00545A37">
      <w:pPr>
        <w:jc w:val="center"/>
      </w:pPr>
      <w:r w:rsidRPr="00E82552">
        <w:rPr>
          <w:noProof/>
          <w:lang w:eastAsia="sl-SI"/>
        </w:rPr>
        <w:drawing>
          <wp:inline distT="0" distB="0" distL="0" distR="0" wp14:anchorId="1C6508BB" wp14:editId="4648970D">
            <wp:extent cx="4491038" cy="2509451"/>
            <wp:effectExtent l="0" t="0" r="5080" b="5715"/>
            <wp:docPr id="577129236" name="Picture 577129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129236"/>
                    <pic:cNvPicPr/>
                  </pic:nvPicPr>
                  <pic:blipFill rotWithShape="1">
                    <a:blip r:embed="rId90">
                      <a:extLst>
                        <a:ext uri="{28A0092B-C50C-407E-A947-70E740481C1C}">
                          <a14:useLocalDpi xmlns:a14="http://schemas.microsoft.com/office/drawing/2010/main" val="0"/>
                        </a:ext>
                      </a:extLst>
                    </a:blip>
                    <a:srcRect l="833" t="1287" r="910" b="1826"/>
                    <a:stretch/>
                  </pic:blipFill>
                  <pic:spPr bwMode="auto">
                    <a:xfrm>
                      <a:off x="0" y="0"/>
                      <a:ext cx="4492286" cy="2510149"/>
                    </a:xfrm>
                    <a:prstGeom prst="rect">
                      <a:avLst/>
                    </a:prstGeom>
                    <a:ln>
                      <a:noFill/>
                    </a:ln>
                    <a:extLst>
                      <a:ext uri="{53640926-AAD7-44D8-BBD7-CCE9431645EC}">
                        <a14:shadowObscured xmlns:a14="http://schemas.microsoft.com/office/drawing/2010/main"/>
                      </a:ext>
                    </a:extLst>
                  </pic:spPr>
                </pic:pic>
              </a:graphicData>
            </a:graphic>
          </wp:inline>
        </w:drawing>
      </w:r>
    </w:p>
    <w:p w14:paraId="183AD026" w14:textId="47D36A61" w:rsidR="00545A37" w:rsidRPr="00455DE8" w:rsidRDefault="00545A37" w:rsidP="00545A37">
      <w:pPr>
        <w:pStyle w:val="Napis"/>
        <w:jc w:val="left"/>
        <w:rPr>
          <w:rFonts w:ascii="Trebuchet MS" w:hAnsi="Trebuchet MS"/>
          <w:sz w:val="16"/>
          <w:szCs w:val="16"/>
        </w:rPr>
      </w:pPr>
      <w:bookmarkStart w:id="225" w:name="_Ref74287535"/>
      <w:bookmarkStart w:id="226" w:name="_Toc97026863"/>
      <w:r w:rsidRPr="00455DE8">
        <w:rPr>
          <w:rFonts w:ascii="Trebuchet MS" w:hAnsi="Trebuchet MS"/>
          <w:sz w:val="16"/>
          <w:szCs w:val="16"/>
        </w:rPr>
        <w:t xml:space="preserve">Slika </w:t>
      </w:r>
      <w:r w:rsidR="008334B2">
        <w:rPr>
          <w:rFonts w:ascii="Trebuchet MS" w:hAnsi="Trebuchet MS"/>
          <w:sz w:val="16"/>
          <w:szCs w:val="16"/>
        </w:rPr>
        <w:fldChar w:fldCharType="begin"/>
      </w:r>
      <w:r w:rsidR="008334B2">
        <w:rPr>
          <w:rFonts w:ascii="Trebuchet MS" w:hAnsi="Trebuchet MS"/>
          <w:sz w:val="16"/>
          <w:szCs w:val="16"/>
        </w:rPr>
        <w:instrText xml:space="preserve"> STYLEREF 1 \s </w:instrText>
      </w:r>
      <w:r w:rsidR="008334B2">
        <w:rPr>
          <w:rFonts w:ascii="Trebuchet MS" w:hAnsi="Trebuchet MS"/>
          <w:sz w:val="16"/>
          <w:szCs w:val="16"/>
        </w:rPr>
        <w:fldChar w:fldCharType="separate"/>
      </w:r>
      <w:r w:rsidR="008334B2">
        <w:rPr>
          <w:rFonts w:ascii="Trebuchet MS" w:hAnsi="Trebuchet MS"/>
          <w:noProof/>
          <w:sz w:val="16"/>
          <w:szCs w:val="16"/>
        </w:rPr>
        <w:t>6</w:t>
      </w:r>
      <w:r w:rsidR="008334B2">
        <w:rPr>
          <w:rFonts w:ascii="Trebuchet MS" w:hAnsi="Trebuchet MS"/>
          <w:sz w:val="16"/>
          <w:szCs w:val="16"/>
        </w:rPr>
        <w:fldChar w:fldCharType="end"/>
      </w:r>
      <w:r w:rsidR="008334B2">
        <w:rPr>
          <w:rFonts w:ascii="Trebuchet MS" w:hAnsi="Trebuchet MS"/>
          <w:sz w:val="16"/>
          <w:szCs w:val="16"/>
        </w:rPr>
        <w:t>.</w:t>
      </w:r>
      <w:r w:rsidR="008334B2">
        <w:rPr>
          <w:rFonts w:ascii="Trebuchet MS" w:hAnsi="Trebuchet MS"/>
          <w:sz w:val="16"/>
          <w:szCs w:val="16"/>
        </w:rPr>
        <w:fldChar w:fldCharType="begin"/>
      </w:r>
      <w:r w:rsidR="008334B2">
        <w:rPr>
          <w:rFonts w:ascii="Trebuchet MS" w:hAnsi="Trebuchet MS"/>
          <w:sz w:val="16"/>
          <w:szCs w:val="16"/>
        </w:rPr>
        <w:instrText xml:space="preserve"> SEQ Slika \* ARABIC \s 1 </w:instrText>
      </w:r>
      <w:r w:rsidR="008334B2">
        <w:rPr>
          <w:rFonts w:ascii="Trebuchet MS" w:hAnsi="Trebuchet MS"/>
          <w:sz w:val="16"/>
          <w:szCs w:val="16"/>
        </w:rPr>
        <w:fldChar w:fldCharType="separate"/>
      </w:r>
      <w:r w:rsidR="008334B2">
        <w:rPr>
          <w:rFonts w:ascii="Trebuchet MS" w:hAnsi="Trebuchet MS"/>
          <w:noProof/>
          <w:sz w:val="16"/>
          <w:szCs w:val="16"/>
        </w:rPr>
        <w:t>12</w:t>
      </w:r>
      <w:r w:rsidR="008334B2">
        <w:rPr>
          <w:rFonts w:ascii="Trebuchet MS" w:hAnsi="Trebuchet MS"/>
          <w:sz w:val="16"/>
          <w:szCs w:val="16"/>
        </w:rPr>
        <w:fldChar w:fldCharType="end"/>
      </w:r>
      <w:bookmarkEnd w:id="225"/>
      <w:r w:rsidRPr="00455DE8">
        <w:rPr>
          <w:rFonts w:ascii="Trebuchet MS" w:hAnsi="Trebuchet MS"/>
          <w:sz w:val="16"/>
          <w:szCs w:val="16"/>
        </w:rPr>
        <w:t>:  Sanitarni posek (m</w:t>
      </w:r>
      <w:r w:rsidRPr="00455DE8">
        <w:rPr>
          <w:rFonts w:ascii="Trebuchet MS" w:hAnsi="Trebuchet MS"/>
          <w:sz w:val="16"/>
          <w:szCs w:val="16"/>
          <w:vertAlign w:val="superscript"/>
        </w:rPr>
        <w:t>3</w:t>
      </w:r>
      <w:r w:rsidRPr="00455DE8">
        <w:rPr>
          <w:rFonts w:ascii="Trebuchet MS" w:hAnsi="Trebuchet MS"/>
          <w:sz w:val="16"/>
          <w:szCs w:val="16"/>
        </w:rPr>
        <w:t>) zaradi vetroloma v Mestni občini Nova Gorica v letih od 2014 do 2019 (ZGS, 2014, 2015, 2016, 2017, 2018, 2019).</w:t>
      </w:r>
      <w:bookmarkEnd w:id="226"/>
    </w:p>
    <w:p w14:paraId="4D5F1E61" w14:textId="77777777" w:rsidR="00545A37" w:rsidRPr="00DB02E5" w:rsidRDefault="00545A37" w:rsidP="00545A37">
      <w:pPr>
        <w:pStyle w:val="Naslov5"/>
        <w:rPr>
          <w:color w:val="000000" w:themeColor="text1"/>
        </w:rPr>
      </w:pPr>
      <w:r w:rsidRPr="00DB02E5">
        <w:t>Kazalnik vpliva: Zemeljski plazovi</w:t>
      </w:r>
    </w:p>
    <w:p w14:paraId="551D53B7" w14:textId="77777777" w:rsidR="00545A37" w:rsidRPr="00E82552" w:rsidRDefault="00545A37" w:rsidP="00545A37">
      <w:r w:rsidRPr="00E82552">
        <w:t>Zemeljski plazovi nastanejo zaradi ekstremnih padavinskih dogodkov, poplav in delovanja erozije na nestabilnih tleh. Zemeljski plazovi lahko ogrožajo cestno infrastrukturo, prometne povezave ter varno izvajanje gozdnih del.</w:t>
      </w:r>
    </w:p>
    <w:p w14:paraId="61218392" w14:textId="77777777" w:rsidR="00545A37" w:rsidRPr="00E82552" w:rsidRDefault="00545A37" w:rsidP="00545A37">
      <w:pPr>
        <w:rPr>
          <w:rFonts w:eastAsia="Trebuchet MS" w:cs="Trebuchet MS"/>
        </w:rPr>
      </w:pPr>
      <w:r w:rsidRPr="00E82552">
        <w:rPr>
          <w:rFonts w:eastAsia="Trebuchet MS" w:cs="Trebuchet MS"/>
        </w:rPr>
        <w:t xml:space="preserve">Po registru plazov je na območju MONG 150 plazov (Ocena ogroženosti…, 2015). Plazenje se aktivira običajno po določenem gradbenem posegu (spodkopavanje brežin) ali pa ob močnem deževju. Količina padavin, potrebna za sprožitev večjih plazov, znaša od 150 do 200 mm. Najprej se tvorijo odlomne razpoke na zgornjem robu plazu, nato sledi plazenje. V letu 2002 je bila izdelana karta ogroženosti pred zemeljskimi plazovi, na kateri so izdvojena območja z večjo verjetnostjo nastopanja plazenja. To so območja pod narivom Trnovskega gozda z velikim tveganjem in območja na jugu občine, ki jih gradijo flišne kamenine. Običajno so plazovi na Goriškem dolgi 40, široki 30 in globoki 4 m. Med plazovi po širini nastopanja izstopajo plazovi na območju </w:t>
      </w:r>
      <w:proofErr w:type="spellStart"/>
      <w:r w:rsidRPr="00E82552">
        <w:rPr>
          <w:rFonts w:eastAsia="Trebuchet MS" w:cs="Trebuchet MS"/>
        </w:rPr>
        <w:t>Bonetovšča</w:t>
      </w:r>
      <w:proofErr w:type="spellEnd"/>
      <w:r w:rsidRPr="00E82552">
        <w:rPr>
          <w:rFonts w:eastAsia="Trebuchet MS" w:cs="Trebuchet MS"/>
        </w:rPr>
        <w:t>, Vitovelj, Dornberka in Branika, po intenziteti poškodb pa tisti na Šmihelu in Gradišču nad Prvačino (Ocena ogroženosti…, 2015).</w:t>
      </w:r>
    </w:p>
    <w:p w14:paraId="5DC16E0D" w14:textId="2BE5DFDF" w:rsidR="00545A37" w:rsidRPr="00E82552" w:rsidRDefault="00545A37" w:rsidP="00545A37">
      <w:r w:rsidRPr="00E82552">
        <w:t>Ob aktiviranju plazov je ogroženo predvsem premoženje (stanovanjske hiše, gospodarska poslopja, cestno infrastrukturo, prometne povezave</w:t>
      </w:r>
      <w:r w:rsidRPr="00E82552">
        <w:rPr>
          <w:rFonts w:eastAsia="Trebuchet MS" w:cs="Trebuchet MS"/>
        </w:rPr>
        <w:t>, živali, k</w:t>
      </w:r>
      <w:r w:rsidRPr="00E82552">
        <w:t xml:space="preserve">metijske in gozdne površine, kulturna </w:t>
      </w:r>
      <w:r w:rsidRPr="00E82552">
        <w:lastRenderedPageBreak/>
        <w:t>dediščina, ...), koristi uporabnikov in varno izvajanje gozdnih del. Na najbolj kritičnih območjih je prebivalstvo že izseljeno, zato ni nevarnosti za ljudi. Večja nevarnost grozi ljudem na potencialno ogroženih območjih, kjer lahko pride do aktiviranja plazenja</w:t>
      </w:r>
      <w:r>
        <w:t xml:space="preserve"> (</w:t>
      </w:r>
      <w:r>
        <w:fldChar w:fldCharType="begin"/>
      </w:r>
      <w:r>
        <w:instrText xml:space="preserve"> REF _Ref74287623 \h </w:instrText>
      </w:r>
      <w:r>
        <w:fldChar w:fldCharType="separate"/>
      </w:r>
      <w:r w:rsidR="004700D5">
        <w:t xml:space="preserve">Slika </w:t>
      </w:r>
      <w:r w:rsidR="004700D5">
        <w:rPr>
          <w:noProof/>
        </w:rPr>
        <w:t>6</w:t>
      </w:r>
      <w:r w:rsidR="004700D5">
        <w:t>.</w:t>
      </w:r>
      <w:r w:rsidR="004700D5">
        <w:rPr>
          <w:noProof/>
        </w:rPr>
        <w:t>13</w:t>
      </w:r>
      <w:r>
        <w:fldChar w:fldCharType="end"/>
      </w:r>
      <w:r>
        <w:t>)</w:t>
      </w:r>
      <w:r w:rsidRPr="00E82552">
        <w:t>.</w:t>
      </w:r>
    </w:p>
    <w:p w14:paraId="60A7C5C8" w14:textId="77777777" w:rsidR="00545A37" w:rsidRDefault="00545A37" w:rsidP="00545A37">
      <w:pPr>
        <w:keepNext/>
        <w:jc w:val="center"/>
      </w:pPr>
      <w:r>
        <w:rPr>
          <w:noProof/>
          <w:lang w:eastAsia="sl-SI"/>
        </w:rPr>
        <w:drawing>
          <wp:inline distT="0" distB="0" distL="0" distR="0" wp14:anchorId="5E962AF2" wp14:editId="69D7A251">
            <wp:extent cx="4161989" cy="3427012"/>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171022" cy="3434450"/>
                    </a:xfrm>
                    <a:prstGeom prst="rect">
                      <a:avLst/>
                    </a:prstGeom>
                    <a:noFill/>
                    <a:ln>
                      <a:noFill/>
                    </a:ln>
                  </pic:spPr>
                </pic:pic>
              </a:graphicData>
            </a:graphic>
          </wp:inline>
        </w:drawing>
      </w:r>
    </w:p>
    <w:p w14:paraId="1F5B7A6D" w14:textId="27F7E731" w:rsidR="00545A37" w:rsidRPr="00E82552" w:rsidRDefault="00545A37" w:rsidP="00545A37">
      <w:pPr>
        <w:pStyle w:val="Napis"/>
      </w:pPr>
      <w:bookmarkStart w:id="227" w:name="_Ref74287623"/>
      <w:bookmarkStart w:id="228" w:name="_Toc97026864"/>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13</w:t>
      </w:r>
      <w:r w:rsidR="008334B2">
        <w:fldChar w:fldCharType="end"/>
      </w:r>
      <w:bookmarkEnd w:id="227"/>
      <w:r>
        <w:t>: Karta zemeljskih plazov in pogojev gradnje v Mestni občini Nova Gorica (</w:t>
      </w:r>
      <w:proofErr w:type="spellStart"/>
      <w:r>
        <w:t>Geoinženiring</w:t>
      </w:r>
      <w:proofErr w:type="spellEnd"/>
      <w:r>
        <w:t>, 2010).</w:t>
      </w:r>
      <w:bookmarkEnd w:id="228"/>
    </w:p>
    <w:p w14:paraId="1374693D" w14:textId="77777777" w:rsidR="00545A37" w:rsidRPr="00E82552" w:rsidRDefault="00545A37" w:rsidP="00545A37">
      <w:pPr>
        <w:rPr>
          <w:rFonts w:cs="Arial"/>
          <w:b/>
          <w:bCs/>
        </w:rPr>
      </w:pPr>
      <w:r w:rsidRPr="00E82552">
        <w:rPr>
          <w:rFonts w:cs="Arial"/>
          <w:b/>
          <w:bCs/>
        </w:rPr>
        <w:t>Kazalnik vpliva: Gozdni požari</w:t>
      </w:r>
    </w:p>
    <w:p w14:paraId="73F60121" w14:textId="4EE720A0" w:rsidR="00545A37" w:rsidRPr="00E82552" w:rsidRDefault="00545A37" w:rsidP="00545A37">
      <w:pPr>
        <w:rPr>
          <w:rFonts w:cs="Arial"/>
        </w:rPr>
      </w:pPr>
      <w:r w:rsidRPr="00E82552">
        <w:rPr>
          <w:rFonts w:cs="Arial"/>
        </w:rPr>
        <w:t>Ekstremno visoke temperature zraka ter dlje časa trajajoča suša lahko prizadenejo gozdove v obliki gozdnih požarov.</w:t>
      </w:r>
      <w:r w:rsidRPr="00E82552">
        <w:rPr>
          <w:rFonts w:eastAsia="Trebuchet MS" w:cs="Trebuchet MS"/>
        </w:rPr>
        <w:t xml:space="preserve"> </w:t>
      </w:r>
      <w:r w:rsidRPr="00E82552">
        <w:rPr>
          <w:rFonts w:cs="Arial"/>
        </w:rPr>
        <w:t>Po podatkih Zavoda za gozdove Slovenije je kar 40 % gozdov v MONG ocenjenih z veliko (28,0 %) in zelo veliko požarno ogroženostjo (12,3 %), 58 % pa s srednjo. Manj kot 2 % gozdov ima majhno stopnjo ogroženosti (ZGS, 2019) (</w:t>
      </w:r>
      <w:r>
        <w:rPr>
          <w:rFonts w:cs="Arial"/>
        </w:rPr>
        <w:fldChar w:fldCharType="begin"/>
      </w:r>
      <w:r>
        <w:rPr>
          <w:rFonts w:cs="Arial"/>
        </w:rPr>
        <w:instrText xml:space="preserve"> REF _Ref74287653 \h </w:instrText>
      </w:r>
      <w:r>
        <w:rPr>
          <w:rFonts w:cs="Arial"/>
        </w:rPr>
      </w:r>
      <w:r>
        <w:rPr>
          <w:rFonts w:cs="Arial"/>
        </w:rPr>
        <w:fldChar w:fldCharType="separate"/>
      </w:r>
      <w:r w:rsidR="004700D5">
        <w:t xml:space="preserve">Preglednica </w:t>
      </w:r>
      <w:r w:rsidR="004700D5">
        <w:rPr>
          <w:noProof/>
        </w:rPr>
        <w:t>6</w:t>
      </w:r>
      <w:r w:rsidR="004700D5">
        <w:t>.</w:t>
      </w:r>
      <w:r w:rsidR="004700D5">
        <w:rPr>
          <w:noProof/>
        </w:rPr>
        <w:t>14</w:t>
      </w:r>
      <w:r>
        <w:rPr>
          <w:rFonts w:cs="Arial"/>
        </w:rPr>
        <w:fldChar w:fldCharType="end"/>
      </w:r>
      <w:r w:rsidRPr="00E82552">
        <w:rPr>
          <w:rFonts w:cs="Arial"/>
        </w:rPr>
        <w:t>).</w:t>
      </w:r>
    </w:p>
    <w:p w14:paraId="3F964321" w14:textId="27EF07C3" w:rsidR="00545A37" w:rsidRDefault="00545A37" w:rsidP="00545A37">
      <w:pPr>
        <w:pStyle w:val="Napis"/>
        <w:keepNext/>
      </w:pPr>
      <w:bookmarkStart w:id="229" w:name="_Ref74287653"/>
      <w:bookmarkStart w:id="230" w:name="_Toc97026967"/>
      <w:r>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14</w:t>
      </w:r>
      <w:r w:rsidR="00976D80">
        <w:fldChar w:fldCharType="end"/>
      </w:r>
      <w:bookmarkEnd w:id="229"/>
      <w:r>
        <w:t xml:space="preserve">: </w:t>
      </w:r>
      <w:r w:rsidRPr="0097478D">
        <w:t>Delež gozdnih površin v Mestni občini Nova Gorica (%) glede na požarno ogroženost (ZGS, 2019)</w:t>
      </w:r>
      <w:r>
        <w:t>.</w:t>
      </w:r>
      <w:bookmarkEnd w:id="230"/>
    </w:p>
    <w:tbl>
      <w:tblPr>
        <w:tblStyle w:val="Navadnatabela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984"/>
        <w:gridCol w:w="2552"/>
      </w:tblGrid>
      <w:tr w:rsidR="00545A37" w:rsidRPr="00E82552" w14:paraId="75F8F1B3" w14:textId="77777777" w:rsidTr="00FF003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27" w:type="dxa"/>
            <w:tcBorders>
              <w:bottom w:val="none" w:sz="0" w:space="0" w:color="auto"/>
            </w:tcBorders>
            <w:shd w:val="clear" w:color="auto" w:fill="BFBFBF" w:themeFill="background1" w:themeFillShade="BF"/>
          </w:tcPr>
          <w:p w14:paraId="029A1173" w14:textId="77777777" w:rsidR="00545A37" w:rsidRPr="00E82552" w:rsidRDefault="00545A37" w:rsidP="00FF0031">
            <w:pPr>
              <w:jc w:val="center"/>
              <w:rPr>
                <w:sz w:val="20"/>
                <w:szCs w:val="20"/>
              </w:rPr>
            </w:pPr>
            <w:r w:rsidRPr="00E82552">
              <w:rPr>
                <w:rFonts w:eastAsia="Calibri" w:cs="Calibri"/>
                <w:color w:val="000000" w:themeColor="text1"/>
                <w:sz w:val="20"/>
                <w:szCs w:val="20"/>
              </w:rPr>
              <w:t>Stopnja ogroženosti</w:t>
            </w:r>
          </w:p>
        </w:tc>
        <w:tc>
          <w:tcPr>
            <w:tcW w:w="1984" w:type="dxa"/>
            <w:tcBorders>
              <w:bottom w:val="none" w:sz="0" w:space="0" w:color="auto"/>
            </w:tcBorders>
            <w:shd w:val="clear" w:color="auto" w:fill="BFBFBF" w:themeFill="background1" w:themeFillShade="BF"/>
          </w:tcPr>
          <w:p w14:paraId="6B9C0EB0" w14:textId="77777777" w:rsidR="00545A37" w:rsidRPr="00E82552" w:rsidRDefault="00545A37" w:rsidP="00FF0031">
            <w:pPr>
              <w:jc w:val="center"/>
              <w:cnfStyle w:val="100000000000" w:firstRow="1" w:lastRow="0" w:firstColumn="0" w:lastColumn="0" w:oddVBand="0" w:evenVBand="0" w:oddHBand="0" w:evenHBand="0" w:firstRowFirstColumn="0" w:firstRowLastColumn="0" w:lastRowFirstColumn="0" w:lastRowLastColumn="0"/>
              <w:rPr>
                <w:sz w:val="20"/>
                <w:szCs w:val="20"/>
              </w:rPr>
            </w:pPr>
            <w:r w:rsidRPr="00E82552">
              <w:rPr>
                <w:rFonts w:eastAsia="Calibri" w:cs="Calibri"/>
                <w:color w:val="000000" w:themeColor="text1"/>
                <w:sz w:val="20"/>
                <w:szCs w:val="20"/>
              </w:rPr>
              <w:t>Površina gozda (ha)</w:t>
            </w:r>
          </w:p>
        </w:tc>
        <w:tc>
          <w:tcPr>
            <w:tcW w:w="2552" w:type="dxa"/>
            <w:tcBorders>
              <w:bottom w:val="none" w:sz="0" w:space="0" w:color="auto"/>
            </w:tcBorders>
            <w:shd w:val="clear" w:color="auto" w:fill="BFBFBF" w:themeFill="background1" w:themeFillShade="BF"/>
          </w:tcPr>
          <w:p w14:paraId="5CEC72B2" w14:textId="77777777" w:rsidR="00545A37" w:rsidRPr="00E82552" w:rsidRDefault="00545A37" w:rsidP="00FF0031">
            <w:pPr>
              <w:jc w:val="center"/>
              <w:cnfStyle w:val="100000000000" w:firstRow="1" w:lastRow="0" w:firstColumn="0" w:lastColumn="0" w:oddVBand="0" w:evenVBand="0" w:oddHBand="0" w:evenHBand="0" w:firstRowFirstColumn="0" w:firstRowLastColumn="0" w:lastRowFirstColumn="0" w:lastRowLastColumn="0"/>
              <w:rPr>
                <w:sz w:val="20"/>
                <w:szCs w:val="20"/>
              </w:rPr>
            </w:pPr>
            <w:r w:rsidRPr="00E82552">
              <w:rPr>
                <w:rFonts w:eastAsia="Calibri" w:cs="Calibri"/>
                <w:color w:val="000000" w:themeColor="text1"/>
                <w:sz w:val="20"/>
                <w:szCs w:val="20"/>
              </w:rPr>
              <w:t>Delež gozdnih površin (%)</w:t>
            </w:r>
          </w:p>
        </w:tc>
      </w:tr>
      <w:tr w:rsidR="00545A37" w:rsidRPr="00E82552" w14:paraId="488ED8B3" w14:textId="77777777" w:rsidTr="00FF003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27" w:type="dxa"/>
            <w:tcBorders>
              <w:top w:val="none" w:sz="0" w:space="0" w:color="auto"/>
              <w:bottom w:val="none" w:sz="0" w:space="0" w:color="auto"/>
            </w:tcBorders>
            <w:shd w:val="clear" w:color="auto" w:fill="BFBFBF" w:themeFill="background1" w:themeFillShade="BF"/>
          </w:tcPr>
          <w:p w14:paraId="6A5D5477" w14:textId="77777777" w:rsidR="00545A37" w:rsidRPr="00E82552" w:rsidRDefault="00545A37" w:rsidP="00FF0031">
            <w:pPr>
              <w:rPr>
                <w:sz w:val="20"/>
                <w:szCs w:val="20"/>
              </w:rPr>
            </w:pPr>
            <w:r w:rsidRPr="00E82552">
              <w:rPr>
                <w:rFonts w:eastAsia="Calibri" w:cs="Calibri"/>
                <w:color w:val="000000" w:themeColor="text1"/>
                <w:sz w:val="20"/>
                <w:szCs w:val="20"/>
              </w:rPr>
              <w:t>Majhna</w:t>
            </w:r>
          </w:p>
        </w:tc>
        <w:tc>
          <w:tcPr>
            <w:tcW w:w="1984" w:type="dxa"/>
            <w:tcBorders>
              <w:top w:val="none" w:sz="0" w:space="0" w:color="auto"/>
              <w:bottom w:val="none" w:sz="0" w:space="0" w:color="auto"/>
            </w:tcBorders>
          </w:tcPr>
          <w:p w14:paraId="197E3D90" w14:textId="77777777" w:rsidR="00545A37" w:rsidRPr="00E82552" w:rsidRDefault="00545A37" w:rsidP="00FF0031">
            <w:pPr>
              <w:jc w:val="right"/>
              <w:cnfStyle w:val="000000100000" w:firstRow="0" w:lastRow="0" w:firstColumn="0" w:lastColumn="0" w:oddVBand="0" w:evenVBand="0" w:oddHBand="1" w:evenHBand="0" w:firstRowFirstColumn="0" w:firstRowLastColumn="0" w:lastRowFirstColumn="0" w:lastRowLastColumn="0"/>
              <w:rPr>
                <w:sz w:val="20"/>
                <w:szCs w:val="20"/>
              </w:rPr>
            </w:pPr>
            <w:r w:rsidRPr="00E82552">
              <w:rPr>
                <w:rFonts w:eastAsia="Calibri" w:cs="Calibri"/>
                <w:color w:val="000000" w:themeColor="text1"/>
                <w:sz w:val="20"/>
                <w:szCs w:val="20"/>
              </w:rPr>
              <w:t>324</w:t>
            </w:r>
          </w:p>
        </w:tc>
        <w:tc>
          <w:tcPr>
            <w:tcW w:w="2552" w:type="dxa"/>
            <w:tcBorders>
              <w:top w:val="none" w:sz="0" w:space="0" w:color="auto"/>
              <w:bottom w:val="none" w:sz="0" w:space="0" w:color="auto"/>
            </w:tcBorders>
          </w:tcPr>
          <w:p w14:paraId="1B0C791C" w14:textId="77777777" w:rsidR="00545A37" w:rsidRPr="00E82552" w:rsidRDefault="00545A37" w:rsidP="00FF0031">
            <w:pPr>
              <w:jc w:val="right"/>
              <w:cnfStyle w:val="000000100000" w:firstRow="0" w:lastRow="0" w:firstColumn="0" w:lastColumn="0" w:oddVBand="0" w:evenVBand="0" w:oddHBand="1" w:evenHBand="0" w:firstRowFirstColumn="0" w:firstRowLastColumn="0" w:lastRowFirstColumn="0" w:lastRowLastColumn="0"/>
              <w:rPr>
                <w:sz w:val="20"/>
                <w:szCs w:val="20"/>
              </w:rPr>
            </w:pPr>
            <w:r w:rsidRPr="00E82552">
              <w:rPr>
                <w:rFonts w:eastAsia="Calibri" w:cs="Calibri"/>
                <w:color w:val="000000" w:themeColor="text1"/>
                <w:sz w:val="20"/>
                <w:szCs w:val="20"/>
              </w:rPr>
              <w:t>1,7</w:t>
            </w:r>
          </w:p>
        </w:tc>
      </w:tr>
      <w:tr w:rsidR="00545A37" w:rsidRPr="00E82552" w14:paraId="6257BAC7" w14:textId="77777777" w:rsidTr="00FF0031">
        <w:trPr>
          <w:trHeight w:val="300"/>
          <w:jc w:val="center"/>
        </w:trPr>
        <w:tc>
          <w:tcPr>
            <w:cnfStyle w:val="001000000000" w:firstRow="0" w:lastRow="0" w:firstColumn="1" w:lastColumn="0" w:oddVBand="0" w:evenVBand="0" w:oddHBand="0" w:evenHBand="0" w:firstRowFirstColumn="0" w:firstRowLastColumn="0" w:lastRowFirstColumn="0" w:lastRowLastColumn="0"/>
            <w:tcW w:w="2127" w:type="dxa"/>
            <w:shd w:val="clear" w:color="auto" w:fill="BFBFBF" w:themeFill="background1" w:themeFillShade="BF"/>
          </w:tcPr>
          <w:p w14:paraId="2B1C2757" w14:textId="77777777" w:rsidR="00545A37" w:rsidRPr="00E82552" w:rsidRDefault="00545A37" w:rsidP="00FF0031">
            <w:pPr>
              <w:rPr>
                <w:sz w:val="20"/>
                <w:szCs w:val="20"/>
              </w:rPr>
            </w:pPr>
            <w:r w:rsidRPr="00E82552">
              <w:rPr>
                <w:rFonts w:eastAsia="Calibri" w:cs="Calibri"/>
                <w:color w:val="000000" w:themeColor="text1"/>
                <w:sz w:val="20"/>
                <w:szCs w:val="20"/>
              </w:rPr>
              <w:t>Srednja</w:t>
            </w:r>
          </w:p>
        </w:tc>
        <w:tc>
          <w:tcPr>
            <w:tcW w:w="1984" w:type="dxa"/>
          </w:tcPr>
          <w:p w14:paraId="721E060D" w14:textId="77777777" w:rsidR="00545A37" w:rsidRPr="00E82552" w:rsidRDefault="00545A37" w:rsidP="00FF0031">
            <w:pPr>
              <w:jc w:val="right"/>
              <w:cnfStyle w:val="000000000000" w:firstRow="0" w:lastRow="0" w:firstColumn="0" w:lastColumn="0" w:oddVBand="0" w:evenVBand="0" w:oddHBand="0" w:evenHBand="0" w:firstRowFirstColumn="0" w:firstRowLastColumn="0" w:lastRowFirstColumn="0" w:lastRowLastColumn="0"/>
              <w:rPr>
                <w:sz w:val="20"/>
                <w:szCs w:val="20"/>
              </w:rPr>
            </w:pPr>
            <w:r w:rsidRPr="00E82552">
              <w:rPr>
                <w:rFonts w:eastAsia="Calibri" w:cs="Calibri"/>
                <w:color w:val="000000" w:themeColor="text1"/>
                <w:sz w:val="20"/>
                <w:szCs w:val="20"/>
              </w:rPr>
              <w:t>11.031</w:t>
            </w:r>
          </w:p>
        </w:tc>
        <w:tc>
          <w:tcPr>
            <w:tcW w:w="2552" w:type="dxa"/>
          </w:tcPr>
          <w:p w14:paraId="04DB0B93" w14:textId="77777777" w:rsidR="00545A37" w:rsidRPr="00E82552" w:rsidRDefault="00545A37" w:rsidP="00FF0031">
            <w:pPr>
              <w:jc w:val="right"/>
              <w:cnfStyle w:val="000000000000" w:firstRow="0" w:lastRow="0" w:firstColumn="0" w:lastColumn="0" w:oddVBand="0" w:evenVBand="0" w:oddHBand="0" w:evenHBand="0" w:firstRowFirstColumn="0" w:firstRowLastColumn="0" w:lastRowFirstColumn="0" w:lastRowLastColumn="0"/>
              <w:rPr>
                <w:sz w:val="20"/>
                <w:szCs w:val="20"/>
              </w:rPr>
            </w:pPr>
            <w:r w:rsidRPr="00E82552">
              <w:rPr>
                <w:rFonts w:eastAsia="Calibri" w:cs="Calibri"/>
                <w:color w:val="000000" w:themeColor="text1"/>
                <w:sz w:val="20"/>
                <w:szCs w:val="20"/>
              </w:rPr>
              <w:t>58,0</w:t>
            </w:r>
          </w:p>
        </w:tc>
      </w:tr>
      <w:tr w:rsidR="00545A37" w:rsidRPr="00E82552" w14:paraId="49E6AED1" w14:textId="77777777" w:rsidTr="00FF003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27" w:type="dxa"/>
            <w:tcBorders>
              <w:top w:val="none" w:sz="0" w:space="0" w:color="auto"/>
              <w:bottom w:val="none" w:sz="0" w:space="0" w:color="auto"/>
            </w:tcBorders>
            <w:shd w:val="clear" w:color="auto" w:fill="BFBFBF" w:themeFill="background1" w:themeFillShade="BF"/>
          </w:tcPr>
          <w:p w14:paraId="5AA53CDB" w14:textId="77777777" w:rsidR="00545A37" w:rsidRPr="00E82552" w:rsidRDefault="00545A37" w:rsidP="00FF0031">
            <w:pPr>
              <w:rPr>
                <w:sz w:val="20"/>
                <w:szCs w:val="20"/>
              </w:rPr>
            </w:pPr>
            <w:r w:rsidRPr="00E82552">
              <w:rPr>
                <w:rFonts w:eastAsia="Calibri" w:cs="Calibri"/>
                <w:color w:val="000000" w:themeColor="text1"/>
                <w:sz w:val="20"/>
                <w:szCs w:val="20"/>
              </w:rPr>
              <w:t>Velika</w:t>
            </w:r>
          </w:p>
        </w:tc>
        <w:tc>
          <w:tcPr>
            <w:tcW w:w="1984" w:type="dxa"/>
            <w:tcBorders>
              <w:top w:val="none" w:sz="0" w:space="0" w:color="auto"/>
              <w:bottom w:val="none" w:sz="0" w:space="0" w:color="auto"/>
            </w:tcBorders>
          </w:tcPr>
          <w:p w14:paraId="101C923A" w14:textId="77777777" w:rsidR="00545A37" w:rsidRPr="00E82552" w:rsidRDefault="00545A37" w:rsidP="00FF0031">
            <w:pPr>
              <w:jc w:val="right"/>
              <w:cnfStyle w:val="000000100000" w:firstRow="0" w:lastRow="0" w:firstColumn="0" w:lastColumn="0" w:oddVBand="0" w:evenVBand="0" w:oddHBand="1" w:evenHBand="0" w:firstRowFirstColumn="0" w:firstRowLastColumn="0" w:lastRowFirstColumn="0" w:lastRowLastColumn="0"/>
              <w:rPr>
                <w:sz w:val="20"/>
                <w:szCs w:val="20"/>
              </w:rPr>
            </w:pPr>
            <w:r w:rsidRPr="00E82552">
              <w:rPr>
                <w:rFonts w:eastAsia="Calibri" w:cs="Calibri"/>
                <w:color w:val="000000" w:themeColor="text1"/>
                <w:sz w:val="20"/>
                <w:szCs w:val="20"/>
              </w:rPr>
              <w:t>5.314</w:t>
            </w:r>
          </w:p>
        </w:tc>
        <w:tc>
          <w:tcPr>
            <w:tcW w:w="2552" w:type="dxa"/>
            <w:tcBorders>
              <w:top w:val="none" w:sz="0" w:space="0" w:color="auto"/>
              <w:bottom w:val="none" w:sz="0" w:space="0" w:color="auto"/>
            </w:tcBorders>
          </w:tcPr>
          <w:p w14:paraId="3322676E" w14:textId="77777777" w:rsidR="00545A37" w:rsidRPr="00E82552" w:rsidRDefault="00545A37" w:rsidP="00FF0031">
            <w:pPr>
              <w:jc w:val="right"/>
              <w:cnfStyle w:val="000000100000" w:firstRow="0" w:lastRow="0" w:firstColumn="0" w:lastColumn="0" w:oddVBand="0" w:evenVBand="0" w:oddHBand="1" w:evenHBand="0" w:firstRowFirstColumn="0" w:firstRowLastColumn="0" w:lastRowFirstColumn="0" w:lastRowLastColumn="0"/>
              <w:rPr>
                <w:sz w:val="20"/>
                <w:szCs w:val="20"/>
              </w:rPr>
            </w:pPr>
            <w:r w:rsidRPr="00E82552">
              <w:rPr>
                <w:rFonts w:eastAsia="Calibri" w:cs="Calibri"/>
                <w:color w:val="000000" w:themeColor="text1"/>
                <w:sz w:val="20"/>
                <w:szCs w:val="20"/>
              </w:rPr>
              <w:t>28,0</w:t>
            </w:r>
          </w:p>
        </w:tc>
      </w:tr>
      <w:tr w:rsidR="00545A37" w:rsidRPr="00E82552" w14:paraId="4EA04880" w14:textId="77777777" w:rsidTr="00FF0031">
        <w:trPr>
          <w:trHeight w:val="300"/>
          <w:jc w:val="center"/>
        </w:trPr>
        <w:tc>
          <w:tcPr>
            <w:cnfStyle w:val="001000000000" w:firstRow="0" w:lastRow="0" w:firstColumn="1" w:lastColumn="0" w:oddVBand="0" w:evenVBand="0" w:oddHBand="0" w:evenHBand="0" w:firstRowFirstColumn="0" w:firstRowLastColumn="0" w:lastRowFirstColumn="0" w:lastRowLastColumn="0"/>
            <w:tcW w:w="2127" w:type="dxa"/>
            <w:shd w:val="clear" w:color="auto" w:fill="BFBFBF" w:themeFill="background1" w:themeFillShade="BF"/>
          </w:tcPr>
          <w:p w14:paraId="31CD692F" w14:textId="77777777" w:rsidR="00545A37" w:rsidRPr="00E82552" w:rsidRDefault="00545A37" w:rsidP="00FF0031">
            <w:pPr>
              <w:rPr>
                <w:sz w:val="20"/>
                <w:szCs w:val="20"/>
              </w:rPr>
            </w:pPr>
            <w:r w:rsidRPr="00E82552">
              <w:rPr>
                <w:rFonts w:eastAsia="Calibri" w:cs="Calibri"/>
                <w:color w:val="000000" w:themeColor="text1"/>
                <w:sz w:val="20"/>
                <w:szCs w:val="20"/>
              </w:rPr>
              <w:t>Zelo velika</w:t>
            </w:r>
          </w:p>
        </w:tc>
        <w:tc>
          <w:tcPr>
            <w:tcW w:w="1984" w:type="dxa"/>
          </w:tcPr>
          <w:p w14:paraId="30490113" w14:textId="77777777" w:rsidR="00545A37" w:rsidRPr="00E82552" w:rsidRDefault="00545A37" w:rsidP="00FF0031">
            <w:pPr>
              <w:jc w:val="right"/>
              <w:cnfStyle w:val="000000000000" w:firstRow="0" w:lastRow="0" w:firstColumn="0" w:lastColumn="0" w:oddVBand="0" w:evenVBand="0" w:oddHBand="0" w:evenHBand="0" w:firstRowFirstColumn="0" w:firstRowLastColumn="0" w:lastRowFirstColumn="0" w:lastRowLastColumn="0"/>
              <w:rPr>
                <w:sz w:val="20"/>
                <w:szCs w:val="20"/>
              </w:rPr>
            </w:pPr>
            <w:r w:rsidRPr="00E82552">
              <w:rPr>
                <w:rFonts w:eastAsia="Calibri" w:cs="Calibri"/>
                <w:color w:val="000000" w:themeColor="text1"/>
                <w:sz w:val="20"/>
                <w:szCs w:val="20"/>
              </w:rPr>
              <w:t>2.342</w:t>
            </w:r>
          </w:p>
        </w:tc>
        <w:tc>
          <w:tcPr>
            <w:tcW w:w="2552" w:type="dxa"/>
          </w:tcPr>
          <w:p w14:paraId="7BBAF6F0" w14:textId="77777777" w:rsidR="00545A37" w:rsidRPr="00E82552" w:rsidRDefault="00545A37" w:rsidP="00FF0031">
            <w:pPr>
              <w:jc w:val="right"/>
              <w:cnfStyle w:val="000000000000" w:firstRow="0" w:lastRow="0" w:firstColumn="0" w:lastColumn="0" w:oddVBand="0" w:evenVBand="0" w:oddHBand="0" w:evenHBand="0" w:firstRowFirstColumn="0" w:firstRowLastColumn="0" w:lastRowFirstColumn="0" w:lastRowLastColumn="0"/>
              <w:rPr>
                <w:sz w:val="20"/>
                <w:szCs w:val="20"/>
              </w:rPr>
            </w:pPr>
            <w:r w:rsidRPr="00E82552">
              <w:rPr>
                <w:rFonts w:eastAsia="Calibri" w:cs="Calibri"/>
                <w:color w:val="000000" w:themeColor="text1"/>
                <w:sz w:val="20"/>
                <w:szCs w:val="20"/>
              </w:rPr>
              <w:t>12,3</w:t>
            </w:r>
          </w:p>
        </w:tc>
      </w:tr>
    </w:tbl>
    <w:p w14:paraId="7BEA49CA" w14:textId="77777777" w:rsidR="00545A37" w:rsidRDefault="00545A37" w:rsidP="00545A37">
      <w:pPr>
        <w:rPr>
          <w:rFonts w:eastAsia="Trebuchet MS" w:cs="Trebuchet MS"/>
        </w:rPr>
      </w:pPr>
    </w:p>
    <w:p w14:paraId="760A4551" w14:textId="6E98523F" w:rsidR="00545A37" w:rsidRPr="00E82552" w:rsidRDefault="00545A37" w:rsidP="00545A37">
      <w:pPr>
        <w:rPr>
          <w:rFonts w:cs="Arial"/>
        </w:rPr>
      </w:pPr>
      <w:r w:rsidRPr="00E82552">
        <w:rPr>
          <w:rFonts w:eastAsia="Trebuchet MS" w:cs="Trebuchet MS"/>
        </w:rPr>
        <w:t xml:space="preserve">V občini so </w:t>
      </w:r>
      <w:r w:rsidRPr="00E82552">
        <w:rPr>
          <w:rFonts w:cs="Arial"/>
        </w:rPr>
        <w:t xml:space="preserve">zaradi sušnih rastišč </w:t>
      </w:r>
      <w:r w:rsidRPr="00E82552">
        <w:rPr>
          <w:rFonts w:eastAsia="Trebuchet MS" w:cs="Trebuchet MS"/>
        </w:rPr>
        <w:t xml:space="preserve">najbolj ogroženi gozdovi toploljubnih listavcev na apnencih. To je predvsem rob Trnovske planote, pobočje Skalnice in </w:t>
      </w:r>
      <w:proofErr w:type="spellStart"/>
      <w:r w:rsidRPr="00E82552">
        <w:rPr>
          <w:rFonts w:eastAsia="Trebuchet MS" w:cs="Trebuchet MS"/>
        </w:rPr>
        <w:t>Škabrijela</w:t>
      </w:r>
      <w:proofErr w:type="spellEnd"/>
      <w:r w:rsidRPr="00E82552">
        <w:rPr>
          <w:rFonts w:eastAsia="Trebuchet MS" w:cs="Trebuchet MS"/>
        </w:rPr>
        <w:t xml:space="preserve"> (Ocena ogroženosti…, 2015). Zelo visoka požarna ogroženost velja tudi za kraški svet oziroma kraško planoto – osojno severno pobočje Krasa, gozdno območje ob gradu </w:t>
      </w:r>
      <w:proofErr w:type="spellStart"/>
      <w:r w:rsidRPr="00E82552">
        <w:rPr>
          <w:rFonts w:eastAsia="Trebuchet MS" w:cs="Trebuchet MS"/>
        </w:rPr>
        <w:t>Rihemberk</w:t>
      </w:r>
      <w:proofErr w:type="spellEnd"/>
      <w:r w:rsidRPr="00E82552">
        <w:rPr>
          <w:rFonts w:eastAsia="Trebuchet MS" w:cs="Trebuchet MS"/>
        </w:rPr>
        <w:t xml:space="preserve">, del </w:t>
      </w:r>
      <w:proofErr w:type="spellStart"/>
      <w:r w:rsidRPr="00E82552">
        <w:rPr>
          <w:rFonts w:eastAsia="Trebuchet MS" w:cs="Trebuchet MS"/>
        </w:rPr>
        <w:t>Rabotnice</w:t>
      </w:r>
      <w:proofErr w:type="spellEnd"/>
      <w:r w:rsidRPr="00E82552">
        <w:rPr>
          <w:rFonts w:eastAsia="Trebuchet MS" w:cs="Trebuchet MS"/>
        </w:rPr>
        <w:t xml:space="preserve">, </w:t>
      </w:r>
      <w:proofErr w:type="spellStart"/>
      <w:r w:rsidRPr="00E82552">
        <w:rPr>
          <w:rFonts w:eastAsia="Trebuchet MS" w:cs="Trebuchet MS"/>
        </w:rPr>
        <w:t>Soknica</w:t>
      </w:r>
      <w:proofErr w:type="spellEnd"/>
      <w:r w:rsidRPr="00E82552">
        <w:rPr>
          <w:rFonts w:eastAsia="Trebuchet MS" w:cs="Trebuchet MS"/>
        </w:rPr>
        <w:t xml:space="preserve">, </w:t>
      </w:r>
      <w:proofErr w:type="spellStart"/>
      <w:r w:rsidRPr="00E82552">
        <w:rPr>
          <w:rFonts w:eastAsia="Trebuchet MS" w:cs="Trebuchet MS"/>
        </w:rPr>
        <w:t>Golerija</w:t>
      </w:r>
      <w:proofErr w:type="spellEnd"/>
      <w:r w:rsidRPr="00E82552">
        <w:rPr>
          <w:rFonts w:eastAsia="Trebuchet MS" w:cs="Trebuchet MS"/>
        </w:rPr>
        <w:t xml:space="preserve">, del Čuka ter </w:t>
      </w:r>
      <w:proofErr w:type="spellStart"/>
      <w:r w:rsidRPr="00E82552">
        <w:rPr>
          <w:rFonts w:eastAsia="Trebuchet MS" w:cs="Trebuchet MS"/>
        </w:rPr>
        <w:t>Šumka</w:t>
      </w:r>
      <w:proofErr w:type="spellEnd"/>
      <w:r w:rsidRPr="00E82552">
        <w:rPr>
          <w:rFonts w:eastAsia="Trebuchet MS" w:cs="Trebuchet MS"/>
        </w:rPr>
        <w:t xml:space="preserve"> (</w:t>
      </w:r>
      <w:r>
        <w:rPr>
          <w:rFonts w:eastAsia="Trebuchet MS" w:cs="Trebuchet MS"/>
        </w:rPr>
        <w:fldChar w:fldCharType="begin"/>
      </w:r>
      <w:r>
        <w:rPr>
          <w:rFonts w:eastAsia="Trebuchet MS" w:cs="Trebuchet MS"/>
        </w:rPr>
        <w:instrText xml:space="preserve"> REF _Ref74287694 \h </w:instrText>
      </w:r>
      <w:r>
        <w:rPr>
          <w:rFonts w:eastAsia="Trebuchet MS" w:cs="Trebuchet MS"/>
        </w:rPr>
      </w:r>
      <w:r>
        <w:rPr>
          <w:rFonts w:eastAsia="Trebuchet MS" w:cs="Trebuchet MS"/>
        </w:rPr>
        <w:fldChar w:fldCharType="separate"/>
      </w:r>
      <w:r w:rsidR="004700D5">
        <w:t xml:space="preserve">Slika </w:t>
      </w:r>
      <w:r w:rsidR="004700D5">
        <w:rPr>
          <w:noProof/>
        </w:rPr>
        <w:t>6</w:t>
      </w:r>
      <w:r w:rsidR="004700D5">
        <w:t>.</w:t>
      </w:r>
      <w:r w:rsidR="004700D5">
        <w:rPr>
          <w:noProof/>
        </w:rPr>
        <w:t>14</w:t>
      </w:r>
      <w:r>
        <w:rPr>
          <w:rFonts w:eastAsia="Trebuchet MS" w:cs="Trebuchet MS"/>
        </w:rPr>
        <w:fldChar w:fldCharType="end"/>
      </w:r>
      <w:r w:rsidRPr="00E82552">
        <w:rPr>
          <w:rFonts w:eastAsia="Trebuchet MS" w:cs="Trebuchet MS"/>
        </w:rPr>
        <w:t>).</w:t>
      </w:r>
      <w:r w:rsidRPr="00E82552">
        <w:rPr>
          <w:rFonts w:cs="Arial"/>
        </w:rPr>
        <w:t xml:space="preserve"> </w:t>
      </w:r>
    </w:p>
    <w:p w14:paraId="03122712" w14:textId="77777777" w:rsidR="00545A37" w:rsidRPr="00E82552" w:rsidRDefault="00545A37" w:rsidP="00545A37">
      <w:pPr>
        <w:rPr>
          <w:rFonts w:cs="Arial"/>
        </w:rPr>
      </w:pPr>
      <w:r w:rsidRPr="00E82552">
        <w:rPr>
          <w:rFonts w:cs="Arial"/>
        </w:rPr>
        <w:lastRenderedPageBreak/>
        <w:t xml:space="preserve">Zlasti v času poletnih suš je pogosto razglašena velika požarna ogroženost na območju celotne občine. Posledice gozdnih požarov so uničena drevesa, izguba lesne mase ter okrnjene ekološke, socialne in gospodarske funkcije gozda. Zaradi požara v naravi je velika verjetnost poškodb infrastrukturnih vodov (daljnovodov in transportnih poti), obstaja tudi nevarnost naslednjih verižnih nesreč. Pojav burje lahko pomembno vpliva na širjenje nastalega požara v gozd in na objekte. Kritične razmere za požar lahko nastopijo ob burji že dan ali dva po deževju. </w:t>
      </w:r>
    </w:p>
    <w:p w14:paraId="6A718DB7" w14:textId="77777777" w:rsidR="00545A37" w:rsidRPr="00E82552" w:rsidRDefault="00545A37" w:rsidP="00545A37">
      <w:pPr>
        <w:rPr>
          <w:rFonts w:cs="Arial"/>
        </w:rPr>
      </w:pPr>
      <w:r w:rsidRPr="00E82552">
        <w:rPr>
          <w:rFonts w:cs="Arial"/>
        </w:rPr>
        <w:t>Opuščeni travniki, pašniki in grmišča z veliko količino gorljivega materiala, slaba prehodnost zaradi neurejenih poti in kolovozov, slaba odprtost gozdov z gozdnimi cestami ter s tem zmanjšana možnost hitre intervencije v primeru požara povečujejo požarno ogroženost gozdov v občini.</w:t>
      </w:r>
    </w:p>
    <w:p w14:paraId="21569DD2" w14:textId="77777777" w:rsidR="00545A37" w:rsidRPr="00E82552" w:rsidRDefault="00545A37" w:rsidP="00545A37">
      <w:r w:rsidRPr="00E82552">
        <w:t>Organizacijsko in tehnično protipožarno varstvo je v MONG ustrezno urejeno. Za izvrševanje posameznih nalog s področja varstva pred požarom in gasilstva skrbijo Javni zavod za gasilsko in reševalno dejavnost Nova Gorica (poklicna gasilska enota) ter prostovoljna gasilska društva Nova Gorica, Dornberk in Čepovan ter druge organizacije in strokovne službe. Ob razglasitvi požarne ogroženosti, predvsem v poletnih mesecih, se pogosteje (vsakodnevno) izvaja požarna straža, pri kateri sodelujejo tudi sodelavci ZGS. V zelo sušnih mesecih in v primeru predvidene močne burje je potrebno stalno obveščanje prebivalstva pred možnostjo nastopa tovrstnega požara. Izvaja se tudi preventivna protipožarna dejavnost s postavitvijo opozorilnih napisov ter seznanjanjem prebivalstva o nevarnosti požarov.</w:t>
      </w:r>
    </w:p>
    <w:p w14:paraId="4C50E00E" w14:textId="77777777" w:rsidR="00545A37" w:rsidRDefault="00545A37" w:rsidP="00545A37">
      <w:pPr>
        <w:keepNext/>
        <w:jc w:val="center"/>
      </w:pPr>
      <w:r w:rsidRPr="00E82552">
        <w:rPr>
          <w:noProof/>
          <w:lang w:eastAsia="sl-SI"/>
        </w:rPr>
        <w:drawing>
          <wp:inline distT="0" distB="0" distL="0" distR="0" wp14:anchorId="3DC7FA52" wp14:editId="107ADA0A">
            <wp:extent cx="4572000" cy="3760151"/>
            <wp:effectExtent l="0" t="0" r="0" b="0"/>
            <wp:docPr id="1154506117" name="Picture 1154506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506117"/>
                    <pic:cNvPicPr/>
                  </pic:nvPicPr>
                  <pic:blipFill>
                    <a:blip r:embed="rId92">
                      <a:extLst>
                        <a:ext uri="{28A0092B-C50C-407E-A947-70E740481C1C}">
                          <a14:useLocalDpi xmlns:a14="http://schemas.microsoft.com/office/drawing/2010/main" val="0"/>
                        </a:ext>
                      </a:extLst>
                    </a:blip>
                    <a:stretch>
                      <a:fillRect/>
                    </a:stretch>
                  </pic:blipFill>
                  <pic:spPr>
                    <a:xfrm>
                      <a:off x="0" y="0"/>
                      <a:ext cx="4572000" cy="3760151"/>
                    </a:xfrm>
                    <a:prstGeom prst="rect">
                      <a:avLst/>
                    </a:prstGeom>
                  </pic:spPr>
                </pic:pic>
              </a:graphicData>
            </a:graphic>
          </wp:inline>
        </w:drawing>
      </w:r>
    </w:p>
    <w:p w14:paraId="55B04729" w14:textId="7C14C1C4" w:rsidR="00545A37" w:rsidRDefault="00545A37" w:rsidP="00545A37">
      <w:pPr>
        <w:pStyle w:val="Napis"/>
      </w:pPr>
      <w:bookmarkStart w:id="231" w:name="_Ref74287694"/>
      <w:bookmarkStart w:id="232" w:name="_Toc97026865"/>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14</w:t>
      </w:r>
      <w:r w:rsidR="008334B2">
        <w:fldChar w:fldCharType="end"/>
      </w:r>
      <w:bookmarkEnd w:id="231"/>
      <w:r>
        <w:t xml:space="preserve">: </w:t>
      </w:r>
      <w:r w:rsidRPr="00B76CA1">
        <w:t>Požarna ogroženost gozdov v Mestni občini Nova Gorica (ZGS, 2019).</w:t>
      </w:r>
      <w:bookmarkEnd w:id="232"/>
    </w:p>
    <w:p w14:paraId="435A79B5" w14:textId="00FBF830" w:rsidR="008334B2" w:rsidRDefault="008334B2" w:rsidP="008334B2"/>
    <w:p w14:paraId="5D6CFE56" w14:textId="77777777" w:rsidR="008334B2" w:rsidRPr="008334B2" w:rsidRDefault="008334B2" w:rsidP="008334B2"/>
    <w:p w14:paraId="66A6D412" w14:textId="77777777" w:rsidR="00545A37" w:rsidRPr="00E82552" w:rsidRDefault="00545A37" w:rsidP="00545A37">
      <w:pPr>
        <w:pStyle w:val="Naslov5"/>
      </w:pPr>
      <w:r w:rsidRPr="00E82552">
        <w:lastRenderedPageBreak/>
        <w:t>Kazalnik vpliva: Ogroženost navadne smreke in črnega bora zaradi bolezni in škodljivcev</w:t>
      </w:r>
    </w:p>
    <w:p w14:paraId="2922B120" w14:textId="77777777" w:rsidR="00545A37" w:rsidRPr="00E82552" w:rsidRDefault="00545A37" w:rsidP="00545A37">
      <w:pPr>
        <w:rPr>
          <w:u w:val="single"/>
        </w:rPr>
      </w:pPr>
      <w:r w:rsidRPr="00E82552">
        <w:rPr>
          <w:u w:val="single"/>
        </w:rPr>
        <w:t>Smreka</w:t>
      </w:r>
    </w:p>
    <w:p w14:paraId="32F1D265" w14:textId="77777777" w:rsidR="00545A37" w:rsidRPr="00A74F3A" w:rsidRDefault="00545A37" w:rsidP="00545A37">
      <w:pPr>
        <w:rPr>
          <w:rFonts w:eastAsia="Trebuchet MS" w:cs="Trebuchet MS"/>
        </w:rPr>
      </w:pPr>
      <w:r w:rsidRPr="00E82552">
        <w:t>Ogroženost navadne smreke (</w:t>
      </w:r>
      <w:proofErr w:type="spellStart"/>
      <w:r w:rsidRPr="00E82552">
        <w:rPr>
          <w:i/>
          <w:iCs/>
        </w:rPr>
        <w:t>Picea</w:t>
      </w:r>
      <w:proofErr w:type="spellEnd"/>
      <w:r w:rsidRPr="00E82552">
        <w:rPr>
          <w:i/>
          <w:iCs/>
        </w:rPr>
        <w:t xml:space="preserve"> </w:t>
      </w:r>
      <w:proofErr w:type="spellStart"/>
      <w:r w:rsidRPr="00E82552">
        <w:rPr>
          <w:i/>
          <w:iCs/>
        </w:rPr>
        <w:t>abies</w:t>
      </w:r>
      <w:proofErr w:type="spellEnd"/>
      <w:r w:rsidRPr="00E82552">
        <w:t xml:space="preserve"> L. </w:t>
      </w:r>
      <w:proofErr w:type="spellStart"/>
      <w:r w:rsidRPr="00E82552">
        <w:t>Karst</w:t>
      </w:r>
      <w:proofErr w:type="spellEnd"/>
      <w:r w:rsidRPr="00E82552">
        <w:t xml:space="preserve">.) zaradi podlubnikov je eden izmed pomembnejših dejavnikov v gozdovih Trnovske in Banjške planote ter Predmeje. </w:t>
      </w:r>
      <w:bookmarkStart w:id="233" w:name="_Hlk71201364"/>
      <w:r w:rsidRPr="00520747">
        <w:t xml:space="preserve">Namnožitve podlubnikov na smreki </w:t>
      </w:r>
      <w:bookmarkEnd w:id="233"/>
      <w:r w:rsidRPr="00520747">
        <w:t>se pojavljajo</w:t>
      </w:r>
      <w:r w:rsidRPr="00E82552">
        <w:t xml:space="preserve"> zlasti v primorskih gorskih bukovih gozdovih, ki sta jih prizadela žled in veter, posledic pa ni bilo mogoče hitro in učinkovito sanirati. </w:t>
      </w:r>
      <w:r w:rsidRPr="00E82552">
        <w:rPr>
          <w:rFonts w:eastAsia="Trebuchet MS" w:cs="Trebuchet MS"/>
        </w:rPr>
        <w:t xml:space="preserve">Močna namnožitev podlubnikov na smreki je bila v letih od 2014 do 2018. Ti so napadli zaradi žleda poškodovane in oslabele starejše nasade smrek. </w:t>
      </w:r>
    </w:p>
    <w:p w14:paraId="02214842" w14:textId="77777777" w:rsidR="00545A37" w:rsidRPr="00E82552" w:rsidRDefault="00545A37" w:rsidP="00545A37">
      <w:pPr>
        <w:rPr>
          <w:rFonts w:eastAsia="Trebuchet MS" w:cs="Trebuchet MS"/>
          <w:u w:val="single"/>
        </w:rPr>
      </w:pPr>
      <w:r w:rsidRPr="00E82552">
        <w:rPr>
          <w:rFonts w:eastAsia="Trebuchet MS" w:cs="Trebuchet MS"/>
          <w:u w:val="single"/>
        </w:rPr>
        <w:t>Črni bor</w:t>
      </w:r>
    </w:p>
    <w:p w14:paraId="51DDBE1A" w14:textId="77777777" w:rsidR="00545A37" w:rsidRPr="00E82552" w:rsidRDefault="00545A37" w:rsidP="00545A37">
      <w:pPr>
        <w:rPr>
          <w:rFonts w:eastAsia="Trebuchet MS" w:cs="Trebuchet MS"/>
        </w:rPr>
      </w:pPr>
      <w:r w:rsidRPr="00E82552">
        <w:rPr>
          <w:rFonts w:eastAsia="Trebuchet MS" w:cs="Trebuchet MS"/>
        </w:rPr>
        <w:t>V nižinskih predelih občine sestoji črnega bora (</w:t>
      </w:r>
      <w:proofErr w:type="spellStart"/>
      <w:r w:rsidRPr="00E82552">
        <w:rPr>
          <w:rFonts w:eastAsia="Trebuchet MS" w:cs="Trebuchet MS"/>
          <w:i/>
          <w:iCs/>
        </w:rPr>
        <w:t>Pinus</w:t>
      </w:r>
      <w:proofErr w:type="spellEnd"/>
      <w:r w:rsidRPr="00E82552">
        <w:rPr>
          <w:rFonts w:eastAsia="Trebuchet MS" w:cs="Trebuchet MS"/>
          <w:i/>
          <w:iCs/>
        </w:rPr>
        <w:t xml:space="preserve"> </w:t>
      </w:r>
      <w:proofErr w:type="spellStart"/>
      <w:r w:rsidRPr="00E82552">
        <w:rPr>
          <w:rFonts w:eastAsia="Trebuchet MS" w:cs="Trebuchet MS"/>
          <w:i/>
          <w:iCs/>
        </w:rPr>
        <w:t>nigra</w:t>
      </w:r>
      <w:proofErr w:type="spellEnd"/>
      <w:r w:rsidRPr="00E82552">
        <w:rPr>
          <w:rFonts w:eastAsia="Trebuchet MS" w:cs="Trebuchet MS"/>
        </w:rPr>
        <w:t xml:space="preserve"> var.</w:t>
      </w:r>
      <w:r w:rsidRPr="00E82552">
        <w:rPr>
          <w:rFonts w:eastAsia="Trebuchet MS" w:cs="Trebuchet MS"/>
          <w:i/>
          <w:iCs/>
        </w:rPr>
        <w:t xml:space="preserve"> </w:t>
      </w:r>
      <w:proofErr w:type="spellStart"/>
      <w:r w:rsidRPr="00E82552">
        <w:rPr>
          <w:rFonts w:eastAsia="Trebuchet MS" w:cs="Trebuchet MS"/>
          <w:i/>
          <w:iCs/>
        </w:rPr>
        <w:t>austriaca</w:t>
      </w:r>
      <w:proofErr w:type="spellEnd"/>
      <w:r w:rsidRPr="00E82552">
        <w:rPr>
          <w:rFonts w:eastAsia="Trebuchet MS" w:cs="Trebuchet MS"/>
        </w:rPr>
        <w:t xml:space="preserve"> ARNOLD.) že desetletja predstavljajo estetsko značilnost krajine, vendar jih je potrebno zaradi slabega zdravstvenega stanja in ponekod tudi že fiziološkega propadanja zaradi starosti intenzivneje uvajati v obnovo in jih nadomeščati s toploljubnimi listavci.</w:t>
      </w:r>
    </w:p>
    <w:p w14:paraId="42D2D925" w14:textId="77777777" w:rsidR="00545A37" w:rsidRPr="00E82552" w:rsidRDefault="00545A37" w:rsidP="00545A37">
      <w:r w:rsidRPr="00E82552">
        <w:rPr>
          <w:rFonts w:eastAsia="Trebuchet MS" w:cs="Trebuchet MS"/>
        </w:rPr>
        <w:t xml:space="preserve">Črni bor je edino drevo, ki je bilo sposobno preživeti in rasti na izjemno skromnih rastiščih in v neugodnih podnebnih razmerah golega Krasa in ki je bilo tudi ekonomsko zanimivo </w:t>
      </w:r>
      <w:r w:rsidRPr="00E82552">
        <w:fldChar w:fldCharType="begin"/>
      </w:r>
      <w:r w:rsidRPr="00E82552">
        <w:instrText xml:space="preserve"> ADDIN EN.CITE &lt;EndNote&gt;&lt;Cite&gt;&lt;Author&gt;KRANJC&lt;/Author&gt;&lt;Year&gt;2009&lt;/Year&gt;&lt;RecNum&gt;2547&lt;/RecNum&gt;&lt;DisplayText&gt;(Kranjc&lt;style font="Arial CE"&gt;,&lt;/style&gt; 2009)&lt;/DisplayText&gt;&lt;record&gt;&lt;rec-number&gt;2547&lt;/rec-number&gt;&lt;foreign-keys&gt;&lt;key app="EN" db-id="05perwtrm2xswpesvvj5wzwgtzsw0sdetwrv" timestamp="1599054482"&gt;2547&lt;/key&gt;&lt;/foreign-keys&gt;&lt;ref-type name="Journal Article"&gt;17&lt;/ref-type&gt;&lt;contributors&gt;&lt;authors&gt;&lt;author&gt;KRANJC, ANDREJ&lt;/author&gt;&lt;/authors&gt;&lt;/contributors&gt;&lt;titles&gt;&lt;title&gt;History of Deforestation and Reforestation in the Dinaric Karst&lt;/title&gt;&lt;secondary-title&gt;Geographical Research&lt;/secondary-title&gt;&lt;/titles&gt;&lt;periodical&gt;&lt;full-title&gt;Geographical Research&lt;/full-title&gt;&lt;/periodical&gt;&lt;pages&gt;15-23&lt;/pages&gt;&lt;volume&gt;47&lt;/volume&gt;&lt;number&gt;1&lt;/number&gt;&lt;dates&gt;&lt;year&gt;2009&lt;/year&gt;&lt;/dates&gt;&lt;isbn&gt;1745-5863&lt;/isbn&gt;&lt;urls&gt;&lt;related-urls&gt;&lt;url&gt;https://onlinelibrary.wiley.com/doi/abs/10.1111/j.1745-5871.2008.00552.x&lt;/url&gt;&lt;/related-urls&gt;&lt;/urls&gt;&lt;electronic-resource-num&gt;10.1111/j.1745-5871.2008.00552.x&lt;/electronic-resource-num&gt;&lt;/record&gt;&lt;/Cite&gt;&lt;/EndNote&gt;</w:instrText>
      </w:r>
      <w:r w:rsidRPr="00E82552">
        <w:fldChar w:fldCharType="separate"/>
      </w:r>
      <w:r w:rsidRPr="00E82552">
        <w:rPr>
          <w:noProof/>
        </w:rPr>
        <w:t>(Kranjc, 2009)</w:t>
      </w:r>
      <w:r w:rsidRPr="00E82552">
        <w:fldChar w:fldCharType="end"/>
      </w:r>
      <w:r w:rsidRPr="00E82552">
        <w:rPr>
          <w:rFonts w:eastAsia="Trebuchet MS" w:cs="Trebuchet MS"/>
        </w:rPr>
        <w:t>. Nudil je zavetje domačim listavcem za ponovno osvajanje davno degradiranih rastišč. V začetni</w:t>
      </w:r>
      <w:r w:rsidRPr="00E82552">
        <w:t>h sukcesijskih fazah se je odlično uveljavil, prispeval k izboljšanju rastiščnih razmer in se spontano širil (Jurc in Jurc</w:t>
      </w:r>
      <w:r>
        <w:t>,</w:t>
      </w:r>
      <w:r w:rsidRPr="00E82552">
        <w:t xml:space="preserve"> 2013). Črni bor je tudi ekonomsko zanimiva drevesna vrsta, vendar s staranjem postajajo borovi sestoji vse bolj občutljivi na abiotske in biotske stresne dejavnike (Šinko</w:t>
      </w:r>
      <w:r>
        <w:t xml:space="preserve">, </w:t>
      </w:r>
      <w:r w:rsidRPr="00E82552">
        <w:t>2013). Podnebne spremembe razgradnjo borovih sestojev še pospešujejo, naravno pa se ne obnavljajo (Jurc in Jurc</w:t>
      </w:r>
      <w:r>
        <w:t xml:space="preserve">, </w:t>
      </w:r>
      <w:r w:rsidRPr="00E82552">
        <w:t>2013). Na novih rastiščih je bilo v zadnjih 100 in več letih zdravje črnega bora prizadeto predvsem zaradi občasnih lokalnih ali veliko-površinskih namnožitev škodljivcev. Predvsem so bili pomembni pinijev sprevodni prelec (</w:t>
      </w:r>
      <w:proofErr w:type="spellStart"/>
      <w:r w:rsidRPr="00E82552">
        <w:rPr>
          <w:i/>
          <w:iCs/>
          <w:color w:val="1E1B10"/>
        </w:rPr>
        <w:t>Thaumetopoea</w:t>
      </w:r>
      <w:proofErr w:type="spellEnd"/>
      <w:r w:rsidRPr="00E82552">
        <w:rPr>
          <w:color w:val="1E1B10"/>
          <w:shd w:val="clear" w:color="auto" w:fill="F8F8F8"/>
        </w:rPr>
        <w:t xml:space="preserve"> </w:t>
      </w:r>
      <w:proofErr w:type="spellStart"/>
      <w:r w:rsidRPr="00E82552">
        <w:rPr>
          <w:i/>
          <w:iCs/>
          <w:color w:val="1E1B10"/>
        </w:rPr>
        <w:t>pityocampa</w:t>
      </w:r>
      <w:proofErr w:type="spellEnd"/>
      <w:r w:rsidRPr="00E82552">
        <w:rPr>
          <w:color w:val="1E1B10"/>
          <w:shd w:val="clear" w:color="auto" w:fill="F8F8F8"/>
        </w:rPr>
        <w:t xml:space="preserve"> Denis &amp; </w:t>
      </w:r>
      <w:proofErr w:type="spellStart"/>
      <w:r w:rsidRPr="00E82552">
        <w:rPr>
          <w:color w:val="1E1B10"/>
          <w:shd w:val="clear" w:color="auto" w:fill="F8F8F8"/>
        </w:rPr>
        <w:t>Schiffermüller</w:t>
      </w:r>
      <w:proofErr w:type="spellEnd"/>
      <w:r w:rsidRPr="00E82552">
        <w:rPr>
          <w:color w:val="1E1B10"/>
          <w:shd w:val="clear" w:color="auto" w:fill="F8F8F8"/>
        </w:rPr>
        <w:t>, 1775)</w:t>
      </w:r>
      <w:r w:rsidRPr="00E82552">
        <w:t>, zavijač borovih poganjkov (</w:t>
      </w:r>
      <w:proofErr w:type="spellStart"/>
      <w:r w:rsidRPr="00E82552">
        <w:rPr>
          <w:i/>
          <w:iCs/>
        </w:rPr>
        <w:t>Rhyacionia</w:t>
      </w:r>
      <w:proofErr w:type="spellEnd"/>
      <w:r w:rsidRPr="00E82552">
        <w:rPr>
          <w:i/>
          <w:iCs/>
        </w:rPr>
        <w:t xml:space="preserve"> </w:t>
      </w:r>
      <w:proofErr w:type="spellStart"/>
      <w:r w:rsidRPr="00E82552">
        <w:rPr>
          <w:i/>
          <w:iCs/>
        </w:rPr>
        <w:t>buoliana</w:t>
      </w:r>
      <w:proofErr w:type="spellEnd"/>
      <w:r w:rsidRPr="00E82552">
        <w:t xml:space="preserve"> Denis &amp; </w:t>
      </w:r>
      <w:proofErr w:type="spellStart"/>
      <w:r w:rsidRPr="00E82552">
        <w:t>Schiffermüller</w:t>
      </w:r>
      <w:proofErr w:type="spellEnd"/>
      <w:r w:rsidRPr="00E82552">
        <w:t xml:space="preserve"> (1775)), navadna borova grizlica (</w:t>
      </w:r>
      <w:proofErr w:type="spellStart"/>
      <w:r w:rsidRPr="00E82552">
        <w:rPr>
          <w:i/>
          <w:iCs/>
        </w:rPr>
        <w:t>Diprion</w:t>
      </w:r>
      <w:proofErr w:type="spellEnd"/>
      <w:r w:rsidRPr="00E82552">
        <w:rPr>
          <w:i/>
          <w:iCs/>
        </w:rPr>
        <w:t xml:space="preserve"> </w:t>
      </w:r>
      <w:proofErr w:type="spellStart"/>
      <w:r w:rsidRPr="00E82552">
        <w:rPr>
          <w:i/>
          <w:iCs/>
        </w:rPr>
        <w:t>pini</w:t>
      </w:r>
      <w:proofErr w:type="spellEnd"/>
      <w:r w:rsidRPr="00E82552">
        <w:t xml:space="preserve"> </w:t>
      </w:r>
      <w:proofErr w:type="spellStart"/>
      <w:r w:rsidRPr="00E82552">
        <w:t>Linnaeus</w:t>
      </w:r>
      <w:proofErr w:type="spellEnd"/>
      <w:r w:rsidRPr="00E82552">
        <w:t xml:space="preserve"> (1758)), rjava borova grizlica (</w:t>
      </w:r>
      <w:proofErr w:type="spellStart"/>
      <w:r w:rsidRPr="00E82552">
        <w:rPr>
          <w:i/>
          <w:iCs/>
        </w:rPr>
        <w:t>Neodiprion</w:t>
      </w:r>
      <w:proofErr w:type="spellEnd"/>
      <w:r w:rsidRPr="00E82552">
        <w:rPr>
          <w:i/>
          <w:iCs/>
        </w:rPr>
        <w:t xml:space="preserve"> </w:t>
      </w:r>
      <w:proofErr w:type="spellStart"/>
      <w:r w:rsidRPr="00E82552">
        <w:rPr>
          <w:i/>
          <w:iCs/>
        </w:rPr>
        <w:t>sertifer</w:t>
      </w:r>
      <w:proofErr w:type="spellEnd"/>
      <w:r w:rsidRPr="00E82552">
        <w:t xml:space="preserve"> </w:t>
      </w:r>
      <w:proofErr w:type="spellStart"/>
      <w:r w:rsidRPr="00E82552">
        <w:t>Geoffroy</w:t>
      </w:r>
      <w:proofErr w:type="spellEnd"/>
      <w:r w:rsidRPr="00E82552">
        <w:t xml:space="preserve"> (1785)) ter podlubniki, ki pa niso ogrozili njegovega obstoja. V zadnjih 30 letih sestoje črnega bora vse pogosteje in usodneje ogrožajo bolezni, med katerimi so najpomembnejše sušica najmlajših borovih poganjkov (</w:t>
      </w:r>
      <w:proofErr w:type="spellStart"/>
      <w:r w:rsidRPr="00E82552">
        <w:rPr>
          <w:i/>
          <w:iCs/>
        </w:rPr>
        <w:t>Diplodia</w:t>
      </w:r>
      <w:proofErr w:type="spellEnd"/>
      <w:r w:rsidRPr="00E82552">
        <w:rPr>
          <w:i/>
          <w:iCs/>
        </w:rPr>
        <w:t xml:space="preserve"> </w:t>
      </w:r>
      <w:proofErr w:type="spellStart"/>
      <w:r w:rsidRPr="00E82552">
        <w:rPr>
          <w:i/>
          <w:iCs/>
        </w:rPr>
        <w:t>pinea</w:t>
      </w:r>
      <w:proofErr w:type="spellEnd"/>
      <w:r w:rsidRPr="00E82552">
        <w:t xml:space="preserve"> (</w:t>
      </w:r>
      <w:proofErr w:type="spellStart"/>
      <w:r w:rsidRPr="00E82552">
        <w:t>Desm</w:t>
      </w:r>
      <w:proofErr w:type="spellEnd"/>
      <w:r w:rsidRPr="00E82552">
        <w:t xml:space="preserve">.) J. </w:t>
      </w:r>
      <w:proofErr w:type="spellStart"/>
      <w:r w:rsidRPr="00E82552">
        <w:t>Kickx</w:t>
      </w:r>
      <w:proofErr w:type="spellEnd"/>
      <w:r w:rsidRPr="00E82552">
        <w:t xml:space="preserve"> </w:t>
      </w:r>
      <w:proofErr w:type="spellStart"/>
      <w:r w:rsidRPr="00E82552">
        <w:t>f.</w:t>
      </w:r>
      <w:proofErr w:type="spellEnd"/>
      <w:r w:rsidRPr="00E82552">
        <w:t xml:space="preserve"> (1867) in sušenje borovih vej (</w:t>
      </w:r>
      <w:proofErr w:type="spellStart"/>
      <w:r w:rsidRPr="00E82552">
        <w:rPr>
          <w:i/>
          <w:iCs/>
        </w:rPr>
        <w:t>Cenangium</w:t>
      </w:r>
      <w:proofErr w:type="spellEnd"/>
      <w:r w:rsidRPr="00E82552">
        <w:rPr>
          <w:i/>
          <w:iCs/>
        </w:rPr>
        <w:t xml:space="preserve"> </w:t>
      </w:r>
      <w:proofErr w:type="spellStart"/>
      <w:r w:rsidRPr="00E82552">
        <w:rPr>
          <w:i/>
          <w:iCs/>
        </w:rPr>
        <w:t>ferruginosum</w:t>
      </w:r>
      <w:proofErr w:type="spellEnd"/>
      <w:r w:rsidRPr="00E82552">
        <w:t>). Vse naštete bolezni so značilne za bore, ki rastejo izven naravnega areala in se pojavijo predvsem ob močni suši ali toči. Od njih se razlikuje rdeča pegavost borovih iglic (</w:t>
      </w:r>
      <w:proofErr w:type="spellStart"/>
      <w:r w:rsidRPr="00E82552">
        <w:rPr>
          <w:i/>
          <w:iCs/>
        </w:rPr>
        <w:t>Dothistroma</w:t>
      </w:r>
      <w:proofErr w:type="spellEnd"/>
      <w:r w:rsidRPr="00E82552">
        <w:rPr>
          <w:i/>
          <w:iCs/>
        </w:rPr>
        <w:t xml:space="preserve"> </w:t>
      </w:r>
      <w:proofErr w:type="spellStart"/>
      <w:r w:rsidRPr="00E82552">
        <w:rPr>
          <w:i/>
          <w:iCs/>
        </w:rPr>
        <w:t>septosporum</w:t>
      </w:r>
      <w:proofErr w:type="spellEnd"/>
      <w:r w:rsidRPr="00E82552">
        <w:t xml:space="preserve"> (</w:t>
      </w:r>
      <w:proofErr w:type="spellStart"/>
      <w:r w:rsidRPr="00E82552">
        <w:t>Dorogin</w:t>
      </w:r>
      <w:proofErr w:type="spellEnd"/>
      <w:r w:rsidRPr="00E82552">
        <w:t xml:space="preserve">) M. </w:t>
      </w:r>
      <w:proofErr w:type="spellStart"/>
      <w:r w:rsidRPr="00E82552">
        <w:t>Morelet</w:t>
      </w:r>
      <w:proofErr w:type="spellEnd"/>
      <w:r w:rsidRPr="00E82552">
        <w:t xml:space="preserve"> in </w:t>
      </w:r>
      <w:r w:rsidRPr="00E82552">
        <w:rPr>
          <w:i/>
          <w:iCs/>
        </w:rPr>
        <w:t xml:space="preserve">D. </w:t>
      </w:r>
      <w:proofErr w:type="spellStart"/>
      <w:r w:rsidRPr="00E82552">
        <w:rPr>
          <w:i/>
          <w:iCs/>
        </w:rPr>
        <w:t>pini</w:t>
      </w:r>
      <w:proofErr w:type="spellEnd"/>
      <w:r w:rsidRPr="00E82552">
        <w:t xml:space="preserve"> </w:t>
      </w:r>
      <w:proofErr w:type="spellStart"/>
      <w:r w:rsidRPr="00E82552">
        <w:t>Hulbary</w:t>
      </w:r>
      <w:proofErr w:type="spellEnd"/>
      <w:r w:rsidRPr="00E82552">
        <w:t>), ki se naglo širi v zadnjih letih in je na seznamu reguliranih ne karantenskih bolezni.</w:t>
      </w:r>
    </w:p>
    <w:p w14:paraId="31C56D84" w14:textId="77777777" w:rsidR="00545A37" w:rsidRPr="00DB02E5" w:rsidRDefault="00545A37" w:rsidP="00545A37">
      <w:pPr>
        <w:pStyle w:val="Naslov5"/>
      </w:pPr>
      <w:r w:rsidRPr="00DB02E5">
        <w:t>Kazalnik vpliva: Ogroženost listavcev zaradi bolezni in škodljivcev</w:t>
      </w:r>
    </w:p>
    <w:p w14:paraId="7E072030" w14:textId="77777777" w:rsidR="00545A37" w:rsidRPr="00E82552" w:rsidRDefault="00545A37" w:rsidP="00545A37">
      <w:pPr>
        <w:rPr>
          <w:rFonts w:eastAsia="Trebuchet MS" w:cs="Trebuchet MS"/>
          <w:highlight w:val="yellow"/>
        </w:rPr>
      </w:pPr>
      <w:r w:rsidRPr="00E82552">
        <w:rPr>
          <w:rFonts w:eastAsia="Trebuchet MS" w:cs="Trebuchet MS"/>
        </w:rPr>
        <w:t xml:space="preserve">V MONG so poglaviten vzrok za širjenje bolezni in škodljivcev vedno pogostejša in dlje trajajoča sušna obdobja, kar se odraža v slabi vitalnosti dreves. Med listavci so še posebej ogroženi domači kostanj, črni gaber in hrasti na </w:t>
      </w:r>
      <w:proofErr w:type="spellStart"/>
      <w:r w:rsidRPr="00E82552">
        <w:rPr>
          <w:rFonts w:eastAsia="Trebuchet MS" w:cs="Trebuchet MS"/>
        </w:rPr>
        <w:t>sušnejših</w:t>
      </w:r>
      <w:proofErr w:type="spellEnd"/>
      <w:r w:rsidRPr="00E82552">
        <w:rPr>
          <w:rFonts w:eastAsia="Trebuchet MS" w:cs="Trebuchet MS"/>
        </w:rPr>
        <w:t xml:space="preserve"> rastiščih. Bolezni in škodljivci, ki ogrožajo listavce, imajo torej velik potencialni vpliv na gozdove v MONG.</w:t>
      </w:r>
    </w:p>
    <w:p w14:paraId="726ADD53" w14:textId="77777777" w:rsidR="00545A37" w:rsidRPr="00E82552" w:rsidRDefault="00545A37" w:rsidP="00545A37">
      <w:pPr>
        <w:rPr>
          <w:rFonts w:eastAsia="Trebuchet MS" w:cs="Trebuchet MS"/>
        </w:rPr>
      </w:pPr>
      <w:r w:rsidRPr="00E82552">
        <w:rPr>
          <w:rFonts w:eastAsia="Trebuchet MS" w:cs="Trebuchet MS"/>
        </w:rPr>
        <w:t>Domači kostanj je v preteklih letih močno prizadela kostanjeva šiškarica (</w:t>
      </w:r>
      <w:proofErr w:type="spellStart"/>
      <w:r w:rsidRPr="00E82552">
        <w:rPr>
          <w:rFonts w:eastAsia="Trebuchet MS" w:cs="Trebuchet MS"/>
          <w:i/>
          <w:shd w:val="clear" w:color="auto" w:fill="FFFFFF"/>
        </w:rPr>
        <w:t>Dryocosmus</w:t>
      </w:r>
      <w:proofErr w:type="spellEnd"/>
      <w:r w:rsidRPr="00E82552">
        <w:rPr>
          <w:rFonts w:eastAsia="Trebuchet MS" w:cs="Trebuchet MS"/>
          <w:i/>
          <w:shd w:val="clear" w:color="auto" w:fill="FFFFFF"/>
        </w:rPr>
        <w:t xml:space="preserve"> </w:t>
      </w:r>
      <w:proofErr w:type="spellStart"/>
      <w:r w:rsidRPr="00E82552">
        <w:rPr>
          <w:rFonts w:eastAsia="Trebuchet MS" w:cs="Trebuchet MS"/>
          <w:i/>
          <w:shd w:val="clear" w:color="auto" w:fill="FFFFFF"/>
        </w:rPr>
        <w:t>kuriphilus</w:t>
      </w:r>
      <w:proofErr w:type="spellEnd"/>
      <w:r w:rsidRPr="00E82552">
        <w:rPr>
          <w:rFonts w:eastAsia="Trebuchet MS" w:cs="Trebuchet MS"/>
          <w:shd w:val="clear" w:color="auto" w:fill="FFFFFF"/>
        </w:rPr>
        <w:t>)</w:t>
      </w:r>
      <w:r w:rsidRPr="00E82552">
        <w:rPr>
          <w:rFonts w:eastAsia="Trebuchet MS" w:cs="Trebuchet MS"/>
        </w:rPr>
        <w:t xml:space="preserve">, kar je v kombinaciji s kostanjevim rakom </w:t>
      </w:r>
      <w:r w:rsidRPr="00E82552">
        <w:rPr>
          <w:rFonts w:eastAsia="Trebuchet MS" w:cs="Trebuchet MS"/>
          <w:color w:val="2C2C2C"/>
          <w:shd w:val="clear" w:color="auto" w:fill="FFFFFF"/>
        </w:rPr>
        <w:t>(</w:t>
      </w:r>
      <w:proofErr w:type="spellStart"/>
      <w:r w:rsidRPr="00E82552">
        <w:rPr>
          <w:rStyle w:val="Poudarek"/>
          <w:rFonts w:eastAsia="Trebuchet MS" w:cs="Trebuchet MS"/>
          <w:color w:val="2C2C2C"/>
          <w:bdr w:val="none" w:sz="0" w:space="0" w:color="auto" w:frame="1"/>
        </w:rPr>
        <w:t>Cryphonectria</w:t>
      </w:r>
      <w:proofErr w:type="spellEnd"/>
      <w:r w:rsidRPr="00E82552">
        <w:rPr>
          <w:rStyle w:val="Poudarek"/>
          <w:rFonts w:eastAsia="Trebuchet MS" w:cs="Trebuchet MS"/>
          <w:color w:val="2C2C2C"/>
          <w:bdr w:val="none" w:sz="0" w:space="0" w:color="auto" w:frame="1"/>
        </w:rPr>
        <w:t xml:space="preserve"> </w:t>
      </w:r>
      <w:proofErr w:type="spellStart"/>
      <w:r w:rsidRPr="00E82552">
        <w:rPr>
          <w:rStyle w:val="Poudarek"/>
          <w:rFonts w:eastAsia="Trebuchet MS" w:cs="Trebuchet MS"/>
          <w:color w:val="2C2C2C"/>
          <w:bdr w:val="none" w:sz="0" w:space="0" w:color="auto" w:frame="1"/>
        </w:rPr>
        <w:t>parasitica</w:t>
      </w:r>
      <w:proofErr w:type="spellEnd"/>
      <w:r w:rsidRPr="00E82552">
        <w:rPr>
          <w:rFonts w:eastAsia="Trebuchet MS" w:cs="Trebuchet MS"/>
          <w:color w:val="2C2C2C"/>
          <w:shd w:val="clear" w:color="auto" w:fill="FFFFFF"/>
        </w:rPr>
        <w:t>)</w:t>
      </w:r>
      <w:r w:rsidRPr="00E82552">
        <w:rPr>
          <w:rFonts w:eastAsia="Trebuchet MS" w:cs="Trebuchet MS"/>
        </w:rPr>
        <w:t xml:space="preserve"> povzročilo množičen propad kostanjevih dreves. V zadnjih letih se močno širi sušenje črnega gabra, ki ga povzroča gliva </w:t>
      </w:r>
      <w:proofErr w:type="spellStart"/>
      <w:r w:rsidRPr="00E82552">
        <w:rPr>
          <w:rFonts w:eastAsia="Trebuchet MS" w:cs="Trebuchet MS"/>
          <w:i/>
        </w:rPr>
        <w:t>Botryosphaeria</w:t>
      </w:r>
      <w:proofErr w:type="spellEnd"/>
      <w:r w:rsidRPr="00E82552">
        <w:rPr>
          <w:rFonts w:eastAsia="Trebuchet MS" w:cs="Trebuchet MS"/>
          <w:i/>
        </w:rPr>
        <w:t xml:space="preserve"> </w:t>
      </w:r>
      <w:proofErr w:type="spellStart"/>
      <w:r w:rsidRPr="00E82552">
        <w:rPr>
          <w:rFonts w:eastAsia="Trebuchet MS" w:cs="Trebuchet MS"/>
          <w:i/>
        </w:rPr>
        <w:t>dothidea</w:t>
      </w:r>
      <w:proofErr w:type="spellEnd"/>
      <w:r w:rsidRPr="00E82552">
        <w:rPr>
          <w:rFonts w:eastAsia="Trebuchet MS" w:cs="Trebuchet MS"/>
        </w:rPr>
        <w:t xml:space="preserve">. Podobno kot kostanjev rak se pojavlja na vejah in deblih, povzroča sušenje in odpadanje skorje, razvoj rakastih tvorb in sušenje celih dreves. V primeru stopnjevanja </w:t>
      </w:r>
      <w:r w:rsidRPr="00E82552">
        <w:rPr>
          <w:rFonts w:eastAsia="Trebuchet MS" w:cs="Trebuchet MS"/>
        </w:rPr>
        <w:lastRenderedPageBreak/>
        <w:t>jakosti ekoloških stresov, predvsem suše, ki bolezen pospešujejo, je pričakovati postopen umik črnega gabra iz toplih in suhih rastišč.</w:t>
      </w:r>
    </w:p>
    <w:p w14:paraId="08B9BE27" w14:textId="77777777" w:rsidR="00545A37" w:rsidRPr="00E82552" w:rsidRDefault="00545A37" w:rsidP="00545A37">
      <w:pPr>
        <w:rPr>
          <w:rFonts w:eastAsia="Trebuchet MS" w:cs="Trebuchet MS"/>
        </w:rPr>
      </w:pPr>
      <w:r w:rsidRPr="00E82552">
        <w:rPr>
          <w:rFonts w:eastAsia="Trebuchet MS" w:cs="Trebuchet MS"/>
        </w:rPr>
        <w:t xml:space="preserve">V MONG se v zadnjih letih pojavlja še ena, do pred kratkim neznana bolezen: pooglenitev hrastov, ki jo povzroča gliva </w:t>
      </w:r>
      <w:proofErr w:type="spellStart"/>
      <w:r w:rsidRPr="00E82552">
        <w:rPr>
          <w:rFonts w:eastAsia="Trebuchet MS" w:cs="Trebuchet MS"/>
          <w:i/>
        </w:rPr>
        <w:t>Biscogniauxia</w:t>
      </w:r>
      <w:proofErr w:type="spellEnd"/>
      <w:r w:rsidRPr="00E82552">
        <w:rPr>
          <w:rFonts w:eastAsia="Trebuchet MS" w:cs="Trebuchet MS"/>
          <w:i/>
        </w:rPr>
        <w:t xml:space="preserve"> </w:t>
      </w:r>
      <w:proofErr w:type="spellStart"/>
      <w:r w:rsidRPr="00E82552">
        <w:rPr>
          <w:rFonts w:eastAsia="Trebuchet MS" w:cs="Trebuchet MS"/>
          <w:i/>
        </w:rPr>
        <w:t>mediterranea</w:t>
      </w:r>
      <w:proofErr w:type="spellEnd"/>
      <w:r w:rsidRPr="00E82552">
        <w:rPr>
          <w:rFonts w:eastAsia="Trebuchet MS" w:cs="Trebuchet MS"/>
        </w:rPr>
        <w:t xml:space="preserve">. Bolezen prizadene predvsem hrast cer in povzroča sušenje vej, vrhov krošenj in celih dreves. Najbolj je prizadeto panjevsko drevje na najslabših rastiščih in suhih rastiščih. V primeru stopnjevanja suše, ki bolezen pospešuje, se bo cer ohranil le na zanj najustreznejših rastiščih. V 2020 je puhasti hrast in cer na velikem območju zelo poškodovala gliva </w:t>
      </w:r>
      <w:proofErr w:type="spellStart"/>
      <w:r w:rsidRPr="00E82552">
        <w:rPr>
          <w:rFonts w:eastAsia="Trebuchet MS" w:cs="Trebuchet MS"/>
          <w:i/>
          <w:iCs/>
        </w:rPr>
        <w:t>Dicarpella</w:t>
      </w:r>
      <w:proofErr w:type="spellEnd"/>
      <w:r w:rsidRPr="00E82552">
        <w:rPr>
          <w:rFonts w:eastAsia="Trebuchet MS" w:cs="Trebuchet MS"/>
          <w:i/>
          <w:iCs/>
        </w:rPr>
        <w:t xml:space="preserve"> </w:t>
      </w:r>
      <w:proofErr w:type="spellStart"/>
      <w:r w:rsidRPr="00E82552">
        <w:rPr>
          <w:rFonts w:eastAsia="Trebuchet MS" w:cs="Trebuchet MS"/>
          <w:i/>
          <w:iCs/>
        </w:rPr>
        <w:t>dryina</w:t>
      </w:r>
      <w:proofErr w:type="spellEnd"/>
      <w:r w:rsidRPr="00E82552">
        <w:rPr>
          <w:rFonts w:eastAsia="Trebuchet MS" w:cs="Trebuchet MS"/>
        </w:rPr>
        <w:t>, ki povzroča hrastovo listno pegavost. Ta gliva se rada pojavlja v bolj vlažnih letih, ko je več padavin. V občini se pojavlja tudi jesenov ožig, ki ga povzroča gliva</w:t>
      </w:r>
      <w:r w:rsidRPr="00E82552">
        <w:rPr>
          <w:rFonts w:eastAsia="Trebuchet MS" w:cs="Trebuchet MS"/>
          <w:u w:val="single"/>
        </w:rPr>
        <w:t xml:space="preserve"> </w:t>
      </w:r>
      <w:proofErr w:type="spellStart"/>
      <w:r w:rsidRPr="00E82552">
        <w:rPr>
          <w:rFonts w:eastAsia="Trebuchet MS" w:cs="Trebuchet MS"/>
          <w:i/>
          <w:iCs/>
        </w:rPr>
        <w:t>Hymenoscyphus</w:t>
      </w:r>
      <w:proofErr w:type="spellEnd"/>
      <w:r w:rsidRPr="00E82552">
        <w:rPr>
          <w:rFonts w:eastAsia="Trebuchet MS" w:cs="Trebuchet MS"/>
          <w:i/>
          <w:iCs/>
        </w:rPr>
        <w:t xml:space="preserve"> </w:t>
      </w:r>
      <w:proofErr w:type="spellStart"/>
      <w:r w:rsidRPr="00E82552">
        <w:rPr>
          <w:rFonts w:eastAsia="Trebuchet MS" w:cs="Trebuchet MS"/>
          <w:i/>
          <w:iCs/>
        </w:rPr>
        <w:t>fraxineus</w:t>
      </w:r>
      <w:proofErr w:type="spellEnd"/>
      <w:r w:rsidRPr="00E82552">
        <w:rPr>
          <w:rFonts w:eastAsia="Trebuchet MS" w:cs="Trebuchet MS"/>
        </w:rPr>
        <w:t>.</w:t>
      </w:r>
    </w:p>
    <w:p w14:paraId="58C0A187" w14:textId="77777777" w:rsidR="00545A37" w:rsidRPr="00E82552" w:rsidRDefault="00545A37" w:rsidP="00545A37">
      <w:pPr>
        <w:rPr>
          <w:rFonts w:cs="Arial"/>
        </w:rPr>
      </w:pPr>
      <w:r w:rsidRPr="00E82552">
        <w:rPr>
          <w:rFonts w:cs="Arial"/>
        </w:rPr>
        <w:t>Navadna bukev je v Sloveniji prevladujoča vrsta, saj njen delež predstavlja 32,5 % lesne zaloge</w:t>
      </w:r>
      <w:bookmarkStart w:id="234" w:name="_Hlk41995480"/>
      <w:r w:rsidRPr="00E82552">
        <w:rPr>
          <w:rFonts w:cs="Arial"/>
        </w:rPr>
        <w:t>. V MONG delež bukve predstavlja 37 % lesne zaloge in skupno obsega 1.833.743 m</w:t>
      </w:r>
      <w:r w:rsidRPr="00E82552">
        <w:rPr>
          <w:rFonts w:cs="Arial"/>
          <w:vertAlign w:val="superscript"/>
        </w:rPr>
        <w:t>3</w:t>
      </w:r>
      <w:r w:rsidRPr="00E82552">
        <w:rPr>
          <w:rFonts w:cs="Arial"/>
        </w:rPr>
        <w:t xml:space="preserve"> (ZGS, 2019). Na Trnovskem gozdu se po suši v letu 2018 razmahnila pooglenitev bukve, ki jo povzroča gliva </w:t>
      </w:r>
      <w:proofErr w:type="spellStart"/>
      <w:r w:rsidRPr="00E82552">
        <w:rPr>
          <w:rFonts w:cs="Arial"/>
          <w:i/>
        </w:rPr>
        <w:t>Biscogniauxia</w:t>
      </w:r>
      <w:proofErr w:type="spellEnd"/>
      <w:r w:rsidRPr="00E82552">
        <w:rPr>
          <w:rFonts w:cs="Arial"/>
          <w:i/>
        </w:rPr>
        <w:t xml:space="preserve"> </w:t>
      </w:r>
      <w:proofErr w:type="spellStart"/>
      <w:r w:rsidRPr="00E82552">
        <w:rPr>
          <w:rFonts w:cs="Arial"/>
          <w:i/>
        </w:rPr>
        <w:t>nummularia</w:t>
      </w:r>
      <w:proofErr w:type="spellEnd"/>
      <w:r w:rsidRPr="00E82552">
        <w:rPr>
          <w:rFonts w:cs="Arial"/>
          <w:i/>
        </w:rPr>
        <w:t xml:space="preserve"> </w:t>
      </w:r>
      <w:r w:rsidRPr="00E82552">
        <w:rPr>
          <w:rFonts w:cs="Arial"/>
        </w:rPr>
        <w:t>(</w:t>
      </w:r>
      <w:proofErr w:type="spellStart"/>
      <w:r w:rsidRPr="00E82552">
        <w:rPr>
          <w:rFonts w:cs="Arial"/>
        </w:rPr>
        <w:t>Bull</w:t>
      </w:r>
      <w:proofErr w:type="spellEnd"/>
      <w:r w:rsidRPr="00E82552">
        <w:rPr>
          <w:rFonts w:cs="Arial"/>
        </w:rPr>
        <w:t xml:space="preserve">.) </w:t>
      </w:r>
      <w:proofErr w:type="spellStart"/>
      <w:r w:rsidRPr="00E82552">
        <w:rPr>
          <w:rFonts w:cs="Arial"/>
        </w:rPr>
        <w:t>Kuntze</w:t>
      </w:r>
      <w:proofErr w:type="spellEnd"/>
      <w:r w:rsidRPr="00E82552">
        <w:rPr>
          <w:rFonts w:cs="Arial"/>
        </w:rPr>
        <w:t xml:space="preserve"> (Jurc in sod. 2019). Bolezni in škodljivci, ki ogrožajo navadno bukev, imajo torej velik potencialni vpliv na gozdove v MONG. </w:t>
      </w:r>
    </w:p>
    <w:bookmarkEnd w:id="234"/>
    <w:p w14:paraId="71019D32" w14:textId="5910814A" w:rsidR="00545A37" w:rsidRPr="00E82552" w:rsidRDefault="00545A37" w:rsidP="00545A37">
      <w:pPr>
        <w:rPr>
          <w:rFonts w:cs="Arial"/>
        </w:rPr>
      </w:pPr>
      <w:r w:rsidRPr="00E82552">
        <w:rPr>
          <w:rFonts w:cs="Arial"/>
        </w:rPr>
        <w:t>Bukovi sestoji so v Sloveniji relativno stabilni, škodljivi biotski in abiotski dejavniki navadno bukev življenjsko ne ogrožajo. Vendar izkušnje drugje v Evropi in pri nas nakazujejo, da se z ekstremnimi vremenskimi pojavi (predvsem s sušo in vročino) lahko pojavijo obsežne in močne poškodbe navadne bukve na njenem celotnem arealu rasti. Zato moramo bolj kot doslej upoštevati njene naslednje posebnosti: (a) velika občutljivost na poškodbe skorje; (b) veliko število škodljivih organizmov, ki so sposobni namnožitve in povzročanja poškodb (</w:t>
      </w:r>
      <w:r>
        <w:rPr>
          <w:rFonts w:cs="Arial"/>
        </w:rPr>
        <w:fldChar w:fldCharType="begin"/>
      </w:r>
      <w:r>
        <w:rPr>
          <w:rFonts w:cs="Arial"/>
        </w:rPr>
        <w:instrText xml:space="preserve"> REF _Ref74288177 \h </w:instrText>
      </w:r>
      <w:r>
        <w:rPr>
          <w:rFonts w:cs="Arial"/>
        </w:rPr>
      </w:r>
      <w:r>
        <w:rPr>
          <w:rFonts w:cs="Arial"/>
        </w:rPr>
        <w:fldChar w:fldCharType="separate"/>
      </w:r>
      <w:r w:rsidR="004700D5">
        <w:t xml:space="preserve">Preglednica </w:t>
      </w:r>
      <w:r w:rsidR="004700D5">
        <w:rPr>
          <w:noProof/>
        </w:rPr>
        <w:t>6</w:t>
      </w:r>
      <w:r w:rsidR="004700D5">
        <w:t>.</w:t>
      </w:r>
      <w:r w:rsidR="004700D5">
        <w:rPr>
          <w:noProof/>
        </w:rPr>
        <w:t>15</w:t>
      </w:r>
      <w:r>
        <w:rPr>
          <w:rFonts w:cs="Arial"/>
        </w:rPr>
        <w:fldChar w:fldCharType="end"/>
      </w:r>
      <w:r w:rsidRPr="00E82552">
        <w:rPr>
          <w:rFonts w:cs="Arial"/>
        </w:rPr>
        <w:t xml:space="preserve">, Ogris in sod. 2008). </w:t>
      </w:r>
    </w:p>
    <w:p w14:paraId="05EA66E3" w14:textId="0BB4ECB8" w:rsidR="00545A37" w:rsidRDefault="00545A37" w:rsidP="00545A37">
      <w:pPr>
        <w:pStyle w:val="Napis"/>
        <w:keepNext/>
      </w:pPr>
      <w:bookmarkStart w:id="235" w:name="_Ref74288177"/>
      <w:bookmarkStart w:id="236" w:name="_Toc97026968"/>
      <w:r>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15</w:t>
      </w:r>
      <w:r w:rsidR="00976D80">
        <w:fldChar w:fldCharType="end"/>
      </w:r>
      <w:bookmarkEnd w:id="235"/>
      <w:r>
        <w:t xml:space="preserve">: </w:t>
      </w:r>
      <w:r w:rsidRPr="00C218CC">
        <w:t>Škodljivi dejavniki navadne bukve, ocena njihovega vpliva v sedanjosti (Ogris in sod. 2008).</w:t>
      </w:r>
      <w:bookmarkEnd w:id="236"/>
    </w:p>
    <w:tbl>
      <w:tblPr>
        <w:tblStyle w:val="Grigliatabella1"/>
        <w:tblW w:w="5000" w:type="pct"/>
        <w:tblLook w:val="01E0" w:firstRow="1" w:lastRow="1" w:firstColumn="1" w:lastColumn="1" w:noHBand="0" w:noVBand="0"/>
      </w:tblPr>
      <w:tblGrid>
        <w:gridCol w:w="8736"/>
        <w:gridCol w:w="892"/>
      </w:tblGrid>
      <w:tr w:rsidR="00545A37" w:rsidRPr="00E82552" w14:paraId="642BC24E" w14:textId="77777777" w:rsidTr="00545A37">
        <w:tc>
          <w:tcPr>
            <w:tcW w:w="4537" w:type="pct"/>
            <w:shd w:val="clear" w:color="auto" w:fill="E7E6E6" w:themeFill="background2"/>
            <w:hideMark/>
          </w:tcPr>
          <w:p w14:paraId="0C79D382" w14:textId="77777777" w:rsidR="00545A37" w:rsidRPr="00E82552" w:rsidRDefault="00545A37" w:rsidP="00FF0031">
            <w:pPr>
              <w:rPr>
                <w:szCs w:val="20"/>
              </w:rPr>
            </w:pPr>
            <w:r w:rsidRPr="00E82552">
              <w:rPr>
                <w:szCs w:val="20"/>
              </w:rPr>
              <w:t>Škodljivi dejavnik ( – ni škodljiv, + malo do +++ močno škodljiv, ( ) občasen pojav)</w:t>
            </w:r>
          </w:p>
        </w:tc>
        <w:tc>
          <w:tcPr>
            <w:tcW w:w="463" w:type="pct"/>
            <w:shd w:val="clear" w:color="auto" w:fill="E7E6E6" w:themeFill="background2"/>
            <w:hideMark/>
          </w:tcPr>
          <w:p w14:paraId="38B3C8D1" w14:textId="77777777" w:rsidR="00545A37" w:rsidRPr="00E82552" w:rsidRDefault="00545A37" w:rsidP="00FF0031">
            <w:pPr>
              <w:rPr>
                <w:szCs w:val="20"/>
              </w:rPr>
            </w:pPr>
            <w:r w:rsidRPr="00E82552">
              <w:rPr>
                <w:szCs w:val="20"/>
              </w:rPr>
              <w:t>Danes</w:t>
            </w:r>
          </w:p>
        </w:tc>
      </w:tr>
      <w:tr w:rsidR="00545A37" w:rsidRPr="00E82552" w14:paraId="42907F2F" w14:textId="77777777" w:rsidTr="00545A37">
        <w:tc>
          <w:tcPr>
            <w:tcW w:w="4537" w:type="pct"/>
            <w:hideMark/>
          </w:tcPr>
          <w:p w14:paraId="7DCA1601" w14:textId="77777777" w:rsidR="00545A37" w:rsidRPr="00E82552" w:rsidRDefault="00545A37" w:rsidP="00FF0031">
            <w:pPr>
              <w:rPr>
                <w:szCs w:val="20"/>
              </w:rPr>
            </w:pPr>
            <w:proofErr w:type="spellStart"/>
            <w:r w:rsidRPr="00E82552">
              <w:rPr>
                <w:i/>
                <w:szCs w:val="20"/>
              </w:rPr>
              <w:t>Taphrorychus</w:t>
            </w:r>
            <w:proofErr w:type="spellEnd"/>
            <w:r w:rsidRPr="00E82552">
              <w:rPr>
                <w:i/>
                <w:szCs w:val="20"/>
              </w:rPr>
              <w:t xml:space="preserve"> </w:t>
            </w:r>
            <w:proofErr w:type="spellStart"/>
            <w:r w:rsidRPr="00E82552">
              <w:rPr>
                <w:i/>
                <w:szCs w:val="20"/>
              </w:rPr>
              <w:t>bicolor</w:t>
            </w:r>
            <w:proofErr w:type="spellEnd"/>
            <w:r w:rsidRPr="00E82552">
              <w:rPr>
                <w:i/>
                <w:szCs w:val="20"/>
              </w:rPr>
              <w:t xml:space="preserve"> </w:t>
            </w:r>
            <w:r w:rsidRPr="00E82552">
              <w:rPr>
                <w:szCs w:val="20"/>
              </w:rPr>
              <w:t>(</w:t>
            </w:r>
            <w:proofErr w:type="spellStart"/>
            <w:r w:rsidRPr="00E82552">
              <w:rPr>
                <w:szCs w:val="20"/>
              </w:rPr>
              <w:t>Herbst</w:t>
            </w:r>
            <w:proofErr w:type="spellEnd"/>
            <w:r w:rsidRPr="00E82552">
              <w:rPr>
                <w:szCs w:val="20"/>
              </w:rPr>
              <w:t>, 1793), kosmati bukov lubadar</w:t>
            </w:r>
          </w:p>
        </w:tc>
        <w:tc>
          <w:tcPr>
            <w:tcW w:w="463" w:type="pct"/>
            <w:hideMark/>
          </w:tcPr>
          <w:p w14:paraId="4CBB253D" w14:textId="77777777" w:rsidR="00545A37" w:rsidRPr="00E82552" w:rsidRDefault="00545A37" w:rsidP="00FF0031">
            <w:pPr>
              <w:rPr>
                <w:szCs w:val="20"/>
              </w:rPr>
            </w:pPr>
            <w:r w:rsidRPr="00E82552">
              <w:rPr>
                <w:szCs w:val="20"/>
              </w:rPr>
              <w:t>–</w:t>
            </w:r>
          </w:p>
        </w:tc>
      </w:tr>
      <w:tr w:rsidR="00545A37" w:rsidRPr="00E82552" w14:paraId="3F1B1266" w14:textId="77777777" w:rsidTr="00545A37">
        <w:tc>
          <w:tcPr>
            <w:tcW w:w="4537" w:type="pct"/>
            <w:hideMark/>
          </w:tcPr>
          <w:p w14:paraId="3C6C08BD" w14:textId="77777777" w:rsidR="00545A37" w:rsidRPr="00E82552" w:rsidRDefault="00545A37" w:rsidP="00FF0031">
            <w:pPr>
              <w:rPr>
                <w:szCs w:val="20"/>
              </w:rPr>
            </w:pPr>
            <w:proofErr w:type="spellStart"/>
            <w:r w:rsidRPr="00E82552">
              <w:rPr>
                <w:i/>
                <w:szCs w:val="20"/>
              </w:rPr>
              <w:t>Xyloterus</w:t>
            </w:r>
            <w:proofErr w:type="spellEnd"/>
            <w:r w:rsidRPr="00E82552">
              <w:rPr>
                <w:i/>
                <w:szCs w:val="20"/>
              </w:rPr>
              <w:t xml:space="preserve"> </w:t>
            </w:r>
            <w:proofErr w:type="spellStart"/>
            <w:r w:rsidRPr="00E82552">
              <w:rPr>
                <w:i/>
                <w:szCs w:val="20"/>
              </w:rPr>
              <w:t>domesticus</w:t>
            </w:r>
            <w:proofErr w:type="spellEnd"/>
            <w:r w:rsidRPr="00E82552">
              <w:rPr>
                <w:i/>
                <w:szCs w:val="20"/>
              </w:rPr>
              <w:t xml:space="preserve"> </w:t>
            </w:r>
            <w:r w:rsidRPr="00E82552">
              <w:rPr>
                <w:szCs w:val="20"/>
              </w:rPr>
              <w:t>(</w:t>
            </w:r>
            <w:proofErr w:type="spellStart"/>
            <w:r w:rsidRPr="00E82552">
              <w:rPr>
                <w:szCs w:val="20"/>
              </w:rPr>
              <w:t>Linnaeus</w:t>
            </w:r>
            <w:proofErr w:type="spellEnd"/>
            <w:r w:rsidRPr="00E82552">
              <w:rPr>
                <w:szCs w:val="20"/>
              </w:rPr>
              <w:t xml:space="preserve">, 1758), bukov </w:t>
            </w:r>
            <w:proofErr w:type="spellStart"/>
            <w:r w:rsidRPr="00E82552">
              <w:rPr>
                <w:szCs w:val="20"/>
              </w:rPr>
              <w:t>lestvičar</w:t>
            </w:r>
            <w:proofErr w:type="spellEnd"/>
          </w:p>
        </w:tc>
        <w:tc>
          <w:tcPr>
            <w:tcW w:w="463" w:type="pct"/>
            <w:hideMark/>
          </w:tcPr>
          <w:p w14:paraId="17980C43" w14:textId="77777777" w:rsidR="00545A37" w:rsidRPr="00E82552" w:rsidRDefault="00545A37" w:rsidP="00FF0031">
            <w:pPr>
              <w:rPr>
                <w:szCs w:val="20"/>
              </w:rPr>
            </w:pPr>
            <w:r w:rsidRPr="00E82552">
              <w:rPr>
                <w:szCs w:val="20"/>
              </w:rPr>
              <w:t>(+)</w:t>
            </w:r>
          </w:p>
        </w:tc>
      </w:tr>
      <w:tr w:rsidR="00545A37" w:rsidRPr="00E82552" w14:paraId="0AA0009D" w14:textId="77777777" w:rsidTr="00545A37">
        <w:tc>
          <w:tcPr>
            <w:tcW w:w="4537" w:type="pct"/>
            <w:hideMark/>
          </w:tcPr>
          <w:p w14:paraId="0C9DA568" w14:textId="77777777" w:rsidR="00545A37" w:rsidRPr="00E82552" w:rsidRDefault="00545A37" w:rsidP="00FF0031">
            <w:pPr>
              <w:rPr>
                <w:szCs w:val="20"/>
              </w:rPr>
            </w:pPr>
            <w:proofErr w:type="spellStart"/>
            <w:r w:rsidRPr="00E82552">
              <w:rPr>
                <w:i/>
                <w:szCs w:val="20"/>
              </w:rPr>
              <w:t>Agrilus</w:t>
            </w:r>
            <w:proofErr w:type="spellEnd"/>
            <w:r w:rsidRPr="00E82552">
              <w:rPr>
                <w:i/>
                <w:szCs w:val="20"/>
              </w:rPr>
              <w:t xml:space="preserve"> </w:t>
            </w:r>
            <w:proofErr w:type="spellStart"/>
            <w:r w:rsidRPr="00E82552">
              <w:rPr>
                <w:i/>
                <w:szCs w:val="20"/>
              </w:rPr>
              <w:t>viridis</w:t>
            </w:r>
            <w:proofErr w:type="spellEnd"/>
            <w:r w:rsidRPr="00E82552">
              <w:rPr>
                <w:szCs w:val="20"/>
              </w:rPr>
              <w:t xml:space="preserve"> (</w:t>
            </w:r>
            <w:proofErr w:type="spellStart"/>
            <w:r w:rsidRPr="00E82552">
              <w:rPr>
                <w:szCs w:val="20"/>
              </w:rPr>
              <w:t>Linnaeus</w:t>
            </w:r>
            <w:proofErr w:type="spellEnd"/>
            <w:r w:rsidRPr="00E82552">
              <w:rPr>
                <w:szCs w:val="20"/>
              </w:rPr>
              <w:t xml:space="preserve">, 1758), zeleni bukov </w:t>
            </w:r>
            <w:proofErr w:type="spellStart"/>
            <w:r w:rsidRPr="00E82552">
              <w:rPr>
                <w:szCs w:val="20"/>
              </w:rPr>
              <w:t>krasnik</w:t>
            </w:r>
            <w:proofErr w:type="spellEnd"/>
          </w:p>
        </w:tc>
        <w:tc>
          <w:tcPr>
            <w:tcW w:w="463" w:type="pct"/>
            <w:hideMark/>
          </w:tcPr>
          <w:p w14:paraId="16DF2BCC" w14:textId="77777777" w:rsidR="00545A37" w:rsidRPr="00E82552" w:rsidRDefault="00545A37" w:rsidP="00FF0031">
            <w:pPr>
              <w:rPr>
                <w:szCs w:val="20"/>
              </w:rPr>
            </w:pPr>
            <w:r w:rsidRPr="00E82552">
              <w:rPr>
                <w:szCs w:val="20"/>
              </w:rPr>
              <w:t>(++)</w:t>
            </w:r>
          </w:p>
        </w:tc>
      </w:tr>
      <w:tr w:rsidR="00545A37" w:rsidRPr="00E82552" w14:paraId="37010E5E" w14:textId="77777777" w:rsidTr="00545A37">
        <w:tc>
          <w:tcPr>
            <w:tcW w:w="4537" w:type="pct"/>
            <w:hideMark/>
          </w:tcPr>
          <w:p w14:paraId="37442FCC" w14:textId="77777777" w:rsidR="00545A37" w:rsidRPr="00E82552" w:rsidRDefault="00545A37" w:rsidP="00FF0031">
            <w:pPr>
              <w:rPr>
                <w:szCs w:val="20"/>
              </w:rPr>
            </w:pPr>
            <w:proofErr w:type="spellStart"/>
            <w:r w:rsidRPr="00E82552">
              <w:rPr>
                <w:i/>
                <w:szCs w:val="20"/>
              </w:rPr>
              <w:t>Hylecoetus</w:t>
            </w:r>
            <w:proofErr w:type="spellEnd"/>
            <w:r w:rsidRPr="00E82552">
              <w:rPr>
                <w:i/>
                <w:szCs w:val="20"/>
              </w:rPr>
              <w:t xml:space="preserve"> </w:t>
            </w:r>
            <w:proofErr w:type="spellStart"/>
            <w:r w:rsidRPr="00E82552">
              <w:rPr>
                <w:i/>
                <w:szCs w:val="20"/>
              </w:rPr>
              <w:t>dermestoides</w:t>
            </w:r>
            <w:proofErr w:type="spellEnd"/>
            <w:r w:rsidRPr="00E82552">
              <w:rPr>
                <w:szCs w:val="20"/>
              </w:rPr>
              <w:t xml:space="preserve"> (</w:t>
            </w:r>
            <w:proofErr w:type="spellStart"/>
            <w:r w:rsidRPr="00E82552">
              <w:rPr>
                <w:szCs w:val="20"/>
              </w:rPr>
              <w:t>Linnaeus</w:t>
            </w:r>
            <w:proofErr w:type="spellEnd"/>
            <w:r w:rsidRPr="00E82552">
              <w:rPr>
                <w:szCs w:val="20"/>
              </w:rPr>
              <w:t xml:space="preserve">, 1761), navadni ali bukov </w:t>
            </w:r>
            <w:proofErr w:type="spellStart"/>
            <w:r w:rsidRPr="00E82552">
              <w:rPr>
                <w:szCs w:val="20"/>
              </w:rPr>
              <w:t>vrtovin</w:t>
            </w:r>
            <w:proofErr w:type="spellEnd"/>
          </w:p>
        </w:tc>
        <w:tc>
          <w:tcPr>
            <w:tcW w:w="463" w:type="pct"/>
            <w:hideMark/>
          </w:tcPr>
          <w:p w14:paraId="4DEA77C1" w14:textId="77777777" w:rsidR="00545A37" w:rsidRPr="00E82552" w:rsidRDefault="00545A37" w:rsidP="00FF0031">
            <w:pPr>
              <w:rPr>
                <w:szCs w:val="20"/>
              </w:rPr>
            </w:pPr>
            <w:r w:rsidRPr="00E82552">
              <w:rPr>
                <w:szCs w:val="20"/>
              </w:rPr>
              <w:t>+</w:t>
            </w:r>
          </w:p>
        </w:tc>
      </w:tr>
      <w:tr w:rsidR="00545A37" w:rsidRPr="00E82552" w14:paraId="3968F4A9" w14:textId="77777777" w:rsidTr="00545A37">
        <w:tc>
          <w:tcPr>
            <w:tcW w:w="4537" w:type="pct"/>
            <w:hideMark/>
          </w:tcPr>
          <w:p w14:paraId="3E90EB2A" w14:textId="77777777" w:rsidR="00545A37" w:rsidRPr="00E82552" w:rsidRDefault="00545A37" w:rsidP="00FF0031">
            <w:pPr>
              <w:rPr>
                <w:szCs w:val="20"/>
              </w:rPr>
            </w:pPr>
            <w:proofErr w:type="spellStart"/>
            <w:r w:rsidRPr="00E82552">
              <w:rPr>
                <w:i/>
                <w:szCs w:val="20"/>
              </w:rPr>
              <w:t>Cryptococcus</w:t>
            </w:r>
            <w:proofErr w:type="spellEnd"/>
            <w:r w:rsidRPr="00E82552">
              <w:rPr>
                <w:i/>
                <w:szCs w:val="20"/>
              </w:rPr>
              <w:t xml:space="preserve"> </w:t>
            </w:r>
            <w:proofErr w:type="spellStart"/>
            <w:r w:rsidRPr="00E82552">
              <w:rPr>
                <w:i/>
                <w:szCs w:val="20"/>
              </w:rPr>
              <w:t>fagisuga</w:t>
            </w:r>
            <w:proofErr w:type="spellEnd"/>
            <w:r w:rsidRPr="00E82552">
              <w:rPr>
                <w:i/>
                <w:szCs w:val="20"/>
              </w:rPr>
              <w:t xml:space="preserve"> </w:t>
            </w:r>
            <w:r w:rsidRPr="00E82552">
              <w:rPr>
                <w:szCs w:val="20"/>
              </w:rPr>
              <w:t>(</w:t>
            </w:r>
            <w:proofErr w:type="spellStart"/>
            <w:r w:rsidRPr="00E82552">
              <w:rPr>
                <w:szCs w:val="20"/>
              </w:rPr>
              <w:t>Lindiger</w:t>
            </w:r>
            <w:proofErr w:type="spellEnd"/>
            <w:r w:rsidRPr="00E82552">
              <w:rPr>
                <w:szCs w:val="20"/>
              </w:rPr>
              <w:t>, 1936), bukov kapar</w:t>
            </w:r>
          </w:p>
        </w:tc>
        <w:tc>
          <w:tcPr>
            <w:tcW w:w="463" w:type="pct"/>
            <w:hideMark/>
          </w:tcPr>
          <w:p w14:paraId="589A7AE1" w14:textId="77777777" w:rsidR="00545A37" w:rsidRPr="00E82552" w:rsidRDefault="00545A37" w:rsidP="00FF0031">
            <w:pPr>
              <w:rPr>
                <w:szCs w:val="20"/>
              </w:rPr>
            </w:pPr>
            <w:r w:rsidRPr="00E82552">
              <w:rPr>
                <w:szCs w:val="20"/>
              </w:rPr>
              <w:t>+</w:t>
            </w:r>
          </w:p>
        </w:tc>
      </w:tr>
      <w:tr w:rsidR="00545A37" w:rsidRPr="00E82552" w14:paraId="59F8BBB8" w14:textId="77777777" w:rsidTr="00545A37">
        <w:tc>
          <w:tcPr>
            <w:tcW w:w="4537" w:type="pct"/>
            <w:hideMark/>
          </w:tcPr>
          <w:p w14:paraId="0A7ED8F4" w14:textId="77777777" w:rsidR="00545A37" w:rsidRPr="00E82552" w:rsidRDefault="00545A37" w:rsidP="00FF0031">
            <w:pPr>
              <w:rPr>
                <w:szCs w:val="20"/>
              </w:rPr>
            </w:pPr>
            <w:proofErr w:type="spellStart"/>
            <w:r w:rsidRPr="00E82552">
              <w:rPr>
                <w:i/>
                <w:szCs w:val="20"/>
              </w:rPr>
              <w:t>Phyllaphis</w:t>
            </w:r>
            <w:proofErr w:type="spellEnd"/>
            <w:r w:rsidRPr="00E82552">
              <w:rPr>
                <w:i/>
                <w:szCs w:val="20"/>
              </w:rPr>
              <w:t xml:space="preserve"> </w:t>
            </w:r>
            <w:proofErr w:type="spellStart"/>
            <w:r w:rsidRPr="00E82552">
              <w:rPr>
                <w:i/>
                <w:szCs w:val="20"/>
              </w:rPr>
              <w:t>fagi</w:t>
            </w:r>
            <w:proofErr w:type="spellEnd"/>
            <w:r w:rsidRPr="00E82552">
              <w:rPr>
                <w:i/>
                <w:szCs w:val="20"/>
              </w:rPr>
              <w:t xml:space="preserve"> </w:t>
            </w:r>
            <w:r w:rsidRPr="00E82552">
              <w:rPr>
                <w:szCs w:val="20"/>
              </w:rPr>
              <w:t>(</w:t>
            </w:r>
            <w:proofErr w:type="spellStart"/>
            <w:r w:rsidRPr="00E82552">
              <w:rPr>
                <w:szCs w:val="20"/>
              </w:rPr>
              <w:t>Linnaeus</w:t>
            </w:r>
            <w:proofErr w:type="spellEnd"/>
            <w:r w:rsidRPr="00E82552">
              <w:rPr>
                <w:szCs w:val="20"/>
              </w:rPr>
              <w:t>, 1767), bukova listna uš</w:t>
            </w:r>
          </w:p>
        </w:tc>
        <w:tc>
          <w:tcPr>
            <w:tcW w:w="463" w:type="pct"/>
            <w:hideMark/>
          </w:tcPr>
          <w:p w14:paraId="3F55CF26" w14:textId="77777777" w:rsidR="00545A37" w:rsidRPr="00E82552" w:rsidRDefault="00545A37" w:rsidP="00FF0031">
            <w:pPr>
              <w:rPr>
                <w:szCs w:val="20"/>
              </w:rPr>
            </w:pPr>
            <w:r w:rsidRPr="00E82552">
              <w:rPr>
                <w:szCs w:val="20"/>
              </w:rPr>
              <w:t>++</w:t>
            </w:r>
          </w:p>
        </w:tc>
      </w:tr>
      <w:tr w:rsidR="00545A37" w:rsidRPr="00E82552" w14:paraId="4A58A4EA" w14:textId="77777777" w:rsidTr="00545A37">
        <w:tc>
          <w:tcPr>
            <w:tcW w:w="4537" w:type="pct"/>
            <w:hideMark/>
          </w:tcPr>
          <w:p w14:paraId="364676A8" w14:textId="77777777" w:rsidR="00545A37" w:rsidRPr="00E82552" w:rsidRDefault="00545A37" w:rsidP="00FF0031">
            <w:pPr>
              <w:rPr>
                <w:szCs w:val="20"/>
              </w:rPr>
            </w:pPr>
            <w:proofErr w:type="spellStart"/>
            <w:r w:rsidRPr="00E82552">
              <w:rPr>
                <w:i/>
                <w:szCs w:val="20"/>
              </w:rPr>
              <w:t>Rhynchaenus</w:t>
            </w:r>
            <w:proofErr w:type="spellEnd"/>
            <w:r w:rsidRPr="00E82552">
              <w:rPr>
                <w:i/>
                <w:szCs w:val="20"/>
              </w:rPr>
              <w:t xml:space="preserve"> </w:t>
            </w:r>
            <w:proofErr w:type="spellStart"/>
            <w:r w:rsidRPr="00E82552">
              <w:rPr>
                <w:i/>
                <w:szCs w:val="20"/>
              </w:rPr>
              <w:t>fagi</w:t>
            </w:r>
            <w:proofErr w:type="spellEnd"/>
            <w:r w:rsidRPr="00E82552">
              <w:rPr>
                <w:szCs w:val="20"/>
              </w:rPr>
              <w:t xml:space="preserve"> (</w:t>
            </w:r>
            <w:proofErr w:type="spellStart"/>
            <w:r w:rsidRPr="00E82552">
              <w:rPr>
                <w:szCs w:val="20"/>
              </w:rPr>
              <w:t>Linnaues</w:t>
            </w:r>
            <w:proofErr w:type="spellEnd"/>
            <w:r w:rsidRPr="00E82552">
              <w:rPr>
                <w:szCs w:val="20"/>
              </w:rPr>
              <w:t>, 1758), bukov rilčkar skakač</w:t>
            </w:r>
          </w:p>
        </w:tc>
        <w:tc>
          <w:tcPr>
            <w:tcW w:w="463" w:type="pct"/>
            <w:hideMark/>
          </w:tcPr>
          <w:p w14:paraId="4842EBB0" w14:textId="77777777" w:rsidR="00545A37" w:rsidRPr="00E82552" w:rsidRDefault="00545A37" w:rsidP="00FF0031">
            <w:pPr>
              <w:rPr>
                <w:szCs w:val="20"/>
              </w:rPr>
            </w:pPr>
            <w:r w:rsidRPr="00E82552">
              <w:rPr>
                <w:szCs w:val="20"/>
              </w:rPr>
              <w:t>++</w:t>
            </w:r>
          </w:p>
        </w:tc>
      </w:tr>
      <w:tr w:rsidR="00545A37" w:rsidRPr="00E82552" w14:paraId="57937055" w14:textId="77777777" w:rsidTr="00545A37">
        <w:tc>
          <w:tcPr>
            <w:tcW w:w="4537" w:type="pct"/>
            <w:hideMark/>
          </w:tcPr>
          <w:p w14:paraId="45BB8704" w14:textId="77777777" w:rsidR="00545A37" w:rsidRPr="00E82552" w:rsidRDefault="00545A37" w:rsidP="00FF0031">
            <w:pPr>
              <w:rPr>
                <w:i/>
                <w:szCs w:val="20"/>
              </w:rPr>
            </w:pPr>
            <w:proofErr w:type="spellStart"/>
            <w:r w:rsidRPr="00E82552">
              <w:rPr>
                <w:i/>
                <w:szCs w:val="20"/>
              </w:rPr>
              <w:t>Apiognomonia</w:t>
            </w:r>
            <w:proofErr w:type="spellEnd"/>
            <w:r w:rsidRPr="00E82552">
              <w:rPr>
                <w:i/>
                <w:szCs w:val="20"/>
              </w:rPr>
              <w:t xml:space="preserve"> </w:t>
            </w:r>
            <w:proofErr w:type="spellStart"/>
            <w:r w:rsidRPr="00E82552">
              <w:rPr>
                <w:i/>
                <w:szCs w:val="20"/>
              </w:rPr>
              <w:t>errabunda</w:t>
            </w:r>
            <w:proofErr w:type="spellEnd"/>
            <w:r w:rsidRPr="00E82552">
              <w:rPr>
                <w:szCs w:val="20"/>
              </w:rPr>
              <w:t xml:space="preserve"> (</w:t>
            </w:r>
            <w:proofErr w:type="spellStart"/>
            <w:r w:rsidRPr="00E82552">
              <w:rPr>
                <w:szCs w:val="20"/>
              </w:rPr>
              <w:t>Roberge</w:t>
            </w:r>
            <w:proofErr w:type="spellEnd"/>
            <w:r w:rsidRPr="00E82552">
              <w:rPr>
                <w:szCs w:val="20"/>
              </w:rPr>
              <w:t xml:space="preserve"> ex </w:t>
            </w:r>
            <w:proofErr w:type="spellStart"/>
            <w:r w:rsidRPr="00E82552">
              <w:rPr>
                <w:szCs w:val="20"/>
              </w:rPr>
              <w:t>Desm</w:t>
            </w:r>
            <w:proofErr w:type="spellEnd"/>
            <w:r w:rsidRPr="00E82552">
              <w:rPr>
                <w:szCs w:val="20"/>
              </w:rPr>
              <w:t xml:space="preserve">.) </w:t>
            </w:r>
            <w:proofErr w:type="spellStart"/>
            <w:r w:rsidRPr="00E82552">
              <w:rPr>
                <w:szCs w:val="20"/>
              </w:rPr>
              <w:t>Höhn</w:t>
            </w:r>
            <w:proofErr w:type="spellEnd"/>
            <w:r w:rsidRPr="00E82552">
              <w:rPr>
                <w:szCs w:val="20"/>
              </w:rPr>
              <w:t>. (1918), rjavenje bukovih listov</w:t>
            </w:r>
          </w:p>
        </w:tc>
        <w:tc>
          <w:tcPr>
            <w:tcW w:w="463" w:type="pct"/>
            <w:hideMark/>
          </w:tcPr>
          <w:p w14:paraId="46376E68" w14:textId="77777777" w:rsidR="00545A37" w:rsidRPr="00E82552" w:rsidRDefault="00545A37" w:rsidP="00FF0031">
            <w:pPr>
              <w:rPr>
                <w:szCs w:val="20"/>
              </w:rPr>
            </w:pPr>
            <w:r w:rsidRPr="00E82552">
              <w:rPr>
                <w:szCs w:val="20"/>
              </w:rPr>
              <w:t>(+)</w:t>
            </w:r>
          </w:p>
        </w:tc>
      </w:tr>
      <w:tr w:rsidR="00545A37" w:rsidRPr="00E82552" w14:paraId="41203CB4" w14:textId="77777777" w:rsidTr="00545A37">
        <w:tc>
          <w:tcPr>
            <w:tcW w:w="4537" w:type="pct"/>
            <w:hideMark/>
          </w:tcPr>
          <w:p w14:paraId="4E4963F0" w14:textId="77777777" w:rsidR="00545A37" w:rsidRPr="00E82552" w:rsidRDefault="00545A37" w:rsidP="00FF0031">
            <w:pPr>
              <w:rPr>
                <w:szCs w:val="20"/>
              </w:rPr>
            </w:pPr>
            <w:proofErr w:type="spellStart"/>
            <w:r w:rsidRPr="00E82552">
              <w:rPr>
                <w:i/>
                <w:szCs w:val="20"/>
              </w:rPr>
              <w:t>Phytophthora</w:t>
            </w:r>
            <w:proofErr w:type="spellEnd"/>
            <w:r w:rsidRPr="00E82552">
              <w:rPr>
                <w:i/>
                <w:szCs w:val="20"/>
              </w:rPr>
              <w:t xml:space="preserve"> </w:t>
            </w:r>
            <w:proofErr w:type="spellStart"/>
            <w:r w:rsidRPr="00E82552">
              <w:rPr>
                <w:szCs w:val="20"/>
              </w:rPr>
              <w:t>spp</w:t>
            </w:r>
            <w:proofErr w:type="spellEnd"/>
            <w:r w:rsidRPr="00E82552">
              <w:rPr>
                <w:szCs w:val="20"/>
              </w:rPr>
              <w:t>. (</w:t>
            </w:r>
            <w:r w:rsidRPr="00E82552">
              <w:rPr>
                <w:i/>
                <w:szCs w:val="20"/>
              </w:rPr>
              <w:t xml:space="preserve">P. </w:t>
            </w:r>
            <w:proofErr w:type="spellStart"/>
            <w:r w:rsidRPr="00E82552">
              <w:rPr>
                <w:i/>
                <w:szCs w:val="20"/>
              </w:rPr>
              <w:t>citricola</w:t>
            </w:r>
            <w:proofErr w:type="spellEnd"/>
            <w:r w:rsidRPr="00E82552">
              <w:rPr>
                <w:i/>
                <w:szCs w:val="20"/>
              </w:rPr>
              <w:t xml:space="preserve">, P. </w:t>
            </w:r>
            <w:proofErr w:type="spellStart"/>
            <w:r w:rsidRPr="00E82552">
              <w:rPr>
                <w:i/>
                <w:szCs w:val="20"/>
              </w:rPr>
              <w:t>cambivora</w:t>
            </w:r>
            <w:proofErr w:type="spellEnd"/>
            <w:r w:rsidRPr="00E82552">
              <w:rPr>
                <w:szCs w:val="20"/>
              </w:rPr>
              <w:t>)</w:t>
            </w:r>
          </w:p>
        </w:tc>
        <w:tc>
          <w:tcPr>
            <w:tcW w:w="463" w:type="pct"/>
            <w:hideMark/>
          </w:tcPr>
          <w:p w14:paraId="708BE013" w14:textId="77777777" w:rsidR="00545A37" w:rsidRPr="00E82552" w:rsidRDefault="00545A37" w:rsidP="00FF0031">
            <w:pPr>
              <w:rPr>
                <w:szCs w:val="20"/>
              </w:rPr>
            </w:pPr>
            <w:r w:rsidRPr="00E82552">
              <w:rPr>
                <w:szCs w:val="20"/>
              </w:rPr>
              <w:t>(+)</w:t>
            </w:r>
          </w:p>
        </w:tc>
      </w:tr>
      <w:tr w:rsidR="00545A37" w:rsidRPr="00E82552" w14:paraId="2A41E4C1" w14:textId="77777777" w:rsidTr="00545A37">
        <w:tc>
          <w:tcPr>
            <w:tcW w:w="4537" w:type="pct"/>
            <w:hideMark/>
          </w:tcPr>
          <w:p w14:paraId="0CC58C5A" w14:textId="77777777" w:rsidR="00545A37" w:rsidRPr="00E82552" w:rsidRDefault="00545A37" w:rsidP="00FF0031">
            <w:pPr>
              <w:rPr>
                <w:szCs w:val="20"/>
              </w:rPr>
            </w:pPr>
            <w:proofErr w:type="spellStart"/>
            <w:r w:rsidRPr="00E82552">
              <w:rPr>
                <w:i/>
                <w:szCs w:val="20"/>
              </w:rPr>
              <w:t>Armillaria</w:t>
            </w:r>
            <w:proofErr w:type="spellEnd"/>
            <w:r w:rsidRPr="00E82552">
              <w:rPr>
                <w:i/>
                <w:szCs w:val="20"/>
              </w:rPr>
              <w:t xml:space="preserve"> </w:t>
            </w:r>
            <w:proofErr w:type="spellStart"/>
            <w:r w:rsidRPr="00E82552">
              <w:rPr>
                <w:szCs w:val="20"/>
              </w:rPr>
              <w:t>spp</w:t>
            </w:r>
            <w:proofErr w:type="spellEnd"/>
            <w:r w:rsidRPr="00E82552">
              <w:rPr>
                <w:szCs w:val="20"/>
              </w:rPr>
              <w:t>., bela trohnoba korenin</w:t>
            </w:r>
          </w:p>
        </w:tc>
        <w:tc>
          <w:tcPr>
            <w:tcW w:w="463" w:type="pct"/>
            <w:hideMark/>
          </w:tcPr>
          <w:p w14:paraId="11A60CB3" w14:textId="77777777" w:rsidR="00545A37" w:rsidRPr="00E82552" w:rsidRDefault="00545A37" w:rsidP="00FF0031">
            <w:pPr>
              <w:rPr>
                <w:szCs w:val="20"/>
              </w:rPr>
            </w:pPr>
            <w:r w:rsidRPr="00E82552">
              <w:rPr>
                <w:szCs w:val="20"/>
              </w:rPr>
              <w:t>++</w:t>
            </w:r>
          </w:p>
        </w:tc>
      </w:tr>
      <w:tr w:rsidR="00545A37" w:rsidRPr="00E82552" w14:paraId="41AFD634" w14:textId="77777777" w:rsidTr="00545A37">
        <w:tc>
          <w:tcPr>
            <w:tcW w:w="4537" w:type="pct"/>
            <w:hideMark/>
          </w:tcPr>
          <w:p w14:paraId="3CF17CA8" w14:textId="77777777" w:rsidR="00545A37" w:rsidRPr="00E82552" w:rsidRDefault="00545A37" w:rsidP="00FF0031">
            <w:pPr>
              <w:rPr>
                <w:szCs w:val="20"/>
              </w:rPr>
            </w:pPr>
            <w:proofErr w:type="spellStart"/>
            <w:r w:rsidRPr="00E82552">
              <w:rPr>
                <w:i/>
                <w:szCs w:val="20"/>
              </w:rPr>
              <w:t>Fomes</w:t>
            </w:r>
            <w:proofErr w:type="spellEnd"/>
            <w:r w:rsidRPr="00E82552">
              <w:rPr>
                <w:i/>
                <w:szCs w:val="20"/>
              </w:rPr>
              <w:t xml:space="preserve"> </w:t>
            </w:r>
            <w:proofErr w:type="spellStart"/>
            <w:r w:rsidRPr="00E82552">
              <w:rPr>
                <w:i/>
                <w:szCs w:val="20"/>
              </w:rPr>
              <w:t>fomentarius</w:t>
            </w:r>
            <w:proofErr w:type="spellEnd"/>
            <w:r w:rsidRPr="00E82552">
              <w:rPr>
                <w:szCs w:val="20"/>
              </w:rPr>
              <w:t xml:space="preserve">, </w:t>
            </w:r>
            <w:proofErr w:type="spellStart"/>
            <w:r w:rsidRPr="00E82552">
              <w:rPr>
                <w:i/>
                <w:szCs w:val="20"/>
              </w:rPr>
              <w:t>Ganoderma</w:t>
            </w:r>
            <w:proofErr w:type="spellEnd"/>
            <w:r w:rsidRPr="00E82552">
              <w:rPr>
                <w:szCs w:val="20"/>
              </w:rPr>
              <w:t xml:space="preserve"> </w:t>
            </w:r>
            <w:proofErr w:type="spellStart"/>
            <w:r w:rsidRPr="00E82552">
              <w:rPr>
                <w:szCs w:val="20"/>
              </w:rPr>
              <w:t>spp</w:t>
            </w:r>
            <w:proofErr w:type="spellEnd"/>
            <w:r w:rsidRPr="00E82552">
              <w:rPr>
                <w:szCs w:val="20"/>
              </w:rPr>
              <w:t xml:space="preserve">., in druge </w:t>
            </w:r>
            <w:proofErr w:type="spellStart"/>
            <w:r w:rsidRPr="00E82552">
              <w:rPr>
                <w:szCs w:val="20"/>
              </w:rPr>
              <w:t>razgrajevalke</w:t>
            </w:r>
            <w:proofErr w:type="spellEnd"/>
            <w:r w:rsidRPr="00E82552">
              <w:rPr>
                <w:szCs w:val="20"/>
              </w:rPr>
              <w:t xml:space="preserve"> lesa živih dreves</w:t>
            </w:r>
          </w:p>
        </w:tc>
        <w:tc>
          <w:tcPr>
            <w:tcW w:w="463" w:type="pct"/>
            <w:hideMark/>
          </w:tcPr>
          <w:p w14:paraId="174809E2" w14:textId="77777777" w:rsidR="00545A37" w:rsidRPr="00E82552" w:rsidRDefault="00545A37" w:rsidP="00FF0031">
            <w:pPr>
              <w:rPr>
                <w:szCs w:val="20"/>
              </w:rPr>
            </w:pPr>
            <w:r w:rsidRPr="00E82552">
              <w:rPr>
                <w:szCs w:val="20"/>
              </w:rPr>
              <w:t>+</w:t>
            </w:r>
          </w:p>
        </w:tc>
      </w:tr>
      <w:tr w:rsidR="00545A37" w:rsidRPr="00E82552" w14:paraId="39BE7B7A" w14:textId="77777777" w:rsidTr="00545A37">
        <w:tc>
          <w:tcPr>
            <w:tcW w:w="4537" w:type="pct"/>
            <w:hideMark/>
          </w:tcPr>
          <w:p w14:paraId="11B95E16" w14:textId="77777777" w:rsidR="00545A37" w:rsidRPr="00E82552" w:rsidRDefault="00545A37" w:rsidP="00FF0031">
            <w:pPr>
              <w:rPr>
                <w:i/>
                <w:szCs w:val="20"/>
              </w:rPr>
            </w:pPr>
            <w:proofErr w:type="spellStart"/>
            <w:r w:rsidRPr="00E82552">
              <w:rPr>
                <w:i/>
                <w:szCs w:val="20"/>
              </w:rPr>
              <w:t>Kretzschmaria</w:t>
            </w:r>
            <w:proofErr w:type="spellEnd"/>
            <w:r w:rsidRPr="00E82552">
              <w:rPr>
                <w:i/>
                <w:szCs w:val="20"/>
              </w:rPr>
              <w:t xml:space="preserve"> </w:t>
            </w:r>
            <w:proofErr w:type="spellStart"/>
            <w:r w:rsidRPr="00E82552">
              <w:rPr>
                <w:i/>
                <w:szCs w:val="20"/>
              </w:rPr>
              <w:t>deusta</w:t>
            </w:r>
            <w:proofErr w:type="spellEnd"/>
            <w:r w:rsidRPr="00E82552">
              <w:rPr>
                <w:i/>
                <w:szCs w:val="20"/>
              </w:rPr>
              <w:t xml:space="preserve"> </w:t>
            </w:r>
            <w:r w:rsidRPr="00E82552">
              <w:rPr>
                <w:szCs w:val="20"/>
              </w:rPr>
              <w:t>(</w:t>
            </w:r>
            <w:proofErr w:type="spellStart"/>
            <w:r w:rsidRPr="00E82552">
              <w:rPr>
                <w:szCs w:val="20"/>
              </w:rPr>
              <w:t>Hoffm</w:t>
            </w:r>
            <w:proofErr w:type="spellEnd"/>
            <w:r w:rsidRPr="00E82552">
              <w:rPr>
                <w:szCs w:val="20"/>
              </w:rPr>
              <w:t xml:space="preserve">.) P.M.D. Martin (1970), črneča </w:t>
            </w:r>
            <w:proofErr w:type="spellStart"/>
            <w:r w:rsidRPr="00E82552">
              <w:rPr>
                <w:szCs w:val="20"/>
              </w:rPr>
              <w:t>ožganka</w:t>
            </w:r>
            <w:proofErr w:type="spellEnd"/>
          </w:p>
        </w:tc>
        <w:tc>
          <w:tcPr>
            <w:tcW w:w="463" w:type="pct"/>
            <w:hideMark/>
          </w:tcPr>
          <w:p w14:paraId="0F5B39A0" w14:textId="77777777" w:rsidR="00545A37" w:rsidRPr="00E82552" w:rsidRDefault="00545A37" w:rsidP="00FF0031">
            <w:pPr>
              <w:rPr>
                <w:szCs w:val="20"/>
              </w:rPr>
            </w:pPr>
            <w:r w:rsidRPr="00E82552">
              <w:rPr>
                <w:szCs w:val="20"/>
              </w:rPr>
              <w:t>+</w:t>
            </w:r>
          </w:p>
        </w:tc>
      </w:tr>
      <w:tr w:rsidR="00545A37" w:rsidRPr="00E82552" w14:paraId="77D37BEC" w14:textId="77777777" w:rsidTr="00545A37">
        <w:tc>
          <w:tcPr>
            <w:tcW w:w="4537" w:type="pct"/>
            <w:hideMark/>
          </w:tcPr>
          <w:p w14:paraId="5B93D4AE" w14:textId="77777777" w:rsidR="00545A37" w:rsidRPr="00E82552" w:rsidRDefault="00545A37" w:rsidP="00FF0031">
            <w:pPr>
              <w:rPr>
                <w:szCs w:val="20"/>
              </w:rPr>
            </w:pPr>
            <w:proofErr w:type="spellStart"/>
            <w:r w:rsidRPr="00E82552">
              <w:rPr>
                <w:i/>
                <w:szCs w:val="20"/>
              </w:rPr>
              <w:t>Nectria</w:t>
            </w:r>
            <w:proofErr w:type="spellEnd"/>
            <w:r w:rsidRPr="00E82552">
              <w:rPr>
                <w:szCs w:val="20"/>
              </w:rPr>
              <w:t xml:space="preserve"> </w:t>
            </w:r>
            <w:proofErr w:type="spellStart"/>
            <w:r w:rsidRPr="00E82552">
              <w:rPr>
                <w:szCs w:val="20"/>
              </w:rPr>
              <w:t>spp</w:t>
            </w:r>
            <w:proofErr w:type="spellEnd"/>
            <w:r w:rsidRPr="00E82552">
              <w:rPr>
                <w:szCs w:val="20"/>
              </w:rPr>
              <w:t>. (</w:t>
            </w:r>
            <w:r w:rsidRPr="00E82552">
              <w:rPr>
                <w:i/>
                <w:szCs w:val="20"/>
              </w:rPr>
              <w:t xml:space="preserve">N. </w:t>
            </w:r>
            <w:proofErr w:type="spellStart"/>
            <w:r w:rsidRPr="00E82552">
              <w:rPr>
                <w:i/>
                <w:szCs w:val="20"/>
              </w:rPr>
              <w:t>coccinea</w:t>
            </w:r>
            <w:proofErr w:type="spellEnd"/>
            <w:r w:rsidRPr="00E82552">
              <w:rPr>
                <w:szCs w:val="20"/>
              </w:rPr>
              <w:t xml:space="preserve">, </w:t>
            </w:r>
            <w:r w:rsidRPr="00E82552">
              <w:rPr>
                <w:i/>
                <w:szCs w:val="20"/>
              </w:rPr>
              <w:t xml:space="preserve">N. </w:t>
            </w:r>
            <w:proofErr w:type="spellStart"/>
            <w:r w:rsidRPr="00E82552">
              <w:rPr>
                <w:i/>
                <w:szCs w:val="20"/>
              </w:rPr>
              <w:t>ditissima</w:t>
            </w:r>
            <w:proofErr w:type="spellEnd"/>
            <w:r w:rsidRPr="00E82552">
              <w:rPr>
                <w:szCs w:val="20"/>
              </w:rPr>
              <w:t xml:space="preserve">, </w:t>
            </w:r>
            <w:r w:rsidRPr="00E82552">
              <w:rPr>
                <w:i/>
                <w:szCs w:val="20"/>
              </w:rPr>
              <w:t xml:space="preserve">N. </w:t>
            </w:r>
            <w:proofErr w:type="spellStart"/>
            <w:r w:rsidRPr="00E82552">
              <w:rPr>
                <w:i/>
                <w:szCs w:val="20"/>
              </w:rPr>
              <w:t>cinnabarina</w:t>
            </w:r>
            <w:proofErr w:type="spellEnd"/>
            <w:r w:rsidRPr="00E82552">
              <w:rPr>
                <w:szCs w:val="20"/>
              </w:rPr>
              <w:t>), bukov rak, rdeča sušica list.</w:t>
            </w:r>
          </w:p>
        </w:tc>
        <w:tc>
          <w:tcPr>
            <w:tcW w:w="463" w:type="pct"/>
            <w:hideMark/>
          </w:tcPr>
          <w:p w14:paraId="5152FD7D" w14:textId="77777777" w:rsidR="00545A37" w:rsidRPr="00E82552" w:rsidRDefault="00545A37" w:rsidP="00FF0031">
            <w:pPr>
              <w:rPr>
                <w:szCs w:val="20"/>
              </w:rPr>
            </w:pPr>
            <w:r w:rsidRPr="00E82552">
              <w:rPr>
                <w:szCs w:val="20"/>
              </w:rPr>
              <w:t>(++)</w:t>
            </w:r>
          </w:p>
        </w:tc>
      </w:tr>
      <w:tr w:rsidR="00545A37" w:rsidRPr="00E82552" w14:paraId="1075DC70" w14:textId="77777777" w:rsidTr="00545A37">
        <w:tc>
          <w:tcPr>
            <w:tcW w:w="4537" w:type="pct"/>
            <w:hideMark/>
          </w:tcPr>
          <w:p w14:paraId="074612EF" w14:textId="77777777" w:rsidR="00545A37" w:rsidRPr="00E82552" w:rsidRDefault="00545A37" w:rsidP="00FF0031">
            <w:pPr>
              <w:rPr>
                <w:i/>
                <w:szCs w:val="20"/>
              </w:rPr>
            </w:pPr>
            <w:proofErr w:type="spellStart"/>
            <w:r w:rsidRPr="00E82552">
              <w:rPr>
                <w:i/>
                <w:szCs w:val="20"/>
              </w:rPr>
              <w:t>Biscogniauxia</w:t>
            </w:r>
            <w:proofErr w:type="spellEnd"/>
            <w:r w:rsidRPr="00E82552">
              <w:rPr>
                <w:i/>
                <w:szCs w:val="20"/>
              </w:rPr>
              <w:t xml:space="preserve"> </w:t>
            </w:r>
            <w:proofErr w:type="spellStart"/>
            <w:r w:rsidRPr="00E82552">
              <w:rPr>
                <w:i/>
                <w:szCs w:val="20"/>
              </w:rPr>
              <w:t>nummularia</w:t>
            </w:r>
            <w:proofErr w:type="spellEnd"/>
            <w:r w:rsidRPr="00E82552">
              <w:rPr>
                <w:i/>
                <w:szCs w:val="20"/>
              </w:rPr>
              <w:t xml:space="preserve"> </w:t>
            </w:r>
            <w:r w:rsidRPr="00E82552">
              <w:rPr>
                <w:szCs w:val="20"/>
              </w:rPr>
              <w:t>(</w:t>
            </w:r>
            <w:proofErr w:type="spellStart"/>
            <w:r w:rsidRPr="00E82552">
              <w:rPr>
                <w:szCs w:val="20"/>
              </w:rPr>
              <w:t>Bull</w:t>
            </w:r>
            <w:proofErr w:type="spellEnd"/>
            <w:r w:rsidRPr="00E82552">
              <w:rPr>
                <w:szCs w:val="20"/>
              </w:rPr>
              <w:t xml:space="preserve">.) </w:t>
            </w:r>
            <w:proofErr w:type="spellStart"/>
            <w:r w:rsidRPr="00E82552">
              <w:rPr>
                <w:szCs w:val="20"/>
              </w:rPr>
              <w:t>Kuntze</w:t>
            </w:r>
            <w:proofErr w:type="spellEnd"/>
            <w:r w:rsidRPr="00E82552">
              <w:rPr>
                <w:szCs w:val="20"/>
              </w:rPr>
              <w:t xml:space="preserve"> (1891), pooglenitev bukve</w:t>
            </w:r>
          </w:p>
        </w:tc>
        <w:tc>
          <w:tcPr>
            <w:tcW w:w="463" w:type="pct"/>
            <w:hideMark/>
          </w:tcPr>
          <w:p w14:paraId="26511A97" w14:textId="77777777" w:rsidR="00545A37" w:rsidRPr="00E82552" w:rsidRDefault="00545A37" w:rsidP="00FF0031">
            <w:pPr>
              <w:rPr>
                <w:szCs w:val="20"/>
              </w:rPr>
            </w:pPr>
            <w:r w:rsidRPr="00E82552">
              <w:rPr>
                <w:szCs w:val="20"/>
              </w:rPr>
              <w:t>(+)</w:t>
            </w:r>
          </w:p>
        </w:tc>
      </w:tr>
    </w:tbl>
    <w:p w14:paraId="14967667" w14:textId="77777777" w:rsidR="00545A37" w:rsidRPr="00E82552" w:rsidRDefault="00545A37" w:rsidP="00545A37">
      <w:pPr>
        <w:rPr>
          <w:rFonts w:cs="Arial"/>
          <w:b/>
          <w:bCs/>
        </w:rPr>
      </w:pPr>
    </w:p>
    <w:p w14:paraId="6C6BEF13" w14:textId="77777777" w:rsidR="00545A37" w:rsidRPr="00E82552" w:rsidRDefault="00545A37" w:rsidP="00545A37">
      <w:pPr>
        <w:pStyle w:val="Naslov5"/>
      </w:pPr>
      <w:r w:rsidRPr="00E82552">
        <w:t>Kazalnik vpliva: Invazivne tujerodne vrste (ITV)</w:t>
      </w:r>
    </w:p>
    <w:p w14:paraId="03BF9B06" w14:textId="77777777" w:rsidR="00545A37" w:rsidRPr="00E82552" w:rsidRDefault="00545A37" w:rsidP="00545A37">
      <w:pPr>
        <w:rPr>
          <w:rFonts w:eastAsia="Trebuchet MS" w:cs="Trebuchet MS"/>
        </w:rPr>
      </w:pPr>
      <w:r w:rsidRPr="00E82552">
        <w:rPr>
          <w:rFonts w:eastAsia="Trebuchet MS" w:cs="Trebuchet MS"/>
        </w:rPr>
        <w:t>Invazivne tujerodne vrste (ITV) imajo lahko izjemno velik vpliv na gospodarstvo in ekonomijo. O tem priča vnos tujerodne robinije v začetku prejšnjega stoletja, ki se je hitro močno razširila in daje danes močan pečat gozdovom in krajini v občini.</w:t>
      </w:r>
    </w:p>
    <w:p w14:paraId="68AAF70A" w14:textId="794D4B13" w:rsidR="00545A37" w:rsidRPr="00E82552" w:rsidRDefault="00545A37" w:rsidP="00545A37">
      <w:pPr>
        <w:rPr>
          <w:rFonts w:eastAsia="Trebuchet MS" w:cs="Trebuchet MS"/>
          <w:highlight w:val="yellow"/>
        </w:rPr>
      </w:pPr>
      <w:r w:rsidRPr="00E82552">
        <w:rPr>
          <w:rFonts w:eastAsia="Trebuchet MS" w:cs="Trebuchet MS"/>
        </w:rPr>
        <w:lastRenderedPageBreak/>
        <w:t xml:space="preserve">V sistemu </w:t>
      </w:r>
      <w:proofErr w:type="spellStart"/>
      <w:r w:rsidRPr="00E82552">
        <w:rPr>
          <w:rFonts w:eastAsia="Trebuchet MS" w:cs="Trebuchet MS"/>
        </w:rPr>
        <w:t>Invazivke</w:t>
      </w:r>
      <w:proofErr w:type="spellEnd"/>
      <w:r w:rsidRPr="00E82552">
        <w:rPr>
          <w:rFonts w:eastAsia="Trebuchet MS" w:cs="Trebuchet MS"/>
        </w:rPr>
        <w:t xml:space="preserve"> (</w:t>
      </w:r>
      <w:hyperlink r:id="rId93">
        <w:r w:rsidRPr="00E82552">
          <w:rPr>
            <w:rStyle w:val="Hiperpovezava"/>
            <w:rFonts w:eastAsia="Trebuchet MS" w:cs="Trebuchet MS"/>
          </w:rPr>
          <w:t>www.invazivke.si</w:t>
        </w:r>
      </w:hyperlink>
      <w:r w:rsidRPr="00E82552">
        <w:rPr>
          <w:rFonts w:eastAsia="Trebuchet MS" w:cs="Trebuchet MS"/>
        </w:rPr>
        <w:t>) je bilo v MONG na dan 5. 5. 2021 zabeleženo 24 različnih ITV (</w:t>
      </w:r>
      <w:r>
        <w:rPr>
          <w:rFonts w:eastAsia="Trebuchet MS" w:cs="Trebuchet MS"/>
        </w:rPr>
        <w:fldChar w:fldCharType="begin"/>
      </w:r>
      <w:r>
        <w:rPr>
          <w:rFonts w:eastAsia="Trebuchet MS" w:cs="Trebuchet MS"/>
        </w:rPr>
        <w:instrText xml:space="preserve"> REF _Ref74288506 \h </w:instrText>
      </w:r>
      <w:r>
        <w:rPr>
          <w:rFonts w:eastAsia="Trebuchet MS" w:cs="Trebuchet MS"/>
        </w:rPr>
      </w:r>
      <w:r>
        <w:rPr>
          <w:rFonts w:eastAsia="Trebuchet MS" w:cs="Trebuchet MS"/>
        </w:rPr>
        <w:fldChar w:fldCharType="separate"/>
      </w:r>
      <w:r w:rsidR="004700D5">
        <w:t xml:space="preserve">Slika </w:t>
      </w:r>
      <w:r w:rsidR="004700D5">
        <w:rPr>
          <w:noProof/>
        </w:rPr>
        <w:t>6</w:t>
      </w:r>
      <w:r w:rsidR="004700D5">
        <w:t>.</w:t>
      </w:r>
      <w:r w:rsidR="004700D5">
        <w:rPr>
          <w:noProof/>
        </w:rPr>
        <w:t>15</w:t>
      </w:r>
      <w:r>
        <w:rPr>
          <w:rFonts w:eastAsia="Trebuchet MS" w:cs="Trebuchet MS"/>
        </w:rPr>
        <w:fldChar w:fldCharType="end"/>
      </w:r>
      <w:r>
        <w:rPr>
          <w:rFonts w:eastAsia="Trebuchet MS" w:cs="Trebuchet MS"/>
        </w:rPr>
        <w:t xml:space="preserve">, </w:t>
      </w:r>
      <w:r>
        <w:rPr>
          <w:rFonts w:eastAsia="Trebuchet MS" w:cs="Trebuchet MS"/>
        </w:rPr>
        <w:fldChar w:fldCharType="begin"/>
      </w:r>
      <w:r>
        <w:rPr>
          <w:rFonts w:eastAsia="Trebuchet MS" w:cs="Trebuchet MS"/>
        </w:rPr>
        <w:instrText xml:space="preserve"> REF _Ref74288525 \h </w:instrText>
      </w:r>
      <w:r>
        <w:rPr>
          <w:rFonts w:eastAsia="Trebuchet MS" w:cs="Trebuchet MS"/>
        </w:rPr>
      </w:r>
      <w:r>
        <w:rPr>
          <w:rFonts w:eastAsia="Trebuchet MS" w:cs="Trebuchet MS"/>
        </w:rPr>
        <w:fldChar w:fldCharType="separate"/>
      </w:r>
      <w:r w:rsidR="004700D5">
        <w:t xml:space="preserve">Preglednica </w:t>
      </w:r>
      <w:r w:rsidR="004700D5">
        <w:rPr>
          <w:noProof/>
        </w:rPr>
        <w:t>6</w:t>
      </w:r>
      <w:r w:rsidR="004700D5">
        <w:t>.</w:t>
      </w:r>
      <w:r w:rsidR="004700D5">
        <w:rPr>
          <w:noProof/>
        </w:rPr>
        <w:t>16</w:t>
      </w:r>
      <w:r>
        <w:rPr>
          <w:rFonts w:eastAsia="Trebuchet MS" w:cs="Trebuchet MS"/>
        </w:rPr>
        <w:fldChar w:fldCharType="end"/>
      </w:r>
      <w:r w:rsidRPr="00E82552">
        <w:rPr>
          <w:rFonts w:eastAsia="Trebuchet MS" w:cs="Trebuchet MS"/>
        </w:rPr>
        <w:t>). Večino najdb je bilo zabeleženih v jugozahodnem delu občine. Najpogostejša ITV je bil kostanjev rak (</w:t>
      </w:r>
      <w:proofErr w:type="spellStart"/>
      <w:r w:rsidRPr="00E82552">
        <w:rPr>
          <w:rFonts w:eastAsia="Trebuchet MS" w:cs="Trebuchet MS"/>
          <w:i/>
          <w:iCs/>
          <w:color w:val="000000" w:themeColor="text1"/>
        </w:rPr>
        <w:t>Cryphonectria</w:t>
      </w:r>
      <w:proofErr w:type="spellEnd"/>
      <w:r w:rsidRPr="00E82552">
        <w:rPr>
          <w:rFonts w:eastAsia="Trebuchet MS" w:cs="Trebuchet MS"/>
          <w:i/>
          <w:iCs/>
          <w:color w:val="000000" w:themeColor="text1"/>
        </w:rPr>
        <w:t xml:space="preserve"> </w:t>
      </w:r>
      <w:proofErr w:type="spellStart"/>
      <w:r w:rsidRPr="00E82552">
        <w:rPr>
          <w:rFonts w:eastAsia="Trebuchet MS" w:cs="Trebuchet MS"/>
          <w:i/>
          <w:iCs/>
          <w:color w:val="000000" w:themeColor="text1"/>
        </w:rPr>
        <w:t>parasitica</w:t>
      </w:r>
      <w:proofErr w:type="spellEnd"/>
      <w:r w:rsidRPr="00E82552">
        <w:rPr>
          <w:rFonts w:eastAsia="Trebuchet MS" w:cs="Trebuchet MS"/>
        </w:rPr>
        <w:t xml:space="preserve">). Pogosto je bil zabeležen jesenov ožig ter holandska brestova bolezen. Med pogostejšimi ITV v MONG sta tudi rastlini </w:t>
      </w:r>
      <w:proofErr w:type="spellStart"/>
      <w:r w:rsidRPr="00E82552">
        <w:rPr>
          <w:rFonts w:eastAsia="Trebuchet MS" w:cs="Trebuchet MS"/>
          <w:i/>
          <w:iCs/>
          <w:color w:val="000000" w:themeColor="text1"/>
        </w:rPr>
        <w:t>Amorpha</w:t>
      </w:r>
      <w:proofErr w:type="spellEnd"/>
      <w:r w:rsidRPr="00E82552">
        <w:rPr>
          <w:rFonts w:eastAsia="Trebuchet MS" w:cs="Trebuchet MS"/>
          <w:i/>
          <w:iCs/>
          <w:color w:val="000000" w:themeColor="text1"/>
        </w:rPr>
        <w:t xml:space="preserve"> </w:t>
      </w:r>
      <w:proofErr w:type="spellStart"/>
      <w:r w:rsidRPr="00E82552">
        <w:rPr>
          <w:rFonts w:eastAsia="Trebuchet MS" w:cs="Trebuchet MS"/>
          <w:i/>
          <w:iCs/>
          <w:color w:val="000000" w:themeColor="text1"/>
        </w:rPr>
        <w:t>fruticosa</w:t>
      </w:r>
      <w:proofErr w:type="spellEnd"/>
      <w:r w:rsidRPr="00E82552">
        <w:rPr>
          <w:rFonts w:eastAsia="Trebuchet MS" w:cs="Trebuchet MS"/>
          <w:color w:val="000000" w:themeColor="text1"/>
        </w:rPr>
        <w:t xml:space="preserve"> (</w:t>
      </w:r>
      <w:r w:rsidRPr="00E82552">
        <w:rPr>
          <w:rFonts w:eastAsia="Trebuchet MS" w:cs="Trebuchet MS"/>
        </w:rPr>
        <w:t xml:space="preserve">navadna amorfa) in </w:t>
      </w:r>
      <w:proofErr w:type="spellStart"/>
      <w:r w:rsidRPr="00E82552">
        <w:rPr>
          <w:rFonts w:eastAsia="Trebuchet MS" w:cs="Trebuchet MS"/>
          <w:i/>
          <w:iCs/>
          <w:color w:val="000000" w:themeColor="text1"/>
        </w:rPr>
        <w:t>Rubus</w:t>
      </w:r>
      <w:proofErr w:type="spellEnd"/>
      <w:r w:rsidRPr="00E82552">
        <w:rPr>
          <w:rFonts w:eastAsia="Trebuchet MS" w:cs="Trebuchet MS"/>
          <w:i/>
          <w:iCs/>
          <w:color w:val="000000" w:themeColor="text1"/>
        </w:rPr>
        <w:t xml:space="preserve"> </w:t>
      </w:r>
      <w:proofErr w:type="spellStart"/>
      <w:r w:rsidRPr="00E82552">
        <w:rPr>
          <w:rFonts w:eastAsia="Trebuchet MS" w:cs="Trebuchet MS"/>
          <w:i/>
          <w:iCs/>
          <w:color w:val="000000" w:themeColor="text1"/>
        </w:rPr>
        <w:t>phoenicolasius</w:t>
      </w:r>
      <w:proofErr w:type="spellEnd"/>
      <w:r w:rsidRPr="00E82552">
        <w:rPr>
          <w:rFonts w:eastAsia="Trebuchet MS" w:cs="Trebuchet MS"/>
        </w:rPr>
        <w:t xml:space="preserve"> (rdečeščetinava robida).</w:t>
      </w:r>
    </w:p>
    <w:p w14:paraId="01D42DE0" w14:textId="77777777" w:rsidR="00545A37" w:rsidRDefault="00545A37" w:rsidP="00545A37">
      <w:pPr>
        <w:keepNext/>
        <w:jc w:val="center"/>
      </w:pPr>
      <w:r w:rsidRPr="00E82552">
        <w:rPr>
          <w:noProof/>
          <w:lang w:eastAsia="sl-SI"/>
        </w:rPr>
        <w:drawing>
          <wp:inline distT="0" distB="0" distL="0" distR="0" wp14:anchorId="57DA8C82" wp14:editId="540B7897">
            <wp:extent cx="4572000" cy="3762375"/>
            <wp:effectExtent l="0" t="0" r="0" b="9525"/>
            <wp:docPr id="1376709764" name="Picture 1376709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709764"/>
                    <pic:cNvPicPr/>
                  </pic:nvPicPr>
                  <pic:blipFill>
                    <a:blip r:embed="rId94">
                      <a:extLst>
                        <a:ext uri="{28A0092B-C50C-407E-A947-70E740481C1C}">
                          <a14:useLocalDpi xmlns:a14="http://schemas.microsoft.com/office/drawing/2010/main" val="0"/>
                        </a:ext>
                      </a:extLst>
                    </a:blip>
                    <a:stretch>
                      <a:fillRect/>
                    </a:stretch>
                  </pic:blipFill>
                  <pic:spPr>
                    <a:xfrm>
                      <a:off x="0" y="0"/>
                      <a:ext cx="4572000" cy="3762375"/>
                    </a:xfrm>
                    <a:prstGeom prst="rect">
                      <a:avLst/>
                    </a:prstGeom>
                  </pic:spPr>
                </pic:pic>
              </a:graphicData>
            </a:graphic>
          </wp:inline>
        </w:drawing>
      </w:r>
    </w:p>
    <w:p w14:paraId="43F0ABCA" w14:textId="12510A5A" w:rsidR="00545A37" w:rsidRDefault="00545A37" w:rsidP="00545A37">
      <w:pPr>
        <w:pStyle w:val="Napis"/>
      </w:pPr>
      <w:bookmarkStart w:id="237" w:name="_Ref74288506"/>
      <w:bookmarkStart w:id="238" w:name="_Toc97026866"/>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15</w:t>
      </w:r>
      <w:r w:rsidR="008334B2">
        <w:fldChar w:fldCharType="end"/>
      </w:r>
      <w:bookmarkEnd w:id="237"/>
      <w:r>
        <w:t xml:space="preserve">: </w:t>
      </w:r>
      <w:r w:rsidRPr="00AE0E2D">
        <w:t xml:space="preserve">Pojav invazivnih tujerodnih vrst v Mestni občini Nova Gorica (sistem </w:t>
      </w:r>
      <w:proofErr w:type="spellStart"/>
      <w:r w:rsidRPr="00AE0E2D">
        <w:t>Invazivke</w:t>
      </w:r>
      <w:proofErr w:type="spellEnd"/>
      <w:r w:rsidRPr="00AE0E2D">
        <w:t>: www.invazivke.si, 5. 5. 2021).</w:t>
      </w:r>
      <w:bookmarkEnd w:id="238"/>
    </w:p>
    <w:p w14:paraId="791975B3" w14:textId="331626C6" w:rsidR="00545A37" w:rsidRDefault="00545A37" w:rsidP="00545A37">
      <w:pPr>
        <w:pStyle w:val="Napis"/>
        <w:keepNext/>
      </w:pPr>
      <w:bookmarkStart w:id="239" w:name="_Ref74288525"/>
      <w:bookmarkStart w:id="240" w:name="_Toc97026969"/>
      <w:r>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16</w:t>
      </w:r>
      <w:r w:rsidR="00976D80">
        <w:fldChar w:fldCharType="end"/>
      </w:r>
      <w:bookmarkEnd w:id="239"/>
      <w:r>
        <w:t xml:space="preserve">: </w:t>
      </w:r>
      <w:r w:rsidRPr="0021434A">
        <w:t xml:space="preserve">Seznam invazivnih tujerodnih vrst v Mestni občini Nova Gorica, ki so bile zabeležene v sistemu </w:t>
      </w:r>
      <w:proofErr w:type="spellStart"/>
      <w:r w:rsidRPr="0021434A">
        <w:t>Invazivke</w:t>
      </w:r>
      <w:proofErr w:type="spellEnd"/>
      <w:r w:rsidRPr="0021434A">
        <w:t>: www.invazivke.si (5. 5. 2021).</w:t>
      </w:r>
      <w:bookmarkEnd w:id="2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9"/>
        <w:gridCol w:w="4560"/>
        <w:gridCol w:w="1419"/>
      </w:tblGrid>
      <w:tr w:rsidR="00545A37" w:rsidRPr="00E82552" w14:paraId="273C71FB" w14:textId="77777777" w:rsidTr="00545A37">
        <w:trPr>
          <w:trHeight w:val="199"/>
        </w:trPr>
        <w:tc>
          <w:tcPr>
            <w:tcW w:w="1895" w:type="pct"/>
            <w:shd w:val="clear" w:color="auto" w:fill="E7E6E6" w:themeFill="background2"/>
            <w:vAlign w:val="bottom"/>
          </w:tcPr>
          <w:p w14:paraId="60C55EDF"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Latinsko ime</w:t>
            </w:r>
          </w:p>
        </w:tc>
        <w:tc>
          <w:tcPr>
            <w:tcW w:w="2368" w:type="pct"/>
            <w:shd w:val="clear" w:color="auto" w:fill="E7E6E6" w:themeFill="background2"/>
            <w:vAlign w:val="bottom"/>
          </w:tcPr>
          <w:p w14:paraId="0ED571BF"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Slovensko ime</w:t>
            </w:r>
          </w:p>
        </w:tc>
        <w:tc>
          <w:tcPr>
            <w:tcW w:w="737" w:type="pct"/>
            <w:shd w:val="clear" w:color="auto" w:fill="E7E6E6" w:themeFill="background2"/>
            <w:vAlign w:val="bottom"/>
          </w:tcPr>
          <w:p w14:paraId="2D7972F8"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Št. zapisov</w:t>
            </w:r>
          </w:p>
        </w:tc>
      </w:tr>
      <w:tr w:rsidR="00545A37" w:rsidRPr="00E82552" w14:paraId="7C32A5BE" w14:textId="77777777" w:rsidTr="00545A37">
        <w:trPr>
          <w:trHeight w:val="316"/>
        </w:trPr>
        <w:tc>
          <w:tcPr>
            <w:tcW w:w="1895" w:type="pct"/>
            <w:vAlign w:val="bottom"/>
          </w:tcPr>
          <w:p w14:paraId="54ED7483"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Cryphonectria</w:t>
            </w:r>
            <w:proofErr w:type="spellEnd"/>
            <w:r w:rsidRPr="00E82552">
              <w:rPr>
                <w:rFonts w:eastAsia="Calibri" w:cs="Calibri"/>
                <w:i/>
                <w:iCs/>
                <w:color w:val="000000" w:themeColor="text1"/>
                <w:sz w:val="20"/>
                <w:szCs w:val="20"/>
              </w:rPr>
              <w:t xml:space="preserve"> </w:t>
            </w:r>
            <w:proofErr w:type="spellStart"/>
            <w:r w:rsidRPr="00E82552">
              <w:rPr>
                <w:rFonts w:eastAsia="Calibri" w:cs="Calibri"/>
                <w:i/>
                <w:iCs/>
                <w:color w:val="000000" w:themeColor="text1"/>
                <w:sz w:val="20"/>
                <w:szCs w:val="20"/>
              </w:rPr>
              <w:t>parasitica</w:t>
            </w:r>
            <w:proofErr w:type="spellEnd"/>
          </w:p>
        </w:tc>
        <w:tc>
          <w:tcPr>
            <w:tcW w:w="2368" w:type="pct"/>
            <w:vAlign w:val="bottom"/>
          </w:tcPr>
          <w:p w14:paraId="349BA69F"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kostanjev rak</w:t>
            </w:r>
          </w:p>
        </w:tc>
        <w:tc>
          <w:tcPr>
            <w:tcW w:w="737" w:type="pct"/>
            <w:vAlign w:val="bottom"/>
          </w:tcPr>
          <w:p w14:paraId="52540437"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9.563</w:t>
            </w:r>
          </w:p>
        </w:tc>
      </w:tr>
      <w:tr w:rsidR="00545A37" w:rsidRPr="00E82552" w14:paraId="647D08D0" w14:textId="77777777" w:rsidTr="00545A37">
        <w:trPr>
          <w:trHeight w:val="288"/>
        </w:trPr>
        <w:tc>
          <w:tcPr>
            <w:tcW w:w="1895" w:type="pct"/>
            <w:vAlign w:val="bottom"/>
          </w:tcPr>
          <w:p w14:paraId="3E0D5C37"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Hymenoscyphus</w:t>
            </w:r>
            <w:proofErr w:type="spellEnd"/>
            <w:r w:rsidRPr="00E82552">
              <w:rPr>
                <w:rFonts w:eastAsia="Calibri" w:cs="Calibri"/>
                <w:i/>
                <w:iCs/>
                <w:color w:val="000000" w:themeColor="text1"/>
                <w:sz w:val="20"/>
                <w:szCs w:val="20"/>
              </w:rPr>
              <w:t xml:space="preserve"> </w:t>
            </w:r>
            <w:proofErr w:type="spellStart"/>
            <w:r w:rsidRPr="00E82552">
              <w:rPr>
                <w:rFonts w:eastAsia="Calibri" w:cs="Calibri"/>
                <w:i/>
                <w:iCs/>
                <w:color w:val="000000" w:themeColor="text1"/>
                <w:sz w:val="20"/>
                <w:szCs w:val="20"/>
              </w:rPr>
              <w:t>fraxineus</w:t>
            </w:r>
            <w:proofErr w:type="spellEnd"/>
          </w:p>
        </w:tc>
        <w:tc>
          <w:tcPr>
            <w:tcW w:w="2368" w:type="pct"/>
            <w:vAlign w:val="bottom"/>
          </w:tcPr>
          <w:p w14:paraId="21977CEE"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jesenov ožig</w:t>
            </w:r>
          </w:p>
        </w:tc>
        <w:tc>
          <w:tcPr>
            <w:tcW w:w="737" w:type="pct"/>
            <w:vAlign w:val="bottom"/>
          </w:tcPr>
          <w:p w14:paraId="4BA06CDC"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5.503</w:t>
            </w:r>
          </w:p>
        </w:tc>
      </w:tr>
      <w:tr w:rsidR="00545A37" w:rsidRPr="00E82552" w14:paraId="275E798C" w14:textId="77777777" w:rsidTr="00545A37">
        <w:trPr>
          <w:trHeight w:val="288"/>
        </w:trPr>
        <w:tc>
          <w:tcPr>
            <w:tcW w:w="1895" w:type="pct"/>
            <w:vAlign w:val="bottom"/>
          </w:tcPr>
          <w:p w14:paraId="2BC80C0C"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Ophiostoma</w:t>
            </w:r>
            <w:proofErr w:type="spellEnd"/>
            <w:r w:rsidRPr="00E82552">
              <w:rPr>
                <w:rFonts w:eastAsia="Calibri" w:cs="Calibri"/>
                <w:i/>
                <w:iCs/>
                <w:color w:val="000000" w:themeColor="text1"/>
                <w:sz w:val="20"/>
                <w:szCs w:val="20"/>
              </w:rPr>
              <w:t xml:space="preserve"> novo-</w:t>
            </w:r>
            <w:proofErr w:type="spellStart"/>
            <w:r w:rsidRPr="00E82552">
              <w:rPr>
                <w:rFonts w:eastAsia="Calibri" w:cs="Calibri"/>
                <w:i/>
                <w:iCs/>
                <w:color w:val="000000" w:themeColor="text1"/>
                <w:sz w:val="20"/>
                <w:szCs w:val="20"/>
              </w:rPr>
              <w:t>ulmi</w:t>
            </w:r>
            <w:proofErr w:type="spellEnd"/>
            <w:r w:rsidRPr="00E82552">
              <w:rPr>
                <w:rFonts w:eastAsia="Calibri" w:cs="Calibri"/>
                <w:color w:val="000000" w:themeColor="text1"/>
                <w:sz w:val="20"/>
                <w:szCs w:val="20"/>
              </w:rPr>
              <w:t xml:space="preserve"> in </w:t>
            </w:r>
            <w:r w:rsidRPr="00E82552">
              <w:rPr>
                <w:rFonts w:eastAsia="Calibri" w:cs="Calibri"/>
                <w:i/>
                <w:iCs/>
                <w:color w:val="000000" w:themeColor="text1"/>
                <w:sz w:val="20"/>
                <w:szCs w:val="20"/>
              </w:rPr>
              <w:t xml:space="preserve">O. </w:t>
            </w:r>
            <w:proofErr w:type="spellStart"/>
            <w:r w:rsidRPr="00E82552">
              <w:rPr>
                <w:rFonts w:eastAsia="Calibri" w:cs="Calibri"/>
                <w:i/>
                <w:iCs/>
                <w:color w:val="000000" w:themeColor="text1"/>
                <w:sz w:val="20"/>
                <w:szCs w:val="20"/>
              </w:rPr>
              <w:t>ulmi</w:t>
            </w:r>
            <w:proofErr w:type="spellEnd"/>
          </w:p>
        </w:tc>
        <w:tc>
          <w:tcPr>
            <w:tcW w:w="2368" w:type="pct"/>
            <w:vAlign w:val="bottom"/>
          </w:tcPr>
          <w:p w14:paraId="34830532"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holandska brestova bolezen</w:t>
            </w:r>
          </w:p>
        </w:tc>
        <w:tc>
          <w:tcPr>
            <w:tcW w:w="737" w:type="pct"/>
            <w:vAlign w:val="bottom"/>
          </w:tcPr>
          <w:p w14:paraId="216B2B07"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920</w:t>
            </w:r>
          </w:p>
        </w:tc>
      </w:tr>
      <w:tr w:rsidR="00545A37" w:rsidRPr="00E82552" w14:paraId="42279546" w14:textId="77777777" w:rsidTr="00545A37">
        <w:trPr>
          <w:trHeight w:val="288"/>
        </w:trPr>
        <w:tc>
          <w:tcPr>
            <w:tcW w:w="1895" w:type="pct"/>
            <w:vAlign w:val="bottom"/>
          </w:tcPr>
          <w:p w14:paraId="6E69A6B4"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Amorpha</w:t>
            </w:r>
            <w:proofErr w:type="spellEnd"/>
            <w:r w:rsidRPr="00E82552">
              <w:rPr>
                <w:rFonts w:eastAsia="Calibri" w:cs="Calibri"/>
                <w:i/>
                <w:iCs/>
                <w:color w:val="000000" w:themeColor="text1"/>
                <w:sz w:val="20"/>
                <w:szCs w:val="20"/>
              </w:rPr>
              <w:t xml:space="preserve"> </w:t>
            </w:r>
            <w:proofErr w:type="spellStart"/>
            <w:r w:rsidRPr="00E82552">
              <w:rPr>
                <w:rFonts w:eastAsia="Calibri" w:cs="Calibri"/>
                <w:i/>
                <w:iCs/>
                <w:color w:val="000000" w:themeColor="text1"/>
                <w:sz w:val="20"/>
                <w:szCs w:val="20"/>
              </w:rPr>
              <w:t>fruticosa</w:t>
            </w:r>
            <w:proofErr w:type="spellEnd"/>
          </w:p>
        </w:tc>
        <w:tc>
          <w:tcPr>
            <w:tcW w:w="2368" w:type="pct"/>
            <w:vAlign w:val="bottom"/>
          </w:tcPr>
          <w:p w14:paraId="662D4618"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navadna amorfa</w:t>
            </w:r>
          </w:p>
        </w:tc>
        <w:tc>
          <w:tcPr>
            <w:tcW w:w="737" w:type="pct"/>
            <w:vAlign w:val="bottom"/>
          </w:tcPr>
          <w:p w14:paraId="71E6E68D"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500</w:t>
            </w:r>
          </w:p>
        </w:tc>
      </w:tr>
      <w:tr w:rsidR="00545A37" w:rsidRPr="00E82552" w14:paraId="73C2664F" w14:textId="77777777" w:rsidTr="00545A37">
        <w:trPr>
          <w:trHeight w:val="288"/>
        </w:trPr>
        <w:tc>
          <w:tcPr>
            <w:tcW w:w="1895" w:type="pct"/>
            <w:vAlign w:val="bottom"/>
          </w:tcPr>
          <w:p w14:paraId="0396878F"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Rubus</w:t>
            </w:r>
            <w:proofErr w:type="spellEnd"/>
            <w:r w:rsidRPr="00E82552">
              <w:rPr>
                <w:rFonts w:eastAsia="Calibri" w:cs="Calibri"/>
                <w:i/>
                <w:iCs/>
                <w:color w:val="000000" w:themeColor="text1"/>
                <w:sz w:val="20"/>
                <w:szCs w:val="20"/>
              </w:rPr>
              <w:t xml:space="preserve"> </w:t>
            </w:r>
            <w:proofErr w:type="spellStart"/>
            <w:r w:rsidRPr="00E82552">
              <w:rPr>
                <w:rFonts w:eastAsia="Calibri" w:cs="Calibri"/>
                <w:i/>
                <w:iCs/>
                <w:color w:val="000000" w:themeColor="text1"/>
                <w:sz w:val="20"/>
                <w:szCs w:val="20"/>
              </w:rPr>
              <w:t>phoenicolasius</w:t>
            </w:r>
            <w:proofErr w:type="spellEnd"/>
          </w:p>
        </w:tc>
        <w:tc>
          <w:tcPr>
            <w:tcW w:w="2368" w:type="pct"/>
            <w:vAlign w:val="bottom"/>
          </w:tcPr>
          <w:p w14:paraId="40DB265B"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rdečeščetinava robida</w:t>
            </w:r>
          </w:p>
        </w:tc>
        <w:tc>
          <w:tcPr>
            <w:tcW w:w="737" w:type="pct"/>
            <w:vAlign w:val="bottom"/>
          </w:tcPr>
          <w:p w14:paraId="325B4DBF"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500</w:t>
            </w:r>
          </w:p>
        </w:tc>
      </w:tr>
      <w:tr w:rsidR="00545A37" w:rsidRPr="00E82552" w14:paraId="02A98C46" w14:textId="77777777" w:rsidTr="00545A37">
        <w:trPr>
          <w:trHeight w:val="288"/>
        </w:trPr>
        <w:tc>
          <w:tcPr>
            <w:tcW w:w="1895" w:type="pct"/>
            <w:vAlign w:val="bottom"/>
          </w:tcPr>
          <w:p w14:paraId="03DBE14F"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Ailanthus</w:t>
            </w:r>
            <w:proofErr w:type="spellEnd"/>
            <w:r w:rsidRPr="00E82552">
              <w:rPr>
                <w:rFonts w:eastAsia="Calibri" w:cs="Calibri"/>
                <w:i/>
                <w:iCs/>
                <w:color w:val="000000" w:themeColor="text1"/>
                <w:sz w:val="20"/>
                <w:szCs w:val="20"/>
              </w:rPr>
              <w:t xml:space="preserve"> </w:t>
            </w:r>
            <w:proofErr w:type="spellStart"/>
            <w:r w:rsidRPr="00E82552">
              <w:rPr>
                <w:rFonts w:eastAsia="Calibri" w:cs="Calibri"/>
                <w:i/>
                <w:iCs/>
                <w:color w:val="000000" w:themeColor="text1"/>
                <w:sz w:val="20"/>
                <w:szCs w:val="20"/>
              </w:rPr>
              <w:t>altissima</w:t>
            </w:r>
            <w:proofErr w:type="spellEnd"/>
          </w:p>
        </w:tc>
        <w:tc>
          <w:tcPr>
            <w:tcW w:w="2368" w:type="pct"/>
            <w:vAlign w:val="bottom"/>
          </w:tcPr>
          <w:p w14:paraId="255F49E0"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veliki pajesen</w:t>
            </w:r>
          </w:p>
        </w:tc>
        <w:tc>
          <w:tcPr>
            <w:tcW w:w="737" w:type="pct"/>
            <w:vAlign w:val="bottom"/>
          </w:tcPr>
          <w:p w14:paraId="53A1D65D"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302</w:t>
            </w:r>
          </w:p>
        </w:tc>
      </w:tr>
      <w:tr w:rsidR="00545A37" w:rsidRPr="00E82552" w14:paraId="64B4097F" w14:textId="77777777" w:rsidTr="00545A37">
        <w:trPr>
          <w:trHeight w:val="288"/>
        </w:trPr>
        <w:tc>
          <w:tcPr>
            <w:tcW w:w="1895" w:type="pct"/>
            <w:vAlign w:val="bottom"/>
          </w:tcPr>
          <w:p w14:paraId="3D770EC7"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Ambrosia</w:t>
            </w:r>
            <w:proofErr w:type="spellEnd"/>
            <w:r w:rsidRPr="00E82552">
              <w:rPr>
                <w:rFonts w:eastAsia="Calibri" w:cs="Calibri"/>
                <w:i/>
                <w:iCs/>
                <w:color w:val="000000" w:themeColor="text1"/>
                <w:sz w:val="20"/>
                <w:szCs w:val="20"/>
              </w:rPr>
              <w:t xml:space="preserve"> </w:t>
            </w:r>
            <w:proofErr w:type="spellStart"/>
            <w:r w:rsidRPr="00E82552">
              <w:rPr>
                <w:rFonts w:eastAsia="Calibri" w:cs="Calibri"/>
                <w:i/>
                <w:iCs/>
                <w:color w:val="000000" w:themeColor="text1"/>
                <w:sz w:val="20"/>
                <w:szCs w:val="20"/>
              </w:rPr>
              <w:t>artemisiifolia</w:t>
            </w:r>
            <w:proofErr w:type="spellEnd"/>
          </w:p>
        </w:tc>
        <w:tc>
          <w:tcPr>
            <w:tcW w:w="2368" w:type="pct"/>
            <w:vAlign w:val="bottom"/>
          </w:tcPr>
          <w:p w14:paraId="1B7ECEBA"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pelinolistna žvrklja, ambrozija</w:t>
            </w:r>
          </w:p>
        </w:tc>
        <w:tc>
          <w:tcPr>
            <w:tcW w:w="737" w:type="pct"/>
            <w:vAlign w:val="bottom"/>
          </w:tcPr>
          <w:p w14:paraId="6ACD654C"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120</w:t>
            </w:r>
          </w:p>
        </w:tc>
      </w:tr>
      <w:tr w:rsidR="00545A37" w:rsidRPr="00E82552" w14:paraId="64D9F3CA" w14:textId="77777777" w:rsidTr="00545A37">
        <w:trPr>
          <w:trHeight w:val="288"/>
        </w:trPr>
        <w:tc>
          <w:tcPr>
            <w:tcW w:w="1895" w:type="pct"/>
            <w:vAlign w:val="bottom"/>
          </w:tcPr>
          <w:p w14:paraId="69DD34C3"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Spiraea</w:t>
            </w:r>
            <w:proofErr w:type="spellEnd"/>
            <w:r w:rsidRPr="00E82552">
              <w:rPr>
                <w:rFonts w:eastAsia="Calibri" w:cs="Calibri"/>
                <w:i/>
                <w:iCs/>
                <w:color w:val="000000" w:themeColor="text1"/>
                <w:sz w:val="20"/>
                <w:szCs w:val="20"/>
              </w:rPr>
              <w:t xml:space="preserve"> </w:t>
            </w:r>
            <w:proofErr w:type="spellStart"/>
            <w:r w:rsidRPr="00E82552">
              <w:rPr>
                <w:rFonts w:eastAsia="Calibri" w:cs="Calibri"/>
                <w:i/>
                <w:iCs/>
                <w:color w:val="000000" w:themeColor="text1"/>
                <w:sz w:val="20"/>
                <w:szCs w:val="20"/>
              </w:rPr>
              <w:t>japonica</w:t>
            </w:r>
            <w:proofErr w:type="spellEnd"/>
          </w:p>
        </w:tc>
        <w:tc>
          <w:tcPr>
            <w:tcW w:w="2368" w:type="pct"/>
            <w:vAlign w:val="bottom"/>
          </w:tcPr>
          <w:p w14:paraId="663DFEB2"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japonska medvejka</w:t>
            </w:r>
          </w:p>
        </w:tc>
        <w:tc>
          <w:tcPr>
            <w:tcW w:w="737" w:type="pct"/>
            <w:vAlign w:val="bottom"/>
          </w:tcPr>
          <w:p w14:paraId="7360D50B"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110</w:t>
            </w:r>
          </w:p>
        </w:tc>
      </w:tr>
      <w:tr w:rsidR="00545A37" w:rsidRPr="00E82552" w14:paraId="425FCFC4" w14:textId="77777777" w:rsidTr="00545A37">
        <w:trPr>
          <w:trHeight w:val="288"/>
        </w:trPr>
        <w:tc>
          <w:tcPr>
            <w:tcW w:w="1895" w:type="pct"/>
            <w:vAlign w:val="bottom"/>
          </w:tcPr>
          <w:p w14:paraId="186A82B3"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Broussonetia</w:t>
            </w:r>
            <w:proofErr w:type="spellEnd"/>
            <w:r w:rsidRPr="00E82552">
              <w:rPr>
                <w:rFonts w:eastAsia="Calibri" w:cs="Calibri"/>
                <w:i/>
                <w:iCs/>
                <w:color w:val="000000" w:themeColor="text1"/>
                <w:sz w:val="20"/>
                <w:szCs w:val="20"/>
              </w:rPr>
              <w:t xml:space="preserve"> </w:t>
            </w:r>
            <w:proofErr w:type="spellStart"/>
            <w:r w:rsidRPr="00E82552">
              <w:rPr>
                <w:rFonts w:eastAsia="Calibri" w:cs="Calibri"/>
                <w:i/>
                <w:iCs/>
                <w:color w:val="000000" w:themeColor="text1"/>
                <w:sz w:val="20"/>
                <w:szCs w:val="20"/>
              </w:rPr>
              <w:t>papyrifera</w:t>
            </w:r>
            <w:proofErr w:type="spellEnd"/>
          </w:p>
        </w:tc>
        <w:tc>
          <w:tcPr>
            <w:tcW w:w="2368" w:type="pct"/>
            <w:vAlign w:val="bottom"/>
          </w:tcPr>
          <w:p w14:paraId="4924B93C"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navadna papirjevka</w:t>
            </w:r>
          </w:p>
        </w:tc>
        <w:tc>
          <w:tcPr>
            <w:tcW w:w="737" w:type="pct"/>
            <w:vAlign w:val="bottom"/>
          </w:tcPr>
          <w:p w14:paraId="20E31315"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100</w:t>
            </w:r>
          </w:p>
        </w:tc>
      </w:tr>
      <w:tr w:rsidR="00545A37" w:rsidRPr="00E82552" w14:paraId="5900959A" w14:textId="77777777" w:rsidTr="00545A37">
        <w:trPr>
          <w:trHeight w:val="288"/>
        </w:trPr>
        <w:tc>
          <w:tcPr>
            <w:tcW w:w="1895" w:type="pct"/>
            <w:vAlign w:val="bottom"/>
          </w:tcPr>
          <w:p w14:paraId="70B26273"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Phyllostachys</w:t>
            </w:r>
            <w:proofErr w:type="spellEnd"/>
            <w:r w:rsidRPr="00E82552">
              <w:rPr>
                <w:rFonts w:eastAsia="Calibri" w:cs="Calibri"/>
                <w:i/>
                <w:iCs/>
                <w:color w:val="000000" w:themeColor="text1"/>
                <w:sz w:val="20"/>
                <w:szCs w:val="20"/>
              </w:rPr>
              <w:t xml:space="preserve"> </w:t>
            </w:r>
            <w:r w:rsidRPr="00E82552">
              <w:rPr>
                <w:rFonts w:eastAsia="Calibri" w:cs="Calibri"/>
                <w:color w:val="000000" w:themeColor="text1"/>
                <w:sz w:val="20"/>
                <w:szCs w:val="20"/>
              </w:rPr>
              <w:t>sp.</w:t>
            </w:r>
          </w:p>
        </w:tc>
        <w:tc>
          <w:tcPr>
            <w:tcW w:w="2368" w:type="pct"/>
            <w:vAlign w:val="bottom"/>
          </w:tcPr>
          <w:p w14:paraId="0677C43A"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bambusi</w:t>
            </w:r>
          </w:p>
        </w:tc>
        <w:tc>
          <w:tcPr>
            <w:tcW w:w="737" w:type="pct"/>
            <w:vAlign w:val="bottom"/>
          </w:tcPr>
          <w:p w14:paraId="3BAF8EA8"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50</w:t>
            </w:r>
          </w:p>
        </w:tc>
      </w:tr>
      <w:tr w:rsidR="00545A37" w:rsidRPr="00E82552" w14:paraId="79607EF6" w14:textId="77777777" w:rsidTr="00545A37">
        <w:trPr>
          <w:trHeight w:val="288"/>
        </w:trPr>
        <w:tc>
          <w:tcPr>
            <w:tcW w:w="1895" w:type="pct"/>
            <w:vAlign w:val="bottom"/>
          </w:tcPr>
          <w:p w14:paraId="0678153B"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Quercus</w:t>
            </w:r>
            <w:proofErr w:type="spellEnd"/>
            <w:r w:rsidRPr="00E82552">
              <w:rPr>
                <w:rFonts w:eastAsia="Calibri" w:cs="Calibri"/>
                <w:i/>
                <w:iCs/>
                <w:color w:val="000000" w:themeColor="text1"/>
                <w:sz w:val="20"/>
                <w:szCs w:val="20"/>
              </w:rPr>
              <w:t xml:space="preserve"> </w:t>
            </w:r>
            <w:proofErr w:type="spellStart"/>
            <w:r w:rsidRPr="00E82552">
              <w:rPr>
                <w:rFonts w:eastAsia="Calibri" w:cs="Calibri"/>
                <w:i/>
                <w:iCs/>
                <w:color w:val="000000" w:themeColor="text1"/>
                <w:sz w:val="20"/>
                <w:szCs w:val="20"/>
              </w:rPr>
              <w:t>rubra</w:t>
            </w:r>
            <w:proofErr w:type="spellEnd"/>
          </w:p>
        </w:tc>
        <w:tc>
          <w:tcPr>
            <w:tcW w:w="2368" w:type="pct"/>
            <w:vAlign w:val="bottom"/>
          </w:tcPr>
          <w:p w14:paraId="47D33B92"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rdeči hrast</w:t>
            </w:r>
          </w:p>
        </w:tc>
        <w:tc>
          <w:tcPr>
            <w:tcW w:w="737" w:type="pct"/>
            <w:vAlign w:val="bottom"/>
          </w:tcPr>
          <w:p w14:paraId="0DA1204A"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50</w:t>
            </w:r>
          </w:p>
        </w:tc>
      </w:tr>
      <w:tr w:rsidR="00545A37" w:rsidRPr="00E82552" w14:paraId="2963EC2C" w14:textId="77777777" w:rsidTr="00545A37">
        <w:trPr>
          <w:trHeight w:val="288"/>
        </w:trPr>
        <w:tc>
          <w:tcPr>
            <w:tcW w:w="1895" w:type="pct"/>
            <w:vAlign w:val="bottom"/>
          </w:tcPr>
          <w:p w14:paraId="05F39988"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Phytophthora</w:t>
            </w:r>
            <w:proofErr w:type="spellEnd"/>
            <w:r w:rsidRPr="00E82552">
              <w:rPr>
                <w:rFonts w:eastAsia="Calibri" w:cs="Calibri"/>
                <w:i/>
                <w:iCs/>
                <w:color w:val="000000" w:themeColor="text1"/>
                <w:sz w:val="20"/>
                <w:szCs w:val="20"/>
              </w:rPr>
              <w:t xml:space="preserve"> </w:t>
            </w:r>
            <w:proofErr w:type="spellStart"/>
            <w:r w:rsidRPr="00E82552">
              <w:rPr>
                <w:rFonts w:eastAsia="Calibri" w:cs="Calibri"/>
                <w:color w:val="000000" w:themeColor="text1"/>
                <w:sz w:val="20"/>
                <w:szCs w:val="20"/>
              </w:rPr>
              <w:t>spp</w:t>
            </w:r>
            <w:proofErr w:type="spellEnd"/>
            <w:r w:rsidRPr="00E82552">
              <w:rPr>
                <w:rFonts w:eastAsia="Calibri" w:cs="Calibri"/>
                <w:color w:val="000000" w:themeColor="text1"/>
                <w:sz w:val="20"/>
                <w:szCs w:val="20"/>
              </w:rPr>
              <w:t>.</w:t>
            </w:r>
          </w:p>
        </w:tc>
        <w:tc>
          <w:tcPr>
            <w:tcW w:w="2368" w:type="pct"/>
            <w:vAlign w:val="bottom"/>
          </w:tcPr>
          <w:p w14:paraId="6D55BB1D" w14:textId="77777777" w:rsidR="00545A37" w:rsidRPr="00E82552" w:rsidRDefault="00545A37" w:rsidP="00FF0031">
            <w:pPr>
              <w:spacing w:after="0" w:line="240" w:lineRule="auto"/>
              <w:rPr>
                <w:sz w:val="20"/>
                <w:szCs w:val="20"/>
              </w:rPr>
            </w:pPr>
            <w:proofErr w:type="spellStart"/>
            <w:r w:rsidRPr="00E82552">
              <w:rPr>
                <w:rFonts w:eastAsia="Calibri" w:cs="Calibri"/>
                <w:color w:val="000000" w:themeColor="text1"/>
                <w:sz w:val="20"/>
                <w:szCs w:val="20"/>
              </w:rPr>
              <w:t>fitoftore</w:t>
            </w:r>
            <w:proofErr w:type="spellEnd"/>
          </w:p>
        </w:tc>
        <w:tc>
          <w:tcPr>
            <w:tcW w:w="737" w:type="pct"/>
            <w:vAlign w:val="bottom"/>
          </w:tcPr>
          <w:p w14:paraId="0CF83708"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48</w:t>
            </w:r>
          </w:p>
        </w:tc>
      </w:tr>
      <w:tr w:rsidR="00545A37" w:rsidRPr="00E82552" w14:paraId="6249C2B6" w14:textId="77777777" w:rsidTr="00545A37">
        <w:trPr>
          <w:trHeight w:val="288"/>
        </w:trPr>
        <w:tc>
          <w:tcPr>
            <w:tcW w:w="1895" w:type="pct"/>
            <w:vAlign w:val="bottom"/>
          </w:tcPr>
          <w:p w14:paraId="79682BA6"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lastRenderedPageBreak/>
              <w:t>Acer</w:t>
            </w:r>
            <w:proofErr w:type="spellEnd"/>
            <w:r w:rsidRPr="00E82552">
              <w:rPr>
                <w:rFonts w:eastAsia="Calibri" w:cs="Calibri"/>
                <w:i/>
                <w:iCs/>
                <w:color w:val="000000" w:themeColor="text1"/>
                <w:sz w:val="20"/>
                <w:szCs w:val="20"/>
              </w:rPr>
              <w:t xml:space="preserve"> </w:t>
            </w:r>
            <w:proofErr w:type="spellStart"/>
            <w:r w:rsidRPr="00E82552">
              <w:rPr>
                <w:rFonts w:eastAsia="Calibri" w:cs="Calibri"/>
                <w:i/>
                <w:iCs/>
                <w:color w:val="000000" w:themeColor="text1"/>
                <w:sz w:val="20"/>
                <w:szCs w:val="20"/>
              </w:rPr>
              <w:t>negundo</w:t>
            </w:r>
            <w:proofErr w:type="spellEnd"/>
          </w:p>
        </w:tc>
        <w:tc>
          <w:tcPr>
            <w:tcW w:w="2368" w:type="pct"/>
            <w:vAlign w:val="bottom"/>
          </w:tcPr>
          <w:p w14:paraId="2C5F6D13"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 xml:space="preserve">ameriški javor, </w:t>
            </w:r>
            <w:proofErr w:type="spellStart"/>
            <w:r w:rsidRPr="00E82552">
              <w:rPr>
                <w:rFonts w:eastAsia="Calibri" w:cs="Calibri"/>
                <w:color w:val="000000" w:themeColor="text1"/>
                <w:sz w:val="20"/>
                <w:szCs w:val="20"/>
              </w:rPr>
              <w:t>negundovec</w:t>
            </w:r>
            <w:proofErr w:type="spellEnd"/>
          </w:p>
        </w:tc>
        <w:tc>
          <w:tcPr>
            <w:tcW w:w="737" w:type="pct"/>
            <w:vAlign w:val="bottom"/>
          </w:tcPr>
          <w:p w14:paraId="63E84FC9"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30</w:t>
            </w:r>
          </w:p>
        </w:tc>
      </w:tr>
      <w:tr w:rsidR="00545A37" w:rsidRPr="00E82552" w14:paraId="71BFB8D9" w14:textId="77777777" w:rsidTr="00545A37">
        <w:trPr>
          <w:trHeight w:val="288"/>
        </w:trPr>
        <w:tc>
          <w:tcPr>
            <w:tcW w:w="1895" w:type="pct"/>
            <w:vAlign w:val="bottom"/>
          </w:tcPr>
          <w:p w14:paraId="42BFA126"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Mahonia</w:t>
            </w:r>
            <w:proofErr w:type="spellEnd"/>
            <w:r w:rsidRPr="00E82552">
              <w:rPr>
                <w:rFonts w:eastAsia="Calibri" w:cs="Calibri"/>
                <w:i/>
                <w:iCs/>
                <w:color w:val="000000" w:themeColor="text1"/>
                <w:sz w:val="20"/>
                <w:szCs w:val="20"/>
              </w:rPr>
              <w:t xml:space="preserve"> </w:t>
            </w:r>
            <w:proofErr w:type="spellStart"/>
            <w:r w:rsidRPr="00E82552">
              <w:rPr>
                <w:rFonts w:eastAsia="Calibri" w:cs="Calibri"/>
                <w:i/>
                <w:iCs/>
                <w:color w:val="000000" w:themeColor="text1"/>
                <w:sz w:val="20"/>
                <w:szCs w:val="20"/>
              </w:rPr>
              <w:t>aquifolium</w:t>
            </w:r>
            <w:proofErr w:type="spellEnd"/>
          </w:p>
        </w:tc>
        <w:tc>
          <w:tcPr>
            <w:tcW w:w="2368" w:type="pct"/>
            <w:vAlign w:val="bottom"/>
          </w:tcPr>
          <w:p w14:paraId="4C961143"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navadna mahonija</w:t>
            </w:r>
          </w:p>
        </w:tc>
        <w:tc>
          <w:tcPr>
            <w:tcW w:w="737" w:type="pct"/>
            <w:vAlign w:val="bottom"/>
          </w:tcPr>
          <w:p w14:paraId="342104BE"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20</w:t>
            </w:r>
          </w:p>
        </w:tc>
      </w:tr>
      <w:tr w:rsidR="00545A37" w:rsidRPr="00E82552" w14:paraId="3FD1AC03" w14:textId="77777777" w:rsidTr="00545A37">
        <w:trPr>
          <w:trHeight w:val="288"/>
        </w:trPr>
        <w:tc>
          <w:tcPr>
            <w:tcW w:w="1895" w:type="pct"/>
            <w:vAlign w:val="bottom"/>
          </w:tcPr>
          <w:p w14:paraId="63235624"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Phytolacca</w:t>
            </w:r>
            <w:proofErr w:type="spellEnd"/>
            <w:r w:rsidRPr="00E82552">
              <w:rPr>
                <w:rFonts w:eastAsia="Calibri" w:cs="Calibri"/>
                <w:i/>
                <w:iCs/>
                <w:color w:val="000000" w:themeColor="text1"/>
                <w:sz w:val="20"/>
                <w:szCs w:val="20"/>
              </w:rPr>
              <w:t xml:space="preserve"> </w:t>
            </w:r>
            <w:proofErr w:type="spellStart"/>
            <w:r w:rsidRPr="00E82552">
              <w:rPr>
                <w:rFonts w:eastAsia="Calibri" w:cs="Calibri"/>
                <w:i/>
                <w:iCs/>
                <w:color w:val="000000" w:themeColor="text1"/>
                <w:sz w:val="20"/>
                <w:szCs w:val="20"/>
              </w:rPr>
              <w:t>americana</w:t>
            </w:r>
            <w:proofErr w:type="spellEnd"/>
          </w:p>
        </w:tc>
        <w:tc>
          <w:tcPr>
            <w:tcW w:w="2368" w:type="pct"/>
            <w:vAlign w:val="bottom"/>
          </w:tcPr>
          <w:p w14:paraId="5DAC7FEA"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navadna barvilnica</w:t>
            </w:r>
          </w:p>
        </w:tc>
        <w:tc>
          <w:tcPr>
            <w:tcW w:w="737" w:type="pct"/>
            <w:vAlign w:val="bottom"/>
          </w:tcPr>
          <w:p w14:paraId="3DB40FDF"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19</w:t>
            </w:r>
          </w:p>
        </w:tc>
      </w:tr>
      <w:tr w:rsidR="00545A37" w:rsidRPr="00E82552" w14:paraId="5C7F315F" w14:textId="77777777" w:rsidTr="00545A37">
        <w:trPr>
          <w:trHeight w:val="288"/>
        </w:trPr>
        <w:tc>
          <w:tcPr>
            <w:tcW w:w="1895" w:type="pct"/>
            <w:vAlign w:val="bottom"/>
          </w:tcPr>
          <w:p w14:paraId="69C0CC4C"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Erigeron</w:t>
            </w:r>
            <w:proofErr w:type="spellEnd"/>
            <w:r w:rsidRPr="00E82552">
              <w:rPr>
                <w:rFonts w:eastAsia="Calibri" w:cs="Calibri"/>
                <w:i/>
                <w:iCs/>
                <w:color w:val="000000" w:themeColor="text1"/>
                <w:sz w:val="20"/>
                <w:szCs w:val="20"/>
              </w:rPr>
              <w:t xml:space="preserve"> </w:t>
            </w:r>
            <w:proofErr w:type="spellStart"/>
            <w:r w:rsidRPr="00E82552">
              <w:rPr>
                <w:rFonts w:eastAsia="Calibri" w:cs="Calibri"/>
                <w:i/>
                <w:iCs/>
                <w:color w:val="000000" w:themeColor="text1"/>
                <w:sz w:val="20"/>
                <w:szCs w:val="20"/>
              </w:rPr>
              <w:t>annuus</w:t>
            </w:r>
            <w:proofErr w:type="spellEnd"/>
          </w:p>
        </w:tc>
        <w:tc>
          <w:tcPr>
            <w:tcW w:w="2368" w:type="pct"/>
            <w:vAlign w:val="bottom"/>
          </w:tcPr>
          <w:p w14:paraId="246A7E51"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enoletna suholetnica</w:t>
            </w:r>
          </w:p>
        </w:tc>
        <w:tc>
          <w:tcPr>
            <w:tcW w:w="737" w:type="pct"/>
            <w:vAlign w:val="bottom"/>
          </w:tcPr>
          <w:p w14:paraId="247CA2D3"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15</w:t>
            </w:r>
          </w:p>
        </w:tc>
      </w:tr>
      <w:tr w:rsidR="00545A37" w:rsidRPr="00E82552" w14:paraId="4B838078" w14:textId="77777777" w:rsidTr="00545A37">
        <w:trPr>
          <w:trHeight w:val="288"/>
        </w:trPr>
        <w:tc>
          <w:tcPr>
            <w:tcW w:w="1895" w:type="pct"/>
            <w:vAlign w:val="bottom"/>
          </w:tcPr>
          <w:p w14:paraId="1695F69C"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Phytolacca</w:t>
            </w:r>
            <w:proofErr w:type="spellEnd"/>
            <w:r w:rsidRPr="00E82552">
              <w:rPr>
                <w:rFonts w:eastAsia="Calibri" w:cs="Calibri"/>
                <w:i/>
                <w:iCs/>
                <w:color w:val="000000" w:themeColor="text1"/>
                <w:sz w:val="20"/>
                <w:szCs w:val="20"/>
              </w:rPr>
              <w:t xml:space="preserve"> </w:t>
            </w:r>
            <w:proofErr w:type="spellStart"/>
            <w:r w:rsidRPr="00E82552">
              <w:rPr>
                <w:rFonts w:eastAsia="Calibri" w:cs="Calibri"/>
                <w:i/>
                <w:iCs/>
                <w:color w:val="000000" w:themeColor="text1"/>
                <w:sz w:val="20"/>
                <w:szCs w:val="20"/>
              </w:rPr>
              <w:t>acinosa</w:t>
            </w:r>
            <w:proofErr w:type="spellEnd"/>
          </w:p>
        </w:tc>
        <w:tc>
          <w:tcPr>
            <w:tcW w:w="2368" w:type="pct"/>
            <w:vAlign w:val="bottom"/>
          </w:tcPr>
          <w:p w14:paraId="12228422" w14:textId="77777777" w:rsidR="00545A37" w:rsidRPr="00E82552" w:rsidRDefault="00545A37" w:rsidP="00FF0031">
            <w:pPr>
              <w:spacing w:after="0" w:line="240" w:lineRule="auto"/>
              <w:rPr>
                <w:sz w:val="20"/>
                <w:szCs w:val="20"/>
              </w:rPr>
            </w:pPr>
            <w:proofErr w:type="spellStart"/>
            <w:r w:rsidRPr="00E82552">
              <w:rPr>
                <w:rFonts w:eastAsia="Calibri" w:cs="Calibri"/>
                <w:color w:val="000000" w:themeColor="text1"/>
                <w:sz w:val="20"/>
                <w:szCs w:val="20"/>
              </w:rPr>
              <w:t>krhljasta</w:t>
            </w:r>
            <w:proofErr w:type="spellEnd"/>
            <w:r w:rsidRPr="00E82552">
              <w:rPr>
                <w:rFonts w:eastAsia="Calibri" w:cs="Calibri"/>
                <w:color w:val="000000" w:themeColor="text1"/>
                <w:sz w:val="20"/>
                <w:szCs w:val="20"/>
              </w:rPr>
              <w:t xml:space="preserve"> barvilnica</w:t>
            </w:r>
          </w:p>
        </w:tc>
        <w:tc>
          <w:tcPr>
            <w:tcW w:w="737" w:type="pct"/>
            <w:vAlign w:val="bottom"/>
          </w:tcPr>
          <w:p w14:paraId="5133CE70"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15</w:t>
            </w:r>
          </w:p>
        </w:tc>
      </w:tr>
      <w:tr w:rsidR="00545A37" w:rsidRPr="00E82552" w14:paraId="67213306" w14:textId="77777777" w:rsidTr="00545A37">
        <w:trPr>
          <w:trHeight w:val="288"/>
        </w:trPr>
        <w:tc>
          <w:tcPr>
            <w:tcW w:w="1895" w:type="pct"/>
            <w:vAlign w:val="bottom"/>
          </w:tcPr>
          <w:p w14:paraId="0EE45702"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Cronartium</w:t>
            </w:r>
            <w:proofErr w:type="spellEnd"/>
            <w:r w:rsidRPr="00E82552">
              <w:rPr>
                <w:rFonts w:eastAsia="Calibri" w:cs="Calibri"/>
                <w:i/>
                <w:iCs/>
                <w:color w:val="000000" w:themeColor="text1"/>
                <w:sz w:val="20"/>
                <w:szCs w:val="20"/>
              </w:rPr>
              <w:t xml:space="preserve"> </w:t>
            </w:r>
            <w:proofErr w:type="spellStart"/>
            <w:r w:rsidRPr="00E82552">
              <w:rPr>
                <w:rFonts w:eastAsia="Calibri" w:cs="Calibri"/>
                <w:i/>
                <w:iCs/>
                <w:color w:val="000000" w:themeColor="text1"/>
                <w:sz w:val="20"/>
                <w:szCs w:val="20"/>
              </w:rPr>
              <w:t>ribicola</w:t>
            </w:r>
            <w:proofErr w:type="spellEnd"/>
          </w:p>
        </w:tc>
        <w:tc>
          <w:tcPr>
            <w:tcW w:w="2368" w:type="pct"/>
            <w:vAlign w:val="bottom"/>
          </w:tcPr>
          <w:p w14:paraId="68EAB247" w14:textId="77777777" w:rsidR="00545A37" w:rsidRPr="00E82552" w:rsidRDefault="00545A37" w:rsidP="00FF0031">
            <w:pPr>
              <w:spacing w:after="0" w:line="240" w:lineRule="auto"/>
              <w:rPr>
                <w:sz w:val="20"/>
                <w:szCs w:val="20"/>
              </w:rPr>
            </w:pPr>
            <w:proofErr w:type="spellStart"/>
            <w:r w:rsidRPr="00E82552">
              <w:rPr>
                <w:rFonts w:eastAsia="Calibri" w:cs="Calibri"/>
                <w:color w:val="000000" w:themeColor="text1"/>
                <w:sz w:val="20"/>
                <w:szCs w:val="20"/>
              </w:rPr>
              <w:t>mehurjevka</w:t>
            </w:r>
            <w:proofErr w:type="spellEnd"/>
            <w:r w:rsidRPr="00E82552">
              <w:rPr>
                <w:rFonts w:eastAsia="Calibri" w:cs="Calibri"/>
                <w:color w:val="000000" w:themeColor="text1"/>
                <w:sz w:val="20"/>
                <w:szCs w:val="20"/>
              </w:rPr>
              <w:t xml:space="preserve"> zelenega bora ali ribezova rja</w:t>
            </w:r>
          </w:p>
        </w:tc>
        <w:tc>
          <w:tcPr>
            <w:tcW w:w="737" w:type="pct"/>
            <w:vAlign w:val="bottom"/>
          </w:tcPr>
          <w:p w14:paraId="0EC643BC"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4</w:t>
            </w:r>
          </w:p>
        </w:tc>
      </w:tr>
      <w:tr w:rsidR="00545A37" w:rsidRPr="00E82552" w14:paraId="2FD47FC5" w14:textId="77777777" w:rsidTr="00545A37">
        <w:trPr>
          <w:trHeight w:val="288"/>
        </w:trPr>
        <w:tc>
          <w:tcPr>
            <w:tcW w:w="1895" w:type="pct"/>
            <w:vAlign w:val="bottom"/>
          </w:tcPr>
          <w:p w14:paraId="7FAF6210"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Paulownia</w:t>
            </w:r>
            <w:proofErr w:type="spellEnd"/>
            <w:r w:rsidRPr="00E82552">
              <w:rPr>
                <w:rFonts w:eastAsia="Calibri" w:cs="Calibri"/>
                <w:i/>
                <w:iCs/>
                <w:color w:val="000000" w:themeColor="text1"/>
                <w:sz w:val="20"/>
                <w:szCs w:val="20"/>
              </w:rPr>
              <w:t xml:space="preserve"> </w:t>
            </w:r>
            <w:proofErr w:type="spellStart"/>
            <w:r w:rsidRPr="00E82552">
              <w:rPr>
                <w:rFonts w:eastAsia="Calibri" w:cs="Calibri"/>
                <w:i/>
                <w:iCs/>
                <w:color w:val="000000" w:themeColor="text1"/>
                <w:sz w:val="20"/>
                <w:szCs w:val="20"/>
              </w:rPr>
              <w:t>tomentosa</w:t>
            </w:r>
            <w:proofErr w:type="spellEnd"/>
          </w:p>
        </w:tc>
        <w:tc>
          <w:tcPr>
            <w:tcW w:w="2368" w:type="pct"/>
            <w:vAlign w:val="bottom"/>
          </w:tcPr>
          <w:p w14:paraId="06520DCE" w14:textId="77777777" w:rsidR="00545A37" w:rsidRPr="00E82552" w:rsidRDefault="00545A37" w:rsidP="00FF0031">
            <w:pPr>
              <w:spacing w:after="0" w:line="240" w:lineRule="auto"/>
              <w:rPr>
                <w:sz w:val="20"/>
                <w:szCs w:val="20"/>
              </w:rPr>
            </w:pPr>
            <w:proofErr w:type="spellStart"/>
            <w:r w:rsidRPr="00E82552">
              <w:rPr>
                <w:rFonts w:eastAsia="Calibri" w:cs="Calibri"/>
                <w:color w:val="000000" w:themeColor="text1"/>
                <w:sz w:val="20"/>
                <w:szCs w:val="20"/>
              </w:rPr>
              <w:t>pavlovnija</w:t>
            </w:r>
            <w:proofErr w:type="spellEnd"/>
          </w:p>
        </w:tc>
        <w:tc>
          <w:tcPr>
            <w:tcW w:w="737" w:type="pct"/>
            <w:vAlign w:val="bottom"/>
          </w:tcPr>
          <w:p w14:paraId="14E85368"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3</w:t>
            </w:r>
          </w:p>
        </w:tc>
      </w:tr>
      <w:tr w:rsidR="00545A37" w:rsidRPr="00E82552" w14:paraId="5B3CA809" w14:textId="77777777" w:rsidTr="00545A37">
        <w:trPr>
          <w:trHeight w:val="288"/>
        </w:trPr>
        <w:tc>
          <w:tcPr>
            <w:tcW w:w="1895" w:type="pct"/>
            <w:vAlign w:val="bottom"/>
          </w:tcPr>
          <w:p w14:paraId="06366AE2"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Dryocosmus</w:t>
            </w:r>
            <w:proofErr w:type="spellEnd"/>
            <w:r w:rsidRPr="00E82552">
              <w:rPr>
                <w:rFonts w:eastAsia="Calibri" w:cs="Calibri"/>
                <w:i/>
                <w:iCs/>
                <w:color w:val="000000" w:themeColor="text1"/>
                <w:sz w:val="20"/>
                <w:szCs w:val="20"/>
              </w:rPr>
              <w:t xml:space="preserve"> </w:t>
            </w:r>
            <w:proofErr w:type="spellStart"/>
            <w:r w:rsidRPr="00E82552">
              <w:rPr>
                <w:rFonts w:eastAsia="Calibri" w:cs="Calibri"/>
                <w:i/>
                <w:iCs/>
                <w:color w:val="000000" w:themeColor="text1"/>
                <w:sz w:val="20"/>
                <w:szCs w:val="20"/>
              </w:rPr>
              <w:t>kuriphilus</w:t>
            </w:r>
            <w:proofErr w:type="spellEnd"/>
          </w:p>
        </w:tc>
        <w:tc>
          <w:tcPr>
            <w:tcW w:w="2368" w:type="pct"/>
            <w:vAlign w:val="bottom"/>
          </w:tcPr>
          <w:p w14:paraId="70AF0A0F"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kostanjeva šiškarica</w:t>
            </w:r>
          </w:p>
        </w:tc>
        <w:tc>
          <w:tcPr>
            <w:tcW w:w="737" w:type="pct"/>
            <w:vAlign w:val="bottom"/>
          </w:tcPr>
          <w:p w14:paraId="0621D6DE"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2</w:t>
            </w:r>
          </w:p>
        </w:tc>
      </w:tr>
      <w:tr w:rsidR="00545A37" w:rsidRPr="00E82552" w14:paraId="000DB575" w14:textId="77777777" w:rsidTr="00545A37">
        <w:trPr>
          <w:trHeight w:val="288"/>
        </w:trPr>
        <w:tc>
          <w:tcPr>
            <w:tcW w:w="1895" w:type="pct"/>
            <w:vAlign w:val="bottom"/>
          </w:tcPr>
          <w:p w14:paraId="4107539C"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Catalpa</w:t>
            </w:r>
            <w:proofErr w:type="spellEnd"/>
            <w:r w:rsidRPr="00E82552">
              <w:rPr>
                <w:rFonts w:eastAsia="Calibri" w:cs="Calibri"/>
                <w:i/>
                <w:iCs/>
                <w:color w:val="000000" w:themeColor="text1"/>
                <w:sz w:val="20"/>
                <w:szCs w:val="20"/>
              </w:rPr>
              <w:t xml:space="preserve"> </w:t>
            </w:r>
            <w:proofErr w:type="spellStart"/>
            <w:r w:rsidRPr="00E82552">
              <w:rPr>
                <w:rFonts w:eastAsia="Calibri" w:cs="Calibri"/>
                <w:i/>
                <w:iCs/>
                <w:color w:val="000000" w:themeColor="text1"/>
                <w:sz w:val="20"/>
                <w:szCs w:val="20"/>
              </w:rPr>
              <w:t>bignonioides</w:t>
            </w:r>
            <w:proofErr w:type="spellEnd"/>
          </w:p>
        </w:tc>
        <w:tc>
          <w:tcPr>
            <w:tcW w:w="2368" w:type="pct"/>
            <w:vAlign w:val="bottom"/>
          </w:tcPr>
          <w:p w14:paraId="511F688E" w14:textId="77777777" w:rsidR="00545A37" w:rsidRPr="00E82552" w:rsidRDefault="00545A37" w:rsidP="00FF0031">
            <w:pPr>
              <w:spacing w:after="0" w:line="240" w:lineRule="auto"/>
              <w:rPr>
                <w:sz w:val="20"/>
                <w:szCs w:val="20"/>
              </w:rPr>
            </w:pPr>
            <w:proofErr w:type="spellStart"/>
            <w:r w:rsidRPr="00E82552">
              <w:rPr>
                <w:rFonts w:eastAsia="Calibri" w:cs="Calibri"/>
                <w:color w:val="000000" w:themeColor="text1"/>
                <w:sz w:val="20"/>
                <w:szCs w:val="20"/>
              </w:rPr>
              <w:t>cigarovec</w:t>
            </w:r>
            <w:proofErr w:type="spellEnd"/>
          </w:p>
        </w:tc>
        <w:tc>
          <w:tcPr>
            <w:tcW w:w="737" w:type="pct"/>
            <w:vAlign w:val="bottom"/>
          </w:tcPr>
          <w:p w14:paraId="3CFAE41B"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1</w:t>
            </w:r>
          </w:p>
        </w:tc>
      </w:tr>
      <w:tr w:rsidR="00545A37" w:rsidRPr="00E82552" w14:paraId="57D6B505" w14:textId="77777777" w:rsidTr="00545A37">
        <w:trPr>
          <w:trHeight w:val="288"/>
        </w:trPr>
        <w:tc>
          <w:tcPr>
            <w:tcW w:w="1895" w:type="pct"/>
            <w:vAlign w:val="bottom"/>
          </w:tcPr>
          <w:p w14:paraId="28F6EE38"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Conyza</w:t>
            </w:r>
            <w:proofErr w:type="spellEnd"/>
            <w:r w:rsidRPr="00E82552">
              <w:rPr>
                <w:rFonts w:eastAsia="Calibri" w:cs="Calibri"/>
                <w:i/>
                <w:iCs/>
                <w:color w:val="000000" w:themeColor="text1"/>
                <w:sz w:val="20"/>
                <w:szCs w:val="20"/>
              </w:rPr>
              <w:t xml:space="preserve"> </w:t>
            </w:r>
            <w:proofErr w:type="spellStart"/>
            <w:r w:rsidRPr="00E82552">
              <w:rPr>
                <w:rFonts w:eastAsia="Calibri" w:cs="Calibri"/>
                <w:i/>
                <w:iCs/>
                <w:color w:val="000000" w:themeColor="text1"/>
                <w:sz w:val="20"/>
                <w:szCs w:val="20"/>
              </w:rPr>
              <w:t>sumatrensis</w:t>
            </w:r>
            <w:proofErr w:type="spellEnd"/>
          </w:p>
        </w:tc>
        <w:tc>
          <w:tcPr>
            <w:tcW w:w="2368" w:type="pct"/>
            <w:vAlign w:val="bottom"/>
          </w:tcPr>
          <w:p w14:paraId="241DB456"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belkasta hudoletnica</w:t>
            </w:r>
          </w:p>
        </w:tc>
        <w:tc>
          <w:tcPr>
            <w:tcW w:w="737" w:type="pct"/>
            <w:vAlign w:val="bottom"/>
          </w:tcPr>
          <w:p w14:paraId="229C0E20"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1</w:t>
            </w:r>
          </w:p>
        </w:tc>
      </w:tr>
      <w:tr w:rsidR="00545A37" w:rsidRPr="00E82552" w14:paraId="5467E244" w14:textId="77777777" w:rsidTr="00545A37">
        <w:trPr>
          <w:trHeight w:val="288"/>
        </w:trPr>
        <w:tc>
          <w:tcPr>
            <w:tcW w:w="1895" w:type="pct"/>
            <w:vAlign w:val="bottom"/>
          </w:tcPr>
          <w:p w14:paraId="62EB6106" w14:textId="77777777" w:rsidR="00545A37" w:rsidRPr="00E82552" w:rsidRDefault="00545A37" w:rsidP="00FF0031">
            <w:pPr>
              <w:spacing w:after="0" w:line="240" w:lineRule="auto"/>
              <w:rPr>
                <w:i/>
                <w:iCs/>
                <w:sz w:val="20"/>
                <w:szCs w:val="20"/>
              </w:rPr>
            </w:pPr>
            <w:proofErr w:type="spellStart"/>
            <w:r w:rsidRPr="00E82552">
              <w:rPr>
                <w:rFonts w:eastAsia="Calibri" w:cs="Calibri"/>
                <w:i/>
                <w:iCs/>
                <w:color w:val="000000" w:themeColor="text1"/>
                <w:sz w:val="20"/>
                <w:szCs w:val="20"/>
              </w:rPr>
              <w:t>Eutypella</w:t>
            </w:r>
            <w:proofErr w:type="spellEnd"/>
            <w:r w:rsidRPr="00E82552">
              <w:rPr>
                <w:rFonts w:eastAsia="Calibri" w:cs="Calibri"/>
                <w:i/>
                <w:iCs/>
                <w:color w:val="000000" w:themeColor="text1"/>
                <w:sz w:val="20"/>
                <w:szCs w:val="20"/>
              </w:rPr>
              <w:t xml:space="preserve"> </w:t>
            </w:r>
            <w:proofErr w:type="spellStart"/>
            <w:r w:rsidRPr="00E82552">
              <w:rPr>
                <w:rFonts w:eastAsia="Calibri" w:cs="Calibri"/>
                <w:i/>
                <w:iCs/>
                <w:color w:val="000000" w:themeColor="text1"/>
                <w:sz w:val="20"/>
                <w:szCs w:val="20"/>
              </w:rPr>
              <w:t>parasitica</w:t>
            </w:r>
            <w:proofErr w:type="spellEnd"/>
          </w:p>
        </w:tc>
        <w:tc>
          <w:tcPr>
            <w:tcW w:w="2368" w:type="pct"/>
            <w:vAlign w:val="bottom"/>
          </w:tcPr>
          <w:p w14:paraId="7AF605B5"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javorov rak</w:t>
            </w:r>
          </w:p>
        </w:tc>
        <w:tc>
          <w:tcPr>
            <w:tcW w:w="737" w:type="pct"/>
            <w:vAlign w:val="bottom"/>
          </w:tcPr>
          <w:p w14:paraId="4B45EB7C"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1</w:t>
            </w:r>
          </w:p>
        </w:tc>
      </w:tr>
      <w:tr w:rsidR="00545A37" w:rsidRPr="00E82552" w14:paraId="4DAE8E63" w14:textId="77777777" w:rsidTr="00545A37">
        <w:trPr>
          <w:trHeight w:val="288"/>
        </w:trPr>
        <w:tc>
          <w:tcPr>
            <w:tcW w:w="1895" w:type="pct"/>
            <w:vAlign w:val="bottom"/>
          </w:tcPr>
          <w:p w14:paraId="30602BF6" w14:textId="77777777" w:rsidR="00545A37" w:rsidRPr="00E82552" w:rsidRDefault="00545A37" w:rsidP="00FF0031">
            <w:pPr>
              <w:spacing w:after="0" w:line="240" w:lineRule="auto"/>
              <w:rPr>
                <w:sz w:val="20"/>
                <w:szCs w:val="20"/>
              </w:rPr>
            </w:pPr>
          </w:p>
        </w:tc>
        <w:tc>
          <w:tcPr>
            <w:tcW w:w="2368" w:type="pct"/>
            <w:vAlign w:val="bottom"/>
          </w:tcPr>
          <w:p w14:paraId="74834D5D" w14:textId="77777777" w:rsidR="00545A37" w:rsidRPr="00E82552" w:rsidRDefault="00545A37" w:rsidP="00FF0031">
            <w:pPr>
              <w:spacing w:after="0" w:line="240" w:lineRule="auto"/>
              <w:rPr>
                <w:rFonts w:eastAsia="Calibri" w:cs="Calibri"/>
                <w:color w:val="000000" w:themeColor="text1"/>
                <w:sz w:val="20"/>
                <w:szCs w:val="20"/>
              </w:rPr>
            </w:pPr>
            <w:r w:rsidRPr="00E82552">
              <w:rPr>
                <w:rFonts w:eastAsia="Calibri" w:cs="Calibri"/>
                <w:color w:val="000000" w:themeColor="text1"/>
                <w:sz w:val="20"/>
                <w:szCs w:val="20"/>
              </w:rPr>
              <w:t>neznana rastlina</w:t>
            </w:r>
          </w:p>
        </w:tc>
        <w:tc>
          <w:tcPr>
            <w:tcW w:w="737" w:type="pct"/>
            <w:vAlign w:val="bottom"/>
          </w:tcPr>
          <w:p w14:paraId="6C3BD02F" w14:textId="77777777" w:rsidR="00545A37" w:rsidRPr="00E82552" w:rsidRDefault="00545A37" w:rsidP="00FF0031">
            <w:pPr>
              <w:spacing w:after="0" w:line="240" w:lineRule="auto"/>
              <w:jc w:val="right"/>
              <w:rPr>
                <w:rFonts w:eastAsia="Calibri" w:cs="Calibri"/>
                <w:color w:val="000000" w:themeColor="text1"/>
                <w:sz w:val="20"/>
                <w:szCs w:val="20"/>
              </w:rPr>
            </w:pPr>
            <w:r w:rsidRPr="00E82552">
              <w:rPr>
                <w:rFonts w:eastAsia="Calibri" w:cs="Calibri"/>
                <w:color w:val="000000" w:themeColor="text1"/>
                <w:sz w:val="20"/>
                <w:szCs w:val="20"/>
              </w:rPr>
              <w:t>500</w:t>
            </w:r>
          </w:p>
        </w:tc>
      </w:tr>
      <w:tr w:rsidR="00545A37" w:rsidRPr="00E82552" w14:paraId="0FF64167" w14:textId="77777777" w:rsidTr="00545A37">
        <w:trPr>
          <w:trHeight w:val="288"/>
        </w:trPr>
        <w:tc>
          <w:tcPr>
            <w:tcW w:w="1895" w:type="pct"/>
            <w:vAlign w:val="bottom"/>
          </w:tcPr>
          <w:p w14:paraId="3C995AC9" w14:textId="77777777" w:rsidR="00545A37" w:rsidRPr="00E82552" w:rsidRDefault="00545A37" w:rsidP="00FF0031">
            <w:pPr>
              <w:spacing w:after="0" w:line="240" w:lineRule="auto"/>
              <w:rPr>
                <w:sz w:val="20"/>
                <w:szCs w:val="20"/>
              </w:rPr>
            </w:pPr>
          </w:p>
        </w:tc>
        <w:tc>
          <w:tcPr>
            <w:tcW w:w="2368" w:type="pct"/>
            <w:vAlign w:val="bottom"/>
          </w:tcPr>
          <w:p w14:paraId="623C9D4B" w14:textId="77777777" w:rsidR="00545A37" w:rsidRPr="00E82552" w:rsidRDefault="00545A37" w:rsidP="00FF0031">
            <w:pPr>
              <w:spacing w:after="0" w:line="240" w:lineRule="auto"/>
              <w:rPr>
                <w:sz w:val="20"/>
                <w:szCs w:val="20"/>
              </w:rPr>
            </w:pPr>
            <w:r w:rsidRPr="00E82552">
              <w:rPr>
                <w:rFonts w:eastAsia="Calibri" w:cs="Calibri"/>
                <w:color w:val="000000" w:themeColor="text1"/>
                <w:sz w:val="20"/>
                <w:szCs w:val="20"/>
              </w:rPr>
              <w:t>SKUPAJ</w:t>
            </w:r>
          </w:p>
        </w:tc>
        <w:tc>
          <w:tcPr>
            <w:tcW w:w="737" w:type="pct"/>
            <w:vAlign w:val="bottom"/>
          </w:tcPr>
          <w:p w14:paraId="4A6B4300" w14:textId="77777777" w:rsidR="00545A37" w:rsidRPr="00E82552" w:rsidRDefault="00545A37" w:rsidP="00FF0031">
            <w:pPr>
              <w:spacing w:after="0" w:line="240" w:lineRule="auto"/>
              <w:jc w:val="right"/>
              <w:rPr>
                <w:sz w:val="20"/>
                <w:szCs w:val="20"/>
              </w:rPr>
            </w:pPr>
            <w:r w:rsidRPr="00E82552">
              <w:rPr>
                <w:rFonts w:eastAsia="Calibri" w:cs="Calibri"/>
                <w:color w:val="000000" w:themeColor="text1"/>
                <w:sz w:val="20"/>
                <w:szCs w:val="20"/>
              </w:rPr>
              <w:t>18.377</w:t>
            </w:r>
          </w:p>
        </w:tc>
      </w:tr>
    </w:tbl>
    <w:p w14:paraId="76620A84" w14:textId="77777777" w:rsidR="00545A37" w:rsidRPr="00E82552" w:rsidRDefault="00545A37" w:rsidP="00545A37"/>
    <w:p w14:paraId="2A3A64C3" w14:textId="77777777" w:rsidR="00545A37" w:rsidRPr="00E82552" w:rsidRDefault="00545A37" w:rsidP="00766F25">
      <w:pPr>
        <w:pStyle w:val="Naslov4"/>
      </w:pPr>
      <w:r w:rsidRPr="00E82552">
        <w:t>Izpostavljenost in občutljivost gozdov dejavnikom družbenega okolja</w:t>
      </w:r>
    </w:p>
    <w:p w14:paraId="1D385B98" w14:textId="77777777" w:rsidR="00545A37" w:rsidRPr="00E82552" w:rsidRDefault="00545A37" w:rsidP="00545A37">
      <w:r w:rsidRPr="00E82552">
        <w:t>Z gospodarskega vidika gozdovi v MONG predstavljajo tržno pomemben surovinski vir, ki še ni v celoti izkoriščen. Gospodarski učinek gozdov je močno odvisen od kakovosti iz gozdov pridobljenega lesa ter dodane vrednosti, ustvarjene v gozdarski dejavnosti (Gale</w:t>
      </w:r>
      <w:r>
        <w:t>,</w:t>
      </w:r>
      <w:r w:rsidRPr="00E82552">
        <w:t xml:space="preserve"> 2011). </w:t>
      </w:r>
    </w:p>
    <w:p w14:paraId="2C0869AD" w14:textId="77777777" w:rsidR="00545A37" w:rsidRPr="00DB02E5" w:rsidRDefault="00545A37" w:rsidP="00545A37">
      <w:pPr>
        <w:pStyle w:val="Naslov5"/>
      </w:pPr>
      <w:r w:rsidRPr="00DB02E5">
        <w:t>Kazalnik vpliva: Število izvajalcev del v gozdarstvu</w:t>
      </w:r>
    </w:p>
    <w:p w14:paraId="59CACEFD" w14:textId="25460599" w:rsidR="00545A37" w:rsidRPr="00E82552" w:rsidRDefault="00545A37" w:rsidP="00545A37">
      <w:pPr>
        <w:rPr>
          <w:rFonts w:eastAsiaTheme="minorEastAsia"/>
          <w:lang w:eastAsia="sl-SI"/>
        </w:rPr>
      </w:pPr>
      <w:r w:rsidRPr="00E82552">
        <w:rPr>
          <w:rFonts w:cs="Arial"/>
          <w:lang w:eastAsia="sl-SI"/>
        </w:rPr>
        <w:t xml:space="preserve">Iz spletnega informacijskega sistema </w:t>
      </w:r>
      <w:proofErr w:type="spellStart"/>
      <w:r w:rsidRPr="00E82552">
        <w:rPr>
          <w:rFonts w:cs="Arial"/>
          <w:lang w:eastAsia="sl-SI"/>
        </w:rPr>
        <w:t>MojGozdar</w:t>
      </w:r>
      <w:proofErr w:type="spellEnd"/>
      <w:r w:rsidRPr="00E82552">
        <w:rPr>
          <w:rFonts w:cs="Arial"/>
          <w:lang w:eastAsia="sl-SI"/>
        </w:rPr>
        <w:t xml:space="preserve"> (</w:t>
      </w:r>
      <w:hyperlink r:id="rId95">
        <w:r w:rsidRPr="00E82552">
          <w:rPr>
            <w:rStyle w:val="Hiperpovezava"/>
            <w:rFonts w:cs="Arial"/>
            <w:lang w:eastAsia="sl-SI"/>
          </w:rPr>
          <w:t>https://www.mojgozdar.si/</w:t>
        </w:r>
      </w:hyperlink>
      <w:r w:rsidRPr="00E82552">
        <w:rPr>
          <w:rFonts w:cs="Arial"/>
          <w:lang w:eastAsia="sl-SI"/>
        </w:rPr>
        <w:t xml:space="preserve">) smo pridobili podatke o </w:t>
      </w:r>
      <w:r w:rsidRPr="00E82552">
        <w:rPr>
          <w:rFonts w:eastAsiaTheme="minorEastAsia"/>
          <w:lang w:eastAsia="sl-SI"/>
        </w:rPr>
        <w:t xml:space="preserve">vseh izvajalcih v </w:t>
      </w:r>
      <w:r w:rsidRPr="00E82552">
        <w:rPr>
          <w:rFonts w:cs="Arial"/>
        </w:rPr>
        <w:t>MONG</w:t>
      </w:r>
      <w:r w:rsidRPr="00E82552">
        <w:rPr>
          <w:rFonts w:eastAsiaTheme="minorEastAsia"/>
          <w:lang w:eastAsia="sl-SI"/>
        </w:rPr>
        <w:t xml:space="preserve">, ki so ustrezno registrirani za opravljanje gozdarskih dejavnosti </w:t>
      </w:r>
      <w:r w:rsidRPr="00E82552">
        <w:rPr>
          <w:rFonts w:cs="Arial"/>
          <w:lang w:eastAsia="sl-SI"/>
        </w:rPr>
        <w:t>(Triplat s sod., 2018)</w:t>
      </w:r>
      <w:r w:rsidRPr="00E82552">
        <w:rPr>
          <w:rFonts w:eastAsiaTheme="minorEastAsia"/>
          <w:lang w:eastAsia="sl-SI"/>
        </w:rPr>
        <w:t xml:space="preserve">. Izvajalci so za svoje storitve (sečnja z motorno žago, spravilo s traktorjem, gojitvena dela, strojna sečnja </w:t>
      </w:r>
      <w:r w:rsidRPr="00E82552">
        <w:rPr>
          <w:rFonts w:eastAsia="Trebuchet MS" w:cs="Trebuchet MS"/>
          <w:lang w:eastAsia="sl-SI"/>
        </w:rPr>
        <w:t>in žičniško spravilo) pred začetkom opravljanja dejavnosti pristojni gozdarski inšpekciji</w:t>
      </w:r>
      <w:r w:rsidRPr="00E82552">
        <w:rPr>
          <w:rFonts w:eastAsiaTheme="minorEastAsia"/>
          <w:lang w:eastAsia="sl-SI"/>
        </w:rPr>
        <w:t xml:space="preserve"> omogočili vpogled v dokumentacijo o strokovni usposobljenosti delavcev in dokazilih, potrebnih za izvajanje del po predpisih, ki urejajo varnost in zdravje pri delu za delavce, delovno opremo in osebno varovalno opremo. Gozdarske inšpekcije na podlagi predloženih dokazil izvajalcev redno dopolnjuje seznam izvajalcev del v gozdovih, ki izpolnjujejo minimalne pogoje, ter seznam izvajalcev del, ki jim je bilo z odločbo prepovedano opravljati dejavnost (IKGLR, 2018). Ponudniki storitev, ki jih gozdarska inšpekcija ne evidentira (na primer prevoz lesa), so bili vključeni na podlagi raziskave trga storitev.</w:t>
      </w:r>
    </w:p>
    <w:p w14:paraId="5473A224" w14:textId="2D0DA2EA" w:rsidR="00545A37" w:rsidRPr="00E82552" w:rsidRDefault="00545A37" w:rsidP="00545A37">
      <w:pPr>
        <w:rPr>
          <w:rFonts w:cs="Arial"/>
          <w:lang w:eastAsia="sl-SI"/>
        </w:rPr>
      </w:pPr>
      <w:r w:rsidRPr="00E82552">
        <w:rPr>
          <w:rFonts w:eastAsiaTheme="minorEastAsia"/>
          <w:lang w:eastAsia="sl-SI"/>
        </w:rPr>
        <w:t xml:space="preserve">Po podatkih spletnega informacijskega sistema </w:t>
      </w:r>
      <w:proofErr w:type="spellStart"/>
      <w:r w:rsidRPr="00E82552">
        <w:rPr>
          <w:rFonts w:eastAsiaTheme="minorEastAsia"/>
          <w:lang w:eastAsia="sl-SI"/>
        </w:rPr>
        <w:t>MojGozdar</w:t>
      </w:r>
      <w:proofErr w:type="spellEnd"/>
      <w:r w:rsidRPr="00E82552">
        <w:rPr>
          <w:rFonts w:eastAsiaTheme="minorEastAsia"/>
          <w:lang w:eastAsia="sl-SI"/>
        </w:rPr>
        <w:t xml:space="preserve"> je v MONG 12 izvajalcev</w:t>
      </w:r>
      <w:r w:rsidRPr="00E82552">
        <w:rPr>
          <w:rFonts w:cs="Arial"/>
          <w:lang w:eastAsia="sl-SI"/>
        </w:rPr>
        <w:t xml:space="preserve"> del v gozdarstvu. Prevladujejo samostojni podjetniki (7) v precej večjem deležu kot za celotno Slovenijo ter družbe z omejeno odgovornostjo (d.o.o.) (3). Nosilca dopolnilne dejavnosti na kmetiji sta dva (</w:t>
      </w:r>
      <w:r>
        <w:rPr>
          <w:rFonts w:cs="Arial"/>
          <w:lang w:eastAsia="sl-SI"/>
        </w:rPr>
        <w:fldChar w:fldCharType="begin"/>
      </w:r>
      <w:r>
        <w:rPr>
          <w:rFonts w:cs="Arial"/>
          <w:lang w:eastAsia="sl-SI"/>
        </w:rPr>
        <w:instrText xml:space="preserve"> REF _Ref74288569 \h </w:instrText>
      </w:r>
      <w:r>
        <w:rPr>
          <w:rFonts w:cs="Arial"/>
          <w:lang w:eastAsia="sl-SI"/>
        </w:rPr>
      </w:r>
      <w:r>
        <w:rPr>
          <w:rFonts w:cs="Arial"/>
          <w:lang w:eastAsia="sl-SI"/>
        </w:rPr>
        <w:fldChar w:fldCharType="separate"/>
      </w:r>
      <w:r w:rsidR="004700D5">
        <w:t xml:space="preserve">Slika </w:t>
      </w:r>
      <w:r w:rsidR="004700D5">
        <w:rPr>
          <w:noProof/>
        </w:rPr>
        <w:t>6</w:t>
      </w:r>
      <w:r w:rsidR="004700D5">
        <w:t>.</w:t>
      </w:r>
      <w:r w:rsidR="004700D5">
        <w:rPr>
          <w:noProof/>
        </w:rPr>
        <w:t>16</w:t>
      </w:r>
      <w:r>
        <w:rPr>
          <w:rFonts w:cs="Arial"/>
          <w:lang w:eastAsia="sl-SI"/>
        </w:rPr>
        <w:fldChar w:fldCharType="end"/>
      </w:r>
      <w:r w:rsidRPr="00E82552">
        <w:rPr>
          <w:rFonts w:cs="Arial"/>
          <w:lang w:eastAsia="sl-SI"/>
        </w:rPr>
        <w:t xml:space="preserve">). </w:t>
      </w:r>
    </w:p>
    <w:p w14:paraId="73201DEF" w14:textId="77777777" w:rsidR="00545A37" w:rsidRPr="00E82552" w:rsidRDefault="00545A37" w:rsidP="00545A37">
      <w:pPr>
        <w:rPr>
          <w:rFonts w:eastAsiaTheme="minorEastAsia"/>
          <w:highlight w:val="yellow"/>
          <w:lang w:eastAsia="sl-SI"/>
        </w:rPr>
      </w:pPr>
    </w:p>
    <w:p w14:paraId="32295861" w14:textId="77777777" w:rsidR="00545A37" w:rsidRDefault="00545A37" w:rsidP="00545A37">
      <w:pPr>
        <w:keepNext/>
        <w:jc w:val="center"/>
      </w:pPr>
      <w:r w:rsidRPr="00E82552">
        <w:rPr>
          <w:noProof/>
          <w:lang w:eastAsia="sl-SI"/>
        </w:rPr>
        <w:lastRenderedPageBreak/>
        <w:drawing>
          <wp:inline distT="0" distB="0" distL="0" distR="0" wp14:anchorId="0A9F6802" wp14:editId="571E1338">
            <wp:extent cx="5963018" cy="2735885"/>
            <wp:effectExtent l="0" t="0" r="0" b="762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96">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60E55E0C-9D77-4425-9D57-407A5FA8F555}"/>
                        </a:ext>
                      </a:extLst>
                    </a:blip>
                    <a:stretch>
                      <a:fillRect/>
                    </a:stretch>
                  </pic:blipFill>
                  <pic:spPr>
                    <a:xfrm>
                      <a:off x="0" y="0"/>
                      <a:ext cx="5963018" cy="2735885"/>
                    </a:xfrm>
                    <a:prstGeom prst="rect">
                      <a:avLst/>
                    </a:prstGeom>
                  </pic:spPr>
                </pic:pic>
              </a:graphicData>
            </a:graphic>
          </wp:inline>
        </w:drawing>
      </w:r>
    </w:p>
    <w:p w14:paraId="77305322" w14:textId="5C93087E" w:rsidR="00545A37" w:rsidRPr="00E82552" w:rsidRDefault="00545A37" w:rsidP="00545A37">
      <w:pPr>
        <w:pStyle w:val="Napis"/>
        <w:rPr>
          <w:rFonts w:eastAsiaTheme="minorEastAsia"/>
          <w:lang w:eastAsia="sl-SI"/>
        </w:rPr>
      </w:pPr>
      <w:bookmarkStart w:id="241" w:name="_Ref74288569"/>
      <w:bookmarkStart w:id="242" w:name="_Toc97026867"/>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16</w:t>
      </w:r>
      <w:r w:rsidR="008334B2">
        <w:fldChar w:fldCharType="end"/>
      </w:r>
      <w:bookmarkEnd w:id="241"/>
      <w:r>
        <w:t xml:space="preserve">: </w:t>
      </w:r>
      <w:r w:rsidRPr="00F12216">
        <w:t xml:space="preserve">Izvajalci gozdnih del v a) Mestni občini Nova Gorica in b) Sloveniji po vrsti organizacije (Vir: spletni informacijski sistem </w:t>
      </w:r>
      <w:proofErr w:type="spellStart"/>
      <w:r w:rsidRPr="00F12216">
        <w:t>MojGozdar</w:t>
      </w:r>
      <w:proofErr w:type="spellEnd"/>
      <w:r w:rsidRPr="00F12216">
        <w:t>, https://www.mojgozdar.si/, dostop 24. marec 2020).</w:t>
      </w:r>
      <w:bookmarkEnd w:id="242"/>
    </w:p>
    <w:p w14:paraId="13F22DA6" w14:textId="709EEF3E" w:rsidR="00545A37" w:rsidRPr="00E82552" w:rsidRDefault="00545A37" w:rsidP="00545A37">
      <w:pPr>
        <w:rPr>
          <w:rFonts w:cs="Arial"/>
          <w:lang w:eastAsia="sl-SI"/>
        </w:rPr>
      </w:pPr>
      <w:r w:rsidRPr="00E82552">
        <w:rPr>
          <w:rFonts w:cs="Arial"/>
          <w:lang w:eastAsia="sl-SI"/>
        </w:rPr>
        <w:t xml:space="preserve">Isti izvajalec je lahko registriran za več vrst del, pri čemer v </w:t>
      </w:r>
      <w:r w:rsidRPr="00E82552">
        <w:rPr>
          <w:rFonts w:eastAsiaTheme="minorEastAsia"/>
          <w:lang w:eastAsia="sl-SI"/>
        </w:rPr>
        <w:t>MONG</w:t>
      </w:r>
      <w:r w:rsidRPr="00E82552">
        <w:rPr>
          <w:rFonts w:cs="Arial"/>
          <w:lang w:eastAsia="sl-SI"/>
        </w:rPr>
        <w:t xml:space="preserve"> prevladuje »sečnja z motorno žago« (9) ter »spravilo s traktorjem« (7) (</w:t>
      </w:r>
      <w:r>
        <w:rPr>
          <w:rFonts w:cs="Arial"/>
          <w:lang w:eastAsia="sl-SI"/>
        </w:rPr>
        <w:fldChar w:fldCharType="begin"/>
      </w:r>
      <w:r>
        <w:rPr>
          <w:rFonts w:cs="Arial"/>
          <w:lang w:eastAsia="sl-SI"/>
        </w:rPr>
        <w:instrText xml:space="preserve"> REF _Ref74288595 \h </w:instrText>
      </w:r>
      <w:r>
        <w:rPr>
          <w:rFonts w:cs="Arial"/>
          <w:lang w:eastAsia="sl-SI"/>
        </w:rPr>
      </w:r>
      <w:r>
        <w:rPr>
          <w:rFonts w:cs="Arial"/>
          <w:lang w:eastAsia="sl-SI"/>
        </w:rPr>
        <w:fldChar w:fldCharType="separate"/>
      </w:r>
      <w:r w:rsidR="004700D5">
        <w:t xml:space="preserve">Slika </w:t>
      </w:r>
      <w:r w:rsidR="004700D5">
        <w:rPr>
          <w:noProof/>
        </w:rPr>
        <w:t>6</w:t>
      </w:r>
      <w:r w:rsidR="004700D5">
        <w:t>.</w:t>
      </w:r>
      <w:r w:rsidR="004700D5">
        <w:rPr>
          <w:noProof/>
        </w:rPr>
        <w:t>17</w:t>
      </w:r>
      <w:r>
        <w:rPr>
          <w:rFonts w:cs="Arial"/>
          <w:lang w:eastAsia="sl-SI"/>
        </w:rPr>
        <w:fldChar w:fldCharType="end"/>
      </w:r>
      <w:r w:rsidRPr="00E82552">
        <w:rPr>
          <w:rFonts w:cs="Arial"/>
          <w:lang w:eastAsia="sl-SI"/>
        </w:rPr>
        <w:t xml:space="preserve">). Štirje izvajalci nudijo gojenje gozdov, trije gozdno gradbeništvo in en izvajalec prevoz lesa. Noben izvajalec v sistemu </w:t>
      </w:r>
      <w:proofErr w:type="spellStart"/>
      <w:r w:rsidRPr="00E82552">
        <w:rPr>
          <w:rFonts w:cs="Arial"/>
          <w:lang w:eastAsia="sl-SI"/>
        </w:rPr>
        <w:t>MojGozdar</w:t>
      </w:r>
      <w:proofErr w:type="spellEnd"/>
      <w:r w:rsidRPr="00E82552">
        <w:rPr>
          <w:rFonts w:cs="Arial"/>
          <w:lang w:eastAsia="sl-SI"/>
        </w:rPr>
        <w:t xml:space="preserve"> ni registriran za izdelavo sekancev,</w:t>
      </w:r>
      <w:r w:rsidRPr="00E82552">
        <w:rPr>
          <w:rFonts w:eastAsia="Trebuchet MS" w:cs="Trebuchet MS"/>
        </w:rPr>
        <w:t xml:space="preserve"> </w:t>
      </w:r>
      <w:r w:rsidRPr="00E82552">
        <w:rPr>
          <w:rFonts w:eastAsia="Trebuchet MS" w:cs="Trebuchet MS"/>
          <w:lang w:eastAsia="sl-SI"/>
        </w:rPr>
        <w:t>žičniško spravilo ali strojno sečn</w:t>
      </w:r>
      <w:r w:rsidRPr="00E82552">
        <w:rPr>
          <w:rFonts w:cs="Arial"/>
          <w:lang w:eastAsia="sl-SI"/>
        </w:rPr>
        <w:t>jo.</w:t>
      </w:r>
    </w:p>
    <w:p w14:paraId="4CCDFB2B" w14:textId="77777777" w:rsidR="00545A37" w:rsidRDefault="00545A37" w:rsidP="00545A37">
      <w:pPr>
        <w:keepNext/>
        <w:ind w:left="360"/>
        <w:jc w:val="center"/>
      </w:pPr>
      <w:r w:rsidRPr="00E82552">
        <w:rPr>
          <w:noProof/>
          <w:lang w:eastAsia="sl-SI"/>
        </w:rPr>
        <w:drawing>
          <wp:inline distT="0" distB="0" distL="0" distR="0" wp14:anchorId="79965D64" wp14:editId="37D4276E">
            <wp:extent cx="5486400" cy="3256660"/>
            <wp:effectExtent l="0" t="0" r="0" b="1270"/>
            <wp:docPr id="23" name="Picture 4"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97">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B7B47EDC-B91A-4BD0-8622-48E5902C3B64}"/>
                        </a:ext>
                      </a:extLst>
                    </a:blip>
                    <a:stretch>
                      <a:fillRect/>
                    </a:stretch>
                  </pic:blipFill>
                  <pic:spPr>
                    <a:xfrm>
                      <a:off x="0" y="0"/>
                      <a:ext cx="5486400" cy="3256660"/>
                    </a:xfrm>
                    <a:prstGeom prst="rect">
                      <a:avLst/>
                    </a:prstGeom>
                  </pic:spPr>
                </pic:pic>
              </a:graphicData>
            </a:graphic>
          </wp:inline>
        </w:drawing>
      </w:r>
    </w:p>
    <w:p w14:paraId="15296D80" w14:textId="136C0131" w:rsidR="00545A37" w:rsidRPr="00E82552" w:rsidRDefault="00545A37" w:rsidP="00545A37">
      <w:pPr>
        <w:pStyle w:val="Napis"/>
        <w:jc w:val="left"/>
        <w:rPr>
          <w:rFonts w:cs="Arial"/>
          <w:lang w:eastAsia="sl-SI"/>
        </w:rPr>
      </w:pPr>
      <w:bookmarkStart w:id="243" w:name="_Ref74288595"/>
      <w:bookmarkStart w:id="244" w:name="_Toc97026868"/>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17</w:t>
      </w:r>
      <w:r w:rsidR="008334B2">
        <w:fldChar w:fldCharType="end"/>
      </w:r>
      <w:bookmarkEnd w:id="243"/>
      <w:r>
        <w:t xml:space="preserve">: </w:t>
      </w:r>
      <w:r w:rsidRPr="008F091E">
        <w:t xml:space="preserve">Izvajalci gozdnih del v a) Mestni občini Nova Gorica in b) Sloveniji po vrsti storitev (Vir: spletni informacijski sistem </w:t>
      </w:r>
      <w:proofErr w:type="spellStart"/>
      <w:r w:rsidRPr="008F091E">
        <w:t>MojGozdar</w:t>
      </w:r>
      <w:proofErr w:type="spellEnd"/>
      <w:r w:rsidRPr="008F091E">
        <w:t>, https://www.mojgozdar.si/, dostop 24. marec 2020)</w:t>
      </w:r>
      <w:r>
        <w:t>.</w:t>
      </w:r>
      <w:bookmarkEnd w:id="244"/>
    </w:p>
    <w:p w14:paraId="715A88E9" w14:textId="093AC8E8" w:rsidR="00545A37" w:rsidRPr="00E82552" w:rsidRDefault="00545A37" w:rsidP="00545A37">
      <w:pPr>
        <w:rPr>
          <w:lang w:eastAsia="sl-SI"/>
        </w:rPr>
      </w:pPr>
      <w:r w:rsidRPr="00E82552">
        <w:rPr>
          <w:lang w:eastAsia="sl-SI"/>
        </w:rPr>
        <w:lastRenderedPageBreak/>
        <w:t>Statistični urad Republike Slovenije (SURS) spremlja ekonomske račune za gozdarstvo le na državni ravni, zato za MONG ni razpoložljivih podatkov. Kljub temu lahko na podlagi podatkov za Slovenijo sklepamo, kakšne so razmere na lokalnem nivoju. Zaposlenost v gozdarstvu se zaradi upoštevanja občasnega in sezonskega dela meri v polnovrednih delovnih močeh (PDM) (Gale</w:t>
      </w:r>
      <w:r>
        <w:rPr>
          <w:lang w:eastAsia="sl-SI"/>
        </w:rPr>
        <w:t xml:space="preserve">, </w:t>
      </w:r>
      <w:r w:rsidRPr="00E82552">
        <w:rPr>
          <w:lang w:eastAsia="sl-SI"/>
        </w:rPr>
        <w:t>2011). Ena PDM je ekvivalent za eno osebo, ki je v gozdarstvu polno zaposlena eno leto. Celotna delovna sila v gozdarstvu zajema plačano in neplačano delovno silo. Plačana delovna sila v gozdarski dejavnosti zajema zaposlene v podjetjih in zaposlene pri samostojnih podjetnikih, neplačana delovna sila pa kmete, ki imajo gozd, in samostojne podjetnike. Število zaposlenih v gozdarstvu je v letih od 1995 do 2013 nihalo, po žledu v letu 2014 pa je število zaposlenih v gozdarstvu naraslo, vendar predvsem »neplačana delovna sila« (</w:t>
      </w:r>
      <w:r>
        <w:rPr>
          <w:lang w:eastAsia="sl-SI"/>
        </w:rPr>
        <w:fldChar w:fldCharType="begin"/>
      </w:r>
      <w:r>
        <w:rPr>
          <w:lang w:eastAsia="sl-SI"/>
        </w:rPr>
        <w:instrText xml:space="preserve"> REF _Ref74288629 \h </w:instrText>
      </w:r>
      <w:r>
        <w:rPr>
          <w:lang w:eastAsia="sl-SI"/>
        </w:rPr>
      </w:r>
      <w:r>
        <w:rPr>
          <w:lang w:eastAsia="sl-SI"/>
        </w:rPr>
        <w:fldChar w:fldCharType="separate"/>
      </w:r>
      <w:r w:rsidR="004700D5">
        <w:t xml:space="preserve">Slika </w:t>
      </w:r>
      <w:r w:rsidR="004700D5">
        <w:rPr>
          <w:noProof/>
        </w:rPr>
        <w:t>6</w:t>
      </w:r>
      <w:r w:rsidR="004700D5">
        <w:t>.</w:t>
      </w:r>
      <w:r w:rsidR="004700D5">
        <w:rPr>
          <w:noProof/>
        </w:rPr>
        <w:t>18</w:t>
      </w:r>
      <w:r>
        <w:rPr>
          <w:lang w:eastAsia="sl-SI"/>
        </w:rPr>
        <w:fldChar w:fldCharType="end"/>
      </w:r>
      <w:r w:rsidRPr="00E82552">
        <w:rPr>
          <w:lang w:eastAsia="sl-SI"/>
        </w:rPr>
        <w:t>).</w:t>
      </w:r>
    </w:p>
    <w:p w14:paraId="39434270" w14:textId="77777777" w:rsidR="00545A37" w:rsidRPr="00E82552" w:rsidRDefault="00545A37" w:rsidP="00545A37">
      <w:pPr>
        <w:rPr>
          <w:lang w:eastAsia="sl-SI"/>
        </w:rPr>
      </w:pPr>
    </w:p>
    <w:p w14:paraId="64589CD3" w14:textId="77777777" w:rsidR="00545A37" w:rsidRDefault="00545A37" w:rsidP="00545A37">
      <w:pPr>
        <w:keepNext/>
        <w:jc w:val="center"/>
      </w:pPr>
      <w:r w:rsidRPr="00E82552">
        <w:rPr>
          <w:noProof/>
          <w:lang w:eastAsia="sl-SI"/>
        </w:rPr>
        <w:drawing>
          <wp:inline distT="0" distB="0" distL="0" distR="0" wp14:anchorId="76329DC2" wp14:editId="60F989DD">
            <wp:extent cx="4476541" cy="3018790"/>
            <wp:effectExtent l="0" t="0" r="635" b="0"/>
            <wp:docPr id="140656118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rotWithShape="1">
                    <a:blip r:embed="rId98">
                      <a:extLst>
                        <a:ext uri="{28A0092B-C50C-407E-A947-70E740481C1C}">
                          <a14:useLocalDpi xmlns:a14="http://schemas.microsoft.com/office/drawing/2010/main" val="0"/>
                        </a:ext>
                      </a:extLst>
                    </a:blip>
                    <a:srcRect l="880" t="1133" r="1168" b="1552"/>
                    <a:stretch/>
                  </pic:blipFill>
                  <pic:spPr bwMode="auto">
                    <a:xfrm>
                      <a:off x="0" y="0"/>
                      <a:ext cx="4478387" cy="3020035"/>
                    </a:xfrm>
                    <a:prstGeom prst="rect">
                      <a:avLst/>
                    </a:prstGeom>
                    <a:ln>
                      <a:noFill/>
                    </a:ln>
                    <a:extLst>
                      <a:ext uri="{53640926-AAD7-44D8-BBD7-CCE9431645EC}">
                        <a14:shadowObscured xmlns:a14="http://schemas.microsoft.com/office/drawing/2010/main"/>
                      </a:ext>
                    </a:extLst>
                  </pic:spPr>
                </pic:pic>
              </a:graphicData>
            </a:graphic>
          </wp:inline>
        </w:drawing>
      </w:r>
    </w:p>
    <w:p w14:paraId="36853833" w14:textId="5E598BA3" w:rsidR="00545A37" w:rsidRDefault="00545A37" w:rsidP="00545A37">
      <w:pPr>
        <w:pStyle w:val="Napis"/>
      </w:pPr>
      <w:bookmarkStart w:id="245" w:name="_Ref74288629"/>
      <w:bookmarkStart w:id="246" w:name="_Toc97026869"/>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18</w:t>
      </w:r>
      <w:r w:rsidR="008334B2">
        <w:fldChar w:fldCharType="end"/>
      </w:r>
      <w:bookmarkEnd w:id="245"/>
      <w:r>
        <w:t xml:space="preserve">: </w:t>
      </w:r>
      <w:r w:rsidRPr="00925152">
        <w:t>Zaposlenost v gozdarstvu v letih od 1995 do 2018 v Sloveniji, merjena v polnovrednih delovnih močeh [tisoč PDM] (Vir: Gale 2011; SURS 2020)</w:t>
      </w:r>
      <w:r>
        <w:t>.</w:t>
      </w:r>
      <w:bookmarkEnd w:id="246"/>
    </w:p>
    <w:p w14:paraId="6AA8030C" w14:textId="77777777" w:rsidR="00545A37" w:rsidRPr="00E82552" w:rsidRDefault="00545A37" w:rsidP="00545A37">
      <w:pPr>
        <w:pStyle w:val="Naslov5"/>
      </w:pPr>
      <w:r w:rsidRPr="00E82552">
        <w:t>Kazalnik vpliva: Količine in potencial lesa in gozdov</w:t>
      </w:r>
    </w:p>
    <w:p w14:paraId="4A89C763" w14:textId="77777777" w:rsidR="00545A37" w:rsidRPr="00E82552" w:rsidRDefault="00545A37" w:rsidP="00545A37">
      <w:r w:rsidRPr="00E82552">
        <w:t>Poznavanje možnih in dejanskih količin lesne surovine iz gozdov, glede na drevesno vrsto, dimenzije in kakovost, je pomemben kazalnik stanja gozdarske industrije, odraža pa tudi stanje tržnih razmer in rabe lesa (Ščap s sod.</w:t>
      </w:r>
      <w:r>
        <w:t>,</w:t>
      </w:r>
      <w:r w:rsidRPr="00E82552">
        <w:t xml:space="preserve"> 2014). </w:t>
      </w:r>
    </w:p>
    <w:p w14:paraId="22B30D9D" w14:textId="0DB4375E" w:rsidR="00545A37" w:rsidRPr="00E82552" w:rsidRDefault="00545A37" w:rsidP="00545A37">
      <w:r w:rsidRPr="00E82552">
        <w:t>Podatke o teoretičnem in d</w:t>
      </w:r>
      <w:r w:rsidRPr="00E82552">
        <w:rPr>
          <w:lang w:eastAsia="sl-SI"/>
        </w:rPr>
        <w:t xml:space="preserve">ejanskem tržnim potencialom lesa </w:t>
      </w:r>
      <w:r w:rsidRPr="00E82552">
        <w:t xml:space="preserve">v obdobju 2009–2013 </w:t>
      </w:r>
      <w:r w:rsidRPr="00E82552">
        <w:rPr>
          <w:lang w:eastAsia="sl-SI"/>
        </w:rPr>
        <w:t>smo pridobili iz spletnega portala WCM (</w:t>
      </w:r>
      <w:hyperlink r:id="rId99" w:history="1">
        <w:r w:rsidRPr="00E82552">
          <w:rPr>
            <w:rStyle w:val="Hiperpovezava"/>
            <w:rFonts w:cs="Arial"/>
            <w:lang w:eastAsia="sl-SI"/>
          </w:rPr>
          <w:t>http://wcm.gozdis.si/ocene-potencialov</w:t>
        </w:r>
      </w:hyperlink>
      <w:r w:rsidRPr="00E82552">
        <w:rPr>
          <w:rStyle w:val="Hiperpovezava"/>
          <w:rFonts w:cs="Arial"/>
          <w:lang w:eastAsia="sl-SI"/>
        </w:rPr>
        <w:t>, dostop 27. 3. 2020) ter analize Ščap s sod. (2014)</w:t>
      </w:r>
      <w:r w:rsidRPr="00E82552">
        <w:rPr>
          <w:lang w:eastAsia="sl-SI"/>
        </w:rPr>
        <w:t xml:space="preserve">. </w:t>
      </w:r>
      <w:r w:rsidRPr="00E82552">
        <w:t>Teoretični tržni potencial je maksimalna količina lesa, ki bi jo lahko posekali in ponudili na trgu in bi pri tem še zagotavljali trajnostno gospodarjenje z gozdovi.</w:t>
      </w:r>
      <w:r w:rsidRPr="00E82552">
        <w:rPr>
          <w:lang w:eastAsia="sl-SI"/>
        </w:rPr>
        <w:t xml:space="preserve"> </w:t>
      </w:r>
      <w:r w:rsidRPr="00E82552">
        <w:t xml:space="preserve">Dejanski tržni potencial temelji na podatkih o povprečni količini lesa, ki je bila letno posekana v obdobju 2009–2013 (evidentiran posek po podatkih ZGS), in se je v tem času ponujala na trgu. Ne vključuje lesa za lastne potrebe v gospodinjstvih. Iz razmerja med njima lahko ocenimo izkoriščenost tržnega potenciala lesa, pri čemer smo ločeno prikazali količine in potencial hlodov </w:t>
      </w:r>
      <w:r w:rsidRPr="00E82552">
        <w:lastRenderedPageBreak/>
        <w:t>smreke in jelke srednjega premera od 20 do 59 cm, hlodov listavcev ter lesa slabše kakovosti za energetske namene (</w:t>
      </w:r>
      <w:r>
        <w:fldChar w:fldCharType="begin"/>
      </w:r>
      <w:r>
        <w:instrText xml:space="preserve"> REF _Ref74288672 \h </w:instrText>
      </w:r>
      <w:r>
        <w:fldChar w:fldCharType="separate"/>
      </w:r>
      <w:r w:rsidR="004700D5">
        <w:t xml:space="preserve">Preglednica </w:t>
      </w:r>
      <w:r w:rsidR="004700D5">
        <w:rPr>
          <w:noProof/>
        </w:rPr>
        <w:t>6</w:t>
      </w:r>
      <w:r w:rsidR="004700D5">
        <w:t>.</w:t>
      </w:r>
      <w:r w:rsidR="004700D5">
        <w:rPr>
          <w:noProof/>
        </w:rPr>
        <w:t>17</w:t>
      </w:r>
      <w:r>
        <w:fldChar w:fldCharType="end"/>
      </w:r>
      <w:r w:rsidRPr="00E82552">
        <w:t>). Podatki od leta 2014 dalje niso vključeni v analizo.</w:t>
      </w:r>
    </w:p>
    <w:p w14:paraId="7C41612B" w14:textId="726337F5" w:rsidR="00545A37" w:rsidRDefault="00545A37" w:rsidP="00545A37">
      <w:pPr>
        <w:pStyle w:val="Napis"/>
        <w:keepNext/>
      </w:pPr>
      <w:bookmarkStart w:id="247" w:name="_Ref74288672"/>
      <w:bookmarkStart w:id="248" w:name="_Toc97026970"/>
      <w:r>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17</w:t>
      </w:r>
      <w:r w:rsidR="00976D80">
        <w:fldChar w:fldCharType="end"/>
      </w:r>
      <w:bookmarkEnd w:id="247"/>
      <w:r>
        <w:t xml:space="preserve">: </w:t>
      </w:r>
      <w:r w:rsidRPr="005A5304">
        <w:t>Ocena količin in potencialov lesa v Mestni občini Nova Gorica v obdobju 2009–2013 (Ščap s sod. 2014, spletni portal WCM, http://wcm.gozdis.si/ocene-potencialov, dostop 27. 3. 2020).</w:t>
      </w:r>
      <w:bookmarkEnd w:id="248"/>
    </w:p>
    <w:tbl>
      <w:tblPr>
        <w:tblStyle w:val="Grigliatabella1"/>
        <w:tblW w:w="9089" w:type="dxa"/>
        <w:tblInd w:w="595" w:type="dxa"/>
        <w:tblLook w:val="04A0" w:firstRow="1" w:lastRow="0" w:firstColumn="1" w:lastColumn="0" w:noHBand="0" w:noVBand="1"/>
      </w:tblPr>
      <w:tblGrid>
        <w:gridCol w:w="2126"/>
        <w:gridCol w:w="1701"/>
        <w:gridCol w:w="2127"/>
        <w:gridCol w:w="1951"/>
        <w:gridCol w:w="1184"/>
      </w:tblGrid>
      <w:tr w:rsidR="00545A37" w:rsidRPr="00E82552" w14:paraId="54D8C6CE" w14:textId="77777777" w:rsidTr="00FF0031">
        <w:trPr>
          <w:trHeight w:val="290"/>
        </w:trPr>
        <w:tc>
          <w:tcPr>
            <w:tcW w:w="2126" w:type="dxa"/>
            <w:shd w:val="clear" w:color="auto" w:fill="E7E6E6" w:themeFill="background2"/>
            <w:noWrap/>
            <w:hideMark/>
          </w:tcPr>
          <w:p w14:paraId="7339B484" w14:textId="77777777" w:rsidR="00545A37" w:rsidRPr="00E82552" w:rsidRDefault="00545A37" w:rsidP="00FF0031">
            <w:pPr>
              <w:rPr>
                <w:rFonts w:eastAsia="Times New Roman" w:cs="Calibri"/>
                <w:b/>
                <w:bCs/>
                <w:szCs w:val="20"/>
                <w:lang w:eastAsia="sl-SI"/>
              </w:rPr>
            </w:pPr>
            <w:r w:rsidRPr="00E82552">
              <w:rPr>
                <w:rFonts w:eastAsia="Times New Roman" w:cs="Calibri"/>
                <w:b/>
                <w:bCs/>
                <w:szCs w:val="20"/>
                <w:lang w:eastAsia="sl-SI"/>
              </w:rPr>
              <w:t>Vrsta sortimentov</w:t>
            </w:r>
          </w:p>
        </w:tc>
        <w:tc>
          <w:tcPr>
            <w:tcW w:w="1701" w:type="dxa"/>
            <w:shd w:val="clear" w:color="auto" w:fill="E7E6E6" w:themeFill="background2"/>
            <w:noWrap/>
            <w:hideMark/>
          </w:tcPr>
          <w:p w14:paraId="07CF1C93" w14:textId="77777777" w:rsidR="00545A37" w:rsidRPr="00E82552" w:rsidRDefault="00545A37" w:rsidP="00FF0031">
            <w:pPr>
              <w:rPr>
                <w:rFonts w:eastAsia="Times New Roman" w:cs="Calibri"/>
                <w:b/>
                <w:bCs/>
                <w:szCs w:val="20"/>
                <w:lang w:eastAsia="sl-SI"/>
              </w:rPr>
            </w:pPr>
            <w:r w:rsidRPr="00E82552">
              <w:rPr>
                <w:rFonts w:eastAsia="Times New Roman" w:cs="Calibri"/>
                <w:b/>
                <w:bCs/>
                <w:szCs w:val="20"/>
                <w:lang w:eastAsia="sl-SI"/>
              </w:rPr>
              <w:t xml:space="preserve">Tržni potencial </w:t>
            </w:r>
          </w:p>
        </w:tc>
        <w:tc>
          <w:tcPr>
            <w:tcW w:w="2127" w:type="dxa"/>
            <w:shd w:val="clear" w:color="auto" w:fill="E7E6E6" w:themeFill="background2"/>
            <w:noWrap/>
            <w:hideMark/>
          </w:tcPr>
          <w:p w14:paraId="2F87E72E" w14:textId="77777777" w:rsidR="00545A37" w:rsidRPr="00E82552" w:rsidRDefault="00545A37" w:rsidP="00FF0031">
            <w:pPr>
              <w:rPr>
                <w:rFonts w:eastAsia="Times New Roman" w:cs="Calibri"/>
                <w:b/>
                <w:bCs/>
                <w:szCs w:val="20"/>
                <w:lang w:eastAsia="sl-SI"/>
              </w:rPr>
            </w:pPr>
            <w:r w:rsidRPr="00E82552">
              <w:rPr>
                <w:rFonts w:eastAsia="Times New Roman" w:cs="Calibri"/>
                <w:b/>
                <w:bCs/>
                <w:szCs w:val="20"/>
                <w:lang w:eastAsia="sl-SI"/>
              </w:rPr>
              <w:t>Enota</w:t>
            </w:r>
          </w:p>
        </w:tc>
        <w:tc>
          <w:tcPr>
            <w:tcW w:w="1951" w:type="dxa"/>
            <w:shd w:val="clear" w:color="auto" w:fill="E7E6E6" w:themeFill="background2"/>
            <w:noWrap/>
            <w:hideMark/>
          </w:tcPr>
          <w:p w14:paraId="0BBC96E5" w14:textId="77777777" w:rsidR="00545A37" w:rsidRPr="00E82552" w:rsidRDefault="00545A37" w:rsidP="00FF0031">
            <w:pPr>
              <w:rPr>
                <w:rFonts w:eastAsia="Times New Roman" w:cs="Calibri"/>
                <w:b/>
                <w:bCs/>
                <w:szCs w:val="20"/>
                <w:lang w:eastAsia="sl-SI"/>
              </w:rPr>
            </w:pPr>
            <w:r w:rsidRPr="00E82552">
              <w:rPr>
                <w:rFonts w:eastAsia="Times New Roman" w:cs="Calibri"/>
                <w:b/>
                <w:bCs/>
                <w:szCs w:val="20"/>
                <w:lang w:eastAsia="sl-SI"/>
              </w:rPr>
              <w:t>Mestna občina Nova Gorica</w:t>
            </w:r>
          </w:p>
        </w:tc>
        <w:tc>
          <w:tcPr>
            <w:tcW w:w="1184" w:type="dxa"/>
            <w:shd w:val="clear" w:color="auto" w:fill="E7E6E6" w:themeFill="background2"/>
            <w:noWrap/>
            <w:hideMark/>
          </w:tcPr>
          <w:p w14:paraId="5CF59818" w14:textId="77777777" w:rsidR="00545A37" w:rsidRPr="00E82552" w:rsidRDefault="00545A37" w:rsidP="00FF0031">
            <w:pPr>
              <w:rPr>
                <w:rFonts w:eastAsia="Times New Roman" w:cs="Calibri"/>
                <w:b/>
                <w:bCs/>
                <w:szCs w:val="20"/>
                <w:lang w:eastAsia="sl-SI"/>
              </w:rPr>
            </w:pPr>
            <w:r w:rsidRPr="00E82552">
              <w:rPr>
                <w:rFonts w:eastAsia="Times New Roman" w:cs="Calibri"/>
                <w:b/>
                <w:bCs/>
                <w:szCs w:val="20"/>
                <w:lang w:eastAsia="sl-SI"/>
              </w:rPr>
              <w:t>Slovenija</w:t>
            </w:r>
          </w:p>
        </w:tc>
      </w:tr>
      <w:tr w:rsidR="00545A37" w:rsidRPr="00E82552" w14:paraId="5169DA71" w14:textId="77777777" w:rsidTr="00FF0031">
        <w:trPr>
          <w:trHeight w:val="290"/>
        </w:trPr>
        <w:tc>
          <w:tcPr>
            <w:tcW w:w="2126" w:type="dxa"/>
            <w:vMerge w:val="restart"/>
            <w:noWrap/>
            <w:hideMark/>
          </w:tcPr>
          <w:p w14:paraId="1B4FB0DE" w14:textId="77777777" w:rsidR="00545A37" w:rsidRPr="00E82552" w:rsidRDefault="00545A37" w:rsidP="00FF0031">
            <w:pPr>
              <w:rPr>
                <w:rFonts w:eastAsia="Times New Roman" w:cs="Calibri"/>
                <w:szCs w:val="20"/>
                <w:lang w:eastAsia="sl-SI"/>
              </w:rPr>
            </w:pPr>
            <w:r w:rsidRPr="00E82552">
              <w:rPr>
                <w:rFonts w:cs="Calibri"/>
                <w:szCs w:val="20"/>
              </w:rPr>
              <w:t xml:space="preserve">Les slabše kakovosti listavcev </w:t>
            </w:r>
          </w:p>
        </w:tc>
        <w:tc>
          <w:tcPr>
            <w:tcW w:w="1701" w:type="dxa"/>
            <w:noWrap/>
            <w:hideMark/>
          </w:tcPr>
          <w:p w14:paraId="5B40FAEE"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Teoretični</w:t>
            </w:r>
          </w:p>
        </w:tc>
        <w:tc>
          <w:tcPr>
            <w:tcW w:w="2127" w:type="dxa"/>
            <w:noWrap/>
            <w:hideMark/>
          </w:tcPr>
          <w:p w14:paraId="66E764D6"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t suhe snovi</w:t>
            </w:r>
          </w:p>
        </w:tc>
        <w:tc>
          <w:tcPr>
            <w:tcW w:w="1951" w:type="dxa"/>
            <w:noWrap/>
            <w:hideMark/>
          </w:tcPr>
          <w:p w14:paraId="5614408E" w14:textId="77777777" w:rsidR="00545A37" w:rsidRPr="00E82552" w:rsidRDefault="00545A37" w:rsidP="00FF0031">
            <w:pPr>
              <w:rPr>
                <w:rFonts w:eastAsia="Times New Roman" w:cs="Calibri"/>
                <w:szCs w:val="20"/>
                <w:lang w:eastAsia="sl-SI"/>
              </w:rPr>
            </w:pPr>
            <w:r w:rsidRPr="00E82552">
              <w:t>15.267</w:t>
            </w:r>
          </w:p>
        </w:tc>
        <w:tc>
          <w:tcPr>
            <w:tcW w:w="1184" w:type="dxa"/>
            <w:noWrap/>
            <w:hideMark/>
          </w:tcPr>
          <w:p w14:paraId="61FD671E"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1.230.000</w:t>
            </w:r>
          </w:p>
        </w:tc>
      </w:tr>
      <w:tr w:rsidR="00545A37" w:rsidRPr="00E82552" w14:paraId="08F12482" w14:textId="77777777" w:rsidTr="00FF0031">
        <w:trPr>
          <w:trHeight w:val="290"/>
        </w:trPr>
        <w:tc>
          <w:tcPr>
            <w:tcW w:w="2126" w:type="dxa"/>
            <w:vMerge/>
            <w:noWrap/>
            <w:hideMark/>
          </w:tcPr>
          <w:p w14:paraId="64EDF425" w14:textId="77777777" w:rsidR="00545A37" w:rsidRPr="00E82552" w:rsidRDefault="00545A37" w:rsidP="00FF0031">
            <w:pPr>
              <w:rPr>
                <w:rFonts w:eastAsia="Times New Roman" w:cs="Calibri"/>
                <w:szCs w:val="20"/>
                <w:lang w:eastAsia="sl-SI"/>
              </w:rPr>
            </w:pPr>
          </w:p>
        </w:tc>
        <w:tc>
          <w:tcPr>
            <w:tcW w:w="1701" w:type="dxa"/>
            <w:noWrap/>
            <w:hideMark/>
          </w:tcPr>
          <w:p w14:paraId="17BC1A24"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Dejanski</w:t>
            </w:r>
          </w:p>
        </w:tc>
        <w:tc>
          <w:tcPr>
            <w:tcW w:w="2127" w:type="dxa"/>
            <w:noWrap/>
            <w:hideMark/>
          </w:tcPr>
          <w:p w14:paraId="2643A3BB"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t suhe snovi</w:t>
            </w:r>
          </w:p>
        </w:tc>
        <w:tc>
          <w:tcPr>
            <w:tcW w:w="1951" w:type="dxa"/>
            <w:noWrap/>
            <w:hideMark/>
          </w:tcPr>
          <w:p w14:paraId="0BED0FCF" w14:textId="77777777" w:rsidR="00545A37" w:rsidRPr="00E82552" w:rsidRDefault="00545A37" w:rsidP="00FF0031">
            <w:pPr>
              <w:rPr>
                <w:rFonts w:eastAsia="Times New Roman" w:cs="Calibri"/>
                <w:szCs w:val="20"/>
                <w:lang w:eastAsia="sl-SI"/>
              </w:rPr>
            </w:pPr>
            <w:r w:rsidRPr="00E82552">
              <w:t>9.109</w:t>
            </w:r>
          </w:p>
        </w:tc>
        <w:tc>
          <w:tcPr>
            <w:tcW w:w="1184" w:type="dxa"/>
            <w:noWrap/>
            <w:hideMark/>
          </w:tcPr>
          <w:p w14:paraId="208427A2"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360.000</w:t>
            </w:r>
          </w:p>
        </w:tc>
      </w:tr>
      <w:tr w:rsidR="00545A37" w:rsidRPr="00E82552" w14:paraId="0473ABC1" w14:textId="77777777" w:rsidTr="00FF0031">
        <w:trPr>
          <w:trHeight w:val="290"/>
        </w:trPr>
        <w:tc>
          <w:tcPr>
            <w:tcW w:w="2126" w:type="dxa"/>
            <w:vMerge/>
            <w:noWrap/>
            <w:hideMark/>
          </w:tcPr>
          <w:p w14:paraId="26123A9D" w14:textId="77777777" w:rsidR="00545A37" w:rsidRPr="00E82552" w:rsidRDefault="00545A37" w:rsidP="00FF0031">
            <w:pPr>
              <w:rPr>
                <w:rFonts w:eastAsia="Times New Roman" w:cs="Calibri"/>
                <w:szCs w:val="20"/>
                <w:lang w:eastAsia="sl-SI"/>
              </w:rPr>
            </w:pPr>
          </w:p>
        </w:tc>
        <w:tc>
          <w:tcPr>
            <w:tcW w:w="1701" w:type="dxa"/>
            <w:noWrap/>
            <w:hideMark/>
          </w:tcPr>
          <w:p w14:paraId="245F5308" w14:textId="77777777" w:rsidR="00545A37" w:rsidRPr="00E82552" w:rsidRDefault="00545A37" w:rsidP="00FF0031">
            <w:pPr>
              <w:rPr>
                <w:rFonts w:eastAsia="Times New Roman" w:cs="Calibri"/>
                <w:lang w:eastAsia="sl-SI"/>
              </w:rPr>
            </w:pPr>
            <w:r w:rsidRPr="00E82552">
              <w:rPr>
                <w:rFonts w:eastAsia="Times New Roman" w:cs="Calibri"/>
                <w:lang w:eastAsia="sl-SI"/>
              </w:rPr>
              <w:t>Izkoriščenost</w:t>
            </w:r>
          </w:p>
        </w:tc>
        <w:tc>
          <w:tcPr>
            <w:tcW w:w="2127" w:type="dxa"/>
            <w:noWrap/>
            <w:hideMark/>
          </w:tcPr>
          <w:p w14:paraId="78012402" w14:textId="77777777" w:rsidR="00545A37" w:rsidRPr="00E82552" w:rsidRDefault="00545A37" w:rsidP="00FF0031">
            <w:pPr>
              <w:rPr>
                <w:rFonts w:eastAsia="Times New Roman" w:cs="Calibri"/>
                <w:lang w:eastAsia="sl-SI"/>
              </w:rPr>
            </w:pPr>
            <w:r w:rsidRPr="00E82552">
              <w:rPr>
                <w:rFonts w:eastAsia="Times New Roman" w:cs="Calibri"/>
                <w:lang w:eastAsia="sl-SI"/>
              </w:rPr>
              <w:t>%</w:t>
            </w:r>
          </w:p>
        </w:tc>
        <w:tc>
          <w:tcPr>
            <w:tcW w:w="1951" w:type="dxa"/>
            <w:noWrap/>
            <w:hideMark/>
          </w:tcPr>
          <w:p w14:paraId="5ECF5337" w14:textId="77777777" w:rsidR="00545A37" w:rsidRPr="00E82552" w:rsidRDefault="00545A37" w:rsidP="00FF0031">
            <w:pPr>
              <w:rPr>
                <w:rFonts w:eastAsia="Times New Roman" w:cs="Calibri"/>
                <w:lang w:eastAsia="sl-SI"/>
              </w:rPr>
            </w:pPr>
            <w:r w:rsidRPr="00E82552">
              <w:t>60</w:t>
            </w:r>
          </w:p>
        </w:tc>
        <w:tc>
          <w:tcPr>
            <w:tcW w:w="1184" w:type="dxa"/>
            <w:noWrap/>
            <w:hideMark/>
          </w:tcPr>
          <w:p w14:paraId="52B853CC" w14:textId="77777777" w:rsidR="00545A37" w:rsidRPr="00E82552" w:rsidRDefault="00545A37" w:rsidP="00FF0031">
            <w:pPr>
              <w:rPr>
                <w:rFonts w:eastAsia="Times New Roman" w:cs="Calibri"/>
                <w:lang w:eastAsia="sl-SI"/>
              </w:rPr>
            </w:pPr>
            <w:r w:rsidRPr="00E82552">
              <w:rPr>
                <w:rFonts w:eastAsia="Times New Roman" w:cs="Calibri"/>
                <w:lang w:eastAsia="sl-SI"/>
              </w:rPr>
              <w:t>29</w:t>
            </w:r>
          </w:p>
        </w:tc>
      </w:tr>
      <w:tr w:rsidR="00545A37" w:rsidRPr="00E82552" w14:paraId="229B04EB" w14:textId="77777777" w:rsidTr="00FF0031">
        <w:trPr>
          <w:trHeight w:val="290"/>
        </w:trPr>
        <w:tc>
          <w:tcPr>
            <w:tcW w:w="2126" w:type="dxa"/>
            <w:vMerge w:val="restart"/>
            <w:noWrap/>
            <w:hideMark/>
          </w:tcPr>
          <w:p w14:paraId="6490BB24" w14:textId="77777777" w:rsidR="00545A37" w:rsidRPr="00E82552" w:rsidRDefault="00545A37" w:rsidP="00FF0031">
            <w:pPr>
              <w:rPr>
                <w:rFonts w:eastAsia="Times New Roman" w:cs="Calibri"/>
                <w:szCs w:val="20"/>
                <w:lang w:eastAsia="sl-SI"/>
              </w:rPr>
            </w:pPr>
            <w:r w:rsidRPr="00E82552">
              <w:rPr>
                <w:rFonts w:cs="Calibri"/>
                <w:szCs w:val="20"/>
              </w:rPr>
              <w:t>Les slabše kakovosti iglavcev</w:t>
            </w:r>
          </w:p>
        </w:tc>
        <w:tc>
          <w:tcPr>
            <w:tcW w:w="1701" w:type="dxa"/>
            <w:noWrap/>
            <w:hideMark/>
          </w:tcPr>
          <w:p w14:paraId="1F683E7B"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Teoretični</w:t>
            </w:r>
          </w:p>
        </w:tc>
        <w:tc>
          <w:tcPr>
            <w:tcW w:w="2127" w:type="dxa"/>
            <w:noWrap/>
            <w:hideMark/>
          </w:tcPr>
          <w:p w14:paraId="7D31A575"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t suhe snovi</w:t>
            </w:r>
          </w:p>
        </w:tc>
        <w:tc>
          <w:tcPr>
            <w:tcW w:w="1951" w:type="dxa"/>
            <w:noWrap/>
            <w:hideMark/>
          </w:tcPr>
          <w:p w14:paraId="74A58338" w14:textId="77777777" w:rsidR="00545A37" w:rsidRPr="00E82552" w:rsidRDefault="00545A37" w:rsidP="00FF0031">
            <w:pPr>
              <w:rPr>
                <w:rFonts w:eastAsia="Times New Roman" w:cs="Calibri"/>
                <w:szCs w:val="20"/>
                <w:lang w:eastAsia="sl-SI"/>
              </w:rPr>
            </w:pPr>
            <w:r w:rsidRPr="00E82552">
              <w:t>1.915</w:t>
            </w:r>
          </w:p>
        </w:tc>
        <w:tc>
          <w:tcPr>
            <w:tcW w:w="1184" w:type="dxa"/>
            <w:noWrap/>
            <w:hideMark/>
          </w:tcPr>
          <w:p w14:paraId="0CA7F628"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220.000</w:t>
            </w:r>
          </w:p>
        </w:tc>
      </w:tr>
      <w:tr w:rsidR="00545A37" w:rsidRPr="00E82552" w14:paraId="4B042195" w14:textId="77777777" w:rsidTr="00FF0031">
        <w:trPr>
          <w:trHeight w:val="290"/>
        </w:trPr>
        <w:tc>
          <w:tcPr>
            <w:tcW w:w="2126" w:type="dxa"/>
            <w:vMerge/>
            <w:noWrap/>
            <w:hideMark/>
          </w:tcPr>
          <w:p w14:paraId="3018818A" w14:textId="77777777" w:rsidR="00545A37" w:rsidRPr="00E82552" w:rsidRDefault="00545A37" w:rsidP="00FF0031">
            <w:pPr>
              <w:rPr>
                <w:rFonts w:eastAsia="Times New Roman" w:cs="Calibri"/>
                <w:szCs w:val="20"/>
                <w:lang w:eastAsia="sl-SI"/>
              </w:rPr>
            </w:pPr>
          </w:p>
        </w:tc>
        <w:tc>
          <w:tcPr>
            <w:tcW w:w="1701" w:type="dxa"/>
            <w:noWrap/>
            <w:hideMark/>
          </w:tcPr>
          <w:p w14:paraId="372E60A0"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Dejanski</w:t>
            </w:r>
          </w:p>
        </w:tc>
        <w:tc>
          <w:tcPr>
            <w:tcW w:w="2127" w:type="dxa"/>
            <w:noWrap/>
            <w:hideMark/>
          </w:tcPr>
          <w:p w14:paraId="093DBDA2"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t suhe snovi</w:t>
            </w:r>
          </w:p>
        </w:tc>
        <w:tc>
          <w:tcPr>
            <w:tcW w:w="1951" w:type="dxa"/>
            <w:noWrap/>
            <w:hideMark/>
          </w:tcPr>
          <w:p w14:paraId="20A0ABB9" w14:textId="77777777" w:rsidR="00545A37" w:rsidRPr="00E82552" w:rsidRDefault="00545A37" w:rsidP="00FF0031">
            <w:pPr>
              <w:rPr>
                <w:rFonts w:eastAsia="Times New Roman" w:cs="Calibri"/>
                <w:szCs w:val="20"/>
                <w:lang w:eastAsia="sl-SI"/>
              </w:rPr>
            </w:pPr>
            <w:r w:rsidRPr="00E82552">
              <w:t>1.665</w:t>
            </w:r>
          </w:p>
        </w:tc>
        <w:tc>
          <w:tcPr>
            <w:tcW w:w="1184" w:type="dxa"/>
            <w:noWrap/>
            <w:hideMark/>
          </w:tcPr>
          <w:p w14:paraId="4EE890B4"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110.000</w:t>
            </w:r>
          </w:p>
        </w:tc>
      </w:tr>
      <w:tr w:rsidR="00545A37" w:rsidRPr="00E82552" w14:paraId="1D0535D0" w14:textId="77777777" w:rsidTr="00FF0031">
        <w:trPr>
          <w:trHeight w:val="290"/>
        </w:trPr>
        <w:tc>
          <w:tcPr>
            <w:tcW w:w="2126" w:type="dxa"/>
            <w:vMerge/>
            <w:noWrap/>
            <w:hideMark/>
          </w:tcPr>
          <w:p w14:paraId="788922F3" w14:textId="77777777" w:rsidR="00545A37" w:rsidRPr="00E82552" w:rsidRDefault="00545A37" w:rsidP="00FF0031">
            <w:pPr>
              <w:rPr>
                <w:rFonts w:eastAsia="Times New Roman" w:cs="Calibri"/>
                <w:szCs w:val="20"/>
                <w:lang w:eastAsia="sl-SI"/>
              </w:rPr>
            </w:pPr>
          </w:p>
        </w:tc>
        <w:tc>
          <w:tcPr>
            <w:tcW w:w="1701" w:type="dxa"/>
            <w:noWrap/>
            <w:hideMark/>
          </w:tcPr>
          <w:p w14:paraId="400EAB9B"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Izkoriščenost</w:t>
            </w:r>
          </w:p>
        </w:tc>
        <w:tc>
          <w:tcPr>
            <w:tcW w:w="2127" w:type="dxa"/>
            <w:noWrap/>
            <w:hideMark/>
          </w:tcPr>
          <w:p w14:paraId="0DDA1F5F"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w:t>
            </w:r>
          </w:p>
        </w:tc>
        <w:tc>
          <w:tcPr>
            <w:tcW w:w="1951" w:type="dxa"/>
            <w:noWrap/>
            <w:hideMark/>
          </w:tcPr>
          <w:p w14:paraId="03F22C9F" w14:textId="77777777" w:rsidR="00545A37" w:rsidRPr="00E82552" w:rsidRDefault="00545A37" w:rsidP="00FF0031">
            <w:pPr>
              <w:rPr>
                <w:rFonts w:eastAsia="Times New Roman" w:cs="Calibri"/>
                <w:szCs w:val="20"/>
                <w:lang w:eastAsia="sl-SI"/>
              </w:rPr>
            </w:pPr>
            <w:r w:rsidRPr="00E82552">
              <w:t>87</w:t>
            </w:r>
          </w:p>
        </w:tc>
        <w:tc>
          <w:tcPr>
            <w:tcW w:w="1184" w:type="dxa"/>
            <w:noWrap/>
            <w:hideMark/>
          </w:tcPr>
          <w:p w14:paraId="7CA69092"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50</w:t>
            </w:r>
          </w:p>
        </w:tc>
      </w:tr>
      <w:tr w:rsidR="00545A37" w:rsidRPr="00E82552" w14:paraId="1117A121" w14:textId="77777777" w:rsidTr="00FF0031">
        <w:trPr>
          <w:trHeight w:val="290"/>
        </w:trPr>
        <w:tc>
          <w:tcPr>
            <w:tcW w:w="2126" w:type="dxa"/>
            <w:vMerge w:val="restart"/>
            <w:shd w:val="clear" w:color="auto" w:fill="E7E6E6" w:themeFill="background2"/>
            <w:noWrap/>
            <w:hideMark/>
          </w:tcPr>
          <w:p w14:paraId="6BEE414E" w14:textId="77777777" w:rsidR="00545A37" w:rsidRPr="00E82552" w:rsidRDefault="00545A37" w:rsidP="00FF0031">
            <w:pPr>
              <w:rPr>
                <w:rFonts w:eastAsia="Times New Roman" w:cs="Calibri"/>
                <w:b/>
                <w:bCs/>
                <w:szCs w:val="20"/>
                <w:lang w:eastAsia="sl-SI"/>
              </w:rPr>
            </w:pPr>
            <w:r w:rsidRPr="00E82552">
              <w:rPr>
                <w:rFonts w:cs="Calibri"/>
                <w:b/>
                <w:bCs/>
                <w:szCs w:val="20"/>
              </w:rPr>
              <w:t>Les slabše kakovosti skupaj</w:t>
            </w:r>
          </w:p>
        </w:tc>
        <w:tc>
          <w:tcPr>
            <w:tcW w:w="1701" w:type="dxa"/>
            <w:shd w:val="clear" w:color="auto" w:fill="E7E6E6" w:themeFill="background2"/>
            <w:noWrap/>
            <w:hideMark/>
          </w:tcPr>
          <w:p w14:paraId="2E4C37E3" w14:textId="77777777" w:rsidR="00545A37" w:rsidRPr="00E82552" w:rsidRDefault="00545A37" w:rsidP="00FF0031">
            <w:pPr>
              <w:rPr>
                <w:rFonts w:eastAsia="Times New Roman" w:cs="Calibri"/>
                <w:b/>
                <w:bCs/>
                <w:szCs w:val="20"/>
                <w:lang w:eastAsia="sl-SI"/>
              </w:rPr>
            </w:pPr>
            <w:r w:rsidRPr="00E82552">
              <w:rPr>
                <w:rFonts w:eastAsia="Times New Roman" w:cs="Calibri"/>
                <w:b/>
                <w:bCs/>
                <w:szCs w:val="20"/>
                <w:lang w:eastAsia="sl-SI"/>
              </w:rPr>
              <w:t>Teoretični</w:t>
            </w:r>
          </w:p>
        </w:tc>
        <w:tc>
          <w:tcPr>
            <w:tcW w:w="2127" w:type="dxa"/>
            <w:shd w:val="clear" w:color="auto" w:fill="E7E6E6" w:themeFill="background2"/>
            <w:noWrap/>
            <w:hideMark/>
          </w:tcPr>
          <w:p w14:paraId="3D08BE55" w14:textId="77777777" w:rsidR="00545A37" w:rsidRPr="00E82552" w:rsidRDefault="00545A37" w:rsidP="00FF0031">
            <w:pPr>
              <w:rPr>
                <w:rFonts w:eastAsia="Times New Roman" w:cs="Calibri"/>
                <w:b/>
                <w:bCs/>
                <w:szCs w:val="20"/>
                <w:lang w:eastAsia="sl-SI"/>
              </w:rPr>
            </w:pPr>
            <w:r w:rsidRPr="00E82552">
              <w:rPr>
                <w:rFonts w:eastAsia="Times New Roman" w:cs="Calibri"/>
                <w:b/>
                <w:bCs/>
                <w:szCs w:val="20"/>
                <w:lang w:eastAsia="sl-SI"/>
              </w:rPr>
              <w:t>t suhe snovi</w:t>
            </w:r>
          </w:p>
        </w:tc>
        <w:tc>
          <w:tcPr>
            <w:tcW w:w="1951" w:type="dxa"/>
            <w:shd w:val="clear" w:color="auto" w:fill="E7E6E6" w:themeFill="background2"/>
            <w:noWrap/>
            <w:hideMark/>
          </w:tcPr>
          <w:p w14:paraId="137A8591" w14:textId="77777777" w:rsidR="00545A37" w:rsidRPr="00E82552" w:rsidRDefault="00545A37" w:rsidP="00FF0031">
            <w:pPr>
              <w:rPr>
                <w:rFonts w:eastAsia="Times New Roman" w:cs="Calibri"/>
                <w:b/>
                <w:bCs/>
                <w:szCs w:val="20"/>
                <w:lang w:eastAsia="sl-SI"/>
              </w:rPr>
            </w:pPr>
            <w:r w:rsidRPr="00E82552">
              <w:rPr>
                <w:b/>
                <w:bCs/>
              </w:rPr>
              <w:t>17.182</w:t>
            </w:r>
          </w:p>
        </w:tc>
        <w:tc>
          <w:tcPr>
            <w:tcW w:w="1184" w:type="dxa"/>
            <w:shd w:val="clear" w:color="auto" w:fill="E7E6E6" w:themeFill="background2"/>
            <w:noWrap/>
            <w:hideMark/>
          </w:tcPr>
          <w:p w14:paraId="5E62D87A" w14:textId="77777777" w:rsidR="00545A37" w:rsidRPr="00E82552" w:rsidRDefault="00545A37" w:rsidP="00FF0031">
            <w:pPr>
              <w:rPr>
                <w:rFonts w:eastAsia="Times New Roman" w:cs="Calibri"/>
                <w:b/>
                <w:bCs/>
                <w:szCs w:val="20"/>
                <w:lang w:eastAsia="sl-SI"/>
              </w:rPr>
            </w:pPr>
            <w:r w:rsidRPr="00E82552">
              <w:rPr>
                <w:rFonts w:eastAsia="Times New Roman" w:cs="Calibri"/>
                <w:b/>
                <w:bCs/>
                <w:szCs w:val="20"/>
                <w:lang w:eastAsia="sl-SI"/>
              </w:rPr>
              <w:t>1.450.000</w:t>
            </w:r>
          </w:p>
        </w:tc>
      </w:tr>
      <w:tr w:rsidR="00545A37" w:rsidRPr="00E82552" w14:paraId="7E39349C" w14:textId="77777777" w:rsidTr="00FF0031">
        <w:trPr>
          <w:trHeight w:val="290"/>
        </w:trPr>
        <w:tc>
          <w:tcPr>
            <w:tcW w:w="2126" w:type="dxa"/>
            <w:vMerge/>
            <w:shd w:val="clear" w:color="auto" w:fill="E7E6E6" w:themeFill="background2"/>
            <w:noWrap/>
            <w:hideMark/>
          </w:tcPr>
          <w:p w14:paraId="528D3C8A" w14:textId="77777777" w:rsidR="00545A37" w:rsidRPr="00E82552" w:rsidRDefault="00545A37" w:rsidP="00FF0031">
            <w:pPr>
              <w:rPr>
                <w:rFonts w:eastAsia="Times New Roman" w:cs="Calibri"/>
                <w:b/>
                <w:bCs/>
                <w:szCs w:val="20"/>
                <w:lang w:eastAsia="sl-SI"/>
              </w:rPr>
            </w:pPr>
          </w:p>
        </w:tc>
        <w:tc>
          <w:tcPr>
            <w:tcW w:w="1701" w:type="dxa"/>
            <w:shd w:val="clear" w:color="auto" w:fill="E7E6E6" w:themeFill="background2"/>
            <w:noWrap/>
            <w:hideMark/>
          </w:tcPr>
          <w:p w14:paraId="0F5853E6" w14:textId="77777777" w:rsidR="00545A37" w:rsidRPr="00E82552" w:rsidRDefault="00545A37" w:rsidP="00FF0031">
            <w:pPr>
              <w:rPr>
                <w:rFonts w:eastAsia="Times New Roman" w:cs="Calibri"/>
                <w:b/>
                <w:bCs/>
                <w:szCs w:val="20"/>
                <w:lang w:eastAsia="sl-SI"/>
              </w:rPr>
            </w:pPr>
            <w:r w:rsidRPr="00E82552">
              <w:rPr>
                <w:rFonts w:eastAsia="Times New Roman" w:cs="Calibri"/>
                <w:b/>
                <w:bCs/>
                <w:szCs w:val="20"/>
                <w:lang w:eastAsia="sl-SI"/>
              </w:rPr>
              <w:t>Dejanski</w:t>
            </w:r>
          </w:p>
        </w:tc>
        <w:tc>
          <w:tcPr>
            <w:tcW w:w="2127" w:type="dxa"/>
            <w:shd w:val="clear" w:color="auto" w:fill="E7E6E6" w:themeFill="background2"/>
            <w:noWrap/>
            <w:hideMark/>
          </w:tcPr>
          <w:p w14:paraId="4A976942" w14:textId="77777777" w:rsidR="00545A37" w:rsidRPr="00E82552" w:rsidRDefault="00545A37" w:rsidP="00FF0031">
            <w:pPr>
              <w:rPr>
                <w:rFonts w:eastAsia="Times New Roman" w:cs="Calibri"/>
                <w:b/>
                <w:bCs/>
                <w:szCs w:val="20"/>
                <w:lang w:eastAsia="sl-SI"/>
              </w:rPr>
            </w:pPr>
            <w:r w:rsidRPr="00E82552">
              <w:rPr>
                <w:rFonts w:eastAsia="Times New Roman" w:cs="Calibri"/>
                <w:b/>
                <w:bCs/>
                <w:szCs w:val="20"/>
                <w:lang w:eastAsia="sl-SI"/>
              </w:rPr>
              <w:t>t suhe snovi</w:t>
            </w:r>
          </w:p>
        </w:tc>
        <w:tc>
          <w:tcPr>
            <w:tcW w:w="1951" w:type="dxa"/>
            <w:shd w:val="clear" w:color="auto" w:fill="E7E6E6" w:themeFill="background2"/>
            <w:noWrap/>
            <w:hideMark/>
          </w:tcPr>
          <w:p w14:paraId="2DADE67D" w14:textId="77777777" w:rsidR="00545A37" w:rsidRPr="00E82552" w:rsidRDefault="00545A37" w:rsidP="00FF0031">
            <w:pPr>
              <w:rPr>
                <w:rFonts w:eastAsia="Times New Roman" w:cs="Calibri"/>
                <w:b/>
                <w:bCs/>
                <w:szCs w:val="20"/>
                <w:lang w:eastAsia="sl-SI"/>
              </w:rPr>
            </w:pPr>
            <w:r w:rsidRPr="00E82552">
              <w:rPr>
                <w:b/>
                <w:bCs/>
              </w:rPr>
              <w:t>10.774</w:t>
            </w:r>
          </w:p>
        </w:tc>
        <w:tc>
          <w:tcPr>
            <w:tcW w:w="1184" w:type="dxa"/>
            <w:shd w:val="clear" w:color="auto" w:fill="E7E6E6" w:themeFill="background2"/>
            <w:noWrap/>
            <w:hideMark/>
          </w:tcPr>
          <w:p w14:paraId="03701744" w14:textId="77777777" w:rsidR="00545A37" w:rsidRPr="00E82552" w:rsidRDefault="00545A37" w:rsidP="00FF0031">
            <w:pPr>
              <w:rPr>
                <w:rFonts w:eastAsia="Times New Roman" w:cs="Calibri"/>
                <w:b/>
                <w:bCs/>
                <w:szCs w:val="20"/>
                <w:lang w:eastAsia="sl-SI"/>
              </w:rPr>
            </w:pPr>
            <w:r w:rsidRPr="00E82552">
              <w:rPr>
                <w:rFonts w:eastAsia="Times New Roman" w:cs="Calibri"/>
                <w:b/>
                <w:bCs/>
                <w:szCs w:val="20"/>
                <w:lang w:eastAsia="sl-SI"/>
              </w:rPr>
              <w:t>470.000</w:t>
            </w:r>
          </w:p>
        </w:tc>
      </w:tr>
      <w:tr w:rsidR="00545A37" w:rsidRPr="00E82552" w14:paraId="3EDF919E" w14:textId="77777777" w:rsidTr="00FF0031">
        <w:trPr>
          <w:trHeight w:val="290"/>
        </w:trPr>
        <w:tc>
          <w:tcPr>
            <w:tcW w:w="2126" w:type="dxa"/>
            <w:vMerge/>
            <w:shd w:val="clear" w:color="auto" w:fill="E7E6E6" w:themeFill="background2"/>
            <w:noWrap/>
            <w:hideMark/>
          </w:tcPr>
          <w:p w14:paraId="73A44B9D" w14:textId="77777777" w:rsidR="00545A37" w:rsidRPr="00E82552" w:rsidRDefault="00545A37" w:rsidP="00FF0031">
            <w:pPr>
              <w:rPr>
                <w:rFonts w:eastAsia="Times New Roman" w:cs="Calibri"/>
                <w:b/>
                <w:bCs/>
                <w:szCs w:val="20"/>
                <w:lang w:eastAsia="sl-SI"/>
              </w:rPr>
            </w:pPr>
          </w:p>
        </w:tc>
        <w:tc>
          <w:tcPr>
            <w:tcW w:w="1701" w:type="dxa"/>
            <w:shd w:val="clear" w:color="auto" w:fill="E7E6E6" w:themeFill="background2"/>
            <w:noWrap/>
            <w:hideMark/>
          </w:tcPr>
          <w:p w14:paraId="00F5CB7D" w14:textId="77777777" w:rsidR="00545A37" w:rsidRPr="00E82552" w:rsidRDefault="00545A37" w:rsidP="00FF0031">
            <w:pPr>
              <w:rPr>
                <w:rFonts w:eastAsia="Times New Roman" w:cs="Calibri"/>
                <w:b/>
                <w:bCs/>
                <w:lang w:eastAsia="sl-SI"/>
              </w:rPr>
            </w:pPr>
            <w:r w:rsidRPr="00E82552">
              <w:rPr>
                <w:rFonts w:eastAsia="Times New Roman" w:cs="Calibri"/>
                <w:b/>
                <w:bCs/>
                <w:lang w:eastAsia="sl-SI"/>
              </w:rPr>
              <w:t>Izkoriščenost</w:t>
            </w:r>
          </w:p>
        </w:tc>
        <w:tc>
          <w:tcPr>
            <w:tcW w:w="2127" w:type="dxa"/>
            <w:shd w:val="clear" w:color="auto" w:fill="E7E6E6" w:themeFill="background2"/>
            <w:noWrap/>
            <w:hideMark/>
          </w:tcPr>
          <w:p w14:paraId="708C1ADA" w14:textId="77777777" w:rsidR="00545A37" w:rsidRPr="00E82552" w:rsidRDefault="00545A37" w:rsidP="00FF0031">
            <w:pPr>
              <w:rPr>
                <w:rFonts w:eastAsia="Times New Roman" w:cs="Calibri"/>
                <w:b/>
                <w:bCs/>
                <w:lang w:eastAsia="sl-SI"/>
              </w:rPr>
            </w:pPr>
            <w:r w:rsidRPr="00E82552">
              <w:rPr>
                <w:rFonts w:eastAsia="Times New Roman" w:cs="Calibri"/>
                <w:b/>
                <w:bCs/>
                <w:lang w:eastAsia="sl-SI"/>
              </w:rPr>
              <w:t>%</w:t>
            </w:r>
          </w:p>
        </w:tc>
        <w:tc>
          <w:tcPr>
            <w:tcW w:w="1951" w:type="dxa"/>
            <w:shd w:val="clear" w:color="auto" w:fill="E7E6E6" w:themeFill="background2"/>
            <w:noWrap/>
            <w:hideMark/>
          </w:tcPr>
          <w:p w14:paraId="49EF0FFD" w14:textId="77777777" w:rsidR="00545A37" w:rsidRPr="00E82552" w:rsidRDefault="00545A37" w:rsidP="00FF0031">
            <w:pPr>
              <w:rPr>
                <w:rFonts w:eastAsia="Times New Roman" w:cs="Times New Roman"/>
                <w:b/>
                <w:bCs/>
                <w:lang w:eastAsia="sl-SI"/>
              </w:rPr>
            </w:pPr>
            <w:r w:rsidRPr="00E82552">
              <w:rPr>
                <w:b/>
                <w:bCs/>
              </w:rPr>
              <w:t>63</w:t>
            </w:r>
          </w:p>
        </w:tc>
        <w:tc>
          <w:tcPr>
            <w:tcW w:w="1184" w:type="dxa"/>
            <w:shd w:val="clear" w:color="auto" w:fill="E7E6E6" w:themeFill="background2"/>
            <w:noWrap/>
            <w:hideMark/>
          </w:tcPr>
          <w:p w14:paraId="73452669" w14:textId="77777777" w:rsidR="00545A37" w:rsidRPr="00E82552" w:rsidRDefault="00545A37" w:rsidP="00FF0031">
            <w:pPr>
              <w:rPr>
                <w:rFonts w:eastAsia="Times New Roman" w:cs="Calibri"/>
                <w:b/>
                <w:bCs/>
                <w:lang w:eastAsia="sl-SI"/>
              </w:rPr>
            </w:pPr>
            <w:r w:rsidRPr="00E82552">
              <w:rPr>
                <w:rFonts w:eastAsia="Times New Roman" w:cs="Calibri"/>
                <w:b/>
                <w:bCs/>
                <w:lang w:eastAsia="sl-SI"/>
              </w:rPr>
              <w:t>32</w:t>
            </w:r>
          </w:p>
        </w:tc>
      </w:tr>
      <w:tr w:rsidR="00545A37" w:rsidRPr="00E82552" w14:paraId="4D7013CF" w14:textId="77777777" w:rsidTr="00FF0031">
        <w:trPr>
          <w:trHeight w:val="330"/>
        </w:trPr>
        <w:tc>
          <w:tcPr>
            <w:tcW w:w="2126" w:type="dxa"/>
            <w:vMerge w:val="restart"/>
            <w:noWrap/>
            <w:hideMark/>
          </w:tcPr>
          <w:p w14:paraId="21E21D76" w14:textId="77777777" w:rsidR="00545A37" w:rsidRPr="00E82552" w:rsidRDefault="00545A37" w:rsidP="00FF0031">
            <w:pPr>
              <w:rPr>
                <w:rFonts w:eastAsia="Times New Roman" w:cs="Calibri"/>
                <w:b/>
                <w:bCs/>
                <w:szCs w:val="20"/>
                <w:lang w:eastAsia="sl-SI"/>
              </w:rPr>
            </w:pPr>
            <w:r w:rsidRPr="00E82552">
              <w:rPr>
                <w:rFonts w:cs="Calibri"/>
                <w:b/>
                <w:bCs/>
                <w:szCs w:val="20"/>
              </w:rPr>
              <w:t xml:space="preserve">Hlodi listavcev </w:t>
            </w:r>
          </w:p>
        </w:tc>
        <w:tc>
          <w:tcPr>
            <w:tcW w:w="1701" w:type="dxa"/>
            <w:noWrap/>
            <w:hideMark/>
          </w:tcPr>
          <w:p w14:paraId="7A910125"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Teoretični</w:t>
            </w:r>
          </w:p>
        </w:tc>
        <w:tc>
          <w:tcPr>
            <w:tcW w:w="2127" w:type="dxa"/>
            <w:noWrap/>
            <w:hideMark/>
          </w:tcPr>
          <w:p w14:paraId="27E5DB02"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m</w:t>
            </w:r>
            <w:r w:rsidRPr="00E82552">
              <w:rPr>
                <w:rFonts w:eastAsia="Times New Roman" w:cs="Calibri"/>
                <w:szCs w:val="20"/>
                <w:vertAlign w:val="superscript"/>
                <w:lang w:eastAsia="sl-SI"/>
              </w:rPr>
              <w:t>3</w:t>
            </w:r>
            <w:r w:rsidRPr="00E82552">
              <w:rPr>
                <w:rFonts w:eastAsia="Times New Roman" w:cs="Calibri"/>
                <w:szCs w:val="20"/>
                <w:lang w:eastAsia="sl-SI"/>
              </w:rPr>
              <w:t xml:space="preserve"> brez skorje leto</w:t>
            </w:r>
            <w:r w:rsidRPr="00E82552">
              <w:rPr>
                <w:rFonts w:eastAsia="Times New Roman" w:cs="Calibri"/>
                <w:szCs w:val="20"/>
                <w:vertAlign w:val="superscript"/>
                <w:lang w:eastAsia="sl-SI"/>
              </w:rPr>
              <w:t>-1</w:t>
            </w:r>
          </w:p>
        </w:tc>
        <w:tc>
          <w:tcPr>
            <w:tcW w:w="1951" w:type="dxa"/>
            <w:noWrap/>
            <w:hideMark/>
          </w:tcPr>
          <w:p w14:paraId="380FAB3A" w14:textId="77777777" w:rsidR="00545A37" w:rsidRPr="00E82552" w:rsidRDefault="00545A37" w:rsidP="00FF0031">
            <w:pPr>
              <w:rPr>
                <w:rFonts w:eastAsia="Times New Roman" w:cs="Calibri"/>
                <w:szCs w:val="20"/>
                <w:lang w:eastAsia="sl-SI"/>
              </w:rPr>
            </w:pPr>
            <w:r w:rsidRPr="00E82552">
              <w:t>5.107</w:t>
            </w:r>
          </w:p>
        </w:tc>
        <w:tc>
          <w:tcPr>
            <w:tcW w:w="1184" w:type="dxa"/>
            <w:noWrap/>
            <w:hideMark/>
          </w:tcPr>
          <w:p w14:paraId="4C289F32"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410.000</w:t>
            </w:r>
          </w:p>
        </w:tc>
      </w:tr>
      <w:tr w:rsidR="00545A37" w:rsidRPr="00E82552" w14:paraId="7D764C75" w14:textId="77777777" w:rsidTr="00FF0031">
        <w:trPr>
          <w:trHeight w:val="330"/>
        </w:trPr>
        <w:tc>
          <w:tcPr>
            <w:tcW w:w="2126" w:type="dxa"/>
            <w:vMerge/>
            <w:noWrap/>
            <w:hideMark/>
          </w:tcPr>
          <w:p w14:paraId="5FB4D373" w14:textId="77777777" w:rsidR="00545A37" w:rsidRPr="00E82552" w:rsidRDefault="00545A37" w:rsidP="00FF0031">
            <w:pPr>
              <w:rPr>
                <w:rFonts w:eastAsia="Times New Roman" w:cs="Calibri"/>
                <w:b/>
                <w:bCs/>
                <w:szCs w:val="20"/>
                <w:lang w:eastAsia="sl-SI"/>
              </w:rPr>
            </w:pPr>
          </w:p>
        </w:tc>
        <w:tc>
          <w:tcPr>
            <w:tcW w:w="1701" w:type="dxa"/>
            <w:noWrap/>
            <w:hideMark/>
          </w:tcPr>
          <w:p w14:paraId="3720C828"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Dejanski</w:t>
            </w:r>
          </w:p>
        </w:tc>
        <w:tc>
          <w:tcPr>
            <w:tcW w:w="2127" w:type="dxa"/>
            <w:noWrap/>
            <w:hideMark/>
          </w:tcPr>
          <w:p w14:paraId="7FAB7727"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m</w:t>
            </w:r>
            <w:r w:rsidRPr="00E82552">
              <w:rPr>
                <w:rFonts w:eastAsia="Times New Roman" w:cs="Calibri"/>
                <w:szCs w:val="20"/>
                <w:vertAlign w:val="superscript"/>
                <w:lang w:eastAsia="sl-SI"/>
              </w:rPr>
              <w:t>3</w:t>
            </w:r>
            <w:r w:rsidRPr="00E82552">
              <w:rPr>
                <w:rFonts w:eastAsia="Times New Roman" w:cs="Calibri"/>
                <w:szCs w:val="20"/>
                <w:lang w:eastAsia="sl-SI"/>
              </w:rPr>
              <w:t xml:space="preserve"> brez skorje leto</w:t>
            </w:r>
            <w:r w:rsidRPr="00E82552">
              <w:rPr>
                <w:rFonts w:eastAsia="Times New Roman" w:cs="Calibri"/>
                <w:szCs w:val="20"/>
                <w:vertAlign w:val="superscript"/>
                <w:lang w:eastAsia="sl-SI"/>
              </w:rPr>
              <w:t>-1</w:t>
            </w:r>
          </w:p>
        </w:tc>
        <w:tc>
          <w:tcPr>
            <w:tcW w:w="1951" w:type="dxa"/>
            <w:noWrap/>
            <w:hideMark/>
          </w:tcPr>
          <w:p w14:paraId="7006FE17" w14:textId="77777777" w:rsidR="00545A37" w:rsidRPr="00E82552" w:rsidRDefault="00545A37" w:rsidP="00FF0031">
            <w:pPr>
              <w:rPr>
                <w:rFonts w:eastAsia="Times New Roman" w:cs="Calibri"/>
                <w:szCs w:val="20"/>
                <w:lang w:eastAsia="sl-SI"/>
              </w:rPr>
            </w:pPr>
            <w:r w:rsidRPr="00E82552">
              <w:t>3.511</w:t>
            </w:r>
          </w:p>
        </w:tc>
        <w:tc>
          <w:tcPr>
            <w:tcW w:w="1184" w:type="dxa"/>
            <w:noWrap/>
            <w:hideMark/>
          </w:tcPr>
          <w:p w14:paraId="574E99FC"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210.000</w:t>
            </w:r>
          </w:p>
        </w:tc>
      </w:tr>
      <w:tr w:rsidR="00545A37" w:rsidRPr="00E82552" w14:paraId="64344867" w14:textId="77777777" w:rsidTr="00FF0031">
        <w:trPr>
          <w:trHeight w:val="290"/>
        </w:trPr>
        <w:tc>
          <w:tcPr>
            <w:tcW w:w="2126" w:type="dxa"/>
            <w:vMerge/>
            <w:noWrap/>
            <w:hideMark/>
          </w:tcPr>
          <w:p w14:paraId="3E6024A2" w14:textId="77777777" w:rsidR="00545A37" w:rsidRPr="00E82552" w:rsidRDefault="00545A37" w:rsidP="00FF0031">
            <w:pPr>
              <w:rPr>
                <w:rFonts w:eastAsia="Times New Roman" w:cs="Calibri"/>
                <w:b/>
                <w:bCs/>
                <w:szCs w:val="20"/>
                <w:lang w:eastAsia="sl-SI"/>
              </w:rPr>
            </w:pPr>
          </w:p>
        </w:tc>
        <w:tc>
          <w:tcPr>
            <w:tcW w:w="1701" w:type="dxa"/>
            <w:noWrap/>
            <w:hideMark/>
          </w:tcPr>
          <w:p w14:paraId="096A25B5" w14:textId="77777777" w:rsidR="00545A37" w:rsidRPr="00E82552" w:rsidRDefault="00545A37" w:rsidP="00FF0031">
            <w:pPr>
              <w:rPr>
                <w:rFonts w:eastAsia="Times New Roman" w:cs="Calibri"/>
                <w:b/>
                <w:bCs/>
                <w:lang w:eastAsia="sl-SI"/>
              </w:rPr>
            </w:pPr>
            <w:r w:rsidRPr="00E82552">
              <w:rPr>
                <w:rFonts w:eastAsia="Times New Roman" w:cs="Calibri"/>
                <w:b/>
                <w:bCs/>
                <w:lang w:eastAsia="sl-SI"/>
              </w:rPr>
              <w:t>Izkoriščenost</w:t>
            </w:r>
          </w:p>
        </w:tc>
        <w:tc>
          <w:tcPr>
            <w:tcW w:w="2127" w:type="dxa"/>
            <w:noWrap/>
            <w:hideMark/>
          </w:tcPr>
          <w:p w14:paraId="483555D6" w14:textId="77777777" w:rsidR="00545A37" w:rsidRPr="00E82552" w:rsidRDefault="00545A37" w:rsidP="00FF0031">
            <w:pPr>
              <w:rPr>
                <w:rFonts w:eastAsia="Times New Roman" w:cs="Calibri"/>
                <w:b/>
                <w:bCs/>
                <w:lang w:eastAsia="sl-SI"/>
              </w:rPr>
            </w:pPr>
            <w:r w:rsidRPr="00E82552">
              <w:rPr>
                <w:rFonts w:eastAsia="Times New Roman" w:cs="Calibri"/>
                <w:b/>
                <w:bCs/>
                <w:lang w:eastAsia="sl-SI"/>
              </w:rPr>
              <w:t>%</w:t>
            </w:r>
          </w:p>
        </w:tc>
        <w:tc>
          <w:tcPr>
            <w:tcW w:w="1951" w:type="dxa"/>
            <w:noWrap/>
            <w:hideMark/>
          </w:tcPr>
          <w:p w14:paraId="412ADEB7" w14:textId="77777777" w:rsidR="00545A37" w:rsidRPr="00E82552" w:rsidRDefault="00545A37" w:rsidP="00FF0031">
            <w:pPr>
              <w:rPr>
                <w:rFonts w:eastAsia="Times New Roman" w:cs="Calibri"/>
                <w:b/>
                <w:bCs/>
                <w:lang w:eastAsia="sl-SI"/>
              </w:rPr>
            </w:pPr>
            <w:r w:rsidRPr="00E82552">
              <w:t>69</w:t>
            </w:r>
          </w:p>
        </w:tc>
        <w:tc>
          <w:tcPr>
            <w:tcW w:w="1184" w:type="dxa"/>
            <w:noWrap/>
            <w:hideMark/>
          </w:tcPr>
          <w:p w14:paraId="24AEE282" w14:textId="77777777" w:rsidR="00545A37" w:rsidRPr="00E82552" w:rsidRDefault="00545A37" w:rsidP="00FF0031">
            <w:pPr>
              <w:rPr>
                <w:rFonts w:eastAsia="Times New Roman" w:cs="Calibri"/>
                <w:b/>
                <w:bCs/>
                <w:lang w:eastAsia="sl-SI"/>
              </w:rPr>
            </w:pPr>
            <w:r w:rsidRPr="00E82552">
              <w:rPr>
                <w:rFonts w:eastAsia="Times New Roman" w:cs="Calibri"/>
                <w:b/>
                <w:bCs/>
                <w:lang w:eastAsia="sl-SI"/>
              </w:rPr>
              <w:t>51</w:t>
            </w:r>
          </w:p>
        </w:tc>
      </w:tr>
      <w:tr w:rsidR="00545A37" w:rsidRPr="00E82552" w14:paraId="39344114" w14:textId="77777777" w:rsidTr="00FF0031">
        <w:trPr>
          <w:trHeight w:val="290"/>
        </w:trPr>
        <w:tc>
          <w:tcPr>
            <w:tcW w:w="2126" w:type="dxa"/>
            <w:vMerge w:val="restart"/>
            <w:noWrap/>
            <w:hideMark/>
          </w:tcPr>
          <w:p w14:paraId="44CA7394" w14:textId="77777777" w:rsidR="00545A37" w:rsidRPr="00E82552" w:rsidRDefault="00545A37" w:rsidP="00FF0031">
            <w:pPr>
              <w:rPr>
                <w:rFonts w:eastAsia="Times New Roman" w:cs="Calibri"/>
                <w:b/>
                <w:bCs/>
                <w:szCs w:val="20"/>
                <w:lang w:eastAsia="sl-SI"/>
              </w:rPr>
            </w:pPr>
            <w:r w:rsidRPr="00E82552">
              <w:rPr>
                <w:rFonts w:cs="Calibri"/>
                <w:b/>
                <w:bCs/>
                <w:szCs w:val="20"/>
              </w:rPr>
              <w:t xml:space="preserve">Hlodi smreke in jelke debeline 20-59 cm </w:t>
            </w:r>
          </w:p>
        </w:tc>
        <w:tc>
          <w:tcPr>
            <w:tcW w:w="1701" w:type="dxa"/>
            <w:noWrap/>
            <w:hideMark/>
          </w:tcPr>
          <w:p w14:paraId="25C0DEA4"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Teoretični</w:t>
            </w:r>
          </w:p>
        </w:tc>
        <w:tc>
          <w:tcPr>
            <w:tcW w:w="2127" w:type="dxa"/>
            <w:noWrap/>
            <w:hideMark/>
          </w:tcPr>
          <w:p w14:paraId="732A064D"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w:t>
            </w:r>
          </w:p>
        </w:tc>
        <w:tc>
          <w:tcPr>
            <w:tcW w:w="1951" w:type="dxa"/>
            <w:noWrap/>
            <w:hideMark/>
          </w:tcPr>
          <w:p w14:paraId="2E40B82D"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w:t>
            </w:r>
          </w:p>
        </w:tc>
        <w:tc>
          <w:tcPr>
            <w:tcW w:w="1184" w:type="dxa"/>
            <w:noWrap/>
            <w:hideMark/>
          </w:tcPr>
          <w:p w14:paraId="03E66819"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w:t>
            </w:r>
          </w:p>
        </w:tc>
      </w:tr>
      <w:tr w:rsidR="00545A37" w:rsidRPr="00E82552" w14:paraId="65D93DA5" w14:textId="77777777" w:rsidTr="00FF0031">
        <w:trPr>
          <w:trHeight w:val="330"/>
        </w:trPr>
        <w:tc>
          <w:tcPr>
            <w:tcW w:w="2126" w:type="dxa"/>
            <w:vMerge/>
            <w:noWrap/>
            <w:hideMark/>
          </w:tcPr>
          <w:p w14:paraId="24B1665F" w14:textId="77777777" w:rsidR="00545A37" w:rsidRPr="00E82552" w:rsidRDefault="00545A37" w:rsidP="00FF0031">
            <w:pPr>
              <w:rPr>
                <w:rFonts w:eastAsia="Times New Roman" w:cs="Calibri"/>
                <w:b/>
                <w:bCs/>
                <w:szCs w:val="20"/>
                <w:lang w:eastAsia="sl-SI"/>
              </w:rPr>
            </w:pPr>
          </w:p>
        </w:tc>
        <w:tc>
          <w:tcPr>
            <w:tcW w:w="1701" w:type="dxa"/>
            <w:noWrap/>
            <w:hideMark/>
          </w:tcPr>
          <w:p w14:paraId="44B116A4"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Dejanski</w:t>
            </w:r>
          </w:p>
        </w:tc>
        <w:tc>
          <w:tcPr>
            <w:tcW w:w="2127" w:type="dxa"/>
            <w:noWrap/>
            <w:hideMark/>
          </w:tcPr>
          <w:p w14:paraId="58BE5A08"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m</w:t>
            </w:r>
            <w:r w:rsidRPr="00E82552">
              <w:rPr>
                <w:rFonts w:eastAsia="Times New Roman" w:cs="Calibri"/>
                <w:szCs w:val="20"/>
                <w:vertAlign w:val="superscript"/>
                <w:lang w:eastAsia="sl-SI"/>
              </w:rPr>
              <w:t>3</w:t>
            </w:r>
            <w:r w:rsidRPr="00E82552">
              <w:rPr>
                <w:rFonts w:eastAsia="Times New Roman" w:cs="Calibri"/>
                <w:szCs w:val="20"/>
                <w:lang w:eastAsia="sl-SI"/>
              </w:rPr>
              <w:t xml:space="preserve"> brez skorje leto-1</w:t>
            </w:r>
          </w:p>
        </w:tc>
        <w:tc>
          <w:tcPr>
            <w:tcW w:w="1951" w:type="dxa"/>
            <w:noWrap/>
            <w:hideMark/>
          </w:tcPr>
          <w:p w14:paraId="1990D78D"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11.242</w:t>
            </w:r>
          </w:p>
        </w:tc>
        <w:tc>
          <w:tcPr>
            <w:tcW w:w="1184" w:type="dxa"/>
            <w:noWrap/>
            <w:hideMark/>
          </w:tcPr>
          <w:p w14:paraId="64A9EC40"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1.240.000</w:t>
            </w:r>
          </w:p>
        </w:tc>
      </w:tr>
      <w:tr w:rsidR="00545A37" w:rsidRPr="00E82552" w14:paraId="02CE6B85" w14:textId="77777777" w:rsidTr="00FF0031">
        <w:trPr>
          <w:trHeight w:val="290"/>
        </w:trPr>
        <w:tc>
          <w:tcPr>
            <w:tcW w:w="2126" w:type="dxa"/>
            <w:shd w:val="clear" w:color="auto" w:fill="E7E6E6" w:themeFill="background2"/>
            <w:noWrap/>
            <w:hideMark/>
          </w:tcPr>
          <w:p w14:paraId="5A1EE072" w14:textId="77777777" w:rsidR="00545A37" w:rsidRPr="00E82552" w:rsidRDefault="00545A37" w:rsidP="00FF0031">
            <w:pPr>
              <w:rPr>
                <w:rFonts w:eastAsia="Times New Roman" w:cs="Calibri"/>
                <w:b/>
                <w:bCs/>
                <w:szCs w:val="20"/>
                <w:lang w:eastAsia="sl-SI"/>
              </w:rPr>
            </w:pPr>
            <w:r w:rsidRPr="00E82552">
              <w:rPr>
                <w:rFonts w:eastAsia="Times New Roman" w:cs="Calibri"/>
                <w:b/>
                <w:bCs/>
                <w:szCs w:val="20"/>
                <w:lang w:eastAsia="sl-SI"/>
              </w:rPr>
              <w:t>Površina</w:t>
            </w:r>
          </w:p>
        </w:tc>
        <w:tc>
          <w:tcPr>
            <w:tcW w:w="1701" w:type="dxa"/>
            <w:shd w:val="clear" w:color="auto" w:fill="E7E6E6" w:themeFill="background2"/>
            <w:noWrap/>
            <w:hideMark/>
          </w:tcPr>
          <w:p w14:paraId="6D9558C4" w14:textId="77777777" w:rsidR="00545A37" w:rsidRPr="00E82552" w:rsidRDefault="00545A37" w:rsidP="00FF0031">
            <w:pPr>
              <w:rPr>
                <w:rFonts w:eastAsia="Times New Roman" w:cs="Calibri"/>
                <w:szCs w:val="20"/>
                <w:lang w:eastAsia="sl-SI"/>
              </w:rPr>
            </w:pPr>
          </w:p>
        </w:tc>
        <w:tc>
          <w:tcPr>
            <w:tcW w:w="2127" w:type="dxa"/>
            <w:shd w:val="clear" w:color="auto" w:fill="E7E6E6" w:themeFill="background2"/>
            <w:noWrap/>
            <w:hideMark/>
          </w:tcPr>
          <w:p w14:paraId="157B51DD"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ha</w:t>
            </w:r>
          </w:p>
        </w:tc>
        <w:tc>
          <w:tcPr>
            <w:tcW w:w="1951" w:type="dxa"/>
            <w:shd w:val="clear" w:color="auto" w:fill="E7E6E6" w:themeFill="background2"/>
            <w:noWrap/>
            <w:hideMark/>
          </w:tcPr>
          <w:p w14:paraId="37004C19"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27.949</w:t>
            </w:r>
          </w:p>
        </w:tc>
        <w:tc>
          <w:tcPr>
            <w:tcW w:w="1184" w:type="dxa"/>
            <w:shd w:val="clear" w:color="auto" w:fill="E7E6E6" w:themeFill="background2"/>
            <w:noWrap/>
            <w:hideMark/>
          </w:tcPr>
          <w:p w14:paraId="2174397E" w14:textId="77777777" w:rsidR="00545A37" w:rsidRPr="00E82552" w:rsidRDefault="00545A37" w:rsidP="00FF0031">
            <w:pPr>
              <w:rPr>
                <w:rFonts w:eastAsia="Times New Roman" w:cs="Calibri"/>
                <w:szCs w:val="20"/>
                <w:lang w:eastAsia="sl-SI"/>
              </w:rPr>
            </w:pPr>
            <w:r w:rsidRPr="00E82552">
              <w:rPr>
                <w:rFonts w:eastAsia="Times New Roman" w:cs="Calibri"/>
                <w:szCs w:val="20"/>
                <w:lang w:eastAsia="sl-SI"/>
              </w:rPr>
              <w:t>1.183.433</w:t>
            </w:r>
          </w:p>
        </w:tc>
      </w:tr>
    </w:tbl>
    <w:p w14:paraId="43FF9180" w14:textId="77777777" w:rsidR="00545A37" w:rsidRPr="00E82552" w:rsidRDefault="00545A37" w:rsidP="00545A37"/>
    <w:p w14:paraId="3E7DC095" w14:textId="68186182" w:rsidR="00545A37" w:rsidRDefault="00545A37" w:rsidP="00545A37">
      <w:r w:rsidRPr="00E82552">
        <w:t>Ocene količin in potencialov lesa slabše kakovosti v MONG nakazujejo, da je izkoriščenega 63 % teoretičnega tržnega potenciala, pri čemer je bila izkoriščenost večja za les slabše kakovosti iglavcev (87 %) kot listavcev (60 %). Izkoriščenost tržnega potenciala hlodov listavcev je bila 69 %, za hlode smreke in jelke debeline 20-59 cm pa podatki o teoretičnem tržnem potencialu niso na voljo. Za vse obravnavane gozdno-lesne sortimente je izkoriščenost veliko večja kot na ravni celotne Slovenije.</w:t>
      </w:r>
    </w:p>
    <w:p w14:paraId="0A61ADCB" w14:textId="77777777" w:rsidR="00545A37" w:rsidRPr="00E25434" w:rsidRDefault="00545A37" w:rsidP="00545A37"/>
    <w:p w14:paraId="09BD1C19" w14:textId="33A3D427" w:rsidR="007C240A" w:rsidRPr="00F5752D" w:rsidRDefault="007C240A" w:rsidP="0013327D">
      <w:pPr>
        <w:pStyle w:val="Naslov3"/>
        <w:rPr>
          <w:rFonts w:eastAsia="Calibri"/>
          <w:lang w:eastAsia="sl-SI"/>
        </w:rPr>
      </w:pPr>
      <w:bookmarkStart w:id="249" w:name="_Toc57035076"/>
      <w:bookmarkStart w:id="250" w:name="_Hlk42241986"/>
      <w:bookmarkStart w:id="251" w:name="_Toc97026762"/>
      <w:r w:rsidRPr="00F5752D">
        <w:rPr>
          <w:rFonts w:eastAsia="Calibri"/>
          <w:lang w:eastAsia="sl-SI"/>
        </w:rPr>
        <w:t>Ocena sposobnosti prilagajanja</w:t>
      </w:r>
      <w:bookmarkEnd w:id="249"/>
      <w:r w:rsidR="00C174E2">
        <w:rPr>
          <w:rFonts w:eastAsia="Calibri"/>
          <w:lang w:eastAsia="sl-SI"/>
        </w:rPr>
        <w:t xml:space="preserve"> sektorja gozdarstvo</w:t>
      </w:r>
      <w:bookmarkEnd w:id="251"/>
    </w:p>
    <w:bookmarkEnd w:id="250"/>
    <w:p w14:paraId="670DEEE8" w14:textId="77777777" w:rsidR="00545A37" w:rsidRPr="00E82552" w:rsidRDefault="00545A37" w:rsidP="00545A37">
      <w:r w:rsidRPr="00E82552">
        <w:t xml:space="preserve">Dejanski vpliv podnebnih sprememb na gozdarstvo je poleg ogroženosti gozdov odvisen tudi od izvedenih ukrepov prilagajanja na novo nastali položaj. Pri tem ločimo ukrepe za prilagajanje gozdov kot ekosistemov ter ukrepe za prilagajanje gospodarjenja z gozdovi, lastnikov in gospodarstva, povezanega z gozdom (gozdarstvo, lesno-predelovalna industrija, energetika, idr.). </w:t>
      </w:r>
    </w:p>
    <w:p w14:paraId="1C9331DF" w14:textId="77777777" w:rsidR="00545A37" w:rsidRPr="00E82552" w:rsidRDefault="00545A37" w:rsidP="00545A37">
      <w:r w:rsidRPr="00E82552">
        <w:t>Predlagani ukrepi za prilagajanje gozdarstva in s tem zmanjšanje negativnih vplivov podnebnih sprememb so:</w:t>
      </w:r>
    </w:p>
    <w:p w14:paraId="55ECE797" w14:textId="77777777" w:rsidR="00545A37" w:rsidRPr="00E82552" w:rsidRDefault="00545A37" w:rsidP="00F90C17">
      <w:pPr>
        <w:pStyle w:val="Odstavekseznama"/>
        <w:numPr>
          <w:ilvl w:val="0"/>
          <w:numId w:val="12"/>
        </w:numPr>
        <w:rPr>
          <w:rFonts w:ascii="Trebuchet MS" w:hAnsi="Trebuchet MS" w:cs="Arial"/>
        </w:rPr>
      </w:pPr>
      <w:r w:rsidRPr="00E82552">
        <w:rPr>
          <w:rFonts w:ascii="Trebuchet MS" w:hAnsi="Trebuchet MS" w:cs="Arial"/>
        </w:rPr>
        <w:t>Ohranjanje stabilnega deleža gozdnatosti v kmetijski krajini in ohranjanje kmetijskih površin pred zaraščanjem.</w:t>
      </w:r>
    </w:p>
    <w:p w14:paraId="7C7D72CE" w14:textId="77777777" w:rsidR="00545A37" w:rsidRPr="00E82552" w:rsidRDefault="00545A37" w:rsidP="00F90C17">
      <w:pPr>
        <w:pStyle w:val="Odstavekseznama"/>
        <w:numPr>
          <w:ilvl w:val="0"/>
          <w:numId w:val="12"/>
        </w:numPr>
        <w:spacing w:line="257" w:lineRule="auto"/>
        <w:rPr>
          <w:rFonts w:ascii="Trebuchet MS" w:hAnsi="Trebuchet MS"/>
        </w:rPr>
      </w:pPr>
      <w:r w:rsidRPr="00E82552">
        <w:rPr>
          <w:rFonts w:ascii="Trebuchet MS" w:hAnsi="Trebuchet MS"/>
        </w:rPr>
        <w:t xml:space="preserve">Vzpostavitev in ohranjanje vetrno-zaščitnih pasov, mejic  in </w:t>
      </w:r>
      <w:proofErr w:type="spellStart"/>
      <w:r w:rsidRPr="00E82552">
        <w:rPr>
          <w:rFonts w:ascii="Trebuchet MS" w:hAnsi="Trebuchet MS"/>
        </w:rPr>
        <w:t>omejkov</w:t>
      </w:r>
      <w:proofErr w:type="spellEnd"/>
      <w:r w:rsidRPr="00E82552">
        <w:rPr>
          <w:rFonts w:ascii="Trebuchet MS" w:hAnsi="Trebuchet MS"/>
        </w:rPr>
        <w:t xml:space="preserve"> za zmanjšanje ogroženosti kmetijskih površin zaradi močnih sunkov vetra in vetrne erozije.</w:t>
      </w:r>
    </w:p>
    <w:p w14:paraId="73AA38B3" w14:textId="77777777" w:rsidR="00545A37" w:rsidRPr="00E82552" w:rsidRDefault="00545A37" w:rsidP="00F90C17">
      <w:pPr>
        <w:pStyle w:val="Odstavekseznama"/>
        <w:numPr>
          <w:ilvl w:val="0"/>
          <w:numId w:val="12"/>
        </w:numPr>
        <w:spacing w:line="257" w:lineRule="auto"/>
        <w:rPr>
          <w:rFonts w:ascii="Trebuchet MS" w:hAnsi="Trebuchet MS"/>
        </w:rPr>
      </w:pPr>
      <w:r w:rsidRPr="00E82552">
        <w:rPr>
          <w:rFonts w:ascii="Trebuchet MS" w:hAnsi="Trebuchet MS"/>
        </w:rPr>
        <w:lastRenderedPageBreak/>
        <w:t>V sodelovanju z lokalno skupnostjo spodbujati, svetovati in usmerjati ohranjanje in povečanje dostopnih površin mestnih gozdov ter povezovanje z zelenimi površinami na robovih naselij in v zaledju (</w:t>
      </w:r>
      <w:proofErr w:type="spellStart"/>
      <w:r w:rsidRPr="00E82552">
        <w:rPr>
          <w:rFonts w:ascii="Trebuchet MS" w:hAnsi="Trebuchet MS"/>
        </w:rPr>
        <w:t>Rafut</w:t>
      </w:r>
      <w:proofErr w:type="spellEnd"/>
      <w:r w:rsidRPr="00E82552">
        <w:rPr>
          <w:rFonts w:ascii="Trebuchet MS" w:hAnsi="Trebuchet MS"/>
        </w:rPr>
        <w:t xml:space="preserve">, </w:t>
      </w:r>
      <w:proofErr w:type="spellStart"/>
      <w:r w:rsidRPr="00E82552">
        <w:rPr>
          <w:rFonts w:ascii="Trebuchet MS" w:hAnsi="Trebuchet MS"/>
        </w:rPr>
        <w:t>Panovec</w:t>
      </w:r>
      <w:proofErr w:type="spellEnd"/>
      <w:r w:rsidRPr="00E82552">
        <w:rPr>
          <w:rFonts w:ascii="Trebuchet MS" w:hAnsi="Trebuchet MS"/>
        </w:rPr>
        <w:t xml:space="preserve">, ob železnici z navezavo na solkanski športni park, Kekec, Sabotin, idr.) v »zeleni sistem« na pretežno urbaniziranem območju MONG s poudarkom na rekreaciji in turizmu. </w:t>
      </w:r>
    </w:p>
    <w:p w14:paraId="644E3292" w14:textId="77777777" w:rsidR="00545A37" w:rsidRPr="00E82552" w:rsidRDefault="00545A37" w:rsidP="00F90C17">
      <w:pPr>
        <w:pStyle w:val="Odstavekseznama"/>
        <w:numPr>
          <w:ilvl w:val="0"/>
          <w:numId w:val="12"/>
        </w:numPr>
        <w:rPr>
          <w:rFonts w:ascii="Trebuchet MS" w:hAnsi="Trebuchet MS"/>
        </w:rPr>
      </w:pPr>
      <w:r w:rsidRPr="00E82552">
        <w:rPr>
          <w:rFonts w:ascii="Trebuchet MS" w:hAnsi="Trebuchet MS"/>
        </w:rPr>
        <w:t xml:space="preserve">Vzpostavitev javne službe za upravljanje z gozdovi v lasti MONG v sodelovanju z Zavodom za gozdove Slovenije v smislu »dobrega gospodarja« ter spodbujanje večnamenske vloge teh gozdov s poudarkom na protipožarni varnosti, rekreaciji, turizmu, izobraževanju in blaženju podnebnih sprememb v urbanih središčih (zmanjševanje onesnaženosti zraka, zmanjševanje temperatur, zmanjševanje hrupa, itd.). </w:t>
      </w:r>
    </w:p>
    <w:p w14:paraId="26F6FB82" w14:textId="77777777" w:rsidR="00545A37" w:rsidRPr="00E82552" w:rsidRDefault="00545A37" w:rsidP="00F90C17">
      <w:pPr>
        <w:pStyle w:val="Odstavekseznama"/>
        <w:numPr>
          <w:ilvl w:val="0"/>
          <w:numId w:val="12"/>
        </w:numPr>
        <w:spacing w:line="257" w:lineRule="auto"/>
        <w:rPr>
          <w:rFonts w:ascii="Trebuchet MS" w:hAnsi="Trebuchet MS"/>
        </w:rPr>
      </w:pPr>
      <w:r w:rsidRPr="00E82552">
        <w:rPr>
          <w:rFonts w:ascii="Trebuchet MS" w:hAnsi="Trebuchet MS"/>
        </w:rPr>
        <w:t>V sodelovanju z lokalno skupnostjo se izdela kataster zelenih površin ter poskrbi za ustrezno nadomeščanje starih, nevarnih ali obolelih dreves oz. drugih zasaditev. Hkrati se izpostavijo posebnosti vegetacije (zgodbe dreves, grmovnic, posebnosti parkovnih zasaditev, idr.) ter vzpostavitvijo učilnic v naravi.</w:t>
      </w:r>
    </w:p>
    <w:p w14:paraId="6C1B765A" w14:textId="77777777" w:rsidR="00545A37" w:rsidRPr="00E82552" w:rsidRDefault="00545A37" w:rsidP="00F90C17">
      <w:pPr>
        <w:pStyle w:val="Odstavekseznama"/>
        <w:numPr>
          <w:ilvl w:val="0"/>
          <w:numId w:val="12"/>
        </w:numPr>
        <w:rPr>
          <w:rFonts w:ascii="Trebuchet MS" w:hAnsi="Trebuchet MS" w:cs="Arial"/>
        </w:rPr>
      </w:pPr>
      <w:r w:rsidRPr="00E82552">
        <w:rPr>
          <w:rFonts w:ascii="Trebuchet MS" w:hAnsi="Trebuchet MS" w:cs="Arial"/>
        </w:rPr>
        <w:t xml:space="preserve">Izboljšanje strukture gozdov (večja pestrost avtohtonih drevesnih vrst, bolj uravnoteženo razmerje razvojnih faz, idr.) z namenom krepitve odpornosti gozdov </w:t>
      </w:r>
      <w:r w:rsidRPr="00E82552">
        <w:rPr>
          <w:rFonts w:ascii="Trebuchet MS" w:eastAsia="Trebuchet MS" w:hAnsi="Trebuchet MS" w:cs="Trebuchet MS"/>
        </w:rPr>
        <w:t>na mehanske poškodbe ter bolezni in škodljivce</w:t>
      </w:r>
      <w:r w:rsidRPr="00E82552">
        <w:rPr>
          <w:rFonts w:ascii="Trebuchet MS" w:hAnsi="Trebuchet MS" w:cs="Arial"/>
        </w:rPr>
        <w:t>.</w:t>
      </w:r>
    </w:p>
    <w:p w14:paraId="74984983" w14:textId="77777777" w:rsidR="00545A37" w:rsidRPr="00E82552" w:rsidRDefault="00545A37" w:rsidP="00F90C17">
      <w:pPr>
        <w:pStyle w:val="Odstavekseznama"/>
        <w:numPr>
          <w:ilvl w:val="0"/>
          <w:numId w:val="12"/>
        </w:numPr>
        <w:rPr>
          <w:rFonts w:ascii="Trebuchet MS" w:hAnsi="Trebuchet MS" w:cs="Arial"/>
        </w:rPr>
      </w:pPr>
      <w:r w:rsidRPr="00E82552">
        <w:rPr>
          <w:rFonts w:ascii="Trebuchet MS" w:hAnsi="Trebuchet MS" w:cs="Arial"/>
        </w:rPr>
        <w:t xml:space="preserve">Sestoji črnega bora naj se postopoma nadomeščajo z avtohtonimi </w:t>
      </w:r>
      <w:r>
        <w:rPr>
          <w:rFonts w:ascii="Trebuchet MS" w:hAnsi="Trebuchet MS" w:cs="Arial"/>
        </w:rPr>
        <w:t>drevesnimi vrstami (hrast, kostanj, češnja, beli gaber, lipa, idr.)</w:t>
      </w:r>
      <w:r w:rsidRPr="00E82552">
        <w:rPr>
          <w:rFonts w:ascii="Trebuchet MS" w:hAnsi="Trebuchet MS" w:cs="Arial"/>
        </w:rPr>
        <w:t xml:space="preserve">, kar pomeni naravnejšo zgradbo gozda, posledično pa tudi manjšo požarno ogroženost celotnega prostora. </w:t>
      </w:r>
    </w:p>
    <w:p w14:paraId="1149194F" w14:textId="77777777" w:rsidR="00545A37" w:rsidRPr="00E82552" w:rsidRDefault="00545A37" w:rsidP="00F90C17">
      <w:pPr>
        <w:pStyle w:val="Odstavekseznama"/>
        <w:numPr>
          <w:ilvl w:val="0"/>
          <w:numId w:val="12"/>
        </w:numPr>
        <w:rPr>
          <w:rFonts w:ascii="Trebuchet MS" w:hAnsi="Trebuchet MS" w:cs="Arial"/>
        </w:rPr>
      </w:pPr>
      <w:r w:rsidRPr="00E82552">
        <w:rPr>
          <w:rFonts w:ascii="Trebuchet MS" w:hAnsi="Trebuchet MS" w:cs="Arial"/>
        </w:rPr>
        <w:t>Zagotoviti ohranjanje ugodnega stanja habitatnih tipov in kvalifikacijskih vrst Nature 2000.</w:t>
      </w:r>
    </w:p>
    <w:p w14:paraId="3C5CA2C6" w14:textId="77777777" w:rsidR="00545A37" w:rsidRPr="00E82552" w:rsidRDefault="00545A37" w:rsidP="00F90C17">
      <w:pPr>
        <w:pStyle w:val="Odstavekseznama"/>
        <w:numPr>
          <w:ilvl w:val="0"/>
          <w:numId w:val="12"/>
        </w:numPr>
        <w:rPr>
          <w:rFonts w:ascii="Trebuchet MS" w:hAnsi="Trebuchet MS" w:cs="Arial"/>
        </w:rPr>
      </w:pPr>
      <w:r w:rsidRPr="00E82552">
        <w:rPr>
          <w:rFonts w:ascii="Trebuchet MS" w:hAnsi="Trebuchet MS" w:cs="Arial"/>
        </w:rPr>
        <w:t xml:space="preserve">Načrtovanje in izvajanje proti-erozijskih ukrepov v gozdovih za zmanjševanje erozijske ogroženosti infrastrukture ter preprečevanje proženja zemeljskih plazov. </w:t>
      </w:r>
    </w:p>
    <w:p w14:paraId="48DD4CD0" w14:textId="77777777" w:rsidR="00545A37" w:rsidRDefault="00545A37" w:rsidP="00F90C17">
      <w:pPr>
        <w:pStyle w:val="Odstavekseznama"/>
        <w:numPr>
          <w:ilvl w:val="0"/>
          <w:numId w:val="12"/>
        </w:numPr>
        <w:rPr>
          <w:rFonts w:ascii="Trebuchet MS" w:hAnsi="Trebuchet MS" w:cs="Arial"/>
        </w:rPr>
      </w:pPr>
      <w:r w:rsidRPr="00E82552">
        <w:rPr>
          <w:rFonts w:ascii="Trebuchet MS" w:hAnsi="Trebuchet MS" w:cs="Arial"/>
        </w:rPr>
        <w:t xml:space="preserve">Zmanjšanje požarne ogroženosti gozdov v občini (usmerjanje gojitvenih in varstvenih del v protipožarno varstvo, npr. gradnja in vzdrževanje protipožarnih presek), usmerjanje </w:t>
      </w:r>
      <w:r>
        <w:rPr>
          <w:rFonts w:ascii="Trebuchet MS" w:hAnsi="Trebuchet MS" w:cs="Arial"/>
        </w:rPr>
        <w:t>drevesne sestave</w:t>
      </w:r>
      <w:r w:rsidRPr="00E82552">
        <w:rPr>
          <w:rFonts w:ascii="Trebuchet MS" w:hAnsi="Trebuchet MS" w:cs="Arial"/>
        </w:rPr>
        <w:t xml:space="preserve"> k požarno bolj odpornim oblikam.</w:t>
      </w:r>
    </w:p>
    <w:p w14:paraId="6CD89AF5" w14:textId="77777777" w:rsidR="00545A37" w:rsidRPr="00E82552" w:rsidRDefault="00545A37" w:rsidP="00F90C17">
      <w:pPr>
        <w:pStyle w:val="Odstavekseznama"/>
        <w:numPr>
          <w:ilvl w:val="0"/>
          <w:numId w:val="12"/>
        </w:numPr>
        <w:rPr>
          <w:rFonts w:ascii="Trebuchet MS" w:hAnsi="Trebuchet MS" w:cs="Arial"/>
        </w:rPr>
      </w:pPr>
      <w:r>
        <w:rPr>
          <w:rFonts w:ascii="Trebuchet MS" w:hAnsi="Trebuchet MS" w:cs="Arial"/>
        </w:rPr>
        <w:t xml:space="preserve">Ozaveščanje prebivalstva o nevarnostih vnašanja invazivnih tujerodnih vrst (ITV), predvsem načrtne sadnje </w:t>
      </w:r>
      <w:proofErr w:type="spellStart"/>
      <w:r>
        <w:rPr>
          <w:rFonts w:ascii="Trebuchet MS" w:hAnsi="Trebuchet MS" w:cs="Arial"/>
        </w:rPr>
        <w:t>pavlovnije</w:t>
      </w:r>
      <w:proofErr w:type="spellEnd"/>
      <w:r>
        <w:rPr>
          <w:rFonts w:ascii="Trebuchet MS" w:hAnsi="Trebuchet MS" w:cs="Arial"/>
        </w:rPr>
        <w:t xml:space="preserve"> in črnega oreha ter vzpostavitev sistema hitrega ukrepanja pri vdoru novih ITV.</w:t>
      </w:r>
    </w:p>
    <w:p w14:paraId="4CBD8936" w14:textId="77777777" w:rsidR="00545A37" w:rsidRPr="00E82552" w:rsidRDefault="00545A37" w:rsidP="00F90C17">
      <w:pPr>
        <w:pStyle w:val="Odstavekseznama"/>
        <w:numPr>
          <w:ilvl w:val="0"/>
          <w:numId w:val="12"/>
        </w:numPr>
        <w:rPr>
          <w:rFonts w:ascii="Trebuchet MS" w:hAnsi="Trebuchet MS" w:cs="Arial"/>
        </w:rPr>
      </w:pPr>
      <w:r w:rsidRPr="00E82552">
        <w:rPr>
          <w:rFonts w:ascii="Trebuchet MS" w:hAnsi="Trebuchet MS" w:cs="Arial"/>
        </w:rPr>
        <w:t>Povezovanje lastnikov ali koncentracija izrazito razdrobljene gozdne posesti za bolj učinkovito gospodarjenje z gozdovi.</w:t>
      </w:r>
    </w:p>
    <w:p w14:paraId="1E45BF26" w14:textId="77777777" w:rsidR="00545A37" w:rsidRPr="00E82552" w:rsidRDefault="00545A37" w:rsidP="00F90C17">
      <w:pPr>
        <w:pStyle w:val="Odstavekseznama"/>
        <w:numPr>
          <w:ilvl w:val="0"/>
          <w:numId w:val="12"/>
        </w:numPr>
        <w:rPr>
          <w:rFonts w:ascii="Trebuchet MS" w:hAnsi="Trebuchet MS" w:cs="Arial"/>
        </w:rPr>
      </w:pPr>
      <w:r>
        <w:rPr>
          <w:rFonts w:ascii="Trebuchet MS" w:hAnsi="Trebuchet MS" w:cs="Arial"/>
        </w:rPr>
        <w:t>Spodbujanje l</w:t>
      </w:r>
      <w:r w:rsidRPr="00E82552">
        <w:rPr>
          <w:rFonts w:ascii="Trebuchet MS" w:hAnsi="Trebuchet MS" w:cs="Arial"/>
        </w:rPr>
        <w:t>astnik</w:t>
      </w:r>
      <w:r>
        <w:rPr>
          <w:rFonts w:ascii="Trebuchet MS" w:hAnsi="Trebuchet MS" w:cs="Arial"/>
        </w:rPr>
        <w:t>ov</w:t>
      </w:r>
      <w:r w:rsidRPr="00E82552">
        <w:rPr>
          <w:rFonts w:ascii="Trebuchet MS" w:hAnsi="Trebuchet MS" w:cs="Arial"/>
        </w:rPr>
        <w:t xml:space="preserve"> gozdov k sečnji, izvajanju gojitvenih</w:t>
      </w:r>
      <w:r>
        <w:rPr>
          <w:rFonts w:ascii="Trebuchet MS" w:hAnsi="Trebuchet MS" w:cs="Arial"/>
        </w:rPr>
        <w:t xml:space="preserve"> </w:t>
      </w:r>
      <w:r w:rsidRPr="00E82552">
        <w:rPr>
          <w:rFonts w:ascii="Trebuchet MS" w:hAnsi="Trebuchet MS" w:cs="Arial"/>
        </w:rPr>
        <w:t>del</w:t>
      </w:r>
      <w:r>
        <w:rPr>
          <w:rFonts w:ascii="Trebuchet MS" w:hAnsi="Trebuchet MS" w:cs="Arial"/>
        </w:rPr>
        <w:t>, predvsem nege mladega gozda</w:t>
      </w:r>
      <w:r w:rsidRPr="00E82552">
        <w:rPr>
          <w:rFonts w:ascii="Trebuchet MS" w:hAnsi="Trebuchet MS" w:cs="Arial"/>
        </w:rPr>
        <w:t xml:space="preserve"> ter vlaganju v gozdove.</w:t>
      </w:r>
    </w:p>
    <w:p w14:paraId="74C2E92C" w14:textId="77777777" w:rsidR="00545A37" w:rsidRDefault="00545A37" w:rsidP="00F90C17">
      <w:pPr>
        <w:pStyle w:val="Odstavekseznama"/>
        <w:numPr>
          <w:ilvl w:val="0"/>
          <w:numId w:val="12"/>
        </w:numPr>
        <w:rPr>
          <w:rFonts w:ascii="Trebuchet MS" w:hAnsi="Trebuchet MS" w:cs="Arial"/>
        </w:rPr>
      </w:pPr>
      <w:r w:rsidRPr="00E82552">
        <w:rPr>
          <w:rFonts w:ascii="Trebuchet MS" w:hAnsi="Trebuchet MS" w:cs="Arial"/>
        </w:rPr>
        <w:t xml:space="preserve">Ozaveščanje in usposabljanje zasebnih lastnikov gozdov ter izvajalcev gozdnih del za bolj učinkovito in varno delo ter gospodarjenje z gozdom. </w:t>
      </w:r>
    </w:p>
    <w:p w14:paraId="74782B0D" w14:textId="77777777" w:rsidR="00545A37" w:rsidRPr="00E82552" w:rsidRDefault="00545A37" w:rsidP="00F90C17">
      <w:pPr>
        <w:pStyle w:val="Odstavekseznama"/>
        <w:numPr>
          <w:ilvl w:val="0"/>
          <w:numId w:val="12"/>
        </w:numPr>
        <w:rPr>
          <w:rFonts w:ascii="Trebuchet MS" w:hAnsi="Trebuchet MS" w:cs="Arial"/>
        </w:rPr>
      </w:pPr>
      <w:r w:rsidRPr="00E82552">
        <w:rPr>
          <w:rFonts w:ascii="Trebuchet MS" w:hAnsi="Trebuchet MS" w:cs="Arial"/>
        </w:rPr>
        <w:t>Pospeševanje odpiranja zaprtih predelov gozdov z gozdno infrastrukturo (gozdne vlake) za bolj učinkovito gospodarjenje z gozdovi, zlasti preventivno varstvo gozdov.</w:t>
      </w:r>
    </w:p>
    <w:p w14:paraId="41188B7B" w14:textId="77777777" w:rsidR="00545A37" w:rsidRPr="00E82552" w:rsidRDefault="00545A37" w:rsidP="00F90C17">
      <w:pPr>
        <w:pStyle w:val="Odstavekseznama"/>
        <w:numPr>
          <w:ilvl w:val="0"/>
          <w:numId w:val="12"/>
        </w:numPr>
        <w:rPr>
          <w:rFonts w:ascii="Trebuchet MS" w:hAnsi="Trebuchet MS" w:cs="Arial"/>
        </w:rPr>
      </w:pPr>
      <w:r w:rsidRPr="00E82552">
        <w:rPr>
          <w:rFonts w:ascii="Trebuchet MS" w:hAnsi="Trebuchet MS" w:cs="Arial"/>
        </w:rPr>
        <w:t>Povečanje sredstev in kadrov za delovanje javne gozdarske službe.</w:t>
      </w:r>
    </w:p>
    <w:p w14:paraId="65ABCDF7" w14:textId="77777777" w:rsidR="00545A37" w:rsidRPr="00E82552" w:rsidRDefault="00545A37" w:rsidP="00F90C17">
      <w:pPr>
        <w:pStyle w:val="Odstavekseznama"/>
        <w:numPr>
          <w:ilvl w:val="0"/>
          <w:numId w:val="12"/>
        </w:numPr>
        <w:rPr>
          <w:rFonts w:ascii="Trebuchet MS" w:hAnsi="Trebuchet MS" w:cs="Arial"/>
        </w:rPr>
      </w:pPr>
      <w:r w:rsidRPr="00E82552">
        <w:rPr>
          <w:rFonts w:ascii="Trebuchet MS" w:hAnsi="Trebuchet MS" w:cs="Arial"/>
        </w:rPr>
        <w:lastRenderedPageBreak/>
        <w:t>Izboljšanje stanja gozdarske in lesno-predelovalne panoge v Sloveniji in v regiji – manjša razdrobljenost, povezovanje, prilagoditev tehnologije predelavi lesa listavcev, večja inovativnost in večja konkurenčnost žagarske panoge (Gričar</w:t>
      </w:r>
      <w:r>
        <w:rPr>
          <w:rFonts w:ascii="Trebuchet MS" w:hAnsi="Trebuchet MS" w:cs="Arial"/>
        </w:rPr>
        <w:t xml:space="preserve">, </w:t>
      </w:r>
      <w:r w:rsidRPr="00E82552">
        <w:rPr>
          <w:rFonts w:ascii="Trebuchet MS" w:hAnsi="Trebuchet MS" w:cs="Arial"/>
        </w:rPr>
        <w:t>2014).</w:t>
      </w:r>
    </w:p>
    <w:p w14:paraId="0B09663C" w14:textId="77777777" w:rsidR="00545A37" w:rsidRPr="00E82552" w:rsidRDefault="00545A37" w:rsidP="00F90C17">
      <w:pPr>
        <w:pStyle w:val="Odstavekseznama"/>
        <w:numPr>
          <w:ilvl w:val="0"/>
          <w:numId w:val="12"/>
        </w:numPr>
        <w:spacing w:after="120"/>
        <w:ind w:left="782" w:hanging="357"/>
        <w:jc w:val="left"/>
        <w:rPr>
          <w:rFonts w:ascii="Trebuchet MS" w:hAnsi="Trebuchet MS" w:cs="Arial"/>
        </w:rPr>
      </w:pPr>
      <w:r w:rsidRPr="00E82552">
        <w:rPr>
          <w:rFonts w:ascii="Trebuchet MS" w:hAnsi="Trebuchet MS" w:cs="Arial"/>
        </w:rPr>
        <w:t>Ozaveščanje in spodbujanje prebivalstva, javnih ustanov in investitorjev za večjo rabo lesne biomase kot OVE.</w:t>
      </w:r>
    </w:p>
    <w:p w14:paraId="02A3B5B0" w14:textId="77777777" w:rsidR="00545A37" w:rsidRPr="00E82552" w:rsidRDefault="00545A37" w:rsidP="00545A37">
      <w:r w:rsidRPr="00E82552">
        <w:t xml:space="preserve">Podrobnejši opis možnih ukrepov je predstavljen v nadaljevanju. Ti ukrepi bodo morali biti podprti tudi z vključitvijo ciljev prilagajanja in usmeritev za njihovo doseganje v naslednjo generacijo gozdnogospodarskih načrtov, za katere je odgovoren Zavod za gozdove Slovenije. Hkrati bi morali biti vključeni v strateške dokumente na občinski in regionalni ravni, kot so na primer Strategija razvoja </w:t>
      </w:r>
      <w:r>
        <w:t>MONG</w:t>
      </w:r>
      <w:r w:rsidRPr="00E82552">
        <w:t xml:space="preserve">, Akcijski načrt za trajnostno energijo </w:t>
      </w:r>
      <w:r>
        <w:t>MONG</w:t>
      </w:r>
      <w:r w:rsidRPr="00E82552">
        <w:t>, Trajnostna urbana strategija, Strategija razvoja turizma Vipavske doline, Strategija lokalnega razvoja za Lokalno akcijsko skupino Vipavska dolina, Regionalni razvojni program regije, idr.</w:t>
      </w:r>
    </w:p>
    <w:p w14:paraId="44FBFD11" w14:textId="77777777" w:rsidR="0023654A" w:rsidRDefault="0023654A" w:rsidP="0013327D"/>
    <w:p w14:paraId="4F69F16C" w14:textId="3A08C0C3" w:rsidR="007C240A" w:rsidRPr="004C1F74" w:rsidRDefault="007C240A" w:rsidP="0013327D">
      <w:pPr>
        <w:pStyle w:val="Naslov3"/>
        <w:rPr>
          <w:rFonts w:eastAsia="Calibri"/>
          <w:lang w:eastAsia="sl-SI"/>
        </w:rPr>
      </w:pPr>
      <w:bookmarkStart w:id="252" w:name="_Toc57035077"/>
      <w:bookmarkStart w:id="253" w:name="_Hlk42241997"/>
      <w:bookmarkStart w:id="254" w:name="_Toc97026763"/>
      <w:r w:rsidRPr="004C1F74">
        <w:rPr>
          <w:rFonts w:eastAsia="Calibri"/>
          <w:lang w:eastAsia="sl-SI"/>
        </w:rPr>
        <w:t>Ocena ranljivosti sektorja</w:t>
      </w:r>
      <w:bookmarkEnd w:id="252"/>
      <w:r w:rsidR="00C174E2">
        <w:rPr>
          <w:rFonts w:eastAsia="Calibri"/>
          <w:lang w:eastAsia="sl-SI"/>
        </w:rPr>
        <w:t xml:space="preserve"> gozdarstvo</w:t>
      </w:r>
      <w:bookmarkEnd w:id="254"/>
    </w:p>
    <w:bookmarkEnd w:id="253"/>
    <w:p w14:paraId="449C62D5" w14:textId="1A7227BA" w:rsidR="00545A37" w:rsidRPr="00E82552" w:rsidRDefault="00545A37" w:rsidP="00545A37">
      <w:r w:rsidRPr="00E82552">
        <w:t xml:space="preserve">Ocena ranljivosti sektorja gozdarstvo obravnava informacije o izpostavljenosti Mestne občine Nova Gorica trenutnemu stanju podnebja in pričakovanim podnebnim spremembam ter vključuje informacije o občutljivosti naravnega in družbenega okolja, kar skupaj poda oceno potencialnih vplivov za sektor gozdarstvo. V </w:t>
      </w:r>
      <w:r w:rsidR="00EE30E5">
        <w:fldChar w:fldCharType="begin"/>
      </w:r>
      <w:r w:rsidR="00EE30E5">
        <w:instrText xml:space="preserve"> REF _Ref74906218 \h </w:instrText>
      </w:r>
      <w:r w:rsidR="00EE30E5">
        <w:fldChar w:fldCharType="separate"/>
      </w:r>
      <w:r w:rsidR="004700D5">
        <w:t xml:space="preserve">Preglednica </w:t>
      </w:r>
      <w:r w:rsidR="004700D5">
        <w:rPr>
          <w:noProof/>
        </w:rPr>
        <w:t>6</w:t>
      </w:r>
      <w:r w:rsidR="004700D5">
        <w:t>.</w:t>
      </w:r>
      <w:r w:rsidR="004700D5">
        <w:rPr>
          <w:noProof/>
        </w:rPr>
        <w:t>18</w:t>
      </w:r>
      <w:r w:rsidR="00EE30E5">
        <w:fldChar w:fldCharType="end"/>
      </w:r>
      <w:r w:rsidR="00EE30E5">
        <w:t xml:space="preserve"> </w:t>
      </w:r>
      <w:r w:rsidRPr="00E82552">
        <w:t>je prikazana ocena ranljivosti trenutnega stanja sektorja gozdarstvo s kazalniki za potencialne vplive, sposobnost prilagajanja ter ranljivost.</w:t>
      </w:r>
    </w:p>
    <w:p w14:paraId="5355FA0A" w14:textId="7A2AB9A8" w:rsidR="00EE30E5" w:rsidRDefault="00EE30E5" w:rsidP="00EE30E5">
      <w:pPr>
        <w:pStyle w:val="Napis"/>
        <w:keepNext/>
      </w:pPr>
      <w:bookmarkStart w:id="255" w:name="_Ref74906218"/>
      <w:bookmarkStart w:id="256" w:name="_Toc97026971"/>
      <w:r>
        <w:lastRenderedPageBreak/>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18</w:t>
      </w:r>
      <w:r w:rsidR="00976D80">
        <w:fldChar w:fldCharType="end"/>
      </w:r>
      <w:bookmarkEnd w:id="255"/>
      <w:r>
        <w:t>:</w:t>
      </w:r>
      <w:r w:rsidRPr="00EE30E5">
        <w:t xml:space="preserve"> Ocena ranljivosti trenutnega stanja sektorja gozdarstvo v Mestni občini Nova Gorica (MONG) z analizo potencialnih vplivov podnebnih sprememb ter oceno sposobnosti prilagajanja na vplive podnebnih sprememb</w:t>
      </w:r>
      <w:r>
        <w:t>.</w:t>
      </w:r>
      <w:bookmarkEnd w:id="256"/>
    </w:p>
    <w:p w14:paraId="77D93307" w14:textId="01FFB3E6" w:rsidR="00D46322" w:rsidRDefault="00D46322" w:rsidP="0013327D">
      <w:pPr>
        <w:rPr>
          <w:noProof/>
        </w:rPr>
      </w:pPr>
      <w:r>
        <w:rPr>
          <w:noProof/>
          <w:lang w:eastAsia="sl-SI"/>
        </w:rPr>
        <w:drawing>
          <wp:inline distT="0" distB="0" distL="0" distR="0" wp14:anchorId="04431C07" wp14:editId="602ADA7F">
            <wp:extent cx="7396798" cy="4078912"/>
            <wp:effectExtent l="1587"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rot="16200000">
                      <a:off x="0" y="0"/>
                      <a:ext cx="7438573" cy="4101949"/>
                    </a:xfrm>
                    <a:prstGeom prst="rect">
                      <a:avLst/>
                    </a:prstGeom>
                    <a:noFill/>
                    <a:ln>
                      <a:noFill/>
                    </a:ln>
                  </pic:spPr>
                </pic:pic>
              </a:graphicData>
            </a:graphic>
          </wp:inline>
        </w:drawing>
      </w:r>
    </w:p>
    <w:p w14:paraId="49A52EE2" w14:textId="73F66371" w:rsidR="00EE30E5" w:rsidRDefault="00EE30E5" w:rsidP="0013327D">
      <w:pPr>
        <w:rPr>
          <w:noProof/>
        </w:rPr>
      </w:pPr>
      <w:r>
        <w:rPr>
          <w:noProof/>
          <w:lang w:eastAsia="sl-SI"/>
        </w:rPr>
        <w:lastRenderedPageBreak/>
        <w:drawing>
          <wp:inline distT="0" distB="0" distL="0" distR="0" wp14:anchorId="6B02C589" wp14:editId="670D1399">
            <wp:extent cx="7889129" cy="5440045"/>
            <wp:effectExtent l="5080" t="0" r="3175"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rot="16200000">
                      <a:off x="0" y="0"/>
                      <a:ext cx="7891252" cy="5441509"/>
                    </a:xfrm>
                    <a:prstGeom prst="rect">
                      <a:avLst/>
                    </a:prstGeom>
                    <a:noFill/>
                    <a:ln>
                      <a:noFill/>
                    </a:ln>
                  </pic:spPr>
                </pic:pic>
              </a:graphicData>
            </a:graphic>
          </wp:inline>
        </w:drawing>
      </w:r>
    </w:p>
    <w:p w14:paraId="79B3359E" w14:textId="2563FDE6" w:rsidR="0013327D" w:rsidRDefault="00D46322" w:rsidP="0013327D">
      <w:r>
        <w:rPr>
          <w:noProof/>
          <w:lang w:eastAsia="sl-SI"/>
        </w:rPr>
        <w:lastRenderedPageBreak/>
        <w:drawing>
          <wp:inline distT="0" distB="0" distL="0" distR="0" wp14:anchorId="2861CB18" wp14:editId="7BB5D023">
            <wp:extent cx="7867048" cy="3315539"/>
            <wp:effectExtent l="889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rot="16200000">
                      <a:off x="0" y="0"/>
                      <a:ext cx="7896520" cy="3327960"/>
                    </a:xfrm>
                    <a:prstGeom prst="rect">
                      <a:avLst/>
                    </a:prstGeom>
                    <a:noFill/>
                    <a:ln>
                      <a:noFill/>
                    </a:ln>
                  </pic:spPr>
                </pic:pic>
              </a:graphicData>
            </a:graphic>
          </wp:inline>
        </w:drawing>
      </w:r>
    </w:p>
    <w:p w14:paraId="2B1D472D" w14:textId="35893EBA" w:rsidR="0013327D" w:rsidRPr="00151B12" w:rsidRDefault="0013327D" w:rsidP="00E66C02">
      <w:pPr>
        <w:pStyle w:val="Naslov3"/>
      </w:pPr>
      <w:bookmarkStart w:id="257" w:name="_Toc57035078"/>
      <w:bookmarkStart w:id="258" w:name="_Hlk42242012"/>
      <w:bookmarkStart w:id="259" w:name="_Toc97026764"/>
      <w:r w:rsidRPr="00151B12">
        <w:lastRenderedPageBreak/>
        <w:t>Ocena tveganja</w:t>
      </w:r>
      <w:bookmarkEnd w:id="257"/>
      <w:r w:rsidRPr="00151B12">
        <w:t xml:space="preserve"> </w:t>
      </w:r>
      <w:r w:rsidR="00C174E2">
        <w:t>sektorja gozdarstvo</w:t>
      </w:r>
      <w:bookmarkEnd w:id="259"/>
    </w:p>
    <w:bookmarkEnd w:id="258"/>
    <w:p w14:paraId="2CF4FFA0" w14:textId="5A6E3DE6" w:rsidR="00EE30E5" w:rsidRPr="00E82552" w:rsidRDefault="00EE30E5" w:rsidP="00EE30E5">
      <w:r w:rsidRPr="00E82552">
        <w:t>Ocena tveganja je podana kot sprememba ranljivosti na podnebne spremembe v prihodnosti glede na ranljivost v referenčnem obdobju, pri čemer se upošteva tudi ranljivost v referenčnem obdobju (</w:t>
      </w:r>
      <w:r>
        <w:fldChar w:fldCharType="begin"/>
      </w:r>
      <w:r>
        <w:instrText xml:space="preserve"> REF _Ref74288897 \h </w:instrText>
      </w:r>
      <w:r>
        <w:fldChar w:fldCharType="separate"/>
      </w:r>
      <w:r w:rsidR="004700D5">
        <w:t xml:space="preserve">Slika </w:t>
      </w:r>
      <w:r w:rsidR="004700D5">
        <w:rPr>
          <w:noProof/>
        </w:rPr>
        <w:t>6</w:t>
      </w:r>
      <w:r w:rsidR="004700D5">
        <w:t>.</w:t>
      </w:r>
      <w:r w:rsidR="004700D5">
        <w:rPr>
          <w:noProof/>
        </w:rPr>
        <w:t>19</w:t>
      </w:r>
      <w:r>
        <w:fldChar w:fldCharType="end"/>
      </w:r>
      <w:r w:rsidRPr="00E82552">
        <w:t>). Upošteva spremembe izpostavljenosti, ki so posledica podnebnih sprememb glede na referenčno obdobje 1981-2010, morebitnih sprememb občutljivost sektorja in sprememb sposobnosti prilagajanja sektorja. Gre za tveganje, ki je posledica spremenjenega podnebja v prihodnosti.</w:t>
      </w:r>
    </w:p>
    <w:p w14:paraId="4DFF6282" w14:textId="77777777" w:rsidR="00EE30E5" w:rsidRDefault="00EE30E5" w:rsidP="00EE30E5">
      <w:pPr>
        <w:keepNext/>
        <w:jc w:val="center"/>
      </w:pPr>
      <w:r>
        <w:rPr>
          <w:noProof/>
          <w:lang w:eastAsia="sl-SI"/>
        </w:rPr>
        <w:drawing>
          <wp:inline distT="0" distB="0" distL="0" distR="0" wp14:anchorId="632B26DD" wp14:editId="08FEBCB7">
            <wp:extent cx="4049486" cy="3802475"/>
            <wp:effectExtent l="0" t="0" r="8255"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055446" cy="3808071"/>
                    </a:xfrm>
                    <a:prstGeom prst="rect">
                      <a:avLst/>
                    </a:prstGeom>
                    <a:noFill/>
                  </pic:spPr>
                </pic:pic>
              </a:graphicData>
            </a:graphic>
          </wp:inline>
        </w:drawing>
      </w:r>
    </w:p>
    <w:p w14:paraId="5972F6B5" w14:textId="3C36F0F1" w:rsidR="00EE30E5" w:rsidRPr="00E82552" w:rsidRDefault="00EE30E5" w:rsidP="00EE30E5">
      <w:pPr>
        <w:pStyle w:val="Napis"/>
      </w:pPr>
      <w:bookmarkStart w:id="260" w:name="_Ref74288897"/>
      <w:bookmarkStart w:id="261" w:name="_Toc97026870"/>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19</w:t>
      </w:r>
      <w:r w:rsidR="008334B2">
        <w:fldChar w:fldCharType="end"/>
      </w:r>
      <w:bookmarkEnd w:id="260"/>
      <w:r>
        <w:t xml:space="preserve">: </w:t>
      </w:r>
      <w:r w:rsidRPr="00BE46FC">
        <w:t>Ocena ranljivosti sektorja gozdarstvo v Mestni občini Nova Gorica v referenčnem obdobju 1981 – 2010 ter obdobjih 2011 – 2040 in 2041 – 2070</w:t>
      </w:r>
      <w:r>
        <w:t>.</w:t>
      </w:r>
      <w:bookmarkEnd w:id="261"/>
    </w:p>
    <w:p w14:paraId="0E4EFF13" w14:textId="77777777" w:rsidR="00EE30E5" w:rsidRPr="00E82552" w:rsidRDefault="00EE30E5" w:rsidP="00EE30E5">
      <w:r w:rsidRPr="00E82552">
        <w:t>Glavni kazalniki ranljivosti na podnebne spremembe za sektor gozdarstva v Mestni občini Nova Gorica so:</w:t>
      </w:r>
    </w:p>
    <w:p w14:paraId="079C239E" w14:textId="77777777" w:rsidR="00EE30E5" w:rsidRPr="007C3E21" w:rsidRDefault="00EE30E5" w:rsidP="00EE30E5">
      <w:pPr>
        <w:rPr>
          <w:rFonts w:cs="SSFranklinGothic-BookOblique"/>
          <w:sz w:val="24"/>
          <w:szCs w:val="24"/>
          <w:u w:val="single"/>
        </w:rPr>
      </w:pPr>
      <w:r w:rsidRPr="007C3E21">
        <w:rPr>
          <w:rFonts w:eastAsia="Trebuchet MS" w:cs="Trebuchet MS"/>
          <w:b/>
          <w:bCs/>
          <w:u w:val="single"/>
        </w:rPr>
        <w:t xml:space="preserve">Žled </w:t>
      </w:r>
    </w:p>
    <w:p w14:paraId="0C0F2238" w14:textId="77777777" w:rsidR="00EE30E5" w:rsidRPr="00E82552" w:rsidRDefault="00EE30E5" w:rsidP="00EE30E5">
      <w:pPr>
        <w:rPr>
          <w:highlight w:val="yellow"/>
        </w:rPr>
      </w:pPr>
      <w:r w:rsidRPr="00E82552">
        <w:t xml:space="preserve">Povprečna zimska temperatura bo v obdobju 2041–2070 v primeru pesimističnega scenarija izpustov toplogrednih plinov višja kot v referenčnem obdobju, povprečna dnevna najnižja temperatura pa bo -1,7 stopinj pod lediščem. V prihodnosti bo pozimi 12 % do 16 % več padavin, poleti pa celo nekoliko manj kot v referenčnem obdobju. V primeru pesimističnega scenarija bo v obdobju 2041–2070 povprečna letna količina padavin za 3 % do 6 % večja od referenčnega obdobja. Pozimi bodo snežne padavine redkejše in pogosteje bo padal dež. Trend zmanjševanja snežnih padavin je 7 % na desetletje. </w:t>
      </w:r>
    </w:p>
    <w:p w14:paraId="3BA06C33" w14:textId="685C4CA7" w:rsidR="00EE30E5" w:rsidRPr="00E82552" w:rsidRDefault="00EE30E5" w:rsidP="00EE30E5">
      <w:r w:rsidRPr="00E82552">
        <w:lastRenderedPageBreak/>
        <w:t xml:space="preserve">Za oceno tveganja zaradi žleda smo upoštevali napovedi raziskave Ogris (2007), ki ocenjuje  zmanjšano tveganje in ogroženosti gozdov zaradi žleda v MONG predvsem po letu 2050, ko je napovedan upad površin dovzetnih za poškodbe gozdov zaradi žleda (Priloga </w:t>
      </w:r>
      <w:r w:rsidR="00F06648">
        <w:fldChar w:fldCharType="begin"/>
      </w:r>
      <w:r w:rsidR="00F06648">
        <w:instrText xml:space="preserve"> REF _Ref75844328 \r \h </w:instrText>
      </w:r>
      <w:r w:rsidR="00F06648">
        <w:fldChar w:fldCharType="separate"/>
      </w:r>
      <w:r w:rsidR="004700D5">
        <w:t>8.2.2</w:t>
      </w:r>
      <w:r w:rsidR="00F06648">
        <w:fldChar w:fldCharType="end"/>
      </w:r>
      <w:r w:rsidRPr="00E82552">
        <w:t xml:space="preserve">). </w:t>
      </w:r>
    </w:p>
    <w:p w14:paraId="1463C0AA" w14:textId="77777777" w:rsidR="00EE30E5" w:rsidRPr="00E82552" w:rsidRDefault="00EE30E5" w:rsidP="00EE30E5">
      <w:pPr>
        <w:rPr>
          <w:highlight w:val="yellow"/>
        </w:rPr>
      </w:pPr>
      <w:r w:rsidRPr="00E82552">
        <w:t>Zaradi pogostega pojavljanja žleda v MONG so gozdarski strokovnjaki in lastniki gozdov pripravljeni na ukrepanje v primeru ponovnega pojava žleda. Gozdarska stroka se prilagaja tudi s pospeševanjem na žled manj občutljivih drevesnih vrst pri obnovi poškodovanih gozdov (npr. jelka).</w:t>
      </w:r>
    </w:p>
    <w:p w14:paraId="51E2EEF5" w14:textId="77777777" w:rsidR="00EE30E5" w:rsidRPr="007C3E21" w:rsidRDefault="00EE30E5" w:rsidP="00EE30E5">
      <w:pPr>
        <w:rPr>
          <w:rFonts w:cs="Arial"/>
          <w:b/>
          <w:bCs/>
          <w:u w:val="single"/>
        </w:rPr>
      </w:pPr>
      <w:r w:rsidRPr="007C3E21">
        <w:rPr>
          <w:rFonts w:cs="Arial"/>
          <w:b/>
          <w:bCs/>
          <w:u w:val="single"/>
        </w:rPr>
        <w:t>Veter</w:t>
      </w:r>
    </w:p>
    <w:p w14:paraId="09F6057F" w14:textId="77777777" w:rsidR="00EE30E5" w:rsidRPr="00E82552" w:rsidRDefault="00EE30E5" w:rsidP="00EE30E5">
      <w:r w:rsidRPr="00E82552">
        <w:t xml:space="preserve">Značilna vetrova v MONG sta burja in jugo, ki pa predstavljata problem predvsem na območju gozdov na Banjške in Trnovske planote ter Predmeje. Glede na scenarije podnebnih sprememb bodo ekstremne nevihte in močni sunki vetra pogostejši in bolj intenzivni. Najbolj je za vetrolom dovzetna smreka, sploh v primeru večjih predhodnih sečenj, poškodb zaradi žledu, snegoloma, vetroloma ali okuženosti z rdečo trohnobo. Razmere za razvoj rdeče trohnobe na smreki bodo ugodnejše, pogostejša in bolj intenzivna bodo tudi sušna obdobja, kar bo še poslabšalo mehansko in biološko stabilnost smrekovih sestojev. </w:t>
      </w:r>
    </w:p>
    <w:p w14:paraId="3E3DA078" w14:textId="77777777" w:rsidR="00EE30E5" w:rsidRPr="00E82552" w:rsidRDefault="00EE30E5" w:rsidP="00EE30E5">
      <w:r w:rsidRPr="00E82552">
        <w:t>Glede na usmeritve gozdarske stroke in pretekle veliko-površinske motnje se bo delež smrekovih gozdov zmanjševal. Gozdarska stroka in lastniki gozdov se na tveganje zaradi vetrolomov prilagajajo z zmanjševanjem deleža smreke v gozdovih, z ustvarjanjem bolj mešanih sestojev z naravno sestavo drevesnih vrst ter ugodnejšim (uravnovešenim) razmerjem razvojnih faz. Učinki teh ukrepov bodo najverjetneje vidni šele v obdobju 2041–2070.</w:t>
      </w:r>
    </w:p>
    <w:p w14:paraId="5D41F26F" w14:textId="77777777" w:rsidR="00EE30E5" w:rsidRPr="007C3E21" w:rsidRDefault="00EE30E5" w:rsidP="00EE30E5">
      <w:pPr>
        <w:rPr>
          <w:rFonts w:cs="Arial"/>
          <w:b/>
          <w:bCs/>
          <w:u w:val="single"/>
        </w:rPr>
      </w:pPr>
      <w:r w:rsidRPr="007C3E21">
        <w:rPr>
          <w:rFonts w:cs="Arial"/>
          <w:b/>
          <w:bCs/>
          <w:u w:val="single"/>
        </w:rPr>
        <w:t>Zemeljski plazovi</w:t>
      </w:r>
    </w:p>
    <w:p w14:paraId="45FE7A2B" w14:textId="77777777" w:rsidR="00EE30E5" w:rsidRPr="007C3E21" w:rsidRDefault="00EE30E5" w:rsidP="00EE30E5">
      <w:pPr>
        <w:rPr>
          <w:rFonts w:cs="Arial"/>
        </w:rPr>
      </w:pPr>
      <w:r w:rsidRPr="00E82552">
        <w:rPr>
          <w:rFonts w:cs="Arial"/>
        </w:rPr>
        <w:t>Po napovedih scenarijev se bo jakost in pogostnost izjemnih padavin povečala v primeru obeh scenarijev izpustov toplogrednih plinov za 1 dan na leto. MONG bo še bolj izpostavljena nevarnosti delovanja erozije, hudourniškim procesom, plazenju ter proženju zemeljskih plazov.</w:t>
      </w:r>
    </w:p>
    <w:p w14:paraId="4EA1A866" w14:textId="77777777" w:rsidR="00EE30E5" w:rsidRPr="007C3E21" w:rsidRDefault="00EE30E5" w:rsidP="00EE30E5">
      <w:pPr>
        <w:rPr>
          <w:rFonts w:cs="Arial"/>
          <w:b/>
          <w:bCs/>
          <w:u w:val="single"/>
        </w:rPr>
      </w:pPr>
      <w:r w:rsidRPr="007C3E21">
        <w:rPr>
          <w:rFonts w:cs="Arial"/>
          <w:b/>
          <w:bCs/>
          <w:u w:val="single"/>
        </w:rPr>
        <w:t>Gozdni požar</w:t>
      </w:r>
    </w:p>
    <w:p w14:paraId="2AC636A9" w14:textId="77777777" w:rsidR="00EE30E5" w:rsidRPr="00E82552" w:rsidRDefault="00EE30E5" w:rsidP="00EE30E5">
      <w:pPr>
        <w:rPr>
          <w:rFonts w:eastAsia="Trebuchet MS" w:cs="Trebuchet MS"/>
          <w:highlight w:val="yellow"/>
        </w:rPr>
      </w:pPr>
      <w:r w:rsidRPr="00E82552">
        <w:rPr>
          <w:rFonts w:eastAsia="Trebuchet MS" w:cs="Trebuchet MS"/>
        </w:rPr>
        <w:t>Že sedaj je v MONG 98 % gozdov požarno ogro</w:t>
      </w:r>
      <w:r w:rsidRPr="00E82552">
        <w:t>ženih. Zaradi sušnih rastišč in prepletanja travišč, gozda in grmišč so najbolj ogroženi borovi sestoji in sestoji toploljubnih listavcev na robu Trnovske planote ter kraška planota. V MONG se bo dvig temperature zraka v 21. stoletju nadaljeval v vseh letnih časih ne glede na scenarij izpustov toplogrednih plinov. Povprečna temperatura zraka v občini lahko do sredine stoletja zraste za nadaljnjih 0,8 °C, v naslednjem tridesetletnem obdobju pa bo lahko za</w:t>
      </w:r>
      <w:r w:rsidRPr="00E82552">
        <w:rPr>
          <w:rFonts w:eastAsia="Trebuchet MS" w:cs="Trebuchet MS"/>
        </w:rPr>
        <w:t xml:space="preserve"> 1,9 °C višja od referenčnega obdobja 1981 – 2010. Poletne temperature v MONG bodo v prihodnosti višje (povprečna poletna temperatura bo v obdobju 2041 - 2070 v primeru pesimističnega scenarija za 0,5 °C višja kot v referenčnem obdobju). Količina poletnih padavin bo po napovedih manjša, povečalo se bo število vročih dni in tropskih noči ter število, trajanje in jakost vročinskih valov. To lahko vpliva na še povečano požarno ogroženost gozdov, sploh v obdobju 2041 - 2070.</w:t>
      </w:r>
    </w:p>
    <w:p w14:paraId="112BB090" w14:textId="77777777" w:rsidR="00EE30E5" w:rsidRPr="007C3E21" w:rsidRDefault="00EE30E5" w:rsidP="00EE30E5">
      <w:pPr>
        <w:rPr>
          <w:rFonts w:eastAsia="Trebuchet MS" w:cs="Trebuchet MS"/>
          <w:b/>
          <w:bCs/>
          <w:u w:val="single"/>
        </w:rPr>
      </w:pPr>
      <w:r w:rsidRPr="007C3E21">
        <w:rPr>
          <w:rFonts w:eastAsia="Trebuchet MS" w:cs="Trebuchet MS"/>
          <w:b/>
          <w:bCs/>
          <w:u w:val="single"/>
        </w:rPr>
        <w:t>Ogroženost smreke in črnega bora zaradi bolezni in škodljivcev</w:t>
      </w:r>
    </w:p>
    <w:p w14:paraId="54213C82" w14:textId="627C58F4" w:rsidR="00EE30E5" w:rsidRPr="00E82552" w:rsidRDefault="00EE30E5" w:rsidP="00EE30E5">
      <w:pPr>
        <w:rPr>
          <w:rFonts w:eastAsia="Trebuchet MS" w:cs="Trebuchet MS"/>
        </w:rPr>
      </w:pPr>
      <w:r w:rsidRPr="00E82552">
        <w:rPr>
          <w:rFonts w:eastAsia="Trebuchet MS" w:cs="Trebuchet MS"/>
        </w:rPr>
        <w:t>Pri oceni tveganja zaradi podlubnikov na smreki smo upoštevali napovedi Ogrisa (2007), ki ocenjuje, da je zaradi vpliva podnebnih sprememb predvideno 6 % povečanje površin gozdov, kjer se bo lahko pojavila sanitarna sečnja zaradi podlubnikov (</w:t>
      </w:r>
      <w:r w:rsidR="00F06648">
        <w:rPr>
          <w:rFonts w:eastAsia="Trebuchet MS" w:cs="Trebuchet MS"/>
        </w:rPr>
        <w:t xml:space="preserve">Priloga </w:t>
      </w:r>
      <w:r w:rsidR="00F06648">
        <w:rPr>
          <w:rFonts w:eastAsia="Trebuchet MS" w:cs="Trebuchet MS"/>
        </w:rPr>
        <w:fldChar w:fldCharType="begin"/>
      </w:r>
      <w:r w:rsidR="00F06648">
        <w:rPr>
          <w:rFonts w:eastAsia="Trebuchet MS" w:cs="Trebuchet MS"/>
        </w:rPr>
        <w:instrText xml:space="preserve"> REF _Ref75844362 \r \h </w:instrText>
      </w:r>
      <w:r w:rsidR="00F06648">
        <w:rPr>
          <w:rFonts w:eastAsia="Trebuchet MS" w:cs="Trebuchet MS"/>
        </w:rPr>
      </w:r>
      <w:r w:rsidR="00F06648">
        <w:rPr>
          <w:rFonts w:eastAsia="Trebuchet MS" w:cs="Trebuchet MS"/>
        </w:rPr>
        <w:fldChar w:fldCharType="separate"/>
      </w:r>
      <w:r w:rsidR="004700D5">
        <w:rPr>
          <w:rFonts w:eastAsia="Trebuchet MS" w:cs="Trebuchet MS"/>
        </w:rPr>
        <w:t>8.2.3</w:t>
      </w:r>
      <w:r w:rsidR="00F06648">
        <w:rPr>
          <w:rFonts w:eastAsia="Trebuchet MS" w:cs="Trebuchet MS"/>
        </w:rPr>
        <w:fldChar w:fldCharType="end"/>
      </w:r>
      <w:r w:rsidRPr="00E82552">
        <w:rPr>
          <w:rFonts w:eastAsia="Trebuchet MS" w:cs="Trebuchet MS"/>
        </w:rPr>
        <w:t xml:space="preserve">). Ogroženi so predvsem </w:t>
      </w:r>
      <w:r w:rsidRPr="00E82552">
        <w:rPr>
          <w:rFonts w:eastAsia="Trebuchet MS" w:cs="Trebuchet MS"/>
        </w:rPr>
        <w:lastRenderedPageBreak/>
        <w:t>gozdovi na južnih obronkih Trnovskega gozda. Glede na usmeritve gozdarske stroke in pretekle veliko-površinske motnje se bo delež smrekovih gozdov v MONG zmanjševal. Zato v prihodnjem obdobju 2041 – 2070 tako veliko prizadetih smrekovih sestojev zaradi namnožitve podlubnikov kot v referenčnem obdobju ne pričakujemo.</w:t>
      </w:r>
    </w:p>
    <w:p w14:paraId="1A1B29E9" w14:textId="77777777" w:rsidR="00EE30E5" w:rsidRPr="00E82552" w:rsidRDefault="00EE30E5" w:rsidP="00EE30E5">
      <w:pPr>
        <w:rPr>
          <w:rFonts w:eastAsia="Trebuchet MS" w:cs="Trebuchet MS"/>
        </w:rPr>
      </w:pPr>
      <w:r w:rsidRPr="00E82552">
        <w:rPr>
          <w:rFonts w:eastAsia="Trebuchet MS" w:cs="Trebuchet MS"/>
        </w:rPr>
        <w:t xml:space="preserve">Črni bor je edino drevo, ki je bilo sposobno preživeti in rasti na izjemno skromnih rastiščih in v neugodnih podnebnih razmerah golega Krasa. Vendar pa zaradi slabega zdravstvenega stanja in starosti sestoji črnega bora propadajo. Zdravje črnega bora je prizadeto predvsem zaradi občasnih lokalnih ali veliko-površinskih namnožitev škodljivcev ter bolezni, ki prizadenejo bore izven naravnega areala predvsem ob močni suši ali toči. Podnebne spremembe razgradnjo sestojev črnega bora še pospešujejo, naravno pa se gozdovi črnega bora ne obnavljajo. </w:t>
      </w:r>
    </w:p>
    <w:p w14:paraId="1F238B97" w14:textId="77777777" w:rsidR="00EE30E5" w:rsidRPr="006315B0" w:rsidRDefault="00EE30E5" w:rsidP="00EE30E5">
      <w:pPr>
        <w:rPr>
          <w:rFonts w:eastAsia="Trebuchet MS" w:cs="Trebuchet MS"/>
          <w:b/>
          <w:bCs/>
          <w:u w:val="single"/>
          <w:lang w:val="it-IT"/>
        </w:rPr>
      </w:pPr>
      <w:proofErr w:type="spellStart"/>
      <w:r w:rsidRPr="006315B0">
        <w:rPr>
          <w:rFonts w:eastAsia="Trebuchet MS" w:cs="Trebuchet MS"/>
          <w:b/>
          <w:bCs/>
          <w:u w:val="single"/>
          <w:lang w:val="it-IT"/>
        </w:rPr>
        <w:t>Ogroženost</w:t>
      </w:r>
      <w:proofErr w:type="spellEnd"/>
      <w:r w:rsidRPr="006315B0">
        <w:rPr>
          <w:rFonts w:eastAsia="Trebuchet MS" w:cs="Trebuchet MS"/>
          <w:b/>
          <w:bCs/>
          <w:u w:val="single"/>
          <w:lang w:val="it-IT"/>
        </w:rPr>
        <w:t xml:space="preserve"> </w:t>
      </w:r>
      <w:proofErr w:type="spellStart"/>
      <w:r w:rsidRPr="006315B0">
        <w:rPr>
          <w:rFonts w:eastAsia="Trebuchet MS" w:cs="Trebuchet MS"/>
          <w:b/>
          <w:bCs/>
          <w:u w:val="single"/>
          <w:lang w:val="it-IT"/>
        </w:rPr>
        <w:t>listavcev</w:t>
      </w:r>
      <w:proofErr w:type="spellEnd"/>
      <w:r w:rsidRPr="006315B0">
        <w:rPr>
          <w:rFonts w:eastAsia="Trebuchet MS" w:cs="Trebuchet MS"/>
          <w:b/>
          <w:bCs/>
          <w:u w:val="single"/>
          <w:lang w:val="it-IT"/>
        </w:rPr>
        <w:t xml:space="preserve"> </w:t>
      </w:r>
      <w:proofErr w:type="spellStart"/>
      <w:r w:rsidRPr="006315B0">
        <w:rPr>
          <w:rFonts w:eastAsia="Trebuchet MS" w:cs="Trebuchet MS"/>
          <w:b/>
          <w:bCs/>
          <w:u w:val="single"/>
          <w:lang w:val="it-IT"/>
        </w:rPr>
        <w:t>zaradi</w:t>
      </w:r>
      <w:proofErr w:type="spellEnd"/>
      <w:r w:rsidRPr="006315B0">
        <w:rPr>
          <w:rFonts w:eastAsia="Trebuchet MS" w:cs="Trebuchet MS"/>
          <w:b/>
          <w:bCs/>
          <w:u w:val="single"/>
          <w:lang w:val="it-IT"/>
        </w:rPr>
        <w:t xml:space="preserve"> </w:t>
      </w:r>
      <w:proofErr w:type="spellStart"/>
      <w:r w:rsidRPr="006315B0">
        <w:rPr>
          <w:rFonts w:eastAsia="Trebuchet MS" w:cs="Trebuchet MS"/>
          <w:b/>
          <w:bCs/>
          <w:u w:val="single"/>
          <w:lang w:val="it-IT"/>
        </w:rPr>
        <w:t>bolezni</w:t>
      </w:r>
      <w:proofErr w:type="spellEnd"/>
      <w:r w:rsidRPr="006315B0">
        <w:rPr>
          <w:rFonts w:eastAsia="Trebuchet MS" w:cs="Trebuchet MS"/>
          <w:b/>
          <w:bCs/>
          <w:u w:val="single"/>
          <w:lang w:val="it-IT"/>
        </w:rPr>
        <w:t xml:space="preserve"> in </w:t>
      </w:r>
      <w:proofErr w:type="spellStart"/>
      <w:r w:rsidRPr="006315B0">
        <w:rPr>
          <w:rFonts w:eastAsia="Trebuchet MS" w:cs="Trebuchet MS"/>
          <w:b/>
          <w:bCs/>
          <w:u w:val="single"/>
          <w:lang w:val="it-IT"/>
        </w:rPr>
        <w:t>škodljivcev</w:t>
      </w:r>
      <w:proofErr w:type="spellEnd"/>
    </w:p>
    <w:p w14:paraId="31AEDF52" w14:textId="77777777" w:rsidR="00EE30E5" w:rsidRPr="00E82552" w:rsidRDefault="00EE30E5" w:rsidP="00EE30E5">
      <w:pPr>
        <w:rPr>
          <w:rFonts w:eastAsia="Trebuchet MS" w:cs="Trebuchet MS"/>
        </w:rPr>
      </w:pPr>
      <w:r w:rsidRPr="00E82552">
        <w:rPr>
          <w:rFonts w:eastAsia="Trebuchet MS" w:cs="Trebuchet MS"/>
        </w:rPr>
        <w:t xml:space="preserve">Populacije žuželk, ki ob namnožitvah lahko povzročajo obsežne poškodbe dreves, bodo v prihodnosti različno reagirale na spremenjene razmere zaradi podnebnih sprememb. V MONG so poglaviten vzrok za širjenje bolezni in škodljivcev vedno pogostejša in dlje trajajoča sušna obdobja, kar se odraža v slabi vitalnosti dreves. Med listavci so še posebej ogroženi domači kostanj, črni gaber in hrasti na </w:t>
      </w:r>
      <w:proofErr w:type="spellStart"/>
      <w:r w:rsidRPr="00E82552">
        <w:rPr>
          <w:rFonts w:eastAsia="Trebuchet MS" w:cs="Trebuchet MS"/>
        </w:rPr>
        <w:t>sušnejših</w:t>
      </w:r>
      <w:proofErr w:type="spellEnd"/>
      <w:r w:rsidRPr="00E82552">
        <w:rPr>
          <w:rFonts w:eastAsia="Trebuchet MS" w:cs="Trebuchet MS"/>
        </w:rPr>
        <w:t xml:space="preserve"> rastiščih. Bolezni in škodljivci, ki ogrožajo listavce, imajo torej velik potencialni vpliv na gozdove v </w:t>
      </w:r>
      <w:r>
        <w:rPr>
          <w:rFonts w:eastAsia="Trebuchet MS" w:cs="Trebuchet MS"/>
        </w:rPr>
        <w:t>MONG</w:t>
      </w:r>
      <w:r w:rsidRPr="00E82552">
        <w:rPr>
          <w:rFonts w:eastAsia="Trebuchet MS" w:cs="Trebuchet MS"/>
        </w:rPr>
        <w:t xml:space="preserve">. </w:t>
      </w:r>
    </w:p>
    <w:p w14:paraId="1CBA20DC" w14:textId="77777777" w:rsidR="00EE30E5" w:rsidRPr="00E82552" w:rsidRDefault="00EE30E5" w:rsidP="00EE30E5">
      <w:r w:rsidRPr="00E82552">
        <w:rPr>
          <w:rFonts w:eastAsia="Trebuchet MS" w:cs="Trebuchet MS"/>
        </w:rPr>
        <w:t xml:space="preserve">Nekatere bolezni bukve, ki jih povzročajo glive, bodo z veliko gotovostjo izbruhnile v povečanem obsegu predvsem po daljših sušnih in vročih obdobjih. Predvsem bodo pogostejše fakultativne zajedavke in fakultativne gniloživke, npr. več vrst mraznic, glive iz rodu </w:t>
      </w:r>
      <w:proofErr w:type="spellStart"/>
      <w:r w:rsidRPr="00E82552">
        <w:rPr>
          <w:rFonts w:eastAsia="Trebuchet MS" w:cs="Trebuchet MS"/>
          <w:i/>
          <w:iCs/>
        </w:rPr>
        <w:t>Nectria</w:t>
      </w:r>
      <w:proofErr w:type="spellEnd"/>
      <w:r w:rsidRPr="00E82552">
        <w:rPr>
          <w:rFonts w:eastAsia="Trebuchet MS" w:cs="Trebuchet MS"/>
        </w:rPr>
        <w:t xml:space="preserve"> in tiste, ki so povezane z ožigi bukove skorje zaradi sonca (vse </w:t>
      </w:r>
      <w:proofErr w:type="spellStart"/>
      <w:r w:rsidRPr="00E82552">
        <w:rPr>
          <w:rFonts w:eastAsia="Trebuchet MS" w:cs="Trebuchet MS"/>
        </w:rPr>
        <w:t>razgrajevalke</w:t>
      </w:r>
      <w:proofErr w:type="spellEnd"/>
      <w:r w:rsidRPr="00E82552">
        <w:rPr>
          <w:rFonts w:eastAsia="Trebuchet MS" w:cs="Trebuchet MS"/>
        </w:rPr>
        <w:t xml:space="preserve"> lesa živih dreves). Mnogo pa je napovedi, da bodo vedno pomembnejši </w:t>
      </w:r>
      <w:proofErr w:type="spellStart"/>
      <w:r w:rsidRPr="00E82552">
        <w:rPr>
          <w:rFonts w:eastAsia="Trebuchet MS" w:cs="Trebuchet MS"/>
        </w:rPr>
        <w:t>endifiti</w:t>
      </w:r>
      <w:proofErr w:type="spellEnd"/>
      <w:r w:rsidRPr="00E82552">
        <w:rPr>
          <w:rFonts w:eastAsia="Trebuchet MS" w:cs="Trebuchet MS"/>
        </w:rPr>
        <w:t xml:space="preserve"> navadne bukve – torej glive, ki povzročajo asimptomatične okužbe živih tkiv drevesa (Ogris in sod.</w:t>
      </w:r>
      <w:r>
        <w:rPr>
          <w:rFonts w:eastAsia="Trebuchet MS" w:cs="Trebuchet MS"/>
        </w:rPr>
        <w:t>,</w:t>
      </w:r>
      <w:r w:rsidRPr="00E82552">
        <w:rPr>
          <w:rFonts w:eastAsia="Trebuchet MS" w:cs="Trebuchet MS"/>
        </w:rPr>
        <w:t xml:space="preserve"> 2008).</w:t>
      </w:r>
      <w:r w:rsidRPr="00E82552">
        <w:t xml:space="preserve"> </w:t>
      </w:r>
    </w:p>
    <w:p w14:paraId="5E9E9E00" w14:textId="3CA3E31A" w:rsidR="00EE30E5" w:rsidRDefault="00383217" w:rsidP="00EE30E5">
      <w:pPr>
        <w:keepNext/>
        <w:jc w:val="center"/>
      </w:pPr>
      <w:r>
        <w:fldChar w:fldCharType="begin"/>
      </w:r>
      <w:r>
        <w:instrText xml:space="preserve"> REF _Ref32996330 \h  \* MERGEFORMAT </w:instrText>
      </w:r>
      <w:r>
        <w:fldChar w:fldCharType="end"/>
      </w:r>
      <w:r w:rsidR="00EE30E5" w:rsidRPr="00E82552">
        <w:rPr>
          <w:noProof/>
          <w:lang w:eastAsia="sl-SI"/>
        </w:rPr>
        <w:drawing>
          <wp:inline distT="0" distB="0" distL="0" distR="0" wp14:anchorId="603E62E4" wp14:editId="2F9A5E78">
            <wp:extent cx="2383500" cy="2520000"/>
            <wp:effectExtent l="0" t="0" r="0" b="0"/>
            <wp:docPr id="1869805919" name="Picture 728777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777085"/>
                    <pic:cNvPicPr/>
                  </pic:nvPicPr>
                  <pic:blipFill>
                    <a:blip r:embed="rId104">
                      <a:extLst>
                        <a:ext uri="{28A0092B-C50C-407E-A947-70E740481C1C}">
                          <a14:useLocalDpi xmlns:a14="http://schemas.microsoft.com/office/drawing/2010/main" val="0"/>
                        </a:ext>
                      </a:extLst>
                    </a:blip>
                    <a:stretch>
                      <a:fillRect/>
                    </a:stretch>
                  </pic:blipFill>
                  <pic:spPr>
                    <a:xfrm>
                      <a:off x="0" y="0"/>
                      <a:ext cx="2383500" cy="2520000"/>
                    </a:xfrm>
                    <a:prstGeom prst="rect">
                      <a:avLst/>
                    </a:prstGeom>
                  </pic:spPr>
                </pic:pic>
              </a:graphicData>
            </a:graphic>
          </wp:inline>
        </w:drawing>
      </w:r>
    </w:p>
    <w:p w14:paraId="2B8B6A1F" w14:textId="63DA018F" w:rsidR="00EE30E5" w:rsidRDefault="00EE30E5" w:rsidP="00EE30E5">
      <w:pPr>
        <w:pStyle w:val="Napis"/>
        <w:jc w:val="left"/>
      </w:pPr>
      <w:bookmarkStart w:id="262" w:name="_Ref74906739"/>
      <w:bookmarkStart w:id="263" w:name="_Toc97026871"/>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20</w:t>
      </w:r>
      <w:r w:rsidR="008334B2">
        <w:fldChar w:fldCharType="end"/>
      </w:r>
      <w:bookmarkEnd w:id="262"/>
      <w:r w:rsidRPr="00170C1F">
        <w:t>: Potencialna razširjenost pooglenitve bukve (</w:t>
      </w:r>
      <w:proofErr w:type="spellStart"/>
      <w:r w:rsidRPr="00170C1F">
        <w:t>Biscogniauxia</w:t>
      </w:r>
      <w:proofErr w:type="spellEnd"/>
      <w:r w:rsidRPr="00170C1F">
        <w:t xml:space="preserve"> </w:t>
      </w:r>
      <w:proofErr w:type="spellStart"/>
      <w:r w:rsidRPr="00170C1F">
        <w:t>nummularia</w:t>
      </w:r>
      <w:proofErr w:type="spellEnd"/>
      <w:r w:rsidRPr="00170C1F">
        <w:t>) v Sloveniji po pesimističnem scenariju podnebnih sprememb v obdobju 2071–2100 ob predpostavki, da se razširjenost navadne bukve ne bo spremenila (Ogris in sod. 2008).</w:t>
      </w:r>
      <w:bookmarkEnd w:id="263"/>
    </w:p>
    <w:p w14:paraId="38BCA522" w14:textId="36AE329E" w:rsidR="00EE30E5" w:rsidRPr="00E82552" w:rsidRDefault="00EE30E5" w:rsidP="00EE30E5">
      <w:pPr>
        <w:rPr>
          <w:highlight w:val="yellow"/>
        </w:rPr>
      </w:pPr>
      <w:r w:rsidRPr="00E82552">
        <w:t xml:space="preserve">Navadna bukev je v MONG pomembna drevesna vrsta, saj njen delež že sedaj predstavlja 37 % lesne zaloge. Glede na raziskave Ogris s sod. (2008) bi po modelskih napovedih približno 11 % </w:t>
      </w:r>
      <w:r w:rsidRPr="00E82552">
        <w:lastRenderedPageBreak/>
        <w:t>površine gozdov v MONG lahko bilo ogroženih zaradi pooglenitve bukve v obdobju 2071-2100 (</w:t>
      </w:r>
      <w:r>
        <w:fldChar w:fldCharType="begin"/>
      </w:r>
      <w:r>
        <w:instrText xml:space="preserve"> REF _Ref74906739 \h </w:instrText>
      </w:r>
      <w:r>
        <w:fldChar w:fldCharType="separate"/>
      </w:r>
      <w:r w:rsidR="004700D5">
        <w:t xml:space="preserve">Slika </w:t>
      </w:r>
      <w:r w:rsidR="004700D5">
        <w:rPr>
          <w:noProof/>
        </w:rPr>
        <w:t>6</w:t>
      </w:r>
      <w:r w:rsidR="004700D5">
        <w:t>.</w:t>
      </w:r>
      <w:r w:rsidR="004700D5">
        <w:rPr>
          <w:noProof/>
        </w:rPr>
        <w:t>20</w:t>
      </w:r>
      <w:r>
        <w:fldChar w:fldCharType="end"/>
      </w:r>
      <w:r w:rsidRPr="00E82552">
        <w:t>). Zaradi vplivov podnebnih sprememb na zmanjševanje deleža iglavcev pa se bo delež bukve v občini še povečeval.</w:t>
      </w:r>
    </w:p>
    <w:p w14:paraId="3817D7BA" w14:textId="77777777" w:rsidR="00EE30E5" w:rsidRPr="007C3E21" w:rsidRDefault="00EE30E5" w:rsidP="00EE30E5">
      <w:pPr>
        <w:rPr>
          <w:b/>
          <w:bCs/>
          <w:u w:val="single"/>
        </w:rPr>
      </w:pPr>
      <w:r w:rsidRPr="007C3E21">
        <w:rPr>
          <w:b/>
          <w:bCs/>
          <w:u w:val="single"/>
        </w:rPr>
        <w:t>Invazivne tujerodne vrste (ITV)</w:t>
      </w:r>
    </w:p>
    <w:p w14:paraId="05BBD443" w14:textId="77777777" w:rsidR="00EE30E5" w:rsidRPr="00E82552" w:rsidRDefault="00EE30E5" w:rsidP="00EE30E5">
      <w:r w:rsidRPr="00E82552">
        <w:t>Z nastajanjem velikih vrzeli v poškodovanih gozdovih zaradi ujm ter po sanitarnem poseku so razmere za širjenje ITV zelo ugodne. Pogosto njihova širitev nehote sovpada z gradnjo ali obnovo prometne infrastrukture. Glede na scenarije podnebnih sprememb bodo razmere za širitev ITV v prihodnosti še ugodnejše. Rastlinske ITV so pogosto bolj konkurenčne od avtohtonih rastlinskih vrst v primeru višjih temperatur zraka, hkrati večina še nima bolezni ali škodljivcev. Večala se bo tudi ogroženost domačega kostanja, velikega jesena, bresta, hrastov ter javorjev zaradi ITV bolezni.</w:t>
      </w:r>
    </w:p>
    <w:p w14:paraId="11CAD214" w14:textId="77777777" w:rsidR="00EE30E5" w:rsidRPr="007C3E21" w:rsidRDefault="00EE30E5" w:rsidP="00EE30E5">
      <w:pPr>
        <w:rPr>
          <w:rFonts w:cs="Arial"/>
          <w:b/>
          <w:bCs/>
          <w:u w:val="single"/>
          <w:lang w:eastAsia="sl-SI"/>
        </w:rPr>
      </w:pPr>
      <w:r w:rsidRPr="007C3E21">
        <w:rPr>
          <w:rFonts w:eastAsia="Trebuchet MS" w:cs="Trebuchet MS"/>
          <w:b/>
          <w:bCs/>
          <w:u w:val="single"/>
          <w:lang w:eastAsia="sl-SI"/>
        </w:rPr>
        <w:t>Število izvajalcev del v gozdarstvu</w:t>
      </w:r>
    </w:p>
    <w:p w14:paraId="2CEA0489" w14:textId="77777777" w:rsidR="00EE30E5" w:rsidRPr="00E82552" w:rsidRDefault="00EE30E5" w:rsidP="00EE30E5">
      <w:pPr>
        <w:rPr>
          <w:rFonts w:cs="Arial"/>
          <w:lang w:eastAsia="sl-SI"/>
        </w:rPr>
      </w:pPr>
      <w:r w:rsidRPr="00E82552">
        <w:rPr>
          <w:rFonts w:cs="Arial"/>
          <w:lang w:eastAsia="sl-SI"/>
        </w:rPr>
        <w:t xml:space="preserve">Glede na scenarije podnebnih sprememb lahko pričakujemo vedno pogostejše in </w:t>
      </w:r>
      <w:r w:rsidRPr="00E82552">
        <w:rPr>
          <w:rFonts w:cs="Arial"/>
        </w:rPr>
        <w:t>obsežnejše</w:t>
      </w:r>
      <w:r w:rsidRPr="00E82552">
        <w:rPr>
          <w:rFonts w:cs="Arial"/>
          <w:lang w:eastAsia="sl-SI"/>
        </w:rPr>
        <w:t xml:space="preserve"> ujme v gozdovih. Glede na pretekle izkušnje je število izvajalcev del v gozdarstvu znatno naraslo s povečanjem sanitarnega poseka od leta 2014 naprej. Pričakujemo ustvarjanje novih delovnih mest, predvsem v zasebnem sektorju med samostojnimi podjetniki in nosilci dopolnilne dejavnosti na kmetiji. Pričakujemo boljšo opremljenost izvajalskih podjetij za delo v strmih in nedostopnih terenih ter večji obseg strojne sečnje. </w:t>
      </w:r>
    </w:p>
    <w:p w14:paraId="28BCC93F" w14:textId="77777777" w:rsidR="00EE30E5" w:rsidRPr="007C3E21" w:rsidRDefault="00EE30E5" w:rsidP="00EE30E5">
      <w:pPr>
        <w:rPr>
          <w:b/>
          <w:bCs/>
          <w:u w:val="single"/>
          <w:lang w:eastAsia="sl-SI"/>
        </w:rPr>
      </w:pPr>
      <w:r w:rsidRPr="007C3E21">
        <w:rPr>
          <w:b/>
          <w:bCs/>
          <w:u w:val="single"/>
          <w:lang w:eastAsia="sl-SI"/>
        </w:rPr>
        <w:t>K</w:t>
      </w:r>
      <w:r w:rsidRPr="007C3E21">
        <w:rPr>
          <w:rFonts w:cs="Arial"/>
          <w:b/>
          <w:bCs/>
          <w:u w:val="single"/>
          <w:lang w:eastAsia="sl-SI"/>
        </w:rPr>
        <w:t>oličine in potencial lesa in gozdov</w:t>
      </w:r>
    </w:p>
    <w:p w14:paraId="6D8148AE" w14:textId="77777777" w:rsidR="00EE30E5" w:rsidRPr="00E82552" w:rsidRDefault="00EE30E5" w:rsidP="00EE30E5">
      <w:pPr>
        <w:rPr>
          <w:rFonts w:cs="Arial"/>
        </w:rPr>
      </w:pPr>
      <w:r w:rsidRPr="00E82552">
        <w:rPr>
          <w:rFonts w:cs="Arial"/>
        </w:rPr>
        <w:t>Glede na napovedi scenarijev podnebnih sprememb v MONG lahko pričakujemo vedno pogostejše in obsežnejše ujme v gozdovih. To bo še povečalo potencial lesa slabše kakovosti, v obdobju 2011 – 2040 iglavcev in listavcev, v obdobju 2041 - 2070 pa samo še listavcev.</w:t>
      </w:r>
    </w:p>
    <w:p w14:paraId="13CE3067" w14:textId="77777777" w:rsidR="00EE30E5" w:rsidRPr="00E82552" w:rsidRDefault="00EE30E5" w:rsidP="00EE30E5">
      <w:pPr>
        <w:rPr>
          <w:rFonts w:cs="Arial"/>
        </w:rPr>
      </w:pPr>
      <w:r w:rsidRPr="00E82552">
        <w:rPr>
          <w:rFonts w:cs="Arial"/>
        </w:rPr>
        <w:t xml:space="preserve">Hkrati se bodo v obdobju 2041 – 2070 pokazali učinki ukrepov gozdarske stroke z ugodnejšim razmerjem razvojnih faz. Ocenjujemo, da se bo izboljšalo tudi stanje žagarske panoge v Sloveniji in v širši regiji v obdobju 2041 – 2070: manjša razdrobljenost, povezovanje, prilagoditev tehnologije </w:t>
      </w:r>
      <w:proofErr w:type="spellStart"/>
      <w:r w:rsidRPr="00E82552">
        <w:rPr>
          <w:rFonts w:cs="Arial"/>
        </w:rPr>
        <w:t>razžagovanju</w:t>
      </w:r>
      <w:proofErr w:type="spellEnd"/>
      <w:r w:rsidRPr="00E82552">
        <w:rPr>
          <w:rFonts w:cs="Arial"/>
        </w:rPr>
        <w:t xml:space="preserve"> listavcev, večja inovativnost in večja konkurenčnost. Tudi trend izkoriščanja OVE in gospodarsko vlaganje v lesno predelovalno industrijo v naslednjih letih nakazuje na to, da se bo izkoriščenost lesa v MONG in širši regiji povečevala. Predvidevamo, da se bodo nadaljevale tudi investicije v ogrevalne sisteme z lesno biomaso in bo lokalna samooskrba z energentom še višja.</w:t>
      </w:r>
    </w:p>
    <w:p w14:paraId="50A6D3EF" w14:textId="53433320" w:rsidR="0013327D" w:rsidRDefault="00EE30E5" w:rsidP="00EE30E5">
      <w:r w:rsidRPr="00E82552">
        <w:t>Ranljivost sektorja gozdarstvo v MONG v referenčnem obdobju 1981 – 2010 smo ocenili z zmerno (3). V prihodnosti pa pričakujemo, da se bo ranljivost v skladu z napovedanimi vplivi podnebnih sprememb povečala. V obdobju 2011 – 2040 je ranljivost ocenjena z veliko (4) ter v obdobju 2041 – 2070 prav tako z veliko (4). Tveganje za sektor gozdarstva v MONG je posledično ocenjeno za veliko (4) (</w:t>
      </w:r>
      <w:r w:rsidR="00311AC2">
        <w:fldChar w:fldCharType="begin"/>
      </w:r>
      <w:r w:rsidR="00311AC2">
        <w:instrText xml:space="preserve"> REF _Ref74907326 \h </w:instrText>
      </w:r>
      <w:r w:rsidR="00311AC2">
        <w:fldChar w:fldCharType="separate"/>
      </w:r>
      <w:r w:rsidR="004700D5">
        <w:t xml:space="preserve">Preglednica </w:t>
      </w:r>
      <w:r w:rsidR="004700D5">
        <w:rPr>
          <w:noProof/>
        </w:rPr>
        <w:t>6</w:t>
      </w:r>
      <w:r w:rsidR="004700D5">
        <w:t>.</w:t>
      </w:r>
      <w:r w:rsidR="004700D5">
        <w:rPr>
          <w:noProof/>
        </w:rPr>
        <w:t>19</w:t>
      </w:r>
      <w:r w:rsidR="00311AC2">
        <w:fldChar w:fldCharType="end"/>
      </w:r>
      <w:r w:rsidRPr="00E82552">
        <w:t>).</w:t>
      </w:r>
    </w:p>
    <w:p w14:paraId="2E7642C8" w14:textId="77777777" w:rsidR="00B01032" w:rsidRDefault="00B01032">
      <w:pPr>
        <w:jc w:val="left"/>
      </w:pPr>
      <w:r>
        <w:br w:type="page"/>
      </w:r>
    </w:p>
    <w:p w14:paraId="52F893FD" w14:textId="03F1E09D" w:rsidR="00EE30E5" w:rsidRDefault="00EE30E5" w:rsidP="00EE30E5">
      <w:pPr>
        <w:pStyle w:val="Napis"/>
        <w:rPr>
          <w:rFonts w:ascii="Trebuchet MS" w:hAnsi="Trebuchet MS"/>
        </w:rPr>
      </w:pPr>
      <w:bookmarkStart w:id="264" w:name="_Ref74907326"/>
      <w:bookmarkStart w:id="265" w:name="_Toc97026972"/>
      <w:r>
        <w:lastRenderedPageBreak/>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19</w:t>
      </w:r>
      <w:r w:rsidR="00976D80">
        <w:fldChar w:fldCharType="end"/>
      </w:r>
      <w:bookmarkEnd w:id="264"/>
      <w:r w:rsidRPr="00E24338">
        <w:t xml:space="preserve">: </w:t>
      </w:r>
      <w:r w:rsidRPr="00E82552">
        <w:rPr>
          <w:rFonts w:ascii="Trebuchet MS" w:hAnsi="Trebuchet MS"/>
        </w:rPr>
        <w:t>: Ocena ranljivosti sektorja gozdarstvo v Mestni občini Nova Gorica, sestavljena iz devetih kazalnikov (sedmih kazalnikov za naravno okolje ter dveh kazalnikov za družbeno okolje), s pripadajočimi potencialnimi vplivi in sposobnostjo prilagajanja, po scenarijih RCP4.5 in RCP8.5 v drugem obdobju (2041–2070) ter ocena tveganja</w:t>
      </w:r>
      <w:r>
        <w:rPr>
          <w:rFonts w:ascii="Trebuchet MS" w:hAnsi="Trebuchet MS"/>
        </w:rPr>
        <w:t>.</w:t>
      </w:r>
      <w:bookmarkEnd w:id="265"/>
    </w:p>
    <w:p w14:paraId="1FC2C69F" w14:textId="14EE050F" w:rsidR="00311AC2" w:rsidRDefault="00311AC2" w:rsidP="00311AC2">
      <w:r>
        <w:rPr>
          <w:noProof/>
          <w:lang w:eastAsia="sl-SI"/>
        </w:rPr>
        <w:drawing>
          <wp:inline distT="0" distB="0" distL="0" distR="0" wp14:anchorId="67FCD2E7" wp14:editId="5026FEF4">
            <wp:extent cx="7286391" cy="3158068"/>
            <wp:effectExtent l="6667"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rot="16200000">
                      <a:off x="0" y="0"/>
                      <a:ext cx="7339184" cy="3180950"/>
                    </a:xfrm>
                    <a:prstGeom prst="rect">
                      <a:avLst/>
                    </a:prstGeom>
                    <a:noFill/>
                    <a:ln>
                      <a:noFill/>
                    </a:ln>
                  </pic:spPr>
                </pic:pic>
              </a:graphicData>
            </a:graphic>
          </wp:inline>
        </w:drawing>
      </w:r>
    </w:p>
    <w:p w14:paraId="5EB543E4" w14:textId="35AF4ADA" w:rsidR="00311AC2" w:rsidRDefault="00311AC2" w:rsidP="00311AC2">
      <w:pPr>
        <w:rPr>
          <w:rFonts w:eastAsiaTheme="majorEastAsia" w:cstheme="majorBidi"/>
          <w:b/>
          <w:bCs/>
          <w:color w:val="2F5496" w:themeColor="accent1" w:themeShade="BF"/>
          <w:sz w:val="24"/>
          <w:szCs w:val="24"/>
        </w:rPr>
      </w:pPr>
      <w:r>
        <w:rPr>
          <w:noProof/>
          <w:lang w:eastAsia="sl-SI"/>
        </w:rPr>
        <w:lastRenderedPageBreak/>
        <w:drawing>
          <wp:inline distT="0" distB="0" distL="0" distR="0" wp14:anchorId="08038C85" wp14:editId="030FBCEC">
            <wp:extent cx="8016283" cy="2917734"/>
            <wp:effectExtent l="0" t="3175" r="635"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rot="16200000">
                      <a:off x="0" y="0"/>
                      <a:ext cx="8149547" cy="2966239"/>
                    </a:xfrm>
                    <a:prstGeom prst="rect">
                      <a:avLst/>
                    </a:prstGeom>
                    <a:noFill/>
                    <a:ln>
                      <a:noFill/>
                    </a:ln>
                  </pic:spPr>
                </pic:pic>
              </a:graphicData>
            </a:graphic>
          </wp:inline>
        </w:drawing>
      </w:r>
      <w:r>
        <w:rPr>
          <w:noProof/>
          <w:lang w:eastAsia="sl-SI"/>
        </w:rPr>
        <w:drawing>
          <wp:inline distT="0" distB="0" distL="0" distR="0" wp14:anchorId="1CFF87BA" wp14:editId="0DCF5AE4">
            <wp:extent cx="8023054" cy="1987432"/>
            <wp:effectExtent l="7937" t="0" r="5398" b="5397"/>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rot="16200000">
                      <a:off x="0" y="0"/>
                      <a:ext cx="8125791" cy="2012882"/>
                    </a:xfrm>
                    <a:prstGeom prst="rect">
                      <a:avLst/>
                    </a:prstGeom>
                    <a:noFill/>
                    <a:ln>
                      <a:noFill/>
                    </a:ln>
                  </pic:spPr>
                </pic:pic>
              </a:graphicData>
            </a:graphic>
          </wp:inline>
        </w:drawing>
      </w:r>
      <w:r>
        <w:br w:type="page"/>
      </w:r>
    </w:p>
    <w:p w14:paraId="6701FED5" w14:textId="766368B8" w:rsidR="00C174E2" w:rsidRDefault="00C174E2" w:rsidP="00C174E2">
      <w:pPr>
        <w:pStyle w:val="Naslov3"/>
      </w:pPr>
      <w:bookmarkStart w:id="266" w:name="_Toc97026765"/>
      <w:r>
        <w:lastRenderedPageBreak/>
        <w:t>Ključna sporočila sektorja gozdarstvo</w:t>
      </w:r>
      <w:bookmarkEnd w:id="266"/>
    </w:p>
    <w:p w14:paraId="255E761C" w14:textId="77777777" w:rsidR="00311AC2" w:rsidRPr="008E077B" w:rsidRDefault="00311AC2" w:rsidP="00311AC2">
      <w:r w:rsidRPr="008E077B">
        <w:t>Glavni dejavniki naravnega okolja, ki zaradi vpliva podnebnih sprememb ogrožajo gozdove v Mestni občini Nova Gorica, so žled, veter, zemeljski plazovi, gozdni požari, bolezni in škodljivci na navadni smreki in črnemu boru, bolezni in škodljivci listavcev ter invazivne tujerodne vrste. Najpomembnejši dejavniki družbenega okolja, ki so občutljivi na potencialne vplive podnebnih sprememb na sektor gozdarstvo v občini, pa so število izvajalcev del v gozdarstvu ter količine ter potencial lesa in gozdov. Ukrepi prilagajanja podnebnim spremembam, s katerimi lahko Mestna občina Nova Gorica zmanjša občutljivost sektorja gozdarstvo na podnebne spremembe in tudi izkoristi pozitivne učinke podnebnih sprememb, vključujejo:</w:t>
      </w:r>
    </w:p>
    <w:p w14:paraId="33E5E19F" w14:textId="77777777" w:rsidR="00311AC2" w:rsidRPr="008E077B" w:rsidRDefault="00311AC2" w:rsidP="00900691">
      <w:pPr>
        <w:pStyle w:val="Odstavekseznama"/>
        <w:numPr>
          <w:ilvl w:val="0"/>
          <w:numId w:val="41"/>
        </w:numPr>
        <w:rPr>
          <w:rFonts w:ascii="Trebuchet MS" w:eastAsia="Trebuchet MS" w:hAnsi="Trebuchet MS"/>
        </w:rPr>
      </w:pPr>
      <w:r w:rsidRPr="008E077B">
        <w:rPr>
          <w:rFonts w:ascii="Trebuchet MS" w:eastAsia="Trebuchet MS" w:hAnsi="Trebuchet MS"/>
        </w:rPr>
        <w:t xml:space="preserve">ohranjanje </w:t>
      </w:r>
      <w:r w:rsidRPr="00E22E4B">
        <w:rPr>
          <w:rFonts w:ascii="Trebuchet MS" w:eastAsia="Trebuchet MS" w:hAnsi="Trebuchet MS"/>
        </w:rPr>
        <w:t>stabilnega deleža gozdnatosti v kmetijski krajini in ohranjanje kmetijskih površin pred zaraščanjem</w:t>
      </w:r>
      <w:r w:rsidRPr="008E077B">
        <w:rPr>
          <w:rFonts w:ascii="Trebuchet MS" w:eastAsia="Trebuchet MS" w:hAnsi="Trebuchet MS"/>
        </w:rPr>
        <w:t>;</w:t>
      </w:r>
    </w:p>
    <w:p w14:paraId="150D5540" w14:textId="77777777" w:rsidR="00311AC2" w:rsidRPr="008E077B" w:rsidRDefault="00311AC2" w:rsidP="00900691">
      <w:pPr>
        <w:pStyle w:val="Odstavekseznama"/>
        <w:numPr>
          <w:ilvl w:val="0"/>
          <w:numId w:val="41"/>
        </w:numPr>
        <w:rPr>
          <w:rFonts w:ascii="Trebuchet MS" w:eastAsia="Trebuchet MS" w:hAnsi="Trebuchet MS"/>
        </w:rPr>
      </w:pPr>
      <w:r w:rsidRPr="008E077B">
        <w:rPr>
          <w:rFonts w:ascii="Trebuchet MS" w:eastAsia="Trebuchet MS" w:hAnsi="Trebuchet MS"/>
        </w:rPr>
        <w:t xml:space="preserve">vzpostavitev in ohranjanje vetrno-zaščitnih pasov, mejic in </w:t>
      </w:r>
      <w:proofErr w:type="spellStart"/>
      <w:r w:rsidRPr="008E077B">
        <w:rPr>
          <w:rFonts w:ascii="Trebuchet MS" w:eastAsia="Trebuchet MS" w:hAnsi="Trebuchet MS"/>
        </w:rPr>
        <w:t>omejkov</w:t>
      </w:r>
      <w:proofErr w:type="spellEnd"/>
      <w:r w:rsidRPr="008E077B">
        <w:rPr>
          <w:rFonts w:ascii="Trebuchet MS" w:eastAsia="Trebuchet MS" w:hAnsi="Trebuchet MS"/>
        </w:rPr>
        <w:t xml:space="preserve"> za zmanjšanje ogroženosti kmetijskih površin zaradi močnih sunkov vetra in vetrne erozije;</w:t>
      </w:r>
    </w:p>
    <w:p w14:paraId="3B8C2C7A" w14:textId="77777777" w:rsidR="00311AC2" w:rsidRPr="008E077B" w:rsidRDefault="00311AC2" w:rsidP="00900691">
      <w:pPr>
        <w:pStyle w:val="Odstavekseznama"/>
        <w:numPr>
          <w:ilvl w:val="0"/>
          <w:numId w:val="41"/>
        </w:numPr>
        <w:rPr>
          <w:rFonts w:ascii="Trebuchet MS" w:eastAsia="Trebuchet MS" w:hAnsi="Trebuchet MS"/>
        </w:rPr>
      </w:pPr>
      <w:r w:rsidRPr="008E077B">
        <w:rPr>
          <w:rFonts w:ascii="Trebuchet MS" w:eastAsia="Trebuchet MS" w:hAnsi="Trebuchet MS"/>
        </w:rPr>
        <w:t xml:space="preserve">ohranjanje in povečanje dostopnih površin mestnih gozdov ter povezovanje z zelenimi površinami na robovih naselij in v zaledju v »zeleni sistem« na pretežno urbaniziranem območju </w:t>
      </w:r>
      <w:r>
        <w:rPr>
          <w:rFonts w:ascii="Trebuchet MS" w:eastAsia="Trebuchet MS" w:hAnsi="Trebuchet MS"/>
        </w:rPr>
        <w:t>občine</w:t>
      </w:r>
      <w:r w:rsidRPr="008E077B">
        <w:rPr>
          <w:rFonts w:ascii="Trebuchet MS" w:eastAsia="Trebuchet MS" w:hAnsi="Trebuchet MS"/>
        </w:rPr>
        <w:t xml:space="preserve"> s poudarkom na rekreaciji in turizmu;</w:t>
      </w:r>
    </w:p>
    <w:p w14:paraId="0B930EF4" w14:textId="77777777" w:rsidR="00311AC2" w:rsidRPr="008E077B" w:rsidRDefault="00311AC2" w:rsidP="00900691">
      <w:pPr>
        <w:pStyle w:val="Odstavekseznama"/>
        <w:numPr>
          <w:ilvl w:val="0"/>
          <w:numId w:val="41"/>
        </w:numPr>
        <w:rPr>
          <w:rFonts w:ascii="Trebuchet MS" w:hAnsi="Trebuchet MS"/>
        </w:rPr>
      </w:pPr>
      <w:r w:rsidRPr="008E077B">
        <w:rPr>
          <w:rFonts w:ascii="Trebuchet MS" w:hAnsi="Trebuchet MS"/>
        </w:rPr>
        <w:t xml:space="preserve">vzpostavitev javne službe za upravljanje z gozdovi v lasti </w:t>
      </w:r>
      <w:r>
        <w:rPr>
          <w:rFonts w:ascii="Trebuchet MS" w:hAnsi="Trebuchet MS"/>
        </w:rPr>
        <w:t xml:space="preserve">občine </w:t>
      </w:r>
      <w:r w:rsidRPr="008E077B">
        <w:rPr>
          <w:rFonts w:ascii="Trebuchet MS" w:hAnsi="Trebuchet MS"/>
        </w:rPr>
        <w:t>v sodelovanju z Zavodom za gozdove Slovenije v smislu »dobrega gospodarja« ter spodbujanje večnamenske vloge teh gozdov s poudarkom na protipožarni varnosti, rekreaciji, turizmu, izobraževanju in blaženju podnebnih sprememb v urbanih središčih (zmanjševanje onesnaženosti zraka, zmanjševanje temperatur, zmanjševanje hrupa, itd.);</w:t>
      </w:r>
    </w:p>
    <w:p w14:paraId="23B156D2" w14:textId="77777777" w:rsidR="00311AC2" w:rsidRPr="00B97B9B" w:rsidRDefault="00311AC2" w:rsidP="00900691">
      <w:pPr>
        <w:pStyle w:val="Odstavekseznama"/>
        <w:numPr>
          <w:ilvl w:val="0"/>
          <w:numId w:val="41"/>
        </w:numPr>
        <w:rPr>
          <w:rFonts w:ascii="Trebuchet MS" w:hAnsi="Trebuchet MS"/>
        </w:rPr>
      </w:pPr>
      <w:r w:rsidRPr="008E077B">
        <w:rPr>
          <w:rFonts w:ascii="Trebuchet MS" w:eastAsia="Trebuchet MS" w:hAnsi="Trebuchet MS"/>
        </w:rPr>
        <w:t xml:space="preserve">izboljšanje strukture gozdov (večja pestrost avtohtonih drevesnih vrst, bolj uravnoteženo razmerje razvojnih faz, idr.) z namenom krepitve odpornosti gozdov na mehanske poškodbe ter bolezni in škodljivce; </w:t>
      </w:r>
    </w:p>
    <w:p w14:paraId="655C8842" w14:textId="77777777" w:rsidR="00311AC2" w:rsidRPr="00B97B9B" w:rsidRDefault="00311AC2" w:rsidP="00900691">
      <w:pPr>
        <w:pStyle w:val="Odstavekseznama"/>
        <w:numPr>
          <w:ilvl w:val="0"/>
          <w:numId w:val="41"/>
        </w:numPr>
        <w:rPr>
          <w:rFonts w:ascii="Trebuchet MS" w:hAnsi="Trebuchet MS"/>
        </w:rPr>
      </w:pPr>
      <w:r>
        <w:rPr>
          <w:rFonts w:ascii="Trebuchet MS" w:hAnsi="Trebuchet MS"/>
        </w:rPr>
        <w:t>o</w:t>
      </w:r>
      <w:r w:rsidRPr="00B97B9B">
        <w:rPr>
          <w:rFonts w:ascii="Trebuchet MS" w:hAnsi="Trebuchet MS"/>
        </w:rPr>
        <w:t xml:space="preserve">zaveščanje prebivalstva o nevarnostih vnašanja invazivnih tujerodnih vrst (ITV), predvsem načrtne sadnje </w:t>
      </w:r>
      <w:proofErr w:type="spellStart"/>
      <w:r w:rsidRPr="00B97B9B">
        <w:rPr>
          <w:rFonts w:ascii="Trebuchet MS" w:hAnsi="Trebuchet MS"/>
        </w:rPr>
        <w:t>pavlovnije</w:t>
      </w:r>
      <w:proofErr w:type="spellEnd"/>
      <w:r w:rsidRPr="00B97B9B">
        <w:rPr>
          <w:rFonts w:ascii="Trebuchet MS" w:hAnsi="Trebuchet MS"/>
        </w:rPr>
        <w:t xml:space="preserve"> in črnega oreha ter vzpostavitev sistema hitrega ukrepanja pri vdoru novih ITV.</w:t>
      </w:r>
    </w:p>
    <w:p w14:paraId="29E4413E" w14:textId="77777777" w:rsidR="00311AC2" w:rsidRPr="008E077B" w:rsidRDefault="00311AC2" w:rsidP="00900691">
      <w:pPr>
        <w:pStyle w:val="Odstavekseznama"/>
        <w:numPr>
          <w:ilvl w:val="0"/>
          <w:numId w:val="41"/>
        </w:numPr>
        <w:rPr>
          <w:rFonts w:ascii="Trebuchet MS" w:hAnsi="Trebuchet MS"/>
        </w:rPr>
      </w:pPr>
      <w:r w:rsidRPr="008E077B">
        <w:rPr>
          <w:rFonts w:ascii="Trebuchet MS" w:hAnsi="Trebuchet MS"/>
        </w:rPr>
        <w:t>ohranjanje ugodnega stanja habitatnih tipov in kvalifikacijskih vrst Nature 2000.</w:t>
      </w:r>
    </w:p>
    <w:p w14:paraId="34A7A544" w14:textId="77777777" w:rsidR="00311AC2" w:rsidRPr="008E077B" w:rsidRDefault="00311AC2" w:rsidP="00900691">
      <w:pPr>
        <w:pStyle w:val="Odstavekseznama"/>
        <w:numPr>
          <w:ilvl w:val="0"/>
          <w:numId w:val="41"/>
        </w:numPr>
        <w:rPr>
          <w:rFonts w:ascii="Trebuchet MS" w:eastAsia="Trebuchet MS" w:hAnsi="Trebuchet MS"/>
        </w:rPr>
      </w:pPr>
      <w:r w:rsidRPr="008E077B">
        <w:rPr>
          <w:rFonts w:ascii="Trebuchet MS" w:eastAsia="Trebuchet MS" w:hAnsi="Trebuchet MS"/>
        </w:rPr>
        <w:t>načrtovanje in izvajanje proti-erozijskih ukrepov v gozdovih za zmanjševanje erozijske ogroženosti infrastrukture ter preprečevanje proženja zemeljskih plazov;</w:t>
      </w:r>
    </w:p>
    <w:p w14:paraId="1E7BEEF5" w14:textId="77777777" w:rsidR="00311AC2" w:rsidRDefault="00311AC2" w:rsidP="00900691">
      <w:pPr>
        <w:pStyle w:val="Odstavekseznama"/>
        <w:numPr>
          <w:ilvl w:val="0"/>
          <w:numId w:val="41"/>
        </w:numPr>
        <w:rPr>
          <w:rFonts w:ascii="Trebuchet MS" w:hAnsi="Trebuchet MS" w:cs="Arial"/>
        </w:rPr>
      </w:pPr>
      <w:r w:rsidRPr="008E077B">
        <w:rPr>
          <w:rFonts w:ascii="Trebuchet MS" w:eastAsia="Trebuchet MS" w:hAnsi="Trebuchet MS"/>
        </w:rPr>
        <w:t xml:space="preserve">zmanjšanje požarne ogroženosti </w:t>
      </w:r>
      <w:r>
        <w:rPr>
          <w:rFonts w:ascii="Trebuchet MS" w:eastAsia="Trebuchet MS" w:hAnsi="Trebuchet MS"/>
        </w:rPr>
        <w:t xml:space="preserve">gozdov z </w:t>
      </w:r>
      <w:r w:rsidRPr="008E077B">
        <w:rPr>
          <w:rFonts w:ascii="Trebuchet MS" w:hAnsi="Trebuchet MS" w:cs="Arial"/>
        </w:rPr>
        <w:t>usmerjanje</w:t>
      </w:r>
      <w:r>
        <w:rPr>
          <w:rFonts w:ascii="Trebuchet MS" w:hAnsi="Trebuchet MS" w:cs="Arial"/>
        </w:rPr>
        <w:t>m</w:t>
      </w:r>
      <w:r w:rsidRPr="008E077B">
        <w:rPr>
          <w:rFonts w:ascii="Trebuchet MS" w:hAnsi="Trebuchet MS" w:cs="Arial"/>
        </w:rPr>
        <w:t xml:space="preserve"> gojitvenih in varstvenih del v protipožarno varstvo, npr. gradnja in vzdrževanje protipožarnih presek, </w:t>
      </w:r>
      <w:bookmarkStart w:id="267" w:name="_Hlk74318457"/>
      <w:r w:rsidRPr="008E077B">
        <w:rPr>
          <w:rFonts w:ascii="Trebuchet MS" w:hAnsi="Trebuchet MS" w:cs="Arial"/>
        </w:rPr>
        <w:t xml:space="preserve">usmerjanje </w:t>
      </w:r>
      <w:r>
        <w:rPr>
          <w:rFonts w:ascii="Trebuchet MS" w:hAnsi="Trebuchet MS" w:cs="Arial"/>
        </w:rPr>
        <w:t>drevesne sestave</w:t>
      </w:r>
      <w:r w:rsidRPr="008E077B">
        <w:rPr>
          <w:rFonts w:ascii="Trebuchet MS" w:hAnsi="Trebuchet MS" w:cs="Arial"/>
        </w:rPr>
        <w:t xml:space="preserve"> k požarno bolj odpornim oblikam</w:t>
      </w:r>
      <w:bookmarkEnd w:id="267"/>
      <w:r w:rsidRPr="008E077B">
        <w:rPr>
          <w:rFonts w:ascii="Trebuchet MS" w:hAnsi="Trebuchet MS" w:cs="Arial"/>
        </w:rPr>
        <w:t>;</w:t>
      </w:r>
    </w:p>
    <w:p w14:paraId="138AEAE6" w14:textId="77777777" w:rsidR="00311AC2" w:rsidRPr="00B97B9B" w:rsidRDefault="00311AC2" w:rsidP="00900691">
      <w:pPr>
        <w:pStyle w:val="Odstavekseznama"/>
        <w:numPr>
          <w:ilvl w:val="0"/>
          <w:numId w:val="41"/>
        </w:numPr>
        <w:rPr>
          <w:rFonts w:ascii="Trebuchet MS" w:hAnsi="Trebuchet MS" w:cs="Arial"/>
        </w:rPr>
      </w:pPr>
      <w:r>
        <w:rPr>
          <w:rFonts w:ascii="Trebuchet MS" w:hAnsi="Trebuchet MS" w:cs="Arial"/>
        </w:rPr>
        <w:t>s</w:t>
      </w:r>
      <w:r w:rsidRPr="00B97B9B">
        <w:rPr>
          <w:rFonts w:ascii="Trebuchet MS" w:hAnsi="Trebuchet MS" w:cs="Arial"/>
        </w:rPr>
        <w:t>podbujanje lastnikov gozdov k sečnji, izvajanju gojitvenih del, predvsem nege mladega gozda ter vlaganju v gozdove.</w:t>
      </w:r>
    </w:p>
    <w:p w14:paraId="53622E61" w14:textId="77777777" w:rsidR="00311AC2" w:rsidRPr="008E077B" w:rsidRDefault="00311AC2" w:rsidP="00900691">
      <w:pPr>
        <w:pStyle w:val="Odstavekseznama"/>
        <w:numPr>
          <w:ilvl w:val="0"/>
          <w:numId w:val="41"/>
        </w:numPr>
        <w:rPr>
          <w:rFonts w:ascii="Trebuchet MS" w:eastAsia="Trebuchet MS" w:hAnsi="Trebuchet MS"/>
        </w:rPr>
      </w:pPr>
      <w:r w:rsidRPr="008E077B">
        <w:rPr>
          <w:rFonts w:ascii="Trebuchet MS" w:eastAsia="Trebuchet MS" w:hAnsi="Trebuchet MS"/>
        </w:rPr>
        <w:t xml:space="preserve">povezovanje lastnikov ali koncentracija </w:t>
      </w:r>
      <w:r w:rsidRPr="008E077B">
        <w:rPr>
          <w:rFonts w:ascii="Trebuchet MS" w:hAnsi="Trebuchet MS" w:cs="Arial"/>
        </w:rPr>
        <w:t xml:space="preserve">izrazito razdrobljene gozdne posesti </w:t>
      </w:r>
      <w:r w:rsidRPr="008E077B">
        <w:rPr>
          <w:rFonts w:ascii="Trebuchet MS" w:eastAsia="Trebuchet MS" w:hAnsi="Trebuchet MS"/>
        </w:rPr>
        <w:t>za bolj učinkovito gospodarjenje z gozdovi;</w:t>
      </w:r>
    </w:p>
    <w:p w14:paraId="789A1B3F" w14:textId="77777777" w:rsidR="00311AC2" w:rsidRPr="008E077B" w:rsidRDefault="00311AC2" w:rsidP="00900691">
      <w:pPr>
        <w:pStyle w:val="Odstavekseznama"/>
        <w:numPr>
          <w:ilvl w:val="0"/>
          <w:numId w:val="41"/>
        </w:numPr>
        <w:rPr>
          <w:rFonts w:ascii="Trebuchet MS" w:eastAsia="Trebuchet MS" w:hAnsi="Trebuchet MS"/>
        </w:rPr>
      </w:pPr>
      <w:r w:rsidRPr="008E077B">
        <w:rPr>
          <w:rFonts w:ascii="Trebuchet MS" w:eastAsia="Trebuchet MS" w:hAnsi="Trebuchet MS"/>
        </w:rPr>
        <w:t>ozaveščanje in usposabljanje zasebnih lastnikov gozdov ter izvajalcev gozdnih del za bolj učinkovito in varno delo ter gospodarjenje z gozdom;</w:t>
      </w:r>
    </w:p>
    <w:p w14:paraId="4B144230" w14:textId="77777777" w:rsidR="00311AC2" w:rsidRPr="008E077B" w:rsidRDefault="00311AC2" w:rsidP="00900691">
      <w:pPr>
        <w:pStyle w:val="Odstavekseznama"/>
        <w:numPr>
          <w:ilvl w:val="0"/>
          <w:numId w:val="41"/>
        </w:numPr>
        <w:rPr>
          <w:rFonts w:ascii="Trebuchet MS" w:eastAsia="Trebuchet MS" w:hAnsi="Trebuchet MS"/>
        </w:rPr>
      </w:pPr>
      <w:r w:rsidRPr="008E077B">
        <w:rPr>
          <w:rFonts w:ascii="Trebuchet MS" w:eastAsia="Trebuchet MS" w:hAnsi="Trebuchet MS"/>
        </w:rPr>
        <w:lastRenderedPageBreak/>
        <w:t>povečanje sredstev in kadrov za izvajanje javne gozdarske službe;</w:t>
      </w:r>
    </w:p>
    <w:p w14:paraId="633C007B" w14:textId="77777777" w:rsidR="00311AC2" w:rsidRPr="008E077B" w:rsidRDefault="00311AC2" w:rsidP="00900691">
      <w:pPr>
        <w:pStyle w:val="Odstavekseznama"/>
        <w:numPr>
          <w:ilvl w:val="0"/>
          <w:numId w:val="41"/>
        </w:numPr>
        <w:rPr>
          <w:rFonts w:ascii="Trebuchet MS" w:eastAsia="Trebuchet MS" w:hAnsi="Trebuchet MS"/>
        </w:rPr>
      </w:pPr>
      <w:r w:rsidRPr="008E077B">
        <w:rPr>
          <w:rFonts w:ascii="Trebuchet MS" w:eastAsia="Trebuchet MS" w:hAnsi="Trebuchet MS"/>
        </w:rPr>
        <w:t>izboljšanje stanja gozdarske in lesno-predelovalne industrije v Sloveniji in v regiji – manjša razdrobljenost, povezovanje, posodobitev tehnologije, večja konkurenčnost, usmeritev v vrednostno proizvodnjo, izboljšati trženje gozdnih proizvodov;</w:t>
      </w:r>
    </w:p>
    <w:p w14:paraId="0FEB4EBF" w14:textId="77777777" w:rsidR="00311AC2" w:rsidRPr="008E077B" w:rsidRDefault="00311AC2" w:rsidP="00900691">
      <w:pPr>
        <w:pStyle w:val="Odstavekseznama"/>
        <w:numPr>
          <w:ilvl w:val="0"/>
          <w:numId w:val="41"/>
        </w:numPr>
        <w:rPr>
          <w:rFonts w:ascii="Trebuchet MS" w:eastAsia="Trebuchet MS" w:hAnsi="Trebuchet MS"/>
        </w:rPr>
      </w:pPr>
      <w:r w:rsidRPr="008E077B">
        <w:rPr>
          <w:rFonts w:ascii="Trebuchet MS" w:eastAsia="Trebuchet MS" w:hAnsi="Trebuchet MS"/>
        </w:rPr>
        <w:t>ozaveščanje in spodbujanje prebivalstva, javnih ustanov in investitorjev za večjo rabo lesne biomase kot OVE.</w:t>
      </w:r>
    </w:p>
    <w:p w14:paraId="6518C252" w14:textId="0C56A99D" w:rsidR="00C174E2" w:rsidRDefault="00C174E2" w:rsidP="00C174E2">
      <w:pPr>
        <w:rPr>
          <w:lang w:eastAsia="sl-SI"/>
        </w:rPr>
      </w:pPr>
    </w:p>
    <w:p w14:paraId="01E3A580" w14:textId="77777777" w:rsidR="00C174E2" w:rsidRPr="00E66C02" w:rsidRDefault="00C174E2" w:rsidP="00E66C02">
      <w:pPr>
        <w:pStyle w:val="Naslov3"/>
        <w:rPr>
          <w:rFonts w:eastAsia="Calibri"/>
          <w:lang w:eastAsia="sl-SI"/>
        </w:rPr>
      </w:pPr>
      <w:bookmarkStart w:id="268" w:name="_Toc57035082"/>
      <w:bookmarkStart w:id="269" w:name="_Toc97026766"/>
      <w:r w:rsidRPr="00E66C02">
        <w:rPr>
          <w:rFonts w:eastAsia="Calibri"/>
          <w:lang w:eastAsia="sl-SI"/>
        </w:rPr>
        <w:t>Viri</w:t>
      </w:r>
      <w:bookmarkEnd w:id="268"/>
      <w:bookmarkEnd w:id="269"/>
    </w:p>
    <w:p w14:paraId="65371D7C" w14:textId="77777777" w:rsidR="00311AC2" w:rsidRPr="008E077B" w:rsidRDefault="00311AC2" w:rsidP="008334B2">
      <w:r w:rsidRPr="008E077B">
        <w:t>ARSO. 2014. Sneg, žled in padavine od 30. januarja do 7. februarja 2014. Ljubljana, Agencija RS za okolje, Urad za meteorologijo: 21 str.</w:t>
      </w:r>
    </w:p>
    <w:p w14:paraId="0E730C45" w14:textId="540D42CB" w:rsidR="00311AC2" w:rsidRPr="008E077B" w:rsidRDefault="00311AC2" w:rsidP="008334B2">
      <w:pPr>
        <w:rPr>
          <w:rFonts w:cs="SourceSansPro-Light"/>
        </w:rPr>
      </w:pPr>
      <w:r w:rsidRPr="008E077B">
        <w:rPr>
          <w:rFonts w:cs="SourceSansPro-Light"/>
        </w:rPr>
        <w:t xml:space="preserve">Gozdarski inštitut Slovenije. 2017. Spletni informacijski sistem </w:t>
      </w:r>
      <w:proofErr w:type="spellStart"/>
      <w:r w:rsidRPr="008E077B">
        <w:rPr>
          <w:rFonts w:cs="SourceSansPro-Light"/>
        </w:rPr>
        <w:t>MojGozdar</w:t>
      </w:r>
      <w:proofErr w:type="spellEnd"/>
      <w:r w:rsidRPr="008E077B">
        <w:rPr>
          <w:rFonts w:cs="SourceSansPro-Light"/>
        </w:rPr>
        <w:t xml:space="preserve">. </w:t>
      </w:r>
      <w:r w:rsidR="007A0276">
        <w:fldChar w:fldCharType="begin"/>
      </w:r>
      <w:r w:rsidR="007A0276">
        <w:instrText xml:space="preserve"> HYPERLINK "http://www.mojgozdar.si" </w:instrText>
      </w:r>
      <w:r w:rsidR="007A0276">
        <w:fldChar w:fldCharType="separate"/>
      </w:r>
      <w:r w:rsidRPr="008E077B">
        <w:rPr>
          <w:rStyle w:val="Hiperpovezava"/>
          <w:rFonts w:cs="SourceSansPro-Light"/>
        </w:rPr>
        <w:t>www.mojgozdar.si</w:t>
      </w:r>
      <w:r w:rsidR="007A0276">
        <w:rPr>
          <w:rStyle w:val="Hiperpovezava"/>
          <w:rFonts w:cs="SourceSansPro-Light"/>
        </w:rPr>
        <w:fldChar w:fldCharType="end"/>
      </w:r>
      <w:r w:rsidRPr="008E077B">
        <w:rPr>
          <w:rFonts w:cs="SourceSansPro-Light"/>
        </w:rPr>
        <w:t>, dostop 24. 3. 2020</w:t>
      </w:r>
    </w:p>
    <w:p w14:paraId="6EAA6DF5" w14:textId="77777777" w:rsidR="00311AC2" w:rsidRPr="008E077B" w:rsidRDefault="00311AC2" w:rsidP="008334B2">
      <w:r w:rsidRPr="008E077B">
        <w:t xml:space="preserve">Gričar, J. (ur.). 2014. Stanje primarne lesnopredelovalne industrije v jugovzhodni Evropi. ID:WOOD projekt. Ljubljana, Založba </w:t>
      </w:r>
      <w:r w:rsidRPr="008E077B">
        <w:rPr>
          <w:i/>
        </w:rPr>
        <w:t xml:space="preserve">Silva </w:t>
      </w:r>
      <w:proofErr w:type="spellStart"/>
      <w:r w:rsidRPr="008E077B">
        <w:rPr>
          <w:i/>
        </w:rPr>
        <w:t>Slovenica</w:t>
      </w:r>
      <w:proofErr w:type="spellEnd"/>
      <w:r w:rsidRPr="008E077B">
        <w:t xml:space="preserve">, Gozdarski inštitut Slovenije: str. 54. </w:t>
      </w:r>
    </w:p>
    <w:p w14:paraId="1B49475E" w14:textId="1BC83C5E" w:rsidR="00311AC2" w:rsidRPr="008E077B" w:rsidRDefault="00311AC2" w:rsidP="008334B2">
      <w:pPr>
        <w:rPr>
          <w:rFonts w:cs="SourceSansPro-Light"/>
        </w:rPr>
      </w:pPr>
      <w:r w:rsidRPr="008E077B">
        <w:rPr>
          <w:rFonts w:cs="SourceSansPro-Light"/>
        </w:rPr>
        <w:t xml:space="preserve">IKGLR. 2018. Inšpektorat za kmetijstvo, gozdarstvo, lovstvo in ribištvo. Izvajanje del v gozdovih </w:t>
      </w:r>
      <w:hyperlink r:id="rId108" w:history="1">
        <w:r w:rsidRPr="008E077B">
          <w:rPr>
            <w:rStyle w:val="Hiperpovezava"/>
            <w:rFonts w:cs="SourceSansPro-Light"/>
          </w:rPr>
          <w:t>http://www.ikglr.gov.si/si/delovna_podrocja/izvajanje_del_v_gozdovih/</w:t>
        </w:r>
      </w:hyperlink>
      <w:r w:rsidRPr="008E077B">
        <w:rPr>
          <w:rFonts w:cs="SourceSansPro-Light"/>
        </w:rPr>
        <w:t>; (februar 2018)</w:t>
      </w:r>
    </w:p>
    <w:p w14:paraId="6543A242" w14:textId="77777777" w:rsidR="00311AC2" w:rsidRPr="008E077B" w:rsidRDefault="00311AC2" w:rsidP="008334B2">
      <w:proofErr w:type="spellStart"/>
      <w:r w:rsidRPr="008E077B">
        <w:t>Invazivke</w:t>
      </w:r>
      <w:proofErr w:type="spellEnd"/>
      <w:r w:rsidRPr="008E077B">
        <w:t xml:space="preserve"> - Osrednji elektronski informacijski sistem za invazivne tujerodne vrste v Sloveniji, www.invazivke.si. Gozdarski inštitut Slovenije, LIFE ARTEMIS (LIFE15 GIE/SI/000770) (datum prenosa podatkov).</w:t>
      </w:r>
    </w:p>
    <w:p w14:paraId="6EB4B842" w14:textId="77777777" w:rsidR="00311AC2" w:rsidRPr="008E077B" w:rsidRDefault="00311AC2" w:rsidP="008334B2">
      <w:r w:rsidRPr="008E077B">
        <w:t>Jurc, D. 2001. Rdeča trohnoba: povzročitelji. opis bolezni in ukrepi proti njej. - Ljubljana, Gozdarski inštitut Slovenije, 36 str.</w:t>
      </w:r>
    </w:p>
    <w:p w14:paraId="260DA69A" w14:textId="77777777" w:rsidR="00311AC2" w:rsidRPr="008E077B" w:rsidRDefault="00311AC2" w:rsidP="008334B2">
      <w:pPr>
        <w:rPr>
          <w:rFonts w:eastAsia="Calibri"/>
          <w:lang w:eastAsia="sl-SI"/>
        </w:rPr>
      </w:pPr>
      <w:r w:rsidRPr="008E077B">
        <w:rPr>
          <w:rFonts w:eastAsia="Calibri"/>
          <w:lang w:eastAsia="sl-SI"/>
        </w:rPr>
        <w:t xml:space="preserve">Jurc, D., Jurc, M. 2013. "Pa so padali bolestno, nemo, bor za borom..." - boru na Krasu so šteti dnevi. Premene </w:t>
      </w:r>
      <w:proofErr w:type="spellStart"/>
      <w:r w:rsidRPr="008E077B">
        <w:rPr>
          <w:rFonts w:eastAsia="Calibri"/>
          <w:lang w:eastAsia="sl-SI"/>
        </w:rPr>
        <w:t>malodonosnih</w:t>
      </w:r>
      <w:proofErr w:type="spellEnd"/>
      <w:r w:rsidRPr="008E077B">
        <w:rPr>
          <w:rFonts w:eastAsia="Calibri"/>
          <w:lang w:eastAsia="sl-SI"/>
        </w:rPr>
        <w:t xml:space="preserve"> in </w:t>
      </w:r>
      <w:proofErr w:type="spellStart"/>
      <w:r w:rsidRPr="008E077B">
        <w:rPr>
          <w:rFonts w:eastAsia="Calibri"/>
          <w:lang w:eastAsia="sl-SI"/>
        </w:rPr>
        <w:t>vrstnospremenjenih</w:t>
      </w:r>
      <w:proofErr w:type="spellEnd"/>
      <w:r w:rsidRPr="008E077B">
        <w:rPr>
          <w:rFonts w:eastAsia="Calibri"/>
          <w:lang w:eastAsia="sl-SI"/>
        </w:rPr>
        <w:t xml:space="preserve"> gozdov. Zbornik razširjenih povzetkov. XXXI. Gozdarski študijski dnevi, Ljubljana, Sežana, Univerza v Ljubljani, Biotehniška fakulteta, Oddelek za gozdarstvo in obnovljive gozdne vire: 27–29 str.</w:t>
      </w:r>
    </w:p>
    <w:p w14:paraId="74BD27B3" w14:textId="6BC094B9" w:rsidR="00311AC2" w:rsidRPr="008E077B" w:rsidRDefault="00311AC2" w:rsidP="008334B2">
      <w:r w:rsidRPr="008E077B">
        <w:t xml:space="preserve">Dušan Jurc, Barbara Piškur, Peter Smolnikar, </w:t>
      </w:r>
      <w:proofErr w:type="spellStart"/>
      <w:r w:rsidRPr="008E077B">
        <w:t>Nikica</w:t>
      </w:r>
      <w:proofErr w:type="spellEnd"/>
      <w:r w:rsidRPr="008E077B">
        <w:t xml:space="preserve"> Ogris. 2019. Poročilo o preskusu št. LVG 2019-010: pooglenitev bukve, </w:t>
      </w:r>
      <w:proofErr w:type="spellStart"/>
      <w:r w:rsidRPr="008E077B">
        <w:rPr>
          <w:i/>
        </w:rPr>
        <w:t>Biscogniauxia</w:t>
      </w:r>
      <w:proofErr w:type="spellEnd"/>
      <w:r w:rsidRPr="008E077B">
        <w:rPr>
          <w:i/>
        </w:rPr>
        <w:t xml:space="preserve"> </w:t>
      </w:r>
      <w:proofErr w:type="spellStart"/>
      <w:r w:rsidRPr="008E077B">
        <w:rPr>
          <w:i/>
        </w:rPr>
        <w:t>nummularia</w:t>
      </w:r>
      <w:proofErr w:type="spellEnd"/>
      <w:r w:rsidRPr="008E077B">
        <w:t xml:space="preserve">, ZGS OE Tolmin, </w:t>
      </w:r>
      <w:proofErr w:type="spellStart"/>
      <w:r w:rsidRPr="008E077B">
        <w:t>Škvarska</w:t>
      </w:r>
      <w:proofErr w:type="spellEnd"/>
      <w:r w:rsidRPr="008E077B">
        <w:t xml:space="preserve"> rajda: 4 str. </w:t>
      </w:r>
      <w:r w:rsidR="007A0276">
        <w:fldChar w:fldCharType="begin"/>
      </w:r>
      <w:r w:rsidR="007A0276">
        <w:instrText xml:space="preserve"> HYPERLINK "https://www.zdravgozd.si/dat/pdp/LVG2019010.pdf" </w:instrText>
      </w:r>
      <w:r w:rsidR="007A0276">
        <w:fldChar w:fldCharType="separate"/>
      </w:r>
      <w:r w:rsidRPr="008E077B">
        <w:rPr>
          <w:rStyle w:val="Hiperpovezava"/>
        </w:rPr>
        <w:t>https://www.zdravgozd.si/dat/pdp/LVG2019010.pdf</w:t>
      </w:r>
      <w:r w:rsidR="007A0276">
        <w:rPr>
          <w:rStyle w:val="Hiperpovezava"/>
        </w:rPr>
        <w:fldChar w:fldCharType="end"/>
      </w:r>
      <w:r w:rsidRPr="008E077B">
        <w:t xml:space="preserve"> </w:t>
      </w:r>
    </w:p>
    <w:p w14:paraId="17A9025A" w14:textId="77777777" w:rsidR="00311AC2" w:rsidRPr="008E077B" w:rsidRDefault="00311AC2" w:rsidP="008334B2">
      <w:r w:rsidRPr="008E077B">
        <w:t>Kastelec D. 1997. Pojav žleda v Sloveniji. Ljubljana, Ministrstvo za okolje in prostor, Hidrometeorološki zavod Republike Slovenije: 10 str.</w:t>
      </w:r>
    </w:p>
    <w:p w14:paraId="49CC0824" w14:textId="77777777" w:rsidR="00311AC2" w:rsidRPr="008E077B" w:rsidRDefault="00311AC2" w:rsidP="008334B2">
      <w:r w:rsidRPr="008E077B">
        <w:t xml:space="preserve">Kobler A., De </w:t>
      </w:r>
      <w:proofErr w:type="spellStart"/>
      <w:r w:rsidRPr="008E077B">
        <w:t>Groot</w:t>
      </w:r>
      <w:proofErr w:type="spellEnd"/>
      <w:r w:rsidRPr="008E077B">
        <w:t xml:space="preserve"> M., Kobal M. 2016. Analiza podatkov terenskega popisa posledic žleda januarja 2014. Projekt CRP Učinki žleda na gozdove glede na </w:t>
      </w:r>
      <w:proofErr w:type="spellStart"/>
      <w:r w:rsidRPr="008E077B">
        <w:t>sestojne</w:t>
      </w:r>
      <w:proofErr w:type="spellEnd"/>
      <w:r w:rsidRPr="008E077B">
        <w:t xml:space="preserve"> in talne značilnosti. Ljubljana, Gozdarski inštitut Slovenije: 78 str.</w:t>
      </w:r>
    </w:p>
    <w:p w14:paraId="336137ED" w14:textId="77777777" w:rsidR="00311AC2" w:rsidRPr="008E077B" w:rsidRDefault="00311AC2" w:rsidP="008334B2">
      <w:pPr>
        <w:rPr>
          <w:rFonts w:cs="SourceSansPro-Light"/>
        </w:rPr>
      </w:pPr>
      <w:r w:rsidRPr="008E077B">
        <w:rPr>
          <w:rFonts w:cs="SourceSansPro-Light"/>
        </w:rPr>
        <w:t xml:space="preserve">Krajnc, N. 2005. Ocenjevanje izbranih socialno-ekonomskih in </w:t>
      </w:r>
      <w:proofErr w:type="spellStart"/>
      <w:r w:rsidRPr="008E077B">
        <w:rPr>
          <w:rFonts w:cs="SourceSansPro-Light"/>
        </w:rPr>
        <w:t>okoljskih</w:t>
      </w:r>
      <w:proofErr w:type="spellEnd"/>
      <w:r w:rsidRPr="008E077B">
        <w:rPr>
          <w:rFonts w:cs="SourceSansPro-Light"/>
        </w:rPr>
        <w:t xml:space="preserve"> posledic rabe lesne biomase. Biotehniška fakulteta, Odd. za gozdarstvo in obnovljive gozdne vire. Ljubljana, Univerza v Ljubljani: Doktorska disertacija. 185 str.</w:t>
      </w:r>
    </w:p>
    <w:p w14:paraId="33AB59B0" w14:textId="77777777" w:rsidR="00311AC2" w:rsidRPr="008E077B" w:rsidRDefault="00311AC2" w:rsidP="008334B2">
      <w:pPr>
        <w:rPr>
          <w:rFonts w:eastAsia="Calibri"/>
          <w:lang w:eastAsia="sl-SI"/>
        </w:rPr>
      </w:pPr>
      <w:r w:rsidRPr="008E077B">
        <w:rPr>
          <w:rFonts w:eastAsia="Calibri"/>
          <w:lang w:eastAsia="sl-SI"/>
        </w:rPr>
        <w:lastRenderedPageBreak/>
        <w:t xml:space="preserve">Kranjc, A. 2009. </w:t>
      </w:r>
      <w:proofErr w:type="spellStart"/>
      <w:r w:rsidRPr="008E077B">
        <w:rPr>
          <w:rFonts w:eastAsia="Calibri"/>
          <w:lang w:eastAsia="sl-SI"/>
        </w:rPr>
        <w:t>History</w:t>
      </w:r>
      <w:proofErr w:type="spellEnd"/>
      <w:r w:rsidRPr="008E077B">
        <w:rPr>
          <w:rFonts w:eastAsia="Calibri"/>
          <w:lang w:eastAsia="sl-SI"/>
        </w:rPr>
        <w:t xml:space="preserve"> of </w:t>
      </w:r>
      <w:proofErr w:type="spellStart"/>
      <w:r w:rsidRPr="008E077B">
        <w:rPr>
          <w:rFonts w:eastAsia="Calibri"/>
          <w:lang w:eastAsia="sl-SI"/>
        </w:rPr>
        <w:t>Deforestation</w:t>
      </w:r>
      <w:proofErr w:type="spellEnd"/>
      <w:r w:rsidRPr="008E077B">
        <w:rPr>
          <w:rFonts w:eastAsia="Calibri"/>
          <w:lang w:eastAsia="sl-SI"/>
        </w:rPr>
        <w:t xml:space="preserve"> </w:t>
      </w:r>
      <w:proofErr w:type="spellStart"/>
      <w:r w:rsidRPr="008E077B">
        <w:rPr>
          <w:rFonts w:eastAsia="Calibri"/>
          <w:lang w:eastAsia="sl-SI"/>
        </w:rPr>
        <w:t>and</w:t>
      </w:r>
      <w:proofErr w:type="spellEnd"/>
      <w:r w:rsidRPr="008E077B">
        <w:rPr>
          <w:rFonts w:eastAsia="Calibri"/>
          <w:lang w:eastAsia="sl-SI"/>
        </w:rPr>
        <w:t xml:space="preserve"> </w:t>
      </w:r>
      <w:proofErr w:type="spellStart"/>
      <w:r w:rsidRPr="008E077B">
        <w:rPr>
          <w:rFonts w:eastAsia="Calibri"/>
          <w:lang w:eastAsia="sl-SI"/>
        </w:rPr>
        <w:t>Reforestation</w:t>
      </w:r>
      <w:proofErr w:type="spellEnd"/>
      <w:r w:rsidRPr="008E077B">
        <w:rPr>
          <w:rFonts w:eastAsia="Calibri"/>
          <w:lang w:eastAsia="sl-SI"/>
        </w:rPr>
        <w:t xml:space="preserve"> in </w:t>
      </w:r>
      <w:proofErr w:type="spellStart"/>
      <w:r w:rsidRPr="008E077B">
        <w:rPr>
          <w:rFonts w:eastAsia="Calibri"/>
          <w:lang w:eastAsia="sl-SI"/>
        </w:rPr>
        <w:t>the</w:t>
      </w:r>
      <w:proofErr w:type="spellEnd"/>
      <w:r w:rsidRPr="008E077B">
        <w:rPr>
          <w:rFonts w:eastAsia="Calibri"/>
          <w:lang w:eastAsia="sl-SI"/>
        </w:rPr>
        <w:t xml:space="preserve"> </w:t>
      </w:r>
      <w:proofErr w:type="spellStart"/>
      <w:r w:rsidRPr="008E077B">
        <w:rPr>
          <w:rFonts w:eastAsia="Calibri"/>
          <w:lang w:eastAsia="sl-SI"/>
        </w:rPr>
        <w:t>Dinaric</w:t>
      </w:r>
      <w:proofErr w:type="spellEnd"/>
      <w:r w:rsidRPr="008E077B">
        <w:rPr>
          <w:rFonts w:eastAsia="Calibri"/>
          <w:lang w:eastAsia="sl-SI"/>
        </w:rPr>
        <w:t xml:space="preserve"> </w:t>
      </w:r>
      <w:proofErr w:type="spellStart"/>
      <w:r w:rsidRPr="008E077B">
        <w:rPr>
          <w:rFonts w:eastAsia="Calibri"/>
          <w:lang w:eastAsia="sl-SI"/>
        </w:rPr>
        <w:t>Karst</w:t>
      </w:r>
      <w:proofErr w:type="spellEnd"/>
      <w:r w:rsidRPr="008E077B">
        <w:rPr>
          <w:rFonts w:eastAsia="Calibri"/>
          <w:lang w:eastAsia="sl-SI"/>
        </w:rPr>
        <w:t xml:space="preserve">. </w:t>
      </w:r>
      <w:proofErr w:type="spellStart"/>
      <w:r w:rsidRPr="008E077B">
        <w:rPr>
          <w:rFonts w:eastAsia="Calibri"/>
          <w:lang w:eastAsia="sl-SI"/>
        </w:rPr>
        <w:t>Geographical</w:t>
      </w:r>
      <w:proofErr w:type="spellEnd"/>
      <w:r w:rsidRPr="008E077B">
        <w:rPr>
          <w:rFonts w:eastAsia="Calibri"/>
          <w:lang w:eastAsia="sl-SI"/>
        </w:rPr>
        <w:t xml:space="preserve"> </w:t>
      </w:r>
      <w:proofErr w:type="spellStart"/>
      <w:r w:rsidRPr="008E077B">
        <w:rPr>
          <w:rFonts w:eastAsia="Calibri"/>
          <w:lang w:eastAsia="sl-SI"/>
        </w:rPr>
        <w:t>Research</w:t>
      </w:r>
      <w:proofErr w:type="spellEnd"/>
      <w:r w:rsidRPr="008E077B">
        <w:rPr>
          <w:rFonts w:eastAsia="Calibri"/>
          <w:lang w:eastAsia="sl-SI"/>
        </w:rPr>
        <w:t>, 47, 1: 15-23.</w:t>
      </w:r>
    </w:p>
    <w:p w14:paraId="4F9C7F91" w14:textId="77777777" w:rsidR="00311AC2" w:rsidRPr="008E077B" w:rsidRDefault="00311AC2" w:rsidP="008334B2">
      <w:r w:rsidRPr="008E077B">
        <w:t xml:space="preserve">Marinšek A., Celarc B., Grah A., Kokalj Ž., Nagel T.A., Ogris N., Oštir K., Planinšek Š., </w:t>
      </w:r>
      <w:proofErr w:type="spellStart"/>
      <w:r w:rsidRPr="008E077B">
        <w:t>Roženbergar</w:t>
      </w:r>
      <w:proofErr w:type="spellEnd"/>
      <w:r w:rsidRPr="008E077B">
        <w:t xml:space="preserve"> D., </w:t>
      </w:r>
      <w:proofErr w:type="spellStart"/>
      <w:r w:rsidRPr="008E077B">
        <w:t>Veljanovski</w:t>
      </w:r>
      <w:proofErr w:type="spellEnd"/>
      <w:r w:rsidRPr="008E077B">
        <w:t xml:space="preserve"> T., </w:t>
      </w:r>
      <w:proofErr w:type="spellStart"/>
      <w:r w:rsidRPr="008E077B">
        <w:t>Vochl</w:t>
      </w:r>
      <w:proofErr w:type="spellEnd"/>
      <w:r w:rsidRPr="008E077B">
        <w:t xml:space="preserve"> S., Železnik P., Kobler A. 2015. Žledolom in njegove posledice na razvoj gozdov - pregled dosedanjih znanj. Gozdarski vestnik, 73, 9: 392-405.</w:t>
      </w:r>
    </w:p>
    <w:p w14:paraId="41D6B438" w14:textId="77777777" w:rsidR="00311AC2" w:rsidRPr="008E077B" w:rsidRDefault="00311AC2" w:rsidP="008334B2">
      <w:pPr>
        <w:rPr>
          <w:rFonts w:eastAsia="Calibri"/>
          <w:lang w:eastAsia="sl-SI"/>
        </w:rPr>
      </w:pPr>
      <w:r w:rsidRPr="008E077B">
        <w:rPr>
          <w:rFonts w:eastAsia="Calibri"/>
          <w:lang w:eastAsia="sl-SI"/>
        </w:rPr>
        <w:t>Ogris, N., Košiček, B. 2009. Vzroki izredno obsežnega pojava sušice najmlajših borovih poganjkov (</w:t>
      </w:r>
      <w:proofErr w:type="spellStart"/>
      <w:r w:rsidRPr="008E077B">
        <w:rPr>
          <w:rFonts w:eastAsia="Calibri"/>
          <w:i/>
          <w:lang w:eastAsia="sl-SI"/>
        </w:rPr>
        <w:t>Diplodia</w:t>
      </w:r>
      <w:proofErr w:type="spellEnd"/>
      <w:r w:rsidRPr="008E077B">
        <w:rPr>
          <w:rFonts w:eastAsia="Calibri"/>
          <w:i/>
          <w:lang w:eastAsia="sl-SI"/>
        </w:rPr>
        <w:t xml:space="preserve"> </w:t>
      </w:r>
      <w:proofErr w:type="spellStart"/>
      <w:r w:rsidRPr="008E077B">
        <w:rPr>
          <w:rFonts w:eastAsia="Calibri"/>
          <w:i/>
          <w:lang w:eastAsia="sl-SI"/>
        </w:rPr>
        <w:t>pinea</w:t>
      </w:r>
      <w:proofErr w:type="spellEnd"/>
      <w:r w:rsidRPr="008E077B">
        <w:rPr>
          <w:rFonts w:eastAsia="Calibri"/>
          <w:lang w:eastAsia="sl-SI"/>
        </w:rPr>
        <w:t>) v okolici Podgorja leta 2008. Novice iz varstva gozdov, 2, 2-4.</w:t>
      </w:r>
    </w:p>
    <w:p w14:paraId="64CC9A50" w14:textId="56166E59" w:rsidR="00311AC2" w:rsidRPr="008E077B" w:rsidRDefault="00311AC2" w:rsidP="008334B2">
      <w:pPr>
        <w:rPr>
          <w:rStyle w:val="Hiperpovezava"/>
        </w:rPr>
      </w:pPr>
      <w:r w:rsidRPr="008E077B">
        <w:t xml:space="preserve">Ogris N. 2010. Priročnik za določevanje vzrokov poškodb drevja: medmrežna različica. </w:t>
      </w:r>
      <w:r w:rsidR="007A0276">
        <w:fldChar w:fldCharType="begin"/>
      </w:r>
      <w:r w:rsidR="007A0276">
        <w:instrText xml:space="preserve"> HYPERLINK "https://www.zdravgozd.si/" </w:instrText>
      </w:r>
      <w:r w:rsidR="007A0276">
        <w:fldChar w:fldCharType="separate"/>
      </w:r>
      <w:r w:rsidRPr="008E077B">
        <w:rPr>
          <w:rStyle w:val="Hiperpovezava"/>
        </w:rPr>
        <w:t>www.zdravgozd.si</w:t>
      </w:r>
      <w:r w:rsidR="007A0276">
        <w:rPr>
          <w:rStyle w:val="Hiperpovezava"/>
        </w:rPr>
        <w:fldChar w:fldCharType="end"/>
      </w:r>
    </w:p>
    <w:p w14:paraId="1848E454" w14:textId="77777777" w:rsidR="00311AC2" w:rsidRPr="008E077B" w:rsidRDefault="00311AC2" w:rsidP="008334B2">
      <w:r w:rsidRPr="008E077B">
        <w:rPr>
          <w:shd w:val="clear" w:color="auto" w:fill="FFFFFF"/>
        </w:rPr>
        <w:t xml:space="preserve">Ogris N., Jurc M. 2004. Posledice viharnega vetra na Pokljuki v letu 2002. </w:t>
      </w:r>
      <w:proofErr w:type="spellStart"/>
      <w:r w:rsidRPr="008E077B">
        <w:rPr>
          <w:shd w:val="clear" w:color="auto" w:fill="FFFFFF"/>
        </w:rPr>
        <w:t>Consequences</w:t>
      </w:r>
      <w:proofErr w:type="spellEnd"/>
      <w:r w:rsidRPr="008E077B">
        <w:rPr>
          <w:shd w:val="clear" w:color="auto" w:fill="FFFFFF"/>
        </w:rPr>
        <w:t xml:space="preserve"> of </w:t>
      </w:r>
      <w:proofErr w:type="spellStart"/>
      <w:r w:rsidRPr="008E077B">
        <w:rPr>
          <w:shd w:val="clear" w:color="auto" w:fill="FFFFFF"/>
        </w:rPr>
        <w:t>storm</w:t>
      </w:r>
      <w:proofErr w:type="spellEnd"/>
      <w:r w:rsidRPr="008E077B">
        <w:rPr>
          <w:shd w:val="clear" w:color="auto" w:fill="FFFFFF"/>
        </w:rPr>
        <w:t xml:space="preserve"> </w:t>
      </w:r>
      <w:proofErr w:type="spellStart"/>
      <w:r w:rsidRPr="008E077B">
        <w:rPr>
          <w:shd w:val="clear" w:color="auto" w:fill="FFFFFF"/>
        </w:rPr>
        <w:t>wind</w:t>
      </w:r>
      <w:proofErr w:type="spellEnd"/>
      <w:r w:rsidRPr="008E077B">
        <w:rPr>
          <w:shd w:val="clear" w:color="auto" w:fill="FFFFFF"/>
        </w:rPr>
        <w:t xml:space="preserve"> at Pokljuka in 2002. </w:t>
      </w:r>
      <w:r w:rsidRPr="008E077B">
        <w:t>Gozdarski vestnik,</w:t>
      </w:r>
      <w:r w:rsidRPr="008E077B">
        <w:rPr>
          <w:shd w:val="clear" w:color="auto" w:fill="FFFFFF"/>
        </w:rPr>
        <w:t xml:space="preserve"> 62, 7/8: str. 316-325</w:t>
      </w:r>
    </w:p>
    <w:p w14:paraId="3F6C2842" w14:textId="11272509" w:rsidR="00311AC2" w:rsidRPr="008E077B" w:rsidRDefault="00311AC2" w:rsidP="008334B2">
      <w:pPr>
        <w:rPr>
          <w:rStyle w:val="Hiperpovezava"/>
        </w:rPr>
      </w:pPr>
      <w:r w:rsidRPr="008E077B">
        <w:t xml:space="preserve">Ogris N., Pristov N., Kobler A. 2016. Model za kratkoročno napoved pojava žledoloma v Sloveniji. Napovedi o zdravju gozdov, 2016. URL: </w:t>
      </w:r>
      <w:hyperlink r:id="rId109" w:tgtFrame="_blank" w:history="1">
        <w:r w:rsidRPr="008E077B">
          <w:rPr>
            <w:rStyle w:val="Hiperpovezava"/>
          </w:rPr>
          <w:t>https://www.zdravgozd.si/prognoze_zapis.aspx?idpor=29</w:t>
        </w:r>
      </w:hyperlink>
      <w:r w:rsidRPr="008E077B">
        <w:t xml:space="preserve">. DOI: </w:t>
      </w:r>
      <w:hyperlink r:id="rId110" w:tgtFrame="_blank" w:history="1">
        <w:r w:rsidRPr="008E077B">
          <w:rPr>
            <w:rStyle w:val="Hiperpovezava"/>
          </w:rPr>
          <w:t>10.20315/NZG.29</w:t>
        </w:r>
      </w:hyperlink>
    </w:p>
    <w:p w14:paraId="3351393B" w14:textId="77777777" w:rsidR="00311AC2" w:rsidRPr="008E077B" w:rsidRDefault="00311AC2" w:rsidP="008334B2">
      <w:r w:rsidRPr="008E077B">
        <w:t>Ogris N. 2007. Model zdravja gozdov v Sloveniji: doktorska disertacija. Ljubljana, [N. Ogris]: 138 str.</w:t>
      </w:r>
    </w:p>
    <w:p w14:paraId="4E0D4A53" w14:textId="77777777" w:rsidR="00311AC2" w:rsidRPr="008E077B" w:rsidRDefault="00311AC2" w:rsidP="008334B2">
      <w:r w:rsidRPr="008E077B">
        <w:t xml:space="preserve">Ogris N. 2012. Prognostične osnove za varstvo gozdov Slovenije. Ljubljana, </w:t>
      </w:r>
      <w:r w:rsidRPr="008E077B">
        <w:rPr>
          <w:i/>
        </w:rPr>
        <w:t xml:space="preserve">Silva </w:t>
      </w:r>
      <w:proofErr w:type="spellStart"/>
      <w:r w:rsidRPr="008E077B">
        <w:rPr>
          <w:i/>
        </w:rPr>
        <w:t>Slovenica</w:t>
      </w:r>
      <w:proofErr w:type="spellEnd"/>
      <w:r w:rsidRPr="008E077B">
        <w:t>: 104 str.</w:t>
      </w:r>
    </w:p>
    <w:p w14:paraId="6EE92D56" w14:textId="25C491AE" w:rsidR="00311AC2" w:rsidRPr="008E077B" w:rsidRDefault="00311AC2" w:rsidP="008334B2">
      <w:r w:rsidRPr="008E077B">
        <w:t xml:space="preserve">Ogris N. 2020. Spletna aplikacija </w:t>
      </w:r>
      <w:proofErr w:type="spellStart"/>
      <w:r w:rsidRPr="008E077B">
        <w:t>Invazivke</w:t>
      </w:r>
      <w:proofErr w:type="spellEnd"/>
      <w:r w:rsidRPr="008E077B">
        <w:t xml:space="preserve">: različica 3.1. Ljubljana, Gozdarski inštitut Slovenije. </w:t>
      </w:r>
      <w:r w:rsidR="007A0276">
        <w:fldChar w:fldCharType="begin"/>
      </w:r>
      <w:r w:rsidR="007A0276">
        <w:instrText xml:space="preserve"> HYPERLINK "https://www.invazivke.si" </w:instrText>
      </w:r>
      <w:r w:rsidR="007A0276">
        <w:fldChar w:fldCharType="separate"/>
      </w:r>
      <w:r w:rsidRPr="008E077B">
        <w:rPr>
          <w:rStyle w:val="Hiperpovezava"/>
        </w:rPr>
        <w:t>https://www.invazivke.si</w:t>
      </w:r>
      <w:r w:rsidR="007A0276">
        <w:rPr>
          <w:rStyle w:val="Hiperpovezava"/>
        </w:rPr>
        <w:fldChar w:fldCharType="end"/>
      </w:r>
    </w:p>
    <w:p w14:paraId="027D3E9F" w14:textId="77777777" w:rsidR="00311AC2" w:rsidRPr="008E077B" w:rsidRDefault="00311AC2" w:rsidP="008334B2">
      <w:r w:rsidRPr="008E077B">
        <w:t xml:space="preserve">Perko D., 1998. Regionalizacija Slovenije. Geografski zbornik XXXVIII, str. 11-57. </w:t>
      </w:r>
    </w:p>
    <w:p w14:paraId="19D80F57" w14:textId="77777777" w:rsidR="00311AC2" w:rsidRPr="008E077B" w:rsidRDefault="00311AC2" w:rsidP="008334B2">
      <w:pPr>
        <w:rPr>
          <w:rFonts w:cs="Arial"/>
        </w:rPr>
      </w:pPr>
      <w:r w:rsidRPr="008E077B">
        <w:rPr>
          <w:rFonts w:cs="Segoe UI"/>
        </w:rPr>
        <w:t>Pravilnik o gozdnih prometnicah.</w:t>
      </w:r>
      <w:r w:rsidRPr="008E077B">
        <w:rPr>
          <w:rFonts w:cs="Arial"/>
        </w:rPr>
        <w:t xml:space="preserve"> </w:t>
      </w:r>
      <w:r w:rsidRPr="008E077B">
        <w:rPr>
          <w:rFonts w:cs="Segoe UI"/>
        </w:rPr>
        <w:t>2004. Uradni list RS, št. 104/2004.</w:t>
      </w:r>
      <w:r w:rsidRPr="008E077B">
        <w:rPr>
          <w:rFonts w:cs="Arial"/>
        </w:rPr>
        <w:t xml:space="preserve"> </w:t>
      </w:r>
    </w:p>
    <w:p w14:paraId="10D12B37" w14:textId="77777777" w:rsidR="00311AC2" w:rsidRPr="008E077B" w:rsidRDefault="00311AC2" w:rsidP="008334B2">
      <w:pPr>
        <w:rPr>
          <w:rFonts w:eastAsia="Calibri"/>
          <w:lang w:eastAsia="sl-SI"/>
        </w:rPr>
      </w:pPr>
      <w:r w:rsidRPr="008E077B">
        <w:rPr>
          <w:rFonts w:eastAsia="Calibri"/>
          <w:lang w:eastAsia="sl-SI"/>
        </w:rPr>
        <w:t xml:space="preserve">Pravilnik o spremembah in dopolnitvah Pravilnika o gozdnogospodarskih in gozdnogojitvenih načrtih. 2006. Uradni list RS, št. 70 / 2006. </w:t>
      </w:r>
    </w:p>
    <w:p w14:paraId="4373A6B6" w14:textId="77777777" w:rsidR="00311AC2" w:rsidRPr="008E077B" w:rsidRDefault="00311AC2" w:rsidP="008334B2">
      <w:pPr>
        <w:rPr>
          <w:rFonts w:cs="Arial"/>
        </w:rPr>
      </w:pPr>
      <w:r w:rsidRPr="008E077B">
        <w:rPr>
          <w:rFonts w:cs="Arial"/>
        </w:rPr>
        <w:t>Pravilnik o varstvu gozdov s spremembami in dopolnitvami. 2009. Ur. l. RS, št. 114/2009, 31/2016.</w:t>
      </w:r>
    </w:p>
    <w:p w14:paraId="46CF63C4" w14:textId="77777777" w:rsidR="00311AC2" w:rsidRPr="008E077B" w:rsidRDefault="00311AC2" w:rsidP="008334B2">
      <w:pPr>
        <w:rPr>
          <w:rFonts w:eastAsia="Calibri"/>
          <w:lang w:eastAsia="sl-SI"/>
        </w:rPr>
      </w:pPr>
      <w:r w:rsidRPr="008E077B">
        <w:rPr>
          <w:rFonts w:eastAsia="Calibri"/>
          <w:lang w:eastAsia="sl-SI"/>
        </w:rPr>
        <w:t>Program upravljanja območij Natura 2000 za obdobje od 2015 do 2020. 2015, 2016. Vlada RS.</w:t>
      </w:r>
    </w:p>
    <w:p w14:paraId="1D333344" w14:textId="77777777" w:rsidR="00311AC2" w:rsidRPr="008E077B" w:rsidRDefault="00311AC2" w:rsidP="008334B2">
      <w:pPr>
        <w:rPr>
          <w:rFonts w:eastAsia="Calibri"/>
          <w:lang w:eastAsia="sl-SI"/>
        </w:rPr>
      </w:pPr>
      <w:r w:rsidRPr="008E077B">
        <w:rPr>
          <w:rFonts w:eastAsia="Calibri"/>
          <w:lang w:eastAsia="sl-SI"/>
        </w:rPr>
        <w:t>Resolucija o Nacionalnem programu varstva okolja 2005–2012 (</w:t>
      </w:r>
      <w:proofErr w:type="spellStart"/>
      <w:r w:rsidRPr="008E077B">
        <w:rPr>
          <w:rFonts w:eastAsia="Calibri"/>
          <w:lang w:eastAsia="sl-SI"/>
        </w:rPr>
        <w:t>ReNPVO</w:t>
      </w:r>
      <w:proofErr w:type="spellEnd"/>
      <w:r w:rsidRPr="008E077B">
        <w:rPr>
          <w:rFonts w:eastAsia="Calibri"/>
          <w:lang w:eastAsia="sl-SI"/>
        </w:rPr>
        <w:t xml:space="preserve">). 2007. Uradni list RS, št. 2/2006. </w:t>
      </w:r>
    </w:p>
    <w:p w14:paraId="5042821B" w14:textId="77777777" w:rsidR="00311AC2" w:rsidRPr="008E077B" w:rsidRDefault="00311AC2" w:rsidP="008334B2">
      <w:pPr>
        <w:rPr>
          <w:rFonts w:eastAsiaTheme="minorEastAsia"/>
          <w:lang w:eastAsia="sl-SI"/>
        </w:rPr>
      </w:pPr>
      <w:r w:rsidRPr="008E077B">
        <w:rPr>
          <w:rFonts w:eastAsiaTheme="minorEastAsia"/>
          <w:lang w:eastAsia="sl-SI"/>
        </w:rPr>
        <w:t>Statistični urad Republike Slovenije (SURS) 2020</w:t>
      </w:r>
    </w:p>
    <w:p w14:paraId="22862DD0" w14:textId="77777777" w:rsidR="00311AC2" w:rsidRPr="008E077B" w:rsidRDefault="00311AC2" w:rsidP="008334B2">
      <w:pPr>
        <w:rPr>
          <w:rFonts w:cs="SourceSansPro-Light"/>
        </w:rPr>
      </w:pPr>
      <w:r w:rsidRPr="008E077B">
        <w:rPr>
          <w:rFonts w:cs="SourceSansPro-Light"/>
        </w:rPr>
        <w:t xml:space="preserve">Ščap, Š., Triplat, M., Piškur, M., Krajnc, N. 2014. Metodologija za ocene potencialov lesa v Sloveniji. </w:t>
      </w:r>
      <w:proofErr w:type="spellStart"/>
      <w:r w:rsidRPr="008E077B">
        <w:rPr>
          <w:rFonts w:cs="SourceSansPro-Light"/>
        </w:rPr>
        <w:t>The</w:t>
      </w:r>
      <w:proofErr w:type="spellEnd"/>
      <w:r w:rsidRPr="008E077B">
        <w:rPr>
          <w:rFonts w:cs="SourceSansPro-Light"/>
        </w:rPr>
        <w:t xml:space="preserve"> </w:t>
      </w:r>
      <w:proofErr w:type="spellStart"/>
      <w:r w:rsidRPr="008E077B">
        <w:rPr>
          <w:rFonts w:cs="SourceSansPro-Light"/>
        </w:rPr>
        <w:t>methodology</w:t>
      </w:r>
      <w:proofErr w:type="spellEnd"/>
      <w:r w:rsidRPr="008E077B">
        <w:rPr>
          <w:rFonts w:cs="SourceSansPro-Light"/>
        </w:rPr>
        <w:t xml:space="preserve"> </w:t>
      </w:r>
      <w:proofErr w:type="spellStart"/>
      <w:r w:rsidRPr="008E077B">
        <w:rPr>
          <w:rFonts w:cs="SourceSansPro-Light"/>
        </w:rPr>
        <w:t>for</w:t>
      </w:r>
      <w:proofErr w:type="spellEnd"/>
      <w:r w:rsidRPr="008E077B">
        <w:rPr>
          <w:rFonts w:cs="SourceSansPro-Light"/>
        </w:rPr>
        <w:t xml:space="preserve"> </w:t>
      </w:r>
      <w:proofErr w:type="spellStart"/>
      <w:r w:rsidRPr="008E077B">
        <w:rPr>
          <w:rFonts w:cs="SourceSansPro-Light"/>
        </w:rPr>
        <w:t>wood</w:t>
      </w:r>
      <w:proofErr w:type="spellEnd"/>
      <w:r w:rsidRPr="008E077B">
        <w:rPr>
          <w:rFonts w:cs="SourceSansPro-Light"/>
        </w:rPr>
        <w:t xml:space="preserve"> </w:t>
      </w:r>
      <w:proofErr w:type="spellStart"/>
      <w:r w:rsidRPr="008E077B">
        <w:rPr>
          <w:rFonts w:cs="SourceSansPro-Light"/>
        </w:rPr>
        <w:t>potential</w:t>
      </w:r>
      <w:proofErr w:type="spellEnd"/>
      <w:r w:rsidRPr="008E077B">
        <w:rPr>
          <w:rFonts w:cs="SourceSansPro-Light"/>
        </w:rPr>
        <w:t xml:space="preserve"> </w:t>
      </w:r>
      <w:proofErr w:type="spellStart"/>
      <w:r w:rsidRPr="008E077B">
        <w:rPr>
          <w:rFonts w:cs="SourceSansPro-Light"/>
        </w:rPr>
        <w:t>assessment</w:t>
      </w:r>
      <w:proofErr w:type="spellEnd"/>
      <w:r w:rsidRPr="008E077B">
        <w:rPr>
          <w:rFonts w:cs="SourceSansPro-Light"/>
        </w:rPr>
        <w:t xml:space="preserve"> in </w:t>
      </w:r>
      <w:proofErr w:type="spellStart"/>
      <w:r w:rsidRPr="008E077B">
        <w:rPr>
          <w:rFonts w:cs="SourceSansPro-Light"/>
        </w:rPr>
        <w:t>Slovenia</w:t>
      </w:r>
      <w:proofErr w:type="spellEnd"/>
      <w:r w:rsidRPr="008E077B">
        <w:rPr>
          <w:rFonts w:cs="SourceSansPro-Light"/>
        </w:rPr>
        <w:t xml:space="preserve">. </w:t>
      </w:r>
      <w:proofErr w:type="spellStart"/>
      <w:r w:rsidRPr="008E077B">
        <w:rPr>
          <w:rFonts w:cs="SourceSansPro-Light"/>
          <w:i/>
        </w:rPr>
        <w:t>Acta</w:t>
      </w:r>
      <w:proofErr w:type="spellEnd"/>
      <w:r w:rsidRPr="008E077B">
        <w:rPr>
          <w:rFonts w:cs="SourceSansPro-Light"/>
          <w:i/>
        </w:rPr>
        <w:t xml:space="preserve"> </w:t>
      </w:r>
      <w:proofErr w:type="spellStart"/>
      <w:r w:rsidRPr="008E077B">
        <w:rPr>
          <w:rFonts w:cs="SourceSansPro-Light"/>
          <w:i/>
        </w:rPr>
        <w:t>Silvae</w:t>
      </w:r>
      <w:proofErr w:type="spellEnd"/>
      <w:r w:rsidRPr="008E077B">
        <w:rPr>
          <w:rFonts w:cs="SourceSansPro-Light"/>
          <w:i/>
        </w:rPr>
        <w:t xml:space="preserve"> et </w:t>
      </w:r>
      <w:proofErr w:type="spellStart"/>
      <w:r w:rsidRPr="008E077B">
        <w:rPr>
          <w:rFonts w:cs="SourceSansPro-Light"/>
          <w:i/>
        </w:rPr>
        <w:t>Ligni</w:t>
      </w:r>
      <w:proofErr w:type="spellEnd"/>
      <w:r w:rsidRPr="008E077B">
        <w:rPr>
          <w:rFonts w:cs="SourceSansPro-Light"/>
        </w:rPr>
        <w:t>, 105, 27-40.</w:t>
      </w:r>
    </w:p>
    <w:p w14:paraId="10983C8A" w14:textId="77777777" w:rsidR="00311AC2" w:rsidRPr="008E077B" w:rsidRDefault="00311AC2" w:rsidP="008334B2">
      <w:pPr>
        <w:rPr>
          <w:rFonts w:eastAsia="Calibri"/>
          <w:lang w:eastAsia="sl-SI"/>
        </w:rPr>
      </w:pPr>
      <w:r w:rsidRPr="008E077B">
        <w:rPr>
          <w:rFonts w:eastAsia="Calibri"/>
          <w:lang w:eastAsia="sl-SI"/>
        </w:rPr>
        <w:t xml:space="preserve">Šinko, M., </w:t>
      </w:r>
      <w:proofErr w:type="spellStart"/>
      <w:r w:rsidRPr="008E077B">
        <w:rPr>
          <w:rFonts w:eastAsia="Calibri"/>
          <w:lang w:eastAsia="sl-SI"/>
        </w:rPr>
        <w:t>Roženbergar</w:t>
      </w:r>
      <w:proofErr w:type="spellEnd"/>
      <w:r w:rsidRPr="008E077B">
        <w:rPr>
          <w:rFonts w:eastAsia="Calibri"/>
          <w:lang w:eastAsia="sl-SI"/>
        </w:rPr>
        <w:t>, D., Diaci, J. 2013. Ekonomska primerjava pristopov premen sestojev črnega bora na Krasu. XXXI. Gozdarski študijski dnevi, Ljubljana, Sežana, Univerza v Ljubljani, Biotehniška fakulteta, Oddelek za gozdarstvo in obnovljive gozdne vire: 43 - 46 str.</w:t>
      </w:r>
    </w:p>
    <w:p w14:paraId="3B57218C" w14:textId="011577A9" w:rsidR="00311AC2" w:rsidRPr="008E077B" w:rsidRDefault="00311AC2" w:rsidP="008334B2">
      <w:pPr>
        <w:rPr>
          <w:rStyle w:val="Hiperpovezava"/>
          <w:rFonts w:cs="SourceSansPro-Light"/>
        </w:rPr>
      </w:pPr>
      <w:r w:rsidRPr="008E077B">
        <w:rPr>
          <w:rFonts w:cs="SourceSansPro-Light"/>
        </w:rPr>
        <w:lastRenderedPageBreak/>
        <w:t xml:space="preserve">Triplat, M., Piškur, M., Krajnc, N. 2018. Spletni informacijski sistem MojGozdar.si. Gozdarski vestnik, 3(76), 141–151. </w:t>
      </w:r>
      <w:r w:rsidR="007A0276">
        <w:fldChar w:fldCharType="begin"/>
      </w:r>
      <w:r w:rsidR="007A0276">
        <w:instrText xml:space="preserve"> HYPERLINK "http://dirros.openscience.si/IzpisGradiva.php?lang=slv&amp;id=8221" </w:instrText>
      </w:r>
      <w:r w:rsidR="007A0276">
        <w:fldChar w:fldCharType="separate"/>
      </w:r>
      <w:r w:rsidRPr="008E077B">
        <w:rPr>
          <w:rStyle w:val="Hiperpovezava"/>
          <w:rFonts w:cs="SourceSansPro-Light"/>
        </w:rPr>
        <w:t>http://dirros.openscience.si/IzpisGradiva.php?lang=slv&amp;id=8221</w:t>
      </w:r>
      <w:r w:rsidR="007A0276">
        <w:rPr>
          <w:rStyle w:val="Hiperpovezava"/>
          <w:rFonts w:cs="SourceSansPro-Light"/>
        </w:rPr>
        <w:fldChar w:fldCharType="end"/>
      </w:r>
    </w:p>
    <w:p w14:paraId="18AEC02B" w14:textId="77777777" w:rsidR="00311AC2" w:rsidRPr="008E077B" w:rsidRDefault="00311AC2" w:rsidP="008334B2">
      <w:pPr>
        <w:rPr>
          <w:rFonts w:cs="SourceSansPro-Light"/>
        </w:rPr>
      </w:pPr>
      <w:r w:rsidRPr="008E077B">
        <w:rPr>
          <w:rFonts w:cs="SourceSansPro-Light"/>
        </w:rPr>
        <w:t xml:space="preserve">Triplat, M., Baša, M. </w:t>
      </w:r>
      <w:proofErr w:type="spellStart"/>
      <w:r w:rsidRPr="008E077B">
        <w:rPr>
          <w:rFonts w:cs="SourceSansPro-Light"/>
        </w:rPr>
        <w:t>and</w:t>
      </w:r>
      <w:proofErr w:type="spellEnd"/>
      <w:r w:rsidRPr="008E077B">
        <w:rPr>
          <w:rFonts w:cs="SourceSansPro-Light"/>
        </w:rPr>
        <w:t xml:space="preserve"> Škrk, N., 2019. Smernice za vrednotenje izvajalcev gozdarskih storitev: strokovna ocena </w:t>
      </w:r>
      <w:proofErr w:type="spellStart"/>
      <w:r w:rsidRPr="008E077B">
        <w:rPr>
          <w:rFonts w:cs="SourceSansPro-Light"/>
        </w:rPr>
        <w:t>MojGozdar</w:t>
      </w:r>
      <w:proofErr w:type="spellEnd"/>
      <w:r w:rsidRPr="008E077B">
        <w:rPr>
          <w:rFonts w:cs="SourceSansPro-Light"/>
        </w:rPr>
        <w:t xml:space="preserve">. https://www.mojgozdar.si/ Gozdarski inštitut Slovenije, založba </w:t>
      </w:r>
      <w:r w:rsidRPr="008E077B">
        <w:rPr>
          <w:rFonts w:cs="SourceSansPro-Light"/>
          <w:i/>
        </w:rPr>
        <w:t xml:space="preserve">Silva </w:t>
      </w:r>
      <w:proofErr w:type="spellStart"/>
      <w:r w:rsidRPr="008E077B">
        <w:rPr>
          <w:rFonts w:cs="SourceSansPro-Light"/>
          <w:i/>
        </w:rPr>
        <w:t>Slovenica</w:t>
      </w:r>
      <w:proofErr w:type="spellEnd"/>
      <w:r w:rsidRPr="008E077B">
        <w:rPr>
          <w:rFonts w:cs="SourceSansPro-Light"/>
        </w:rPr>
        <w:t>, Ljubljana.</w:t>
      </w:r>
    </w:p>
    <w:p w14:paraId="030EEFF7" w14:textId="77777777" w:rsidR="00311AC2" w:rsidRPr="008E077B" w:rsidRDefault="00311AC2" w:rsidP="008334B2">
      <w:pPr>
        <w:rPr>
          <w:rFonts w:eastAsia="Calibri"/>
          <w:lang w:eastAsia="sl-SI"/>
        </w:rPr>
      </w:pPr>
      <w:r w:rsidRPr="008E077B">
        <w:rPr>
          <w:rFonts w:eastAsia="Calibri"/>
          <w:lang w:eastAsia="sl-SI"/>
        </w:rPr>
        <w:t>Zakon o gasilstvu. Uradni list RS, št. 113/05, 23/19</w:t>
      </w:r>
    </w:p>
    <w:p w14:paraId="6F188F00" w14:textId="77777777" w:rsidR="00311AC2" w:rsidRPr="008E077B" w:rsidRDefault="00311AC2" w:rsidP="008334B2">
      <w:pPr>
        <w:rPr>
          <w:rFonts w:eastAsia="Calibri"/>
          <w:lang w:eastAsia="sl-SI"/>
        </w:rPr>
      </w:pPr>
      <w:r w:rsidRPr="008E077B">
        <w:rPr>
          <w:rFonts w:eastAsia="Calibri"/>
          <w:lang w:eastAsia="sl-SI"/>
        </w:rPr>
        <w:t>Zakon o gozdnem reprodukcijskem materialu. Uradni list RS, št. 58/02, 85/02, 45/04, 77/11</w:t>
      </w:r>
    </w:p>
    <w:p w14:paraId="1C32DCA7" w14:textId="77777777" w:rsidR="00311AC2" w:rsidRPr="008E077B" w:rsidRDefault="00311AC2" w:rsidP="008334B2">
      <w:pPr>
        <w:rPr>
          <w:rFonts w:eastAsia="Calibri"/>
          <w:lang w:eastAsia="sl-SI"/>
        </w:rPr>
      </w:pPr>
      <w:r w:rsidRPr="008E077B">
        <w:rPr>
          <w:rFonts w:eastAsia="Calibri"/>
          <w:lang w:eastAsia="sl-SI"/>
        </w:rPr>
        <w:t xml:space="preserve">Zakon o gospodarjenju z gozdovi v lasti Republike Slovenije. Uradni list RS, št. 9/2016. </w:t>
      </w:r>
    </w:p>
    <w:p w14:paraId="6647C191" w14:textId="77777777" w:rsidR="00311AC2" w:rsidRPr="008E077B" w:rsidRDefault="00311AC2" w:rsidP="008334B2">
      <w:pPr>
        <w:rPr>
          <w:rFonts w:eastAsia="Calibri"/>
          <w:lang w:eastAsia="sl-SI"/>
        </w:rPr>
      </w:pPr>
      <w:r w:rsidRPr="008E077B">
        <w:rPr>
          <w:rFonts w:eastAsia="Calibri"/>
          <w:lang w:eastAsia="sl-SI"/>
        </w:rPr>
        <w:t xml:space="preserve">Zakon o gozdovih s spremembami in dopolnitvami. Uradni list RS, št. 30/1993, 13/1998, 67/2002, 115/2006, 110/2007, 106/2010. </w:t>
      </w:r>
    </w:p>
    <w:p w14:paraId="69D9BBC7" w14:textId="77777777" w:rsidR="00311AC2" w:rsidRPr="008E077B" w:rsidRDefault="00311AC2" w:rsidP="008334B2">
      <w:pPr>
        <w:rPr>
          <w:rFonts w:eastAsia="Calibri"/>
          <w:lang w:eastAsia="sl-SI"/>
        </w:rPr>
      </w:pPr>
      <w:r w:rsidRPr="008E077B">
        <w:rPr>
          <w:rFonts w:eastAsia="Calibri"/>
          <w:lang w:eastAsia="sl-SI"/>
        </w:rPr>
        <w:t>Zakon o divjadi in lovstvu. Uradni list RS, št. 16/04, 17/2008.</w:t>
      </w:r>
    </w:p>
    <w:p w14:paraId="6105B4E8" w14:textId="77777777" w:rsidR="00311AC2" w:rsidRPr="008E077B" w:rsidRDefault="00311AC2" w:rsidP="008334B2">
      <w:pPr>
        <w:rPr>
          <w:rFonts w:eastAsia="Calibri"/>
          <w:lang w:eastAsia="sl-SI"/>
        </w:rPr>
      </w:pPr>
      <w:r w:rsidRPr="008E077B">
        <w:rPr>
          <w:rFonts w:eastAsia="Calibri"/>
          <w:lang w:eastAsia="sl-SI"/>
        </w:rPr>
        <w:t>Zakon o varstvu pred požarom s spremembami in dopolnitvami. Uradni list RS, št. 3/07, 9/11, 83/12 in 61/17 – GZ.</w:t>
      </w:r>
    </w:p>
    <w:p w14:paraId="32FA0C89" w14:textId="77777777" w:rsidR="00311AC2" w:rsidRPr="008E077B" w:rsidRDefault="00311AC2" w:rsidP="008334B2">
      <w:pPr>
        <w:rPr>
          <w:rFonts w:eastAsia="Calibri"/>
          <w:lang w:eastAsia="sl-SI"/>
        </w:rPr>
      </w:pPr>
      <w:r w:rsidRPr="008E077B">
        <w:rPr>
          <w:rFonts w:eastAsia="Calibri"/>
          <w:lang w:eastAsia="sl-SI"/>
        </w:rPr>
        <w:t xml:space="preserve">Zakon o varstvu pred naravnimi in drugimi nesrečami. Uradni list RS, št. 51/06, 97/10 in 21/18 – </w:t>
      </w:r>
      <w:proofErr w:type="spellStart"/>
      <w:r w:rsidRPr="008E077B">
        <w:rPr>
          <w:rFonts w:eastAsia="Calibri"/>
          <w:lang w:eastAsia="sl-SI"/>
        </w:rPr>
        <w:t>ZNOrg</w:t>
      </w:r>
      <w:proofErr w:type="spellEnd"/>
    </w:p>
    <w:p w14:paraId="3DBFBEF5" w14:textId="77777777" w:rsidR="00311AC2" w:rsidRPr="008E077B" w:rsidRDefault="00311AC2" w:rsidP="008334B2">
      <w:pPr>
        <w:rPr>
          <w:rFonts w:eastAsia="Calibri"/>
          <w:lang w:eastAsia="sl-SI"/>
        </w:rPr>
      </w:pPr>
      <w:r w:rsidRPr="008E077B">
        <w:rPr>
          <w:rFonts w:eastAsia="Calibri"/>
          <w:lang w:eastAsia="sl-SI"/>
        </w:rPr>
        <w:t xml:space="preserve">Zakon o zdravstvenem varstvu rastlin. Uradni list RS, št. 62/07, 36/10, 40/14 – ZIN-B in 21/18 – </w:t>
      </w:r>
      <w:proofErr w:type="spellStart"/>
      <w:r w:rsidRPr="008E077B">
        <w:rPr>
          <w:rFonts w:eastAsia="Calibri"/>
          <w:lang w:eastAsia="sl-SI"/>
        </w:rPr>
        <w:t>ZNOrg</w:t>
      </w:r>
      <w:proofErr w:type="spellEnd"/>
    </w:p>
    <w:p w14:paraId="000D9905" w14:textId="77777777" w:rsidR="00311AC2" w:rsidRPr="008E077B" w:rsidRDefault="00311AC2" w:rsidP="008334B2">
      <w:pPr>
        <w:rPr>
          <w:rFonts w:eastAsia="Calibri"/>
          <w:lang w:eastAsia="sl-SI"/>
        </w:rPr>
      </w:pPr>
      <w:r w:rsidRPr="008E077B">
        <w:t xml:space="preserve">Zavod za gozdove Slovenije. </w:t>
      </w:r>
      <w:r w:rsidRPr="008E077B">
        <w:rPr>
          <w:rFonts w:eastAsia="Calibri"/>
          <w:lang w:eastAsia="sl-SI"/>
        </w:rPr>
        <w:t>2012. Gozdnogospodarski načrt gozdnogospodarskega območja Tolmin 2011 - 2020, ZGS GGN GGO Tolmin 2011-2020.</w:t>
      </w:r>
    </w:p>
    <w:p w14:paraId="24B40A64" w14:textId="77777777" w:rsidR="00311AC2" w:rsidRPr="008E077B" w:rsidRDefault="00311AC2" w:rsidP="008334B2">
      <w:r w:rsidRPr="008E077B">
        <w:t>Zavod za gozdove Slovenije. 2013. Gozdnogospodarski načrt gozdnogospodarske enote Trnovo. 2013 - 2022, ZGS GGN GGO Tolmin.</w:t>
      </w:r>
    </w:p>
    <w:p w14:paraId="29FF734D" w14:textId="77777777" w:rsidR="00311AC2" w:rsidRPr="008E077B" w:rsidRDefault="00311AC2" w:rsidP="008334B2">
      <w:pPr>
        <w:rPr>
          <w:rFonts w:eastAsia="Calibri"/>
          <w:lang w:eastAsia="sl-SI"/>
        </w:rPr>
      </w:pPr>
      <w:r w:rsidRPr="008E077B">
        <w:t>Zavod za gozdove Slovenije. 2017. Gozdnogospodarski načrt gozdnogospodarske enote Gorica. 2017 - 2026, ZGS GGN GGO Tolmin.</w:t>
      </w:r>
    </w:p>
    <w:p w14:paraId="47F71156" w14:textId="77777777" w:rsidR="00311AC2" w:rsidRPr="008E077B" w:rsidRDefault="00311AC2" w:rsidP="008334B2">
      <w:r w:rsidRPr="008E077B">
        <w:t>Zavod za gozdove Slovenije. 2015. Gozdnogospodarski načrt gozdnogospodarske enote Banjšice. 2015 - 2024, ZGS GGN GGO Tolmin.</w:t>
      </w:r>
    </w:p>
    <w:p w14:paraId="6C60EB34" w14:textId="77777777" w:rsidR="00311AC2" w:rsidRPr="008E077B" w:rsidRDefault="00311AC2" w:rsidP="008334B2">
      <w:r w:rsidRPr="008E077B">
        <w:t>Zavod za gozdove Slovenije. 2011. Gozdnogospodarski načrt gozdnogospodarske enote Most na Soči. 2011 - 2020, ZGS GGN GGO Tolmin.</w:t>
      </w:r>
    </w:p>
    <w:p w14:paraId="5D2C175C" w14:textId="77777777" w:rsidR="00311AC2" w:rsidRPr="008E077B" w:rsidRDefault="00311AC2" w:rsidP="008334B2">
      <w:r w:rsidRPr="008E077B">
        <w:t>Zavod za gozdove Slovenije. 2014. Gozdnogospodarski načrt gozdnogospodarske enote Predmeja. 2014 - 2023, ZGS GGN GGO Tolmin.</w:t>
      </w:r>
    </w:p>
    <w:p w14:paraId="7F890CCB" w14:textId="77777777" w:rsidR="00311AC2" w:rsidRPr="008E077B" w:rsidRDefault="00311AC2" w:rsidP="008334B2">
      <w:pPr>
        <w:rPr>
          <w:rFonts w:eastAsia="Calibri"/>
          <w:lang w:eastAsia="sl-SI"/>
        </w:rPr>
      </w:pPr>
      <w:r w:rsidRPr="008E077B">
        <w:t>Zavod za gozdove Slovenije. 2012. Gozdnogospodarski načrt gozdnogospodarske enote Goriško. 2012 - 2021, ZGS GGN GGO Sežana.</w:t>
      </w:r>
    </w:p>
    <w:p w14:paraId="47BCC8EC" w14:textId="77777777" w:rsidR="00311AC2" w:rsidRPr="008E077B" w:rsidRDefault="00311AC2" w:rsidP="008334B2">
      <w:r w:rsidRPr="008E077B">
        <w:t>Zavod za gozdove Slovenije. 2014. Načrt sanacije gozdov poškodovanih v žledolomu od 30. januarja do 10. februarja 2014. Ljubljana, Zavod za gozdove Slovenije: 66 str.</w:t>
      </w:r>
    </w:p>
    <w:p w14:paraId="3074E545" w14:textId="77777777" w:rsidR="00311AC2" w:rsidRPr="008E077B" w:rsidRDefault="00311AC2" w:rsidP="008334B2">
      <w:r w:rsidRPr="008E077B">
        <w:t>Zavod za gozdove Slovenije. 2018; 2019. Gozdni fondi. Podatkovna zbirka. Zavod za gozdove Slovenije</w:t>
      </w:r>
    </w:p>
    <w:p w14:paraId="0F8C5240" w14:textId="77777777" w:rsidR="00311AC2" w:rsidRPr="008E077B" w:rsidRDefault="00311AC2" w:rsidP="008334B2">
      <w:r w:rsidRPr="008E077B">
        <w:lastRenderedPageBreak/>
        <w:t xml:space="preserve">Zavod za gozdove Slovenije. 2018. </w:t>
      </w:r>
      <w:proofErr w:type="spellStart"/>
      <w:r w:rsidRPr="008E077B">
        <w:t>Timber</w:t>
      </w:r>
      <w:proofErr w:type="spellEnd"/>
      <w:r w:rsidRPr="008E077B">
        <w:t>. Podatkovna zbirka o poseku gozdnega drevja. Zavod za gozdove Slovenije</w:t>
      </w:r>
    </w:p>
    <w:p w14:paraId="153C0DFC" w14:textId="2F9C51C2" w:rsidR="00311AC2" w:rsidRPr="008E077B" w:rsidRDefault="007A0276" w:rsidP="008334B2">
      <w:pPr>
        <w:rPr>
          <w:rFonts w:cs="Arial"/>
        </w:rPr>
      </w:pPr>
      <w:hyperlink r:id="rId111" w:history="1">
        <w:r w:rsidR="00311AC2" w:rsidRPr="008E077B">
          <w:rPr>
            <w:rStyle w:val="Hiperpovezava"/>
            <w:rFonts w:cs="Arial"/>
          </w:rPr>
          <w:t>http://www.gasilec.net/severno-primorska-regija</w:t>
        </w:r>
      </w:hyperlink>
    </w:p>
    <w:p w14:paraId="3BF140E2" w14:textId="77777777" w:rsidR="00311AC2" w:rsidRPr="008E077B" w:rsidRDefault="00311AC2" w:rsidP="008334B2">
      <w:pPr>
        <w:rPr>
          <w:rFonts w:eastAsia="Calibri"/>
          <w:lang w:eastAsia="sl-SI"/>
        </w:rPr>
      </w:pPr>
      <w:r w:rsidRPr="008E077B">
        <w:rPr>
          <w:rFonts w:eastAsia="Calibri"/>
          <w:lang w:eastAsia="sl-SI"/>
        </w:rPr>
        <w:t xml:space="preserve">1987. Odlok o razglasitvi kulturnih in zgodovinskih spomenikov ter naravnih znamenitosti na območju občine Ajdovščina. Uradno glasilo skupščine Občine Ajdovščina, št. 4/1987 </w:t>
      </w:r>
    </w:p>
    <w:p w14:paraId="3152EAC1" w14:textId="77777777" w:rsidR="00311AC2" w:rsidRPr="008E077B" w:rsidRDefault="00311AC2" w:rsidP="008334B2">
      <w:pPr>
        <w:rPr>
          <w:rFonts w:eastAsia="Calibri"/>
          <w:lang w:eastAsia="sl-SI"/>
        </w:rPr>
      </w:pPr>
      <w:r w:rsidRPr="008E077B">
        <w:rPr>
          <w:rFonts w:eastAsia="Calibri"/>
          <w:lang w:eastAsia="sl-SI"/>
        </w:rPr>
        <w:t>2000 Direktiva Sveta 2000/29/ES z dne 8. maja 2000 o varstvenih ukrepih proti vnosu organizmov, škodljivih za rastline ali rastlinske proizvode, v Skupnost in proti njihovemu širjenju v Skupnosti</w:t>
      </w:r>
    </w:p>
    <w:p w14:paraId="5504C0FC" w14:textId="77777777" w:rsidR="00311AC2" w:rsidRPr="008E077B" w:rsidRDefault="00311AC2" w:rsidP="008334B2">
      <w:pPr>
        <w:rPr>
          <w:rFonts w:eastAsia="Calibri"/>
          <w:lang w:eastAsia="sl-SI"/>
        </w:rPr>
      </w:pPr>
      <w:r w:rsidRPr="008E077B">
        <w:rPr>
          <w:rFonts w:eastAsia="Calibri"/>
          <w:lang w:eastAsia="sl-SI"/>
        </w:rPr>
        <w:t>2005. NAČRT ZAŠČITE IN REŠEVANJA OB ZEMELJSKIH PLAZOVIH, Verzija 1.0, Mestna občina Nova Gorica</w:t>
      </w:r>
    </w:p>
    <w:p w14:paraId="326C5957" w14:textId="77777777" w:rsidR="00311AC2" w:rsidRPr="008E077B" w:rsidRDefault="00311AC2" w:rsidP="008334B2">
      <w:pPr>
        <w:rPr>
          <w:rFonts w:cs="Arial"/>
        </w:rPr>
      </w:pPr>
      <w:r w:rsidRPr="008E077B">
        <w:rPr>
          <w:rFonts w:cs="Arial"/>
        </w:rPr>
        <w:t xml:space="preserve">2008. </w:t>
      </w:r>
      <w:proofErr w:type="spellStart"/>
      <w:r w:rsidRPr="008E077B">
        <w:rPr>
          <w:rFonts w:cs="Arial"/>
        </w:rPr>
        <w:t>Directive</w:t>
      </w:r>
      <w:proofErr w:type="spellEnd"/>
      <w:r w:rsidRPr="008E077B">
        <w:rPr>
          <w:rFonts w:cs="Arial"/>
        </w:rPr>
        <w:t xml:space="preserve"> of </w:t>
      </w:r>
      <w:proofErr w:type="spellStart"/>
      <w:r w:rsidRPr="008E077B">
        <w:rPr>
          <w:rFonts w:cs="Arial"/>
        </w:rPr>
        <w:t>the</w:t>
      </w:r>
      <w:proofErr w:type="spellEnd"/>
      <w:r w:rsidRPr="008E077B">
        <w:rPr>
          <w:rFonts w:cs="Arial"/>
        </w:rPr>
        <w:t xml:space="preserve"> </w:t>
      </w:r>
      <w:proofErr w:type="spellStart"/>
      <w:r w:rsidRPr="008E077B">
        <w:rPr>
          <w:rFonts w:cs="Arial"/>
        </w:rPr>
        <w:t>European</w:t>
      </w:r>
      <w:proofErr w:type="spellEnd"/>
      <w:r w:rsidRPr="008E077B">
        <w:rPr>
          <w:rFonts w:cs="Arial"/>
        </w:rPr>
        <w:t xml:space="preserve"> </w:t>
      </w:r>
      <w:proofErr w:type="spellStart"/>
      <w:r w:rsidRPr="008E077B">
        <w:rPr>
          <w:rFonts w:cs="Arial"/>
        </w:rPr>
        <w:t>Parliament</w:t>
      </w:r>
      <w:proofErr w:type="spellEnd"/>
      <w:r w:rsidRPr="008E077B">
        <w:rPr>
          <w:rFonts w:cs="Arial"/>
        </w:rPr>
        <w:t xml:space="preserve"> </w:t>
      </w:r>
      <w:proofErr w:type="spellStart"/>
      <w:r w:rsidRPr="008E077B">
        <w:rPr>
          <w:rFonts w:cs="Arial"/>
        </w:rPr>
        <w:t>and</w:t>
      </w:r>
      <w:proofErr w:type="spellEnd"/>
      <w:r w:rsidRPr="008E077B">
        <w:rPr>
          <w:rFonts w:cs="Arial"/>
        </w:rPr>
        <w:t xml:space="preserve"> of </w:t>
      </w:r>
      <w:proofErr w:type="spellStart"/>
      <w:r w:rsidRPr="008E077B">
        <w:rPr>
          <w:rFonts w:cs="Arial"/>
        </w:rPr>
        <w:t>the</w:t>
      </w:r>
      <w:proofErr w:type="spellEnd"/>
      <w:r w:rsidRPr="008E077B">
        <w:rPr>
          <w:rFonts w:cs="Arial"/>
        </w:rPr>
        <w:t xml:space="preserve"> </w:t>
      </w:r>
      <w:proofErr w:type="spellStart"/>
      <w:r w:rsidRPr="008E077B">
        <w:rPr>
          <w:rFonts w:cs="Arial"/>
        </w:rPr>
        <w:t>Council</w:t>
      </w:r>
      <w:proofErr w:type="spellEnd"/>
      <w:r w:rsidRPr="008E077B">
        <w:rPr>
          <w:rFonts w:cs="Arial"/>
        </w:rPr>
        <w:t xml:space="preserve"> of 16 December 2008 on </w:t>
      </w:r>
      <w:proofErr w:type="spellStart"/>
      <w:r w:rsidRPr="008E077B">
        <w:rPr>
          <w:rFonts w:cs="Arial"/>
        </w:rPr>
        <w:t>environmental</w:t>
      </w:r>
      <w:proofErr w:type="spellEnd"/>
      <w:r w:rsidRPr="008E077B">
        <w:rPr>
          <w:rFonts w:cs="Arial"/>
        </w:rPr>
        <w:t xml:space="preserve"> </w:t>
      </w:r>
      <w:proofErr w:type="spellStart"/>
      <w:r w:rsidRPr="008E077B">
        <w:rPr>
          <w:rFonts w:cs="Arial"/>
        </w:rPr>
        <w:t>quality</w:t>
      </w:r>
      <w:proofErr w:type="spellEnd"/>
      <w:r w:rsidRPr="008E077B">
        <w:rPr>
          <w:rFonts w:cs="Arial"/>
        </w:rPr>
        <w:t xml:space="preserve"> </w:t>
      </w:r>
      <w:proofErr w:type="spellStart"/>
      <w:r w:rsidRPr="008E077B">
        <w:rPr>
          <w:rFonts w:cs="Arial"/>
        </w:rPr>
        <w:t>standards</w:t>
      </w:r>
      <w:proofErr w:type="spellEnd"/>
      <w:r w:rsidRPr="008E077B">
        <w:rPr>
          <w:rFonts w:cs="Arial"/>
        </w:rPr>
        <w:t xml:space="preserve"> in </w:t>
      </w:r>
      <w:proofErr w:type="spellStart"/>
      <w:r w:rsidRPr="008E077B">
        <w:rPr>
          <w:rFonts w:cs="Arial"/>
        </w:rPr>
        <w:t>the</w:t>
      </w:r>
      <w:proofErr w:type="spellEnd"/>
      <w:r w:rsidRPr="008E077B">
        <w:rPr>
          <w:rFonts w:cs="Arial"/>
        </w:rPr>
        <w:t xml:space="preserve"> </w:t>
      </w:r>
      <w:proofErr w:type="spellStart"/>
      <w:r w:rsidRPr="008E077B">
        <w:rPr>
          <w:rFonts w:cs="Arial"/>
        </w:rPr>
        <w:t>field</w:t>
      </w:r>
      <w:proofErr w:type="spellEnd"/>
      <w:r w:rsidRPr="008E077B">
        <w:rPr>
          <w:rFonts w:cs="Arial"/>
        </w:rPr>
        <w:t xml:space="preserve"> of </w:t>
      </w:r>
      <w:proofErr w:type="spellStart"/>
      <w:r w:rsidRPr="008E077B">
        <w:rPr>
          <w:rFonts w:cs="Arial"/>
        </w:rPr>
        <w:t>water</w:t>
      </w:r>
      <w:proofErr w:type="spellEnd"/>
      <w:r w:rsidRPr="008E077B">
        <w:rPr>
          <w:rFonts w:cs="Arial"/>
        </w:rPr>
        <w:t xml:space="preserve"> </w:t>
      </w:r>
      <w:proofErr w:type="spellStart"/>
      <w:r w:rsidRPr="008E077B">
        <w:rPr>
          <w:rFonts w:cs="Arial"/>
        </w:rPr>
        <w:t>policy</w:t>
      </w:r>
      <w:proofErr w:type="spellEnd"/>
      <w:r w:rsidRPr="008E077B">
        <w:rPr>
          <w:rFonts w:cs="Arial"/>
        </w:rPr>
        <w:t xml:space="preserve">, </w:t>
      </w:r>
      <w:proofErr w:type="spellStart"/>
      <w:r w:rsidRPr="008E077B">
        <w:rPr>
          <w:rFonts w:cs="Arial"/>
        </w:rPr>
        <w:t>Environmental</w:t>
      </w:r>
      <w:proofErr w:type="spellEnd"/>
      <w:r w:rsidRPr="008E077B">
        <w:rPr>
          <w:rFonts w:cs="Arial"/>
        </w:rPr>
        <w:t xml:space="preserve"> </w:t>
      </w:r>
      <w:proofErr w:type="spellStart"/>
      <w:r w:rsidRPr="008E077B">
        <w:rPr>
          <w:rFonts w:cs="Arial"/>
        </w:rPr>
        <w:t>Quality</w:t>
      </w:r>
      <w:proofErr w:type="spellEnd"/>
      <w:r w:rsidRPr="008E077B">
        <w:rPr>
          <w:rFonts w:cs="Arial"/>
        </w:rPr>
        <w:t xml:space="preserve"> </w:t>
      </w:r>
      <w:proofErr w:type="spellStart"/>
      <w:r w:rsidRPr="008E077B">
        <w:rPr>
          <w:rFonts w:cs="Arial"/>
        </w:rPr>
        <w:t>Standards</w:t>
      </w:r>
      <w:proofErr w:type="spellEnd"/>
      <w:r w:rsidRPr="008E077B">
        <w:rPr>
          <w:rFonts w:cs="Arial"/>
        </w:rPr>
        <w:t xml:space="preserve"> </w:t>
      </w:r>
      <w:proofErr w:type="spellStart"/>
      <w:r w:rsidRPr="008E077B">
        <w:rPr>
          <w:rFonts w:cs="Arial"/>
        </w:rPr>
        <w:t>Directive</w:t>
      </w:r>
      <w:proofErr w:type="spellEnd"/>
      <w:r w:rsidRPr="008E077B">
        <w:rPr>
          <w:rFonts w:cs="Arial"/>
        </w:rPr>
        <w:t xml:space="preserve"> 2008/105/EC.</w:t>
      </w:r>
    </w:p>
    <w:p w14:paraId="01AC37A0" w14:textId="77777777" w:rsidR="00311AC2" w:rsidRPr="008E077B" w:rsidRDefault="00311AC2" w:rsidP="008334B2">
      <w:pPr>
        <w:rPr>
          <w:rFonts w:eastAsia="Calibri"/>
          <w:lang w:eastAsia="sl-SI"/>
        </w:rPr>
      </w:pPr>
      <w:r w:rsidRPr="008E077B">
        <w:rPr>
          <w:rFonts w:eastAsia="Calibri"/>
          <w:lang w:eastAsia="sl-SI"/>
        </w:rPr>
        <w:t>2012. LOKALNI ENERGETSKI KONCEPT MESTNE OBČINE NOVA GORICA (LEK), KONČNO POROČILO. GOLEA</w:t>
      </w:r>
    </w:p>
    <w:p w14:paraId="46DEA082" w14:textId="1AF93E45" w:rsidR="00311AC2" w:rsidRPr="008E077B" w:rsidRDefault="00311AC2" w:rsidP="008334B2">
      <w:pPr>
        <w:rPr>
          <w:rFonts w:eastAsia="Calibri"/>
          <w:lang w:eastAsia="sl-SI"/>
        </w:rPr>
      </w:pPr>
      <w:r w:rsidRPr="008E077B">
        <w:rPr>
          <w:rFonts w:eastAsia="Calibri"/>
          <w:lang w:eastAsia="sl-SI"/>
        </w:rPr>
        <w:t xml:space="preserve">2013. A </w:t>
      </w:r>
      <w:proofErr w:type="spellStart"/>
      <w:r w:rsidRPr="008E077B">
        <w:rPr>
          <w:rFonts w:eastAsia="Calibri"/>
          <w:lang w:eastAsia="sl-SI"/>
        </w:rPr>
        <w:t>new</w:t>
      </w:r>
      <w:proofErr w:type="spellEnd"/>
      <w:r w:rsidRPr="008E077B">
        <w:rPr>
          <w:rFonts w:eastAsia="Calibri"/>
          <w:lang w:eastAsia="sl-SI"/>
        </w:rPr>
        <w:t xml:space="preserve"> EU </w:t>
      </w:r>
      <w:proofErr w:type="spellStart"/>
      <w:r w:rsidRPr="008E077B">
        <w:rPr>
          <w:rFonts w:eastAsia="Calibri"/>
          <w:lang w:eastAsia="sl-SI"/>
        </w:rPr>
        <w:t>Forest</w:t>
      </w:r>
      <w:proofErr w:type="spellEnd"/>
      <w:r w:rsidRPr="008E077B">
        <w:rPr>
          <w:rFonts w:eastAsia="Calibri"/>
          <w:lang w:eastAsia="sl-SI"/>
        </w:rPr>
        <w:t xml:space="preserve"> </w:t>
      </w:r>
      <w:proofErr w:type="spellStart"/>
      <w:r w:rsidRPr="008E077B">
        <w:rPr>
          <w:rFonts w:eastAsia="Calibri"/>
          <w:lang w:eastAsia="sl-SI"/>
        </w:rPr>
        <w:t>Strategy</w:t>
      </w:r>
      <w:proofErr w:type="spellEnd"/>
      <w:r w:rsidRPr="008E077B">
        <w:rPr>
          <w:rFonts w:eastAsia="Calibri"/>
          <w:lang w:eastAsia="sl-SI"/>
        </w:rPr>
        <w:t xml:space="preserve">: </w:t>
      </w:r>
      <w:proofErr w:type="spellStart"/>
      <w:r w:rsidRPr="008E077B">
        <w:rPr>
          <w:rFonts w:eastAsia="Calibri"/>
          <w:lang w:eastAsia="sl-SI"/>
        </w:rPr>
        <w:t>for</w:t>
      </w:r>
      <w:proofErr w:type="spellEnd"/>
      <w:r w:rsidRPr="008E077B">
        <w:rPr>
          <w:rFonts w:eastAsia="Calibri"/>
          <w:lang w:eastAsia="sl-SI"/>
        </w:rPr>
        <w:t xml:space="preserve"> </w:t>
      </w:r>
      <w:proofErr w:type="spellStart"/>
      <w:r w:rsidRPr="008E077B">
        <w:rPr>
          <w:rFonts w:eastAsia="Calibri"/>
          <w:lang w:eastAsia="sl-SI"/>
        </w:rPr>
        <w:t>forests</w:t>
      </w:r>
      <w:proofErr w:type="spellEnd"/>
      <w:r w:rsidRPr="008E077B">
        <w:rPr>
          <w:rFonts w:eastAsia="Calibri"/>
          <w:lang w:eastAsia="sl-SI"/>
        </w:rPr>
        <w:t xml:space="preserve"> </w:t>
      </w:r>
      <w:proofErr w:type="spellStart"/>
      <w:r w:rsidRPr="008E077B">
        <w:rPr>
          <w:rFonts w:eastAsia="Calibri"/>
          <w:lang w:eastAsia="sl-SI"/>
        </w:rPr>
        <w:t>and</w:t>
      </w:r>
      <w:proofErr w:type="spellEnd"/>
      <w:r w:rsidRPr="008E077B">
        <w:rPr>
          <w:rFonts w:eastAsia="Calibri"/>
          <w:lang w:eastAsia="sl-SI"/>
        </w:rPr>
        <w:t xml:space="preserve"> </w:t>
      </w:r>
      <w:proofErr w:type="spellStart"/>
      <w:r w:rsidRPr="008E077B">
        <w:rPr>
          <w:rFonts w:eastAsia="Calibri"/>
          <w:lang w:eastAsia="sl-SI"/>
        </w:rPr>
        <w:t>the</w:t>
      </w:r>
      <w:proofErr w:type="spellEnd"/>
      <w:r w:rsidRPr="008E077B">
        <w:rPr>
          <w:rFonts w:eastAsia="Calibri"/>
          <w:lang w:eastAsia="sl-SI"/>
        </w:rPr>
        <w:t xml:space="preserve"> </w:t>
      </w:r>
      <w:proofErr w:type="spellStart"/>
      <w:r w:rsidRPr="008E077B">
        <w:rPr>
          <w:rFonts w:eastAsia="Calibri"/>
          <w:lang w:eastAsia="sl-SI"/>
        </w:rPr>
        <w:t>forest-based</w:t>
      </w:r>
      <w:proofErr w:type="spellEnd"/>
      <w:r w:rsidRPr="008E077B">
        <w:rPr>
          <w:rFonts w:eastAsia="Calibri"/>
          <w:lang w:eastAsia="sl-SI"/>
        </w:rPr>
        <w:t xml:space="preserve"> </w:t>
      </w:r>
      <w:proofErr w:type="spellStart"/>
      <w:r w:rsidRPr="008E077B">
        <w:rPr>
          <w:rFonts w:eastAsia="Calibri"/>
          <w:lang w:eastAsia="sl-SI"/>
        </w:rPr>
        <w:t>sector</w:t>
      </w:r>
      <w:proofErr w:type="spellEnd"/>
      <w:r w:rsidRPr="008E077B">
        <w:rPr>
          <w:rFonts w:eastAsia="Calibri"/>
          <w:lang w:eastAsia="sl-SI"/>
        </w:rPr>
        <w:t xml:space="preserve"> COM (2013) 659 </w:t>
      </w:r>
      <w:proofErr w:type="spellStart"/>
      <w:r w:rsidRPr="008E077B">
        <w:rPr>
          <w:rFonts w:eastAsia="Calibri"/>
          <w:lang w:eastAsia="sl-SI"/>
        </w:rPr>
        <w:t>final</w:t>
      </w:r>
      <w:proofErr w:type="spellEnd"/>
      <w:r w:rsidRPr="008E077B">
        <w:rPr>
          <w:rFonts w:eastAsia="Calibri"/>
          <w:lang w:eastAsia="sl-SI"/>
        </w:rPr>
        <w:t xml:space="preserve">, pp. 17., </w:t>
      </w:r>
      <w:r w:rsidR="007A0276">
        <w:fldChar w:fldCharType="begin"/>
      </w:r>
      <w:r w:rsidR="007A0276">
        <w:instrText xml:space="preserve"> HYPERLINK "https://eur-lex.europa.eu/resource.html?uri=cellar:21b27c38-21fb-11e3-8d1c-01aa75ed71a1.0022.01/DOC_1&amp;format=PDF" </w:instrText>
      </w:r>
      <w:r w:rsidR="007A0276">
        <w:fldChar w:fldCharType="separate"/>
      </w:r>
      <w:r w:rsidRPr="008E077B">
        <w:rPr>
          <w:rStyle w:val="Hiperpovezava"/>
          <w:rFonts w:eastAsia="Calibri"/>
          <w:lang w:eastAsia="sl-SI"/>
        </w:rPr>
        <w:t>https://eur-lex.europa.eu/resource.html?uri=cellar:21b27c38-21fb-11e3-8d1c-01aa75ed71a1.0022.01/DOC_1&amp;format=PDF</w:t>
      </w:r>
      <w:r w:rsidR="007A0276">
        <w:rPr>
          <w:rStyle w:val="Hiperpovezava"/>
          <w:rFonts w:eastAsia="Calibri"/>
          <w:lang w:eastAsia="sl-SI"/>
        </w:rPr>
        <w:fldChar w:fldCharType="end"/>
      </w:r>
    </w:p>
    <w:p w14:paraId="65C07B96" w14:textId="77777777" w:rsidR="00311AC2" w:rsidRPr="008E077B" w:rsidRDefault="00311AC2" w:rsidP="008334B2">
      <w:pPr>
        <w:rPr>
          <w:rFonts w:eastAsia="Calibri"/>
          <w:lang w:eastAsia="sl-SI"/>
        </w:rPr>
      </w:pPr>
      <w:r w:rsidRPr="008E077B">
        <w:rPr>
          <w:rFonts w:eastAsia="Calibri"/>
          <w:lang w:eastAsia="sl-SI"/>
        </w:rPr>
        <w:t>2015. Ocena ogroženosti pred naravnimi in drugimi nesrečami, Štab za civilno zaščito, Mestna občina Nova Gorica</w:t>
      </w:r>
    </w:p>
    <w:p w14:paraId="24520A9A" w14:textId="77777777" w:rsidR="00311AC2" w:rsidRPr="008E077B" w:rsidRDefault="00311AC2" w:rsidP="008334B2">
      <w:pPr>
        <w:rPr>
          <w:rFonts w:eastAsia="Calibri"/>
          <w:lang w:eastAsia="sl-SI"/>
        </w:rPr>
      </w:pPr>
      <w:r w:rsidRPr="008E077B">
        <w:rPr>
          <w:rFonts w:eastAsia="Calibri"/>
          <w:lang w:eastAsia="sl-SI"/>
        </w:rPr>
        <w:t>2016. Trajnostna urbana strategija Nova Gorica 2020 (TUS NG), K&amp;Z Svetovanje za razvoj d. o. o., Mestna občina Nova Gorica</w:t>
      </w:r>
    </w:p>
    <w:p w14:paraId="7A6D7901" w14:textId="77777777" w:rsidR="00311AC2" w:rsidRPr="008E077B" w:rsidRDefault="00311AC2" w:rsidP="008334B2">
      <w:pPr>
        <w:rPr>
          <w:rFonts w:eastAsia="Calibri"/>
          <w:lang w:eastAsia="sl-SI"/>
        </w:rPr>
      </w:pPr>
      <w:r w:rsidRPr="008E077B">
        <w:rPr>
          <w:rFonts w:eastAsia="Calibri"/>
          <w:lang w:eastAsia="sl-SI"/>
        </w:rPr>
        <w:t>2016. LOKALNI ENERGETSKI KONCEPT MESTNE OBČINE NOVA GORICA (LEK), GOLEA, Mestna občina Nova Gorica</w:t>
      </w:r>
    </w:p>
    <w:p w14:paraId="54C80B01" w14:textId="66D6A449" w:rsidR="00311AC2" w:rsidRPr="008E077B" w:rsidRDefault="00311AC2" w:rsidP="008334B2">
      <w:pPr>
        <w:rPr>
          <w:rFonts w:eastAsia="Calibri"/>
          <w:lang w:eastAsia="sl-SI"/>
        </w:rPr>
      </w:pPr>
      <w:r w:rsidRPr="008E077B">
        <w:rPr>
          <w:rFonts w:eastAsia="Calibri"/>
          <w:lang w:eastAsia="sl-SI"/>
        </w:rPr>
        <w:t xml:space="preserve">2019. Akcijski načrt za trajnostno energijo Mestne občine Nova Gorica (ANTE). GOLEA, </w:t>
      </w:r>
      <w:hyperlink r:id="rId112">
        <w:r w:rsidRPr="008E077B">
          <w:rPr>
            <w:rStyle w:val="Hiperpovezava"/>
          </w:rPr>
          <w:t>SEAP_MONG_koncno_porocilo_apr2019.pdf (golea.si)</w:t>
        </w:r>
      </w:hyperlink>
    </w:p>
    <w:p w14:paraId="195B1815" w14:textId="77777777" w:rsidR="00311AC2" w:rsidRPr="008E077B" w:rsidRDefault="00311AC2" w:rsidP="008334B2">
      <w:pPr>
        <w:rPr>
          <w:rFonts w:eastAsia="Calibri"/>
          <w:lang w:eastAsia="sl-SI"/>
        </w:rPr>
      </w:pPr>
      <w:r w:rsidRPr="008E077B">
        <w:rPr>
          <w:rFonts w:eastAsia="Calibri"/>
          <w:lang w:eastAsia="sl-SI"/>
        </w:rPr>
        <w:t>2020. Regionalni razvojni program Severne Primorske (Goriške) razvojne regije 2021–2027. Regijska razvojna agencija Severne Primorske d.o.o. Nova Gorica, Regijska razvojna agencija ROD Ajdovščina, Idrijska Cerkljanska razvojna agencija d.o.o. Idrija</w:t>
      </w:r>
    </w:p>
    <w:p w14:paraId="662379A2" w14:textId="7F43BB61" w:rsidR="004F43A0" w:rsidRPr="004770FC" w:rsidRDefault="00311AC2" w:rsidP="008334B2">
      <w:pPr>
        <w:rPr>
          <w:rFonts w:eastAsia="Calibri" w:cstheme="majorBidi"/>
          <w:b/>
          <w:bCs/>
          <w:color w:val="2F5496" w:themeColor="accent1" w:themeShade="BF"/>
          <w:sz w:val="24"/>
          <w:szCs w:val="24"/>
          <w:lang w:eastAsia="sl-SI"/>
        </w:rPr>
      </w:pPr>
      <w:r w:rsidRPr="008E077B">
        <w:rPr>
          <w:rFonts w:eastAsia="Calibri"/>
          <w:lang w:eastAsia="sl-SI"/>
        </w:rPr>
        <w:t>2020. Odlok o dopolnitvah odloka o javnem redu in miru v občini Nova Gorica, OKO št. 2020/2</w:t>
      </w:r>
      <w:r w:rsidR="004F43A0" w:rsidRPr="004770FC">
        <w:rPr>
          <w:rFonts w:eastAsia="Calibri"/>
          <w:sz w:val="20"/>
          <w:szCs w:val="20"/>
          <w:lang w:eastAsia="sl-SI"/>
        </w:rPr>
        <w:br w:type="page"/>
      </w:r>
    </w:p>
    <w:p w14:paraId="637E22AA" w14:textId="3D315833" w:rsidR="009611C0" w:rsidRDefault="00A43187" w:rsidP="00CE43D7">
      <w:pPr>
        <w:pStyle w:val="Naslov2"/>
        <w:rPr>
          <w:rFonts w:eastAsia="Calibri"/>
          <w:lang w:eastAsia="sl-SI"/>
        </w:rPr>
      </w:pPr>
      <w:bookmarkStart w:id="270" w:name="_Toc34130178"/>
      <w:bookmarkStart w:id="271" w:name="_Toc97026767"/>
      <w:r>
        <w:rPr>
          <w:rFonts w:eastAsia="Calibri"/>
          <w:lang w:eastAsia="sl-SI"/>
        </w:rPr>
        <w:lastRenderedPageBreak/>
        <w:t>Sektor z</w:t>
      </w:r>
      <w:r w:rsidR="009611C0" w:rsidRPr="001D38AC">
        <w:rPr>
          <w:rFonts w:eastAsia="Calibri"/>
          <w:lang w:eastAsia="sl-SI"/>
        </w:rPr>
        <w:t>dravstvo</w:t>
      </w:r>
      <w:bookmarkEnd w:id="270"/>
      <w:bookmarkEnd w:id="271"/>
    </w:p>
    <w:p w14:paraId="26DC8268" w14:textId="7EB76274" w:rsidR="006F28F1" w:rsidRDefault="006F28F1" w:rsidP="006F28F1">
      <w:pPr>
        <w:pStyle w:val="Naslov3"/>
        <w:rPr>
          <w:rFonts w:eastAsia="Calibri"/>
          <w:lang w:eastAsia="sl-SI"/>
        </w:rPr>
      </w:pPr>
      <w:bookmarkStart w:id="272" w:name="_Toc34130179"/>
      <w:bookmarkStart w:id="273" w:name="_Toc97026768"/>
      <w:r w:rsidRPr="001D38AC">
        <w:rPr>
          <w:rFonts w:eastAsia="Calibri"/>
          <w:lang w:eastAsia="sl-SI"/>
        </w:rPr>
        <w:t>Metodologija</w:t>
      </w:r>
      <w:r>
        <w:rPr>
          <w:rFonts w:eastAsia="Calibri"/>
          <w:lang w:eastAsia="sl-SI"/>
        </w:rPr>
        <w:t xml:space="preserve"> </w:t>
      </w:r>
      <w:r w:rsidRPr="006F28F1">
        <w:t>sektorja</w:t>
      </w:r>
      <w:bookmarkEnd w:id="272"/>
      <w:r>
        <w:rPr>
          <w:rFonts w:eastAsia="Calibri"/>
          <w:lang w:eastAsia="sl-SI"/>
        </w:rPr>
        <w:t xml:space="preserve"> zdravstvo</w:t>
      </w:r>
      <w:bookmarkEnd w:id="273"/>
    </w:p>
    <w:p w14:paraId="1EB32B70" w14:textId="77777777" w:rsidR="00730953" w:rsidRDefault="00730953" w:rsidP="00730953">
      <w:r>
        <w:rPr>
          <w:lang w:eastAsia="sl-SI"/>
        </w:rPr>
        <w:t xml:space="preserve">Analizo ranljivosti in tveganja na podnebne spremembe v zdravstvu smo pripravili po metodologiji kvalitativne ocene ranljivosti in ocene tveganja, ki je izdelana na podlagi metodologije </w:t>
      </w:r>
      <w:r>
        <w:t>v okviru Konvencije županov za podnebne spremembe in energijo in je podrobneje predstavljena v 5. poglavju.</w:t>
      </w:r>
    </w:p>
    <w:p w14:paraId="5A961FE2" w14:textId="77777777" w:rsidR="00730953" w:rsidRDefault="00730953" w:rsidP="00730953">
      <w:pPr>
        <w:rPr>
          <w:lang w:eastAsia="sl-SI"/>
        </w:rPr>
      </w:pPr>
      <w:r>
        <w:rPr>
          <w:lang w:eastAsia="sl-SI"/>
        </w:rPr>
        <w:t>Ocena ranljivosti sektorja upošteva potencialne vplive podnebnih sprememb in sposobnosti prilagajanja sektorja.</w:t>
      </w:r>
    </w:p>
    <w:p w14:paraId="4C5203C8" w14:textId="77777777" w:rsidR="00730953" w:rsidRDefault="00730953" w:rsidP="00730953">
      <w:pPr>
        <w:rPr>
          <w:lang w:eastAsia="sl-SI"/>
        </w:rPr>
      </w:pPr>
      <w:r>
        <w:rPr>
          <w:lang w:eastAsia="sl-SI"/>
        </w:rPr>
        <w:t>Pri oceni ranljivosti smo uporabili kazalnike sektorja, ki prikazujejo zdravstveno stanje prebivalcev, dejavnike iz okolja, demografsko sliko in sistem zdravstvenega varstva (v preglednicah so poimenovani segmenti sektorja). Kazalniki zdravstvenega stanja zajemajo ranljive skupine prebivalstva za podnebne spremembe. Sledijo dejavniki iz naravnega okolja, na katere vplivajo podnebne spremembe, ti dejavniki skupaj z socialno-ekonomskimi dejavniki vplivajo na zdravje. Vsi skupaj pa vplivajo na sistem zdravstvenega varstva.</w:t>
      </w:r>
    </w:p>
    <w:p w14:paraId="0167F1F7" w14:textId="77777777" w:rsidR="00730953" w:rsidRDefault="00730953" w:rsidP="00730953">
      <w:pPr>
        <w:rPr>
          <w:lang w:eastAsia="sl-SI"/>
        </w:rPr>
      </w:pPr>
      <w:r>
        <w:rPr>
          <w:lang w:eastAsia="sl-SI"/>
        </w:rPr>
        <w:t xml:space="preserve">Za oceno obstoječega stanja sektorja na področju opisanih segmentov smo vrednosti izbranih kazalnikov primerjali s povprečnimi vrednostmi za Slovenijo. Posebej smo pregledali tudi število hospitalizacij in umrlih v času vročinskih valov (v toplejšem delu leta od maja do septembra) v primerjavi s časom izven vročinskih valov v letih 1999-2018. </w:t>
      </w:r>
    </w:p>
    <w:p w14:paraId="0BBA5033" w14:textId="77777777" w:rsidR="00730953" w:rsidRDefault="00730953" w:rsidP="00730953">
      <w:pPr>
        <w:rPr>
          <w:lang w:eastAsia="sl-SI"/>
        </w:rPr>
      </w:pPr>
      <w:r>
        <w:rPr>
          <w:lang w:eastAsia="sl-SI"/>
        </w:rPr>
        <w:t>Pri interpretaciji ocene tveganja smo oceno podali na predpostavki, da se ukrepi za prilagajanje podnebnim spremembam ne izvajajo.</w:t>
      </w:r>
    </w:p>
    <w:p w14:paraId="05A3623D" w14:textId="77777777" w:rsidR="00730953" w:rsidRDefault="00730953" w:rsidP="00730953">
      <w:pPr>
        <w:rPr>
          <w:lang w:eastAsia="sl-SI"/>
        </w:rPr>
      </w:pPr>
      <w:r>
        <w:rPr>
          <w:lang w:eastAsia="sl-SI"/>
        </w:rPr>
        <w:t>Za pripravo analize ranljivosti in tveganja na podnebne spremembe v zdravstvu smo uporabili podatke Nacionalnega inštituta za javno zdravje, Agencije RS za okolje, Statističnega urada RS, Zdravstvenega doma Osnovno varstvo Nova Gorica (v nadaljevanju ZD), Mestne občine Nova Gorica ter podatke iz letnih poročil vodovoda in poročila MOP o kopalnih vodah.</w:t>
      </w:r>
    </w:p>
    <w:p w14:paraId="3B197A4B" w14:textId="77777777" w:rsidR="00DD497A" w:rsidRPr="00DD1006" w:rsidRDefault="00DD497A" w:rsidP="00DD497A">
      <w:pPr>
        <w:rPr>
          <w:lang w:eastAsia="sl-SI"/>
        </w:rPr>
      </w:pPr>
    </w:p>
    <w:p w14:paraId="5B755587" w14:textId="77777777" w:rsidR="00DD497A" w:rsidRPr="00DD1006" w:rsidRDefault="00DD497A" w:rsidP="00DD497A">
      <w:pPr>
        <w:pStyle w:val="Naslov3"/>
        <w:rPr>
          <w:rFonts w:eastAsia="Calibri"/>
          <w:lang w:eastAsia="sl-SI"/>
        </w:rPr>
      </w:pPr>
      <w:bookmarkStart w:id="274" w:name="_Toc34130180"/>
      <w:bookmarkStart w:id="275" w:name="_Toc44656958"/>
      <w:bookmarkStart w:id="276" w:name="_Toc97026769"/>
      <w:r w:rsidRPr="00DD1006">
        <w:rPr>
          <w:rFonts w:eastAsia="Calibri"/>
          <w:lang w:eastAsia="sl-SI"/>
        </w:rPr>
        <w:t>Zakonodajni okvir za sektor</w:t>
      </w:r>
      <w:bookmarkEnd w:id="274"/>
      <w:r w:rsidRPr="00DD1006">
        <w:rPr>
          <w:rFonts w:eastAsia="Calibri"/>
          <w:lang w:eastAsia="sl-SI"/>
        </w:rPr>
        <w:t xml:space="preserve"> zdravstvo</w:t>
      </w:r>
      <w:bookmarkEnd w:id="275"/>
      <w:bookmarkEnd w:id="276"/>
    </w:p>
    <w:p w14:paraId="1B0BB437" w14:textId="77777777" w:rsidR="00730953" w:rsidRDefault="00730953" w:rsidP="00730953">
      <w:r>
        <w:rPr>
          <w:lang w:eastAsia="sl-SI"/>
        </w:rPr>
        <w:t xml:space="preserve">Zakonodajni okvir v zdravstvenem sektorju se opredeljuje z naslednjimi dokumenti: </w:t>
      </w:r>
      <w:r>
        <w:t>Strateški okvir prilagajanja podnebnim spremembam, Odlok o Programu porabe sredstev Sklada za podnebne spremembe v obdobju 2020–2023, Zakon o zdravstveni dejavnosti, ter Zakon o zdravstvenem varstvu in zdravstvenem zavarovanju.</w:t>
      </w:r>
    </w:p>
    <w:p w14:paraId="2B0D6066" w14:textId="77777777" w:rsidR="00730953" w:rsidRDefault="00730953" w:rsidP="00F90C17">
      <w:pPr>
        <w:pStyle w:val="Odstavekseznama"/>
        <w:numPr>
          <w:ilvl w:val="0"/>
          <w:numId w:val="17"/>
        </w:numPr>
        <w:spacing w:after="160" w:line="259" w:lineRule="auto"/>
        <w:rPr>
          <w:rFonts w:ascii="Trebuchet MS" w:hAnsi="Trebuchet MS"/>
          <w:szCs w:val="22"/>
        </w:rPr>
      </w:pPr>
      <w:r>
        <w:rPr>
          <w:rFonts w:ascii="Trebuchet MS" w:hAnsi="Trebuchet MS"/>
          <w:szCs w:val="22"/>
        </w:rPr>
        <w:t>Strateški okvir prilagajanja podnebnim spremembam, ki ga je vlada sprejela leta 2016, ponuja strateški okvir in usmeritve za prilagajanje podnebnim spremembam v Sloveniji. Proces prilagajanja v Sloveniji bo nedvomno prispeval tudi k boljšemu stanju v zdravstvu, kakor je utemeljeno že v samem dokumentu iz katerega lahko povzamemo, da dolgoročno izvajanje dejavnosti za prilagajanje nedvomno prinaša prihranke, manjšo škodo ob nesrečah, varovanje zdravja in večjo varnost prebivalcev, kar bo nedvomno prispevalo tudi k boljšemu stanju v zdravstvu. Cilj Strateškega okvirja prilagajanja podnebnim spremembam je zmanjšanje izpostavljenosti vplivom podnebnih sprememb, občutljivosti in ranljivosti Slovenije zanje ter povečevanje odpornosti in prilagoditvene sposobnosti družbe – torej zmanjšanje ranljivosti in tveganja zaradi podnebnih sprememb.</w:t>
      </w:r>
    </w:p>
    <w:p w14:paraId="3B37E84B" w14:textId="53696417" w:rsidR="00730953" w:rsidRDefault="00730953" w:rsidP="00F90C17">
      <w:pPr>
        <w:pStyle w:val="Odstavekseznama"/>
        <w:numPr>
          <w:ilvl w:val="0"/>
          <w:numId w:val="15"/>
        </w:numPr>
        <w:spacing w:after="160" w:line="259" w:lineRule="auto"/>
        <w:rPr>
          <w:rFonts w:ascii="Trebuchet MS" w:hAnsi="Trebuchet MS"/>
          <w:szCs w:val="22"/>
        </w:rPr>
      </w:pPr>
      <w:r>
        <w:rPr>
          <w:rFonts w:ascii="Trebuchet MS" w:eastAsiaTheme="minorHAnsi" w:hAnsi="Trebuchet MS" w:cstheme="minorBidi"/>
          <w:iCs w:val="0"/>
          <w:color w:val="auto"/>
          <w:szCs w:val="22"/>
        </w:rPr>
        <w:lastRenderedPageBreak/>
        <w:t xml:space="preserve">Odlok o Programu porabe sredstev Sklada za podnebne spremembe v obdobju 2020–2023 (Uradni list RS, št. </w:t>
      </w:r>
      <w:r w:rsidR="007A0276">
        <w:fldChar w:fldCharType="begin"/>
      </w:r>
      <w:r w:rsidR="007A0276">
        <w:instrText xml:space="preserve"> HYPERLINK "http://www.uradni-list.si/1/objava.jsp?sop=2020-01-0462" \t "_blank" \o "Odlok o Programu porabe sredstev Sklada za podnebne spremembe v obdobju 2020–2023" </w:instrText>
      </w:r>
      <w:r w:rsidR="007A0276">
        <w:fldChar w:fldCharType="separate"/>
      </w:r>
      <w:r>
        <w:rPr>
          <w:rFonts w:ascii="Trebuchet MS" w:hAnsi="Trebuchet MS"/>
          <w:szCs w:val="22"/>
        </w:rPr>
        <w:t>14/20</w:t>
      </w:r>
      <w:r w:rsidR="007A0276">
        <w:rPr>
          <w:rFonts w:ascii="Trebuchet MS" w:hAnsi="Trebuchet MS"/>
          <w:szCs w:val="22"/>
        </w:rPr>
        <w:fldChar w:fldCharType="end"/>
      </w:r>
      <w:r>
        <w:rPr>
          <w:rFonts w:ascii="Trebuchet MS" w:eastAsiaTheme="minorHAnsi" w:hAnsi="Trebuchet MS" w:cstheme="minorBidi"/>
          <w:iCs w:val="0"/>
          <w:color w:val="auto"/>
          <w:szCs w:val="22"/>
        </w:rPr>
        <w:t>) določa financiranje pomembnega projekta za zdravstvo »Monitoring prenašalcev vektorskih bolezni«.</w:t>
      </w:r>
    </w:p>
    <w:p w14:paraId="6AD76AC6" w14:textId="07C95B16" w:rsidR="00730953" w:rsidRDefault="00730953" w:rsidP="00F90C17">
      <w:pPr>
        <w:pStyle w:val="Odstavekseznama"/>
        <w:numPr>
          <w:ilvl w:val="0"/>
          <w:numId w:val="15"/>
        </w:numPr>
        <w:spacing w:after="160" w:line="259" w:lineRule="auto"/>
        <w:rPr>
          <w:rFonts w:ascii="Trebuchet MS" w:hAnsi="Trebuchet MS"/>
          <w:szCs w:val="22"/>
        </w:rPr>
      </w:pPr>
      <w:r>
        <w:rPr>
          <w:rFonts w:ascii="Trebuchet MS" w:eastAsiaTheme="minorHAnsi" w:hAnsi="Trebuchet MS" w:cstheme="minorBidi"/>
          <w:iCs w:val="0"/>
          <w:color w:val="auto"/>
          <w:szCs w:val="22"/>
        </w:rPr>
        <w:t xml:space="preserve">Krovni zakon, ki ureja vsebino in opravljanje zdravstvene dejavnosti je Zakon o zdravstveni dejavnosti (Uradni list RS, št. </w:t>
      </w:r>
      <w:r w:rsidR="007A0276">
        <w:fldChar w:fldCharType="begin"/>
      </w:r>
      <w:r w:rsidR="007A0276">
        <w:instrText xml:space="preserve"> HYPERLINK "http://www.uradni-list.si/1/objava.jsp?sop=2005-01-0778" \t "_</w:instrText>
      </w:r>
      <w:r w:rsidR="007A0276">
        <w:instrText xml:space="preserve">blank" \o "Zakon o zdravstveni dejavnosti (uradno prečiščeno besedilo)" </w:instrText>
      </w:r>
      <w:r w:rsidR="007A0276">
        <w:fldChar w:fldCharType="separate"/>
      </w:r>
      <w:r>
        <w:rPr>
          <w:rFonts w:ascii="Trebuchet MS" w:hAnsi="Trebuchet MS"/>
          <w:szCs w:val="22"/>
        </w:rPr>
        <w:t>23/05</w:t>
      </w:r>
      <w:r w:rsidR="007A0276">
        <w:rPr>
          <w:rFonts w:ascii="Trebuchet MS" w:hAnsi="Trebuchet MS"/>
          <w:szCs w:val="22"/>
        </w:rPr>
        <w:fldChar w:fldCharType="end"/>
      </w:r>
      <w:r>
        <w:rPr>
          <w:rFonts w:ascii="Trebuchet MS" w:eastAsiaTheme="minorHAnsi" w:hAnsi="Trebuchet MS" w:cstheme="minorBidi"/>
          <w:iCs w:val="0"/>
          <w:color w:val="auto"/>
          <w:szCs w:val="22"/>
        </w:rPr>
        <w:t xml:space="preserve"> – uradno prečiščeno besedilo, </w:t>
      </w:r>
      <w:hyperlink r:id="rId113" w:tgtFrame="_blank" w:tooltip="Zakon o pacientovih pravicah" w:history="1">
        <w:r>
          <w:rPr>
            <w:rFonts w:ascii="Trebuchet MS" w:hAnsi="Trebuchet MS"/>
            <w:szCs w:val="22"/>
          </w:rPr>
          <w:t>15/08</w:t>
        </w:r>
      </w:hyperlink>
      <w:r>
        <w:rPr>
          <w:rFonts w:ascii="Trebuchet MS" w:eastAsiaTheme="minorHAnsi" w:hAnsi="Trebuchet MS" w:cstheme="minorBidi"/>
          <w:iCs w:val="0"/>
          <w:color w:val="auto"/>
          <w:szCs w:val="22"/>
        </w:rPr>
        <w:t xml:space="preserve"> – </w:t>
      </w:r>
      <w:proofErr w:type="spellStart"/>
      <w:r>
        <w:rPr>
          <w:rFonts w:ascii="Trebuchet MS" w:eastAsiaTheme="minorHAnsi" w:hAnsi="Trebuchet MS" w:cstheme="minorBidi"/>
          <w:iCs w:val="0"/>
          <w:color w:val="auto"/>
          <w:szCs w:val="22"/>
        </w:rPr>
        <w:t>ZPacP</w:t>
      </w:r>
      <w:proofErr w:type="spellEnd"/>
      <w:r>
        <w:rPr>
          <w:rFonts w:ascii="Trebuchet MS" w:eastAsiaTheme="minorHAnsi" w:hAnsi="Trebuchet MS" w:cstheme="minorBidi"/>
          <w:iCs w:val="0"/>
          <w:color w:val="auto"/>
          <w:szCs w:val="22"/>
        </w:rPr>
        <w:t xml:space="preserve">, </w:t>
      </w:r>
      <w:hyperlink r:id="rId114" w:tgtFrame="_blank" w:tooltip="Zakon o spremembah in dopolnitvah Zakona o zdravstveni dejavnosti" w:history="1">
        <w:r>
          <w:rPr>
            <w:rFonts w:ascii="Trebuchet MS" w:hAnsi="Trebuchet MS"/>
            <w:szCs w:val="22"/>
          </w:rPr>
          <w:t>23/08</w:t>
        </w:r>
      </w:hyperlink>
      <w:r>
        <w:rPr>
          <w:rFonts w:ascii="Trebuchet MS" w:eastAsiaTheme="minorHAnsi" w:hAnsi="Trebuchet MS" w:cstheme="minorBidi"/>
          <w:iCs w:val="0"/>
          <w:color w:val="auto"/>
          <w:szCs w:val="22"/>
        </w:rPr>
        <w:t xml:space="preserve">, </w:t>
      </w:r>
      <w:hyperlink r:id="rId115" w:tgtFrame="_blank" w:tooltip="Zakon o spremembah in dopolnitvah Zakona o zdravniški službi" w:history="1">
        <w:r>
          <w:rPr>
            <w:rFonts w:ascii="Trebuchet MS" w:hAnsi="Trebuchet MS"/>
            <w:szCs w:val="22"/>
          </w:rPr>
          <w:t>58/08</w:t>
        </w:r>
      </w:hyperlink>
      <w:r>
        <w:rPr>
          <w:rFonts w:ascii="Trebuchet MS" w:eastAsiaTheme="minorHAnsi" w:hAnsi="Trebuchet MS" w:cstheme="minorBidi"/>
          <w:iCs w:val="0"/>
          <w:color w:val="auto"/>
          <w:szCs w:val="22"/>
        </w:rPr>
        <w:t xml:space="preserve"> – ZZdrS-E, </w:t>
      </w:r>
      <w:hyperlink r:id="rId116" w:tgtFrame="_blank" w:tooltip="Zakon o duševnem zdravju" w:history="1">
        <w:r>
          <w:rPr>
            <w:rFonts w:ascii="Trebuchet MS" w:hAnsi="Trebuchet MS"/>
            <w:szCs w:val="22"/>
          </w:rPr>
          <w:t>77/08</w:t>
        </w:r>
      </w:hyperlink>
      <w:r>
        <w:rPr>
          <w:rFonts w:ascii="Trebuchet MS" w:eastAsiaTheme="minorHAnsi" w:hAnsi="Trebuchet MS" w:cstheme="minorBidi"/>
          <w:iCs w:val="0"/>
          <w:color w:val="auto"/>
          <w:szCs w:val="22"/>
        </w:rPr>
        <w:t xml:space="preserve"> – </w:t>
      </w:r>
      <w:proofErr w:type="spellStart"/>
      <w:r>
        <w:rPr>
          <w:rFonts w:ascii="Trebuchet MS" w:eastAsiaTheme="minorHAnsi" w:hAnsi="Trebuchet MS" w:cstheme="minorBidi"/>
          <w:iCs w:val="0"/>
          <w:color w:val="auto"/>
          <w:szCs w:val="22"/>
        </w:rPr>
        <w:t>ZDZdr</w:t>
      </w:r>
      <w:proofErr w:type="spellEnd"/>
      <w:r>
        <w:rPr>
          <w:rFonts w:ascii="Trebuchet MS" w:eastAsiaTheme="minorHAnsi" w:hAnsi="Trebuchet MS" w:cstheme="minorBidi"/>
          <w:iCs w:val="0"/>
          <w:color w:val="auto"/>
          <w:szCs w:val="22"/>
        </w:rPr>
        <w:t xml:space="preserve">, </w:t>
      </w:r>
      <w:hyperlink r:id="rId117" w:tgtFrame="_blank" w:tooltip="Zakon za uravnoteženje javnih financ" w:history="1">
        <w:r>
          <w:rPr>
            <w:rFonts w:ascii="Trebuchet MS" w:hAnsi="Trebuchet MS"/>
            <w:szCs w:val="22"/>
          </w:rPr>
          <w:t>40/12</w:t>
        </w:r>
      </w:hyperlink>
      <w:r>
        <w:rPr>
          <w:rFonts w:ascii="Trebuchet MS" w:eastAsiaTheme="minorHAnsi" w:hAnsi="Trebuchet MS" w:cstheme="minorBidi"/>
          <w:iCs w:val="0"/>
          <w:color w:val="auto"/>
          <w:szCs w:val="22"/>
        </w:rPr>
        <w:t xml:space="preserve"> – ZUJF, </w:t>
      </w:r>
      <w:hyperlink r:id="rId118" w:tgtFrame="_blank" w:tooltip="Zakon o spremembah in dopolnitvah Zakona o zdravstveni dejavnosti" w:history="1">
        <w:r>
          <w:rPr>
            <w:rFonts w:ascii="Trebuchet MS" w:hAnsi="Trebuchet MS"/>
            <w:szCs w:val="22"/>
          </w:rPr>
          <w:t>14/13</w:t>
        </w:r>
      </w:hyperlink>
      <w:r>
        <w:rPr>
          <w:rFonts w:ascii="Trebuchet MS" w:eastAsiaTheme="minorHAnsi" w:hAnsi="Trebuchet MS" w:cstheme="minorBidi"/>
          <w:iCs w:val="0"/>
          <w:color w:val="auto"/>
          <w:szCs w:val="22"/>
        </w:rPr>
        <w:t xml:space="preserve">, </w:t>
      </w:r>
      <w:hyperlink r:id="rId119" w:tgtFrame="_blank" w:tooltip="Zakon o spremembah in dopolnitvah določenih zakonov s področja zdravstvene dejavnosti" w:history="1">
        <w:r>
          <w:rPr>
            <w:rFonts w:ascii="Trebuchet MS" w:hAnsi="Trebuchet MS"/>
            <w:szCs w:val="22"/>
          </w:rPr>
          <w:t>88/16</w:t>
        </w:r>
      </w:hyperlink>
      <w:r>
        <w:rPr>
          <w:rFonts w:ascii="Trebuchet MS" w:eastAsiaTheme="minorHAnsi" w:hAnsi="Trebuchet MS" w:cstheme="minorBidi"/>
          <w:iCs w:val="0"/>
          <w:color w:val="auto"/>
          <w:szCs w:val="22"/>
        </w:rPr>
        <w:t xml:space="preserve"> – </w:t>
      </w:r>
      <w:proofErr w:type="spellStart"/>
      <w:r>
        <w:rPr>
          <w:rFonts w:ascii="Trebuchet MS" w:eastAsiaTheme="minorHAnsi" w:hAnsi="Trebuchet MS" w:cstheme="minorBidi"/>
          <w:iCs w:val="0"/>
          <w:color w:val="auto"/>
          <w:szCs w:val="22"/>
        </w:rPr>
        <w:t>ZdZPZD</w:t>
      </w:r>
      <w:proofErr w:type="spellEnd"/>
      <w:r>
        <w:rPr>
          <w:rFonts w:ascii="Trebuchet MS" w:eastAsiaTheme="minorHAnsi" w:hAnsi="Trebuchet MS" w:cstheme="minorBidi"/>
          <w:iCs w:val="0"/>
          <w:color w:val="auto"/>
          <w:szCs w:val="22"/>
        </w:rPr>
        <w:t xml:space="preserve">, </w:t>
      </w:r>
      <w:hyperlink r:id="rId120" w:tgtFrame="_blank" w:tooltip="Zakon o spremembah in dopolnitvah Zakona o zdravstveni dejavnosti" w:history="1">
        <w:r>
          <w:rPr>
            <w:rFonts w:ascii="Trebuchet MS" w:hAnsi="Trebuchet MS"/>
            <w:szCs w:val="22"/>
          </w:rPr>
          <w:t>64/17</w:t>
        </w:r>
      </w:hyperlink>
      <w:r>
        <w:rPr>
          <w:rFonts w:ascii="Trebuchet MS" w:eastAsiaTheme="minorHAnsi" w:hAnsi="Trebuchet MS" w:cstheme="minorBidi"/>
          <w:iCs w:val="0"/>
          <w:color w:val="auto"/>
          <w:szCs w:val="22"/>
        </w:rPr>
        <w:t xml:space="preserve">, </w:t>
      </w:r>
      <w:hyperlink r:id="rId121" w:tgtFrame="_blank" w:tooltip="Odločba o delni razveljavitvi druge povedi drugega odstavka 3. člena Zakona o zdravstveni dejavnosti, Odločba o ugotovitvi, da prvi in tretji odstavek 42. člena Zakona o zdravstveni dejavnosti nista v neskladju z Ustavo" w:history="1">
        <w:r>
          <w:rPr>
            <w:rFonts w:ascii="Trebuchet MS" w:hAnsi="Trebuchet MS"/>
            <w:szCs w:val="22"/>
          </w:rPr>
          <w:t>1/19</w:t>
        </w:r>
      </w:hyperlink>
      <w:r>
        <w:rPr>
          <w:rFonts w:ascii="Trebuchet MS" w:eastAsiaTheme="minorHAnsi" w:hAnsi="Trebuchet MS" w:cstheme="minorBidi"/>
          <w:iCs w:val="0"/>
          <w:color w:val="auto"/>
          <w:szCs w:val="22"/>
        </w:rPr>
        <w:t xml:space="preserve"> – </w:t>
      </w:r>
      <w:proofErr w:type="spellStart"/>
      <w:r>
        <w:rPr>
          <w:rFonts w:ascii="Trebuchet MS" w:eastAsiaTheme="minorHAnsi" w:hAnsi="Trebuchet MS" w:cstheme="minorBidi"/>
          <w:iCs w:val="0"/>
          <w:color w:val="auto"/>
          <w:szCs w:val="22"/>
        </w:rPr>
        <w:t>odl</w:t>
      </w:r>
      <w:proofErr w:type="spellEnd"/>
      <w:r>
        <w:rPr>
          <w:rFonts w:ascii="Trebuchet MS" w:eastAsiaTheme="minorHAnsi" w:hAnsi="Trebuchet MS" w:cstheme="minorBidi"/>
          <w:iCs w:val="0"/>
          <w:color w:val="auto"/>
          <w:szCs w:val="22"/>
        </w:rPr>
        <w:t xml:space="preserve">. US, </w:t>
      </w:r>
      <w:hyperlink r:id="rId122" w:tgtFrame="_blank" w:tooltip="Zakon o spremembah in dopolnitvah Zakona o zdravstveni dejavnosti" w:history="1">
        <w:r>
          <w:rPr>
            <w:rFonts w:ascii="Trebuchet MS" w:hAnsi="Trebuchet MS"/>
            <w:szCs w:val="22"/>
          </w:rPr>
          <w:t>73/19</w:t>
        </w:r>
      </w:hyperlink>
      <w:r>
        <w:rPr>
          <w:rFonts w:ascii="Trebuchet MS" w:eastAsiaTheme="minorHAnsi" w:hAnsi="Trebuchet MS" w:cstheme="minorBidi"/>
          <w:iCs w:val="0"/>
          <w:color w:val="auto"/>
          <w:szCs w:val="22"/>
        </w:rPr>
        <w:t xml:space="preserve"> in </w:t>
      </w:r>
      <w:hyperlink r:id="rId123" w:tgtFrame="_blank" w:tooltip="Zakon o dopolnitvi Zakona o zdravstveni dejavnosti" w:history="1">
        <w:r>
          <w:rPr>
            <w:rFonts w:ascii="Trebuchet MS" w:hAnsi="Trebuchet MS"/>
            <w:szCs w:val="22"/>
          </w:rPr>
          <w:t>82/20</w:t>
        </w:r>
      </w:hyperlink>
      <w:r>
        <w:rPr>
          <w:rFonts w:ascii="Trebuchet MS" w:eastAsiaTheme="minorHAnsi" w:hAnsi="Trebuchet MS" w:cstheme="minorBidi"/>
          <w:iCs w:val="0"/>
          <w:color w:val="auto"/>
          <w:szCs w:val="22"/>
        </w:rPr>
        <w:t>). Ureja tudi dejavnost na področju okolja in podnebnih sprememb, saj določa, da zdravstvena dejavnost na sekundarni in terciarni ravni obsega tudi dejavnost javnega zdravja in dejavnosti, povezane z javnim zdravjem na področju zdravja, okolja in hrane. Določa tudi merila za postavitev mreže javne zdravstvene službe ter NIJZ nalaga načrtovanje programov, vključno s programom cepljenja in zaščite z zdravili, in ukrepov za obvladovanje nalezljivih in drugih bolezni, povezanih s posebnimi izpostavljenostmi v naravnem okolju, ter strokovno podporo v postopkih presoj vplivov okolja na zdravje v skladu s posebnimi predpisi. Zakon določa tudi spremljanje in proučevanje dejavnikov, ki vplivajo na zdravje, ter pripravo predlogov ukrepov za zgodnje odkrivanje in omilitev njihovega vpliva.</w:t>
      </w:r>
    </w:p>
    <w:p w14:paraId="65280C7D" w14:textId="5944D9A8" w:rsidR="00730953" w:rsidRDefault="00730953" w:rsidP="00F90C17">
      <w:pPr>
        <w:pStyle w:val="Odstavekseznama"/>
        <w:numPr>
          <w:ilvl w:val="0"/>
          <w:numId w:val="15"/>
        </w:numPr>
        <w:spacing w:after="160" w:line="259" w:lineRule="auto"/>
        <w:rPr>
          <w:rFonts w:ascii="Trebuchet MS" w:eastAsiaTheme="minorHAnsi" w:hAnsi="Trebuchet MS" w:cstheme="minorBidi"/>
          <w:color w:val="auto"/>
          <w:szCs w:val="22"/>
        </w:rPr>
      </w:pPr>
      <w:r>
        <w:rPr>
          <w:rFonts w:ascii="Trebuchet MS" w:eastAsiaTheme="minorHAnsi" w:hAnsi="Trebuchet MS" w:cstheme="minorBidi"/>
          <w:color w:val="auto"/>
          <w:szCs w:val="22"/>
        </w:rPr>
        <w:t xml:space="preserve">Zakon o zdravstvenem varstvu in zdravstvenem zavarovanju (Uradni list RS, št. </w:t>
      </w:r>
      <w:r w:rsidR="007A0276">
        <w:fldChar w:fldCharType="begin"/>
      </w:r>
      <w:r w:rsidR="007A0276">
        <w:instrText xml:space="preserve"> HYPERLINK "http://www.uradni-list.si/1/objava.jsp?sop=2006-01-3075" \t "_blank" \o "Zakon o zdravstvenem varstvu in zdravstvenem zavarovanju (uradno prečiščeno besedilo)" </w:instrText>
      </w:r>
      <w:r w:rsidR="007A0276">
        <w:fldChar w:fldCharType="separate"/>
      </w:r>
      <w:r>
        <w:rPr>
          <w:rFonts w:ascii="Trebuchet MS" w:eastAsiaTheme="minorHAnsi" w:hAnsi="Trebuchet MS" w:cstheme="minorBidi"/>
          <w:szCs w:val="22"/>
        </w:rPr>
        <w:t>72/06</w:t>
      </w:r>
      <w:r w:rsidR="007A0276">
        <w:rPr>
          <w:rFonts w:ascii="Trebuchet MS" w:eastAsiaTheme="minorHAnsi" w:hAnsi="Trebuchet MS" w:cstheme="minorBidi"/>
          <w:szCs w:val="22"/>
        </w:rPr>
        <w:fldChar w:fldCharType="end"/>
      </w:r>
      <w:r>
        <w:rPr>
          <w:rFonts w:ascii="Trebuchet MS" w:eastAsiaTheme="minorHAnsi" w:hAnsi="Trebuchet MS" w:cstheme="minorBidi"/>
          <w:color w:val="auto"/>
          <w:szCs w:val="22"/>
        </w:rPr>
        <w:t xml:space="preserve"> – uradno prečiščeno besedilo, </w:t>
      </w:r>
      <w:hyperlink r:id="rId124" w:tgtFrame="_blank" w:tooltip="Zakon o usklajevanju transferjev posameznikom in gospodinjstvom v Republiki Sloveniji" w:history="1">
        <w:r>
          <w:rPr>
            <w:rFonts w:ascii="Trebuchet MS" w:eastAsiaTheme="minorHAnsi" w:hAnsi="Trebuchet MS" w:cstheme="minorBidi"/>
            <w:szCs w:val="22"/>
          </w:rPr>
          <w:t>114/06</w:t>
        </w:r>
      </w:hyperlink>
      <w:r>
        <w:rPr>
          <w:rFonts w:ascii="Trebuchet MS" w:eastAsiaTheme="minorHAnsi" w:hAnsi="Trebuchet MS" w:cstheme="minorBidi"/>
          <w:color w:val="auto"/>
          <w:szCs w:val="22"/>
        </w:rPr>
        <w:t xml:space="preserve"> – ZUTPG, </w:t>
      </w:r>
      <w:hyperlink r:id="rId125" w:tgtFrame="_blank" w:tooltip="Zakon o spremembah in dopolnitvah Zakona o zdravstvenem varstvu in zdravstvenem zavarovanju" w:history="1">
        <w:r>
          <w:rPr>
            <w:rFonts w:ascii="Trebuchet MS" w:eastAsiaTheme="minorHAnsi" w:hAnsi="Trebuchet MS" w:cstheme="minorBidi"/>
            <w:szCs w:val="22"/>
          </w:rPr>
          <w:t>91/07</w:t>
        </w:r>
      </w:hyperlink>
      <w:r>
        <w:rPr>
          <w:rFonts w:ascii="Trebuchet MS" w:eastAsiaTheme="minorHAnsi" w:hAnsi="Trebuchet MS" w:cstheme="minorBidi"/>
          <w:color w:val="auto"/>
          <w:szCs w:val="22"/>
        </w:rPr>
        <w:t xml:space="preserve">, </w:t>
      </w:r>
      <w:hyperlink r:id="rId126" w:tgtFrame="_blank" w:tooltip="Zakon o spremembah in dopolnitvah Zakona o zdravstvenem varstvu in zdravstvenem zavarovanju" w:history="1">
        <w:r>
          <w:rPr>
            <w:rFonts w:ascii="Trebuchet MS" w:eastAsiaTheme="minorHAnsi" w:hAnsi="Trebuchet MS" w:cstheme="minorBidi"/>
            <w:szCs w:val="22"/>
          </w:rPr>
          <w:t>76/08</w:t>
        </w:r>
      </w:hyperlink>
      <w:r>
        <w:rPr>
          <w:rFonts w:ascii="Trebuchet MS" w:eastAsiaTheme="minorHAnsi" w:hAnsi="Trebuchet MS" w:cstheme="minorBidi"/>
          <w:color w:val="auto"/>
          <w:szCs w:val="22"/>
        </w:rPr>
        <w:t xml:space="preserve">, </w:t>
      </w:r>
      <w:hyperlink r:id="rId127" w:tgtFrame="_blank" w:tooltip="Zakon o uveljavljanju pravic iz javnih sredstev" w:history="1">
        <w:r>
          <w:rPr>
            <w:rFonts w:ascii="Trebuchet MS" w:eastAsiaTheme="minorHAnsi" w:hAnsi="Trebuchet MS" w:cstheme="minorBidi"/>
            <w:szCs w:val="22"/>
          </w:rPr>
          <w:t>62/10</w:t>
        </w:r>
      </w:hyperlink>
      <w:r>
        <w:rPr>
          <w:rFonts w:ascii="Trebuchet MS" w:eastAsiaTheme="minorHAnsi" w:hAnsi="Trebuchet MS" w:cstheme="minorBidi"/>
          <w:color w:val="auto"/>
          <w:szCs w:val="22"/>
        </w:rPr>
        <w:t xml:space="preserve"> – ZUPJS, </w:t>
      </w:r>
      <w:hyperlink r:id="rId128" w:tgtFrame="_blank" w:tooltip="Zakon o spremembi in dopolnitvi Zakona o zdravstvenem varstvu in zdravstvenem zavarovanju" w:history="1">
        <w:r>
          <w:rPr>
            <w:rFonts w:ascii="Trebuchet MS" w:eastAsiaTheme="minorHAnsi" w:hAnsi="Trebuchet MS" w:cstheme="minorBidi"/>
            <w:szCs w:val="22"/>
          </w:rPr>
          <w:t>87/11</w:t>
        </w:r>
      </w:hyperlink>
      <w:r>
        <w:rPr>
          <w:rFonts w:ascii="Trebuchet MS" w:eastAsiaTheme="minorHAnsi" w:hAnsi="Trebuchet MS" w:cstheme="minorBidi"/>
          <w:color w:val="auto"/>
          <w:szCs w:val="22"/>
        </w:rPr>
        <w:t xml:space="preserve">, </w:t>
      </w:r>
      <w:hyperlink r:id="rId129" w:tgtFrame="_blank" w:tooltip="Zakon za uravnoteženje javnih financ" w:history="1">
        <w:r>
          <w:rPr>
            <w:rFonts w:ascii="Trebuchet MS" w:eastAsiaTheme="minorHAnsi" w:hAnsi="Trebuchet MS" w:cstheme="minorBidi"/>
            <w:szCs w:val="22"/>
          </w:rPr>
          <w:t>40/12</w:t>
        </w:r>
      </w:hyperlink>
      <w:r>
        <w:rPr>
          <w:rFonts w:ascii="Trebuchet MS" w:eastAsiaTheme="minorHAnsi" w:hAnsi="Trebuchet MS" w:cstheme="minorBidi"/>
          <w:color w:val="auto"/>
          <w:szCs w:val="22"/>
        </w:rPr>
        <w:t xml:space="preserve"> – ZUJF, </w:t>
      </w:r>
      <w:hyperlink r:id="rId130" w:tgtFrame="_blank" w:tooltip="Zakon o spremembah in dopolnitvah Zakona o urejanju trga dela" w:history="1">
        <w:r>
          <w:rPr>
            <w:rFonts w:ascii="Trebuchet MS" w:eastAsiaTheme="minorHAnsi" w:hAnsi="Trebuchet MS" w:cstheme="minorBidi"/>
            <w:szCs w:val="22"/>
          </w:rPr>
          <w:t>21/13</w:t>
        </w:r>
      </w:hyperlink>
      <w:r>
        <w:rPr>
          <w:rFonts w:ascii="Trebuchet MS" w:eastAsiaTheme="minorHAnsi" w:hAnsi="Trebuchet MS" w:cstheme="minorBidi"/>
          <w:color w:val="auto"/>
          <w:szCs w:val="22"/>
        </w:rPr>
        <w:t xml:space="preserve"> – ZUTD-A, </w:t>
      </w:r>
      <w:hyperlink r:id="rId131" w:tgtFrame="_blank" w:tooltip="Zakon o spremembah in dopolnitvah Zakona o zdravstvenem varstvu in zdravstvenem zavarovanju" w:history="1">
        <w:r>
          <w:rPr>
            <w:rFonts w:ascii="Trebuchet MS" w:eastAsiaTheme="minorHAnsi" w:hAnsi="Trebuchet MS" w:cstheme="minorBidi"/>
            <w:szCs w:val="22"/>
          </w:rPr>
          <w:t>91/13</w:t>
        </w:r>
      </w:hyperlink>
      <w:r>
        <w:rPr>
          <w:rFonts w:ascii="Trebuchet MS" w:eastAsiaTheme="minorHAnsi" w:hAnsi="Trebuchet MS" w:cstheme="minorBidi"/>
          <w:color w:val="auto"/>
          <w:szCs w:val="22"/>
        </w:rPr>
        <w:t xml:space="preserve">, </w:t>
      </w:r>
      <w:hyperlink r:id="rId132" w:tgtFrame="_blank" w:tooltip="Zakon o spremembah in dopolnitvah Zakona o uveljavljanju pravic iz javnih sredstev" w:history="1">
        <w:r>
          <w:rPr>
            <w:rFonts w:ascii="Trebuchet MS" w:eastAsiaTheme="minorHAnsi" w:hAnsi="Trebuchet MS" w:cstheme="minorBidi"/>
            <w:szCs w:val="22"/>
          </w:rPr>
          <w:t>99/13</w:t>
        </w:r>
      </w:hyperlink>
      <w:r>
        <w:rPr>
          <w:rFonts w:ascii="Trebuchet MS" w:eastAsiaTheme="minorHAnsi" w:hAnsi="Trebuchet MS" w:cstheme="minorBidi"/>
          <w:color w:val="auto"/>
          <w:szCs w:val="22"/>
        </w:rPr>
        <w:t xml:space="preserve"> – ZUPJS-C, </w:t>
      </w:r>
      <w:hyperlink r:id="rId133" w:tgtFrame="_blank" w:tooltip="Zakon o spremembah in dopolnitvah Zakona o socialno varstvenih prejemkih" w:history="1">
        <w:r>
          <w:rPr>
            <w:rFonts w:ascii="Trebuchet MS" w:eastAsiaTheme="minorHAnsi" w:hAnsi="Trebuchet MS" w:cstheme="minorBidi"/>
            <w:szCs w:val="22"/>
          </w:rPr>
          <w:t>99/13</w:t>
        </w:r>
      </w:hyperlink>
      <w:r>
        <w:rPr>
          <w:rFonts w:ascii="Trebuchet MS" w:eastAsiaTheme="minorHAnsi" w:hAnsi="Trebuchet MS" w:cstheme="minorBidi"/>
          <w:color w:val="auto"/>
          <w:szCs w:val="22"/>
        </w:rPr>
        <w:t xml:space="preserve"> – </w:t>
      </w:r>
      <w:proofErr w:type="spellStart"/>
      <w:r>
        <w:rPr>
          <w:rFonts w:ascii="Trebuchet MS" w:eastAsiaTheme="minorHAnsi" w:hAnsi="Trebuchet MS" w:cstheme="minorBidi"/>
          <w:color w:val="auto"/>
          <w:szCs w:val="22"/>
        </w:rPr>
        <w:t>ZSVarPre</w:t>
      </w:r>
      <w:proofErr w:type="spellEnd"/>
      <w:r>
        <w:rPr>
          <w:rFonts w:ascii="Trebuchet MS" w:eastAsiaTheme="minorHAnsi" w:hAnsi="Trebuchet MS" w:cstheme="minorBidi"/>
          <w:color w:val="auto"/>
          <w:szCs w:val="22"/>
        </w:rPr>
        <w:t xml:space="preserve">-C, </w:t>
      </w:r>
      <w:hyperlink r:id="rId134" w:tgtFrame="_blank" w:tooltip="Zakon o matični evidenci zavarovancev in uživalcev pravic iz obveznega pokojninskega in invalidskega zavarovanja" w:history="1">
        <w:r>
          <w:rPr>
            <w:rFonts w:ascii="Trebuchet MS" w:eastAsiaTheme="minorHAnsi" w:hAnsi="Trebuchet MS" w:cstheme="minorBidi"/>
            <w:szCs w:val="22"/>
          </w:rPr>
          <w:t>111/13</w:t>
        </w:r>
      </w:hyperlink>
      <w:r>
        <w:rPr>
          <w:rFonts w:ascii="Trebuchet MS" w:eastAsiaTheme="minorHAnsi" w:hAnsi="Trebuchet MS" w:cstheme="minorBidi"/>
          <w:color w:val="auto"/>
          <w:szCs w:val="22"/>
        </w:rPr>
        <w:t xml:space="preserve"> – ZMEPIZ-1, </w:t>
      </w:r>
      <w:hyperlink r:id="rId135" w:tgtFrame="_blank" w:tooltip="Zakon o spremembah in dopolnitvah Zakona za uravnoteženje javnih financ" w:history="1">
        <w:r>
          <w:rPr>
            <w:rFonts w:ascii="Trebuchet MS" w:eastAsiaTheme="minorHAnsi" w:hAnsi="Trebuchet MS" w:cstheme="minorBidi"/>
            <w:szCs w:val="22"/>
          </w:rPr>
          <w:t>95/14</w:t>
        </w:r>
      </w:hyperlink>
      <w:r>
        <w:rPr>
          <w:rFonts w:ascii="Trebuchet MS" w:eastAsiaTheme="minorHAnsi" w:hAnsi="Trebuchet MS" w:cstheme="minorBidi"/>
          <w:color w:val="auto"/>
          <w:szCs w:val="22"/>
        </w:rPr>
        <w:t xml:space="preserve"> – ZUJF-C, </w:t>
      </w:r>
      <w:hyperlink r:id="rId136" w:tgtFrame="_blank" w:tooltip="Zakon o zaposlovanju, samozaposlovanju in delu tujcev" w:history="1">
        <w:r>
          <w:rPr>
            <w:rFonts w:ascii="Trebuchet MS" w:eastAsiaTheme="minorHAnsi" w:hAnsi="Trebuchet MS" w:cstheme="minorBidi"/>
            <w:szCs w:val="22"/>
          </w:rPr>
          <w:t>47/15</w:t>
        </w:r>
      </w:hyperlink>
      <w:r>
        <w:rPr>
          <w:rFonts w:ascii="Trebuchet MS" w:eastAsiaTheme="minorHAnsi" w:hAnsi="Trebuchet MS" w:cstheme="minorBidi"/>
          <w:color w:val="auto"/>
          <w:szCs w:val="22"/>
        </w:rPr>
        <w:t xml:space="preserve"> – ZZSDT, </w:t>
      </w:r>
      <w:hyperlink r:id="rId137" w:tgtFrame="_blank" w:tooltip="Zakon za urejanje položaja študentov" w:history="1">
        <w:r>
          <w:rPr>
            <w:rFonts w:ascii="Trebuchet MS" w:eastAsiaTheme="minorHAnsi" w:hAnsi="Trebuchet MS" w:cstheme="minorBidi"/>
            <w:szCs w:val="22"/>
          </w:rPr>
          <w:t>61/17</w:t>
        </w:r>
      </w:hyperlink>
      <w:r>
        <w:rPr>
          <w:rFonts w:ascii="Trebuchet MS" w:eastAsiaTheme="minorHAnsi" w:hAnsi="Trebuchet MS" w:cstheme="minorBidi"/>
          <w:color w:val="auto"/>
          <w:szCs w:val="22"/>
        </w:rPr>
        <w:t xml:space="preserve"> – ZUPŠ, </w:t>
      </w:r>
      <w:hyperlink r:id="rId138" w:tgtFrame="_blank" w:tooltip="Zakon o spremembah in dopolnitvah Zakona o zdravstveni dejavnosti" w:history="1">
        <w:r>
          <w:rPr>
            <w:rFonts w:ascii="Trebuchet MS" w:eastAsiaTheme="minorHAnsi" w:hAnsi="Trebuchet MS" w:cstheme="minorBidi"/>
            <w:szCs w:val="22"/>
          </w:rPr>
          <w:t>64/17</w:t>
        </w:r>
      </w:hyperlink>
      <w:r>
        <w:rPr>
          <w:rFonts w:ascii="Trebuchet MS" w:eastAsiaTheme="minorHAnsi" w:hAnsi="Trebuchet MS" w:cstheme="minorBidi"/>
          <w:color w:val="auto"/>
          <w:szCs w:val="22"/>
        </w:rPr>
        <w:t xml:space="preserve"> – ZZDej-K in </w:t>
      </w:r>
      <w:hyperlink r:id="rId139" w:tgtFrame="_blank" w:tooltip="Zakon o spremembah in dopolnitvah Zakona o zdravstvenem varstvu in zdravstvenem zavarovanju" w:history="1">
        <w:r>
          <w:rPr>
            <w:rFonts w:ascii="Trebuchet MS" w:eastAsiaTheme="minorHAnsi" w:hAnsi="Trebuchet MS" w:cstheme="minorBidi"/>
            <w:szCs w:val="22"/>
          </w:rPr>
          <w:t>36/19</w:t>
        </w:r>
      </w:hyperlink>
      <w:r>
        <w:rPr>
          <w:rFonts w:ascii="Trebuchet MS" w:eastAsiaTheme="minorHAnsi" w:hAnsi="Trebuchet MS" w:cstheme="minorBidi"/>
          <w:color w:val="auto"/>
          <w:szCs w:val="22"/>
        </w:rPr>
        <w:t>) določa, da občina in mesto v skladu s svojimi pravicami in dolžnostmi zagotavljata pogoje za uresničevanje zdravstvenega varstva na svojem območju. Določa tudi, da so podjetja, zavodi, druge organizacije in posamezniki pri opravljanju in načrtovanju svoje dejavnosti dolžni zagotavljati pogoje za uresničevanje zdravstvenega varstva z razvijanjem in uporabo zdravju in okolju neškodljivih tehnologij ter z uvajanjem ukrepov za varovanje in krepitev zdravja pri njih zaposlenih delavcev oziroma varovancev.</w:t>
      </w:r>
    </w:p>
    <w:p w14:paraId="4C73FA3D" w14:textId="77777777" w:rsidR="00730953" w:rsidRDefault="00730953" w:rsidP="00730953">
      <w:pPr>
        <w:rPr>
          <w:rStyle w:val="FontStyle20"/>
        </w:rPr>
      </w:pPr>
      <w:r>
        <w:t>Slovenija je ena izmed držav Evropske regije Svetovne zdravstvene organizacije, ki so podpisnice Ostravske deklaracije iz leta 2017 z naslovom »Boljše zdravje. Boljše okolje. Trajnostne odločitve«, v kateri so ministri podpisali, da: “</w:t>
      </w:r>
      <w:r>
        <w:rPr>
          <w:snapToGrid w:val="0"/>
        </w:rPr>
        <w:t>priznavamo zdravstvene koristi obravnavanja podnebnih sprememb in podpiramo Pariški sporazum, ki poudarja pomen pravice do zdravja z ukrepi, ki jih je treba sprejeti za reševanje podnebnih sprememb” in da si bodo prizadevali za: ”</w:t>
      </w:r>
      <w:r>
        <w:t>za skupnosti, infrastrukture in zdravstvene sisteme, ki naj bodo zlasti odporni proti podnebnim spremembam</w:t>
      </w:r>
      <w:r>
        <w:rPr>
          <w:snapToGrid w:val="0"/>
        </w:rPr>
        <w:t>”</w:t>
      </w:r>
      <w:r>
        <w:t>.</w:t>
      </w:r>
    </w:p>
    <w:p w14:paraId="1853E668" w14:textId="77777777" w:rsidR="00730953" w:rsidRDefault="00730953" w:rsidP="00730953">
      <w:r>
        <w:t xml:space="preserve">Cilji deklaracije so: </w:t>
      </w:r>
    </w:p>
    <w:p w14:paraId="65BADB00" w14:textId="77777777" w:rsidR="00730953" w:rsidRDefault="00730953" w:rsidP="00F90C17">
      <w:pPr>
        <w:pStyle w:val="Odstavekseznama"/>
        <w:numPr>
          <w:ilvl w:val="0"/>
          <w:numId w:val="16"/>
        </w:numPr>
        <w:spacing w:after="160" w:line="259" w:lineRule="auto"/>
        <w:rPr>
          <w:rFonts w:ascii="Trebuchet MS" w:hAnsi="Trebuchet MS"/>
          <w:szCs w:val="22"/>
        </w:rPr>
      </w:pPr>
      <w:r>
        <w:rPr>
          <w:rFonts w:ascii="Trebuchet MS" w:hAnsi="Trebuchet MS"/>
          <w:szCs w:val="22"/>
        </w:rPr>
        <w:t xml:space="preserve">Krepitev prilagoditvenih zmogljivosti in odpornosti proti zdravstvenim tveganjem povezanim s </w:t>
      </w:r>
      <w:r>
        <w:rPr>
          <w:rStyle w:val="highlight"/>
          <w:rFonts w:ascii="Trebuchet MS" w:hAnsi="Trebuchet MS"/>
          <w:szCs w:val="22"/>
        </w:rPr>
        <w:t>podneb</w:t>
      </w:r>
      <w:r>
        <w:rPr>
          <w:rFonts w:ascii="Trebuchet MS" w:hAnsi="Trebuchet MS"/>
          <w:szCs w:val="22"/>
        </w:rPr>
        <w:t xml:space="preserve">nimi spremembami in podporni ukrepi za blaženje podnebnih sprememb in doseganje vzporednih zdravstvenih koristi skladno s Pariškim sporazumom; </w:t>
      </w:r>
    </w:p>
    <w:p w14:paraId="4C708A2F" w14:textId="77777777" w:rsidR="00730953" w:rsidRDefault="00730953" w:rsidP="00F90C17">
      <w:pPr>
        <w:pStyle w:val="Odstavekseznama"/>
        <w:numPr>
          <w:ilvl w:val="0"/>
          <w:numId w:val="16"/>
        </w:numPr>
        <w:spacing w:after="160" w:line="259" w:lineRule="auto"/>
        <w:rPr>
          <w:rFonts w:ascii="Trebuchet MS" w:hAnsi="Trebuchet MS"/>
          <w:szCs w:val="22"/>
        </w:rPr>
      </w:pPr>
      <w:r>
        <w:rPr>
          <w:rFonts w:ascii="Trebuchet MS" w:hAnsi="Trebuchet MS"/>
          <w:szCs w:val="22"/>
        </w:rPr>
        <w:t xml:space="preserve">Upoštevanje podnebnih sprememb pri zagotavljanju vsesplošnega, enakopravnega in trajnostnega dostopa do varne pitne vode, </w:t>
      </w:r>
      <w:proofErr w:type="spellStart"/>
      <w:r>
        <w:rPr>
          <w:rFonts w:ascii="Trebuchet MS" w:hAnsi="Trebuchet MS"/>
          <w:szCs w:val="22"/>
        </w:rPr>
        <w:t>sanitacije</w:t>
      </w:r>
      <w:proofErr w:type="spellEnd"/>
      <w:r>
        <w:rPr>
          <w:rFonts w:ascii="Trebuchet MS" w:hAnsi="Trebuchet MS"/>
          <w:szCs w:val="22"/>
        </w:rPr>
        <w:t xml:space="preserve"> in higiene za vse in v vseh okoljih, z razvijanjem </w:t>
      </w:r>
      <w:r>
        <w:rPr>
          <w:rStyle w:val="highlight"/>
          <w:rFonts w:ascii="Trebuchet MS" w:hAnsi="Trebuchet MS"/>
          <w:szCs w:val="22"/>
        </w:rPr>
        <w:t>podneb</w:t>
      </w:r>
      <w:r>
        <w:rPr>
          <w:rFonts w:ascii="Trebuchet MS" w:hAnsi="Trebuchet MS"/>
          <w:szCs w:val="22"/>
        </w:rPr>
        <w:t>no odpornih storitev (Ostravska deklaracija).</w:t>
      </w:r>
    </w:p>
    <w:p w14:paraId="7A418841" w14:textId="77777777" w:rsidR="00DD497A" w:rsidRPr="000938AF" w:rsidRDefault="00DD497A" w:rsidP="00DD497A">
      <w:pPr>
        <w:jc w:val="left"/>
      </w:pPr>
      <w:r w:rsidRPr="000938AF">
        <w:br w:type="page"/>
      </w:r>
    </w:p>
    <w:p w14:paraId="3F151DB9" w14:textId="77777777" w:rsidR="00DD497A" w:rsidRPr="00DD1006" w:rsidRDefault="00DD497A" w:rsidP="00DD497A">
      <w:pPr>
        <w:pStyle w:val="Naslov3"/>
        <w:rPr>
          <w:rFonts w:eastAsia="Calibri"/>
          <w:lang w:eastAsia="sl-SI"/>
        </w:rPr>
      </w:pPr>
      <w:bookmarkStart w:id="277" w:name="_Toc34130181"/>
      <w:bookmarkStart w:id="278" w:name="_Toc44656959"/>
      <w:bookmarkStart w:id="279" w:name="_Toc97026770"/>
      <w:r w:rsidRPr="00DD497A">
        <w:lastRenderedPageBreak/>
        <w:t>Obstoječe</w:t>
      </w:r>
      <w:r w:rsidRPr="00DD1006">
        <w:rPr>
          <w:rFonts w:eastAsia="Calibri"/>
          <w:lang w:eastAsia="sl-SI"/>
        </w:rPr>
        <w:t xml:space="preserve"> stanje sektorja</w:t>
      </w:r>
      <w:bookmarkEnd w:id="277"/>
      <w:r w:rsidRPr="00DD1006">
        <w:rPr>
          <w:rFonts w:eastAsia="Calibri"/>
          <w:lang w:eastAsia="sl-SI"/>
        </w:rPr>
        <w:t xml:space="preserve"> zdravstvo</w:t>
      </w:r>
      <w:bookmarkEnd w:id="278"/>
      <w:bookmarkEnd w:id="279"/>
    </w:p>
    <w:p w14:paraId="763EC680" w14:textId="77777777" w:rsidR="00730953" w:rsidRDefault="00730953" w:rsidP="00730953">
      <w:pPr>
        <w:pStyle w:val="Naslov4"/>
      </w:pPr>
      <w:r>
        <w:t>Primerjava Mestne občine Nova Gorica s povprečjem Slovenije – prikaz s pomočjo kazalnikov</w:t>
      </w:r>
    </w:p>
    <w:p w14:paraId="3A07C8F8" w14:textId="77777777" w:rsidR="00730953" w:rsidRDefault="00730953" w:rsidP="00730953">
      <w:pPr>
        <w:rPr>
          <w:lang w:eastAsia="sl-SI"/>
        </w:rPr>
      </w:pPr>
      <w:r>
        <w:rPr>
          <w:lang w:eastAsia="sl-SI"/>
        </w:rPr>
        <w:t>Za oceno sedanjega stanja smo izbrali kazalnike ranljivosti in prikazali njihovo vrednost za Mestno občino Nova Gorica v primerjavi s povprečjem za Slovenijo. Izbrani kazalniki so iz naravnega/fizičnega okolja in socialnega okolja, ki sta komponenti ocene ranljivosti. Razdelili smo jih v naslednje segmente:</w:t>
      </w:r>
    </w:p>
    <w:p w14:paraId="57B5A929" w14:textId="77777777" w:rsidR="00730953" w:rsidRDefault="00730953" w:rsidP="00F90C17">
      <w:pPr>
        <w:pStyle w:val="Odstavekseznama"/>
        <w:numPr>
          <w:ilvl w:val="0"/>
          <w:numId w:val="14"/>
        </w:numPr>
        <w:spacing w:after="160" w:line="259" w:lineRule="auto"/>
        <w:rPr>
          <w:rFonts w:ascii="Trebuchet MS" w:hAnsi="Trebuchet MS"/>
          <w:szCs w:val="22"/>
          <w:lang w:eastAsia="sl-SI"/>
        </w:rPr>
      </w:pPr>
      <w:r>
        <w:rPr>
          <w:rFonts w:ascii="Trebuchet MS" w:hAnsi="Trebuchet MS"/>
          <w:szCs w:val="22"/>
          <w:lang w:eastAsia="sl-SI"/>
        </w:rPr>
        <w:t xml:space="preserve">zdravstveno stanje prebivalcev, </w:t>
      </w:r>
    </w:p>
    <w:p w14:paraId="6F276647" w14:textId="77777777" w:rsidR="00730953" w:rsidRDefault="00730953" w:rsidP="00F90C17">
      <w:pPr>
        <w:pStyle w:val="Odstavekseznama"/>
        <w:numPr>
          <w:ilvl w:val="0"/>
          <w:numId w:val="14"/>
        </w:numPr>
        <w:spacing w:after="160" w:line="259" w:lineRule="auto"/>
        <w:rPr>
          <w:rFonts w:ascii="Trebuchet MS" w:hAnsi="Trebuchet MS"/>
          <w:szCs w:val="22"/>
          <w:lang w:eastAsia="sl-SI"/>
        </w:rPr>
      </w:pPr>
      <w:r>
        <w:rPr>
          <w:rFonts w:ascii="Trebuchet MS" w:hAnsi="Trebuchet MS"/>
          <w:szCs w:val="22"/>
          <w:lang w:eastAsia="sl-SI"/>
        </w:rPr>
        <w:t>naravno okolje,</w:t>
      </w:r>
    </w:p>
    <w:p w14:paraId="558BB092" w14:textId="77777777" w:rsidR="00730953" w:rsidRDefault="00730953" w:rsidP="00F90C17">
      <w:pPr>
        <w:pStyle w:val="Odstavekseznama"/>
        <w:numPr>
          <w:ilvl w:val="0"/>
          <w:numId w:val="14"/>
        </w:numPr>
        <w:spacing w:after="160" w:line="259" w:lineRule="auto"/>
        <w:rPr>
          <w:rFonts w:ascii="Trebuchet MS" w:hAnsi="Trebuchet MS"/>
          <w:szCs w:val="22"/>
          <w:lang w:eastAsia="sl-SI"/>
        </w:rPr>
      </w:pPr>
      <w:r>
        <w:rPr>
          <w:rFonts w:ascii="Trebuchet MS" w:hAnsi="Trebuchet MS"/>
          <w:szCs w:val="22"/>
          <w:lang w:eastAsia="sl-SI"/>
        </w:rPr>
        <w:t>demografska slika,</w:t>
      </w:r>
    </w:p>
    <w:p w14:paraId="6B01B7C3" w14:textId="77777777" w:rsidR="00730953" w:rsidRDefault="00730953" w:rsidP="00F90C17">
      <w:pPr>
        <w:pStyle w:val="Odstavekseznama"/>
        <w:numPr>
          <w:ilvl w:val="0"/>
          <w:numId w:val="14"/>
        </w:numPr>
        <w:spacing w:after="160" w:line="259" w:lineRule="auto"/>
        <w:rPr>
          <w:rFonts w:ascii="Trebuchet MS" w:hAnsi="Trebuchet MS"/>
          <w:szCs w:val="22"/>
          <w:lang w:eastAsia="sl-SI"/>
        </w:rPr>
      </w:pPr>
      <w:r>
        <w:rPr>
          <w:rFonts w:ascii="Trebuchet MS" w:hAnsi="Trebuchet MS"/>
          <w:szCs w:val="22"/>
          <w:lang w:eastAsia="sl-SI"/>
        </w:rPr>
        <w:t>socialno-ekonomsko stanje.</w:t>
      </w:r>
    </w:p>
    <w:p w14:paraId="3BF3B52B" w14:textId="77777777" w:rsidR="00730953" w:rsidRDefault="00730953" w:rsidP="00730953">
      <w:pPr>
        <w:rPr>
          <w:lang w:eastAsia="sl-SI"/>
        </w:rPr>
      </w:pPr>
      <w:r>
        <w:rPr>
          <w:lang w:eastAsia="sl-SI"/>
        </w:rPr>
        <w:t xml:space="preserve">Pri zdravstvenem stanju prebivalcev smo se osredotočili na ranljive skupine prebivalcev, ki so bolj dovzetne za vplive podnebnih sprememb (bolniki s srčno-žilnimi obolenji, obolenji dihal, sladkorno boleznijo, duševnimi motnjami). Možen vpliv podnebnih sprememb na zdravstveno stanje prebivalstva (poleg poslabšanja zgoraj naštetih stanj) je lahko še višja umrljivost. V demografski sliki smo prikazali ranljivo skupino starejših. Podnebne spremembe vplivajo na okolje in posledično tudi na zdravje. Nekateri vplivi na okolje so že prikazani v poglavjih drugih sektorjev. Preverili smo stanje mikrobiološke kakovosti pitne vode v občini (MKB) ter obolevnost za klopnim </w:t>
      </w:r>
      <w:proofErr w:type="spellStart"/>
      <w:r>
        <w:rPr>
          <w:lang w:eastAsia="sl-SI"/>
        </w:rPr>
        <w:t>meningoencefalitisom</w:t>
      </w:r>
      <w:proofErr w:type="spellEnd"/>
      <w:r>
        <w:rPr>
          <w:lang w:eastAsia="sl-SI"/>
        </w:rPr>
        <w:t xml:space="preserve"> (KME) in </w:t>
      </w:r>
      <w:proofErr w:type="spellStart"/>
      <w:r>
        <w:rPr>
          <w:lang w:eastAsia="sl-SI"/>
        </w:rPr>
        <w:t>Lymsko</w:t>
      </w:r>
      <w:proofErr w:type="spellEnd"/>
      <w:r>
        <w:rPr>
          <w:lang w:eastAsia="sl-SI"/>
        </w:rPr>
        <w:t xml:space="preserve"> boreliozo. Zanimalo nas je tudi socialno-ekonomsko stanje kot pomemben dejavnik pri sposobnosti prilagajanja na podnebne spremembe.</w:t>
      </w:r>
    </w:p>
    <w:p w14:paraId="0F79F9E2" w14:textId="3F7A4B09" w:rsidR="00730953" w:rsidRDefault="00730953" w:rsidP="00730953">
      <w:pPr>
        <w:rPr>
          <w:lang w:eastAsia="sl-SI"/>
        </w:rPr>
      </w:pPr>
      <w:r>
        <w:rPr>
          <w:lang w:eastAsia="sl-SI"/>
        </w:rPr>
        <w:t>Ob tem bi radi poudarili, da na zdravje ne vpliva samo en dejavnik, ampak več dejavnikov hkrati, zato je potrebno vrednosti kazalnikov interpretirati z določeno mero previdnosti.</w:t>
      </w:r>
    </w:p>
    <w:p w14:paraId="0A958FB1" w14:textId="77777777" w:rsidR="00730953" w:rsidRDefault="00730953" w:rsidP="00730953">
      <w:pPr>
        <w:keepNext/>
      </w:pPr>
      <w:r>
        <w:rPr>
          <w:noProof/>
          <w:lang w:eastAsia="sl-SI"/>
        </w:rPr>
        <w:lastRenderedPageBreak/>
        <w:drawing>
          <wp:inline distT="0" distB="0" distL="0" distR="0" wp14:anchorId="13F9B4FB" wp14:editId="66DE964C">
            <wp:extent cx="5972117" cy="3715741"/>
            <wp:effectExtent l="0" t="0" r="0" b="0"/>
            <wp:docPr id="51"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pic:cNvPicPr>
                      <a:picLocks noChangeAspect="1" noChangeArrowheads="1"/>
                    </pic:cNvPicPr>
                  </pic:nvPicPr>
                  <pic:blipFill rotWithShape="1">
                    <a:blip r:embed="rId140">
                      <a:extLst>
                        <a:ext uri="{28A0092B-C50C-407E-A947-70E740481C1C}">
                          <a14:useLocalDpi xmlns:a14="http://schemas.microsoft.com/office/drawing/2010/main" val="0"/>
                        </a:ext>
                      </a:extLst>
                    </a:blip>
                    <a:srcRect l="1090" t="840" r="1324" b="746"/>
                    <a:stretch/>
                  </pic:blipFill>
                  <pic:spPr bwMode="auto">
                    <a:xfrm>
                      <a:off x="0" y="0"/>
                      <a:ext cx="5972387" cy="3715909"/>
                    </a:xfrm>
                    <a:prstGeom prst="rect">
                      <a:avLst/>
                    </a:prstGeom>
                    <a:noFill/>
                    <a:ln>
                      <a:noFill/>
                    </a:ln>
                    <a:extLst>
                      <a:ext uri="{53640926-AAD7-44D8-BBD7-CCE9431645EC}">
                        <a14:shadowObscured xmlns:a14="http://schemas.microsoft.com/office/drawing/2010/main"/>
                      </a:ext>
                    </a:extLst>
                  </pic:spPr>
                </pic:pic>
              </a:graphicData>
            </a:graphic>
          </wp:inline>
        </w:drawing>
      </w:r>
    </w:p>
    <w:p w14:paraId="519D6452" w14:textId="3D0B45B9" w:rsidR="00730953" w:rsidRDefault="00730953" w:rsidP="00730953">
      <w:pPr>
        <w:pStyle w:val="Napis"/>
        <w:rPr>
          <w:lang w:eastAsia="sl-SI"/>
        </w:rPr>
      </w:pPr>
      <w:bookmarkStart w:id="280" w:name="_Toc97026872"/>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21</w:t>
      </w:r>
      <w:r w:rsidR="008334B2">
        <w:fldChar w:fldCharType="end"/>
      </w:r>
      <w:r w:rsidRPr="00A83CB2">
        <w:t>: Prikaz razmerij vrednosti kazalnikov – Mestna občina Nova Gorica : Slovenija (vir: NIJZ1, SURS 1)</w:t>
      </w:r>
      <w:bookmarkEnd w:id="280"/>
    </w:p>
    <w:p w14:paraId="3CFCD46C" w14:textId="4D0CE581" w:rsidR="00DD497A" w:rsidRPr="000938AF" w:rsidRDefault="00DD497A" w:rsidP="00DD497A">
      <w:pPr>
        <w:rPr>
          <w:lang w:eastAsia="sl-SI"/>
        </w:rPr>
      </w:pPr>
      <w:r w:rsidRPr="008778F1">
        <w:rPr>
          <w:noProof/>
          <w:lang w:eastAsia="sl-SI"/>
        </w:rPr>
        <mc:AlternateContent>
          <mc:Choice Requires="wps">
            <w:drawing>
              <wp:anchor distT="45720" distB="45720" distL="114300" distR="114300" simplePos="0" relativeHeight="252054528" behindDoc="0" locked="0" layoutInCell="1" allowOverlap="1" wp14:anchorId="5B934F3F" wp14:editId="0438DEAB">
                <wp:simplePos x="0" y="0"/>
                <wp:positionH relativeFrom="column">
                  <wp:posOffset>0</wp:posOffset>
                </wp:positionH>
                <wp:positionV relativeFrom="paragraph">
                  <wp:posOffset>339090</wp:posOffset>
                </wp:positionV>
                <wp:extent cx="5753100" cy="542925"/>
                <wp:effectExtent l="0" t="0" r="19050" b="28575"/>
                <wp:wrapTopAndBottom/>
                <wp:docPr id="4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542925"/>
                        </a:xfrm>
                        <a:prstGeom prst="rect">
                          <a:avLst/>
                        </a:prstGeom>
                        <a:solidFill>
                          <a:schemeClr val="accent2">
                            <a:lumMod val="60000"/>
                            <a:lumOff val="40000"/>
                          </a:schemeClr>
                        </a:solidFill>
                        <a:ln w="9525">
                          <a:solidFill>
                            <a:schemeClr val="accent2">
                              <a:lumMod val="60000"/>
                              <a:lumOff val="40000"/>
                            </a:schemeClr>
                          </a:solidFill>
                          <a:miter lim="800000"/>
                          <a:headEnd/>
                          <a:tailEnd/>
                        </a:ln>
                      </wps:spPr>
                      <wps:txbx>
                        <w:txbxContent>
                          <w:p w14:paraId="1D7235E6" w14:textId="77777777" w:rsidR="00996D54" w:rsidRPr="00921896" w:rsidRDefault="00996D54" w:rsidP="00DD497A">
                            <w:pPr>
                              <w:rPr>
                                <w:sz w:val="18"/>
                              </w:rPr>
                            </w:pPr>
                            <w:r w:rsidRPr="00921896">
                              <w:rPr>
                                <w:sz w:val="18"/>
                              </w:rPr>
                              <w:t xml:space="preserve">Kazalniki, </w:t>
                            </w:r>
                            <w:r>
                              <w:rPr>
                                <w:sz w:val="18"/>
                              </w:rPr>
                              <w:t xml:space="preserve">katerih </w:t>
                            </w:r>
                            <w:r w:rsidRPr="00921896">
                              <w:rPr>
                                <w:sz w:val="18"/>
                              </w:rPr>
                              <w:t xml:space="preserve">večja vrednost </w:t>
                            </w:r>
                            <w:r>
                              <w:rPr>
                                <w:sz w:val="18"/>
                              </w:rPr>
                              <w:t>prikazuje</w:t>
                            </w:r>
                            <w:r w:rsidRPr="00921896">
                              <w:rPr>
                                <w:sz w:val="18"/>
                              </w:rPr>
                              <w:t xml:space="preserve"> </w:t>
                            </w:r>
                            <w:r>
                              <w:rPr>
                                <w:sz w:val="18"/>
                              </w:rPr>
                              <w:t xml:space="preserve">negativni </w:t>
                            </w:r>
                            <w:r w:rsidRPr="00921896">
                              <w:rPr>
                                <w:sz w:val="18"/>
                              </w:rPr>
                              <w:t>učinek</w:t>
                            </w:r>
                            <w:r>
                              <w:rPr>
                                <w:sz w:val="18"/>
                              </w:rPr>
                              <w:t xml:space="preserve"> oz. kaže na možno višjo občutljivost na podnebne spremembe in nižjo sposobnost prilagajanja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934F3F" id="Polje z besedilom 2" o:spid="_x0000_s1028" type="#_x0000_t202" style="position:absolute;left:0;text-align:left;margin-left:0;margin-top:26.7pt;width:453pt;height:42.75pt;z-index:252054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" fillcolor="#f4b083 [1941]" strokecolor="#f4b083 [1941]">
                <v:textbox>
                  <w:txbxContent>
                    <w:p w14:paraId="1D7235E6" w14:textId="77777777" w:rsidR="00996D54" w:rsidRPr="00921896" w:rsidRDefault="00996D54" w:rsidP="00DD497A">
                      <w:pPr>
                        <w:rPr>
                          <w:sz w:val="18"/>
                        </w:rPr>
                      </w:pPr>
                      <w:r w:rsidRPr="00921896">
                        <w:rPr>
                          <w:sz w:val="18"/>
                        </w:rPr>
                        <w:t xml:space="preserve">Kazalniki, </w:t>
                      </w:r>
                      <w:r>
                        <w:rPr>
                          <w:sz w:val="18"/>
                        </w:rPr>
                        <w:t xml:space="preserve">katerih </w:t>
                      </w:r>
                      <w:r w:rsidRPr="00921896">
                        <w:rPr>
                          <w:sz w:val="18"/>
                        </w:rPr>
                        <w:t xml:space="preserve">večja vrednost </w:t>
                      </w:r>
                      <w:r>
                        <w:rPr>
                          <w:sz w:val="18"/>
                        </w:rPr>
                        <w:t>prikazuje</w:t>
                      </w:r>
                      <w:r w:rsidRPr="00921896">
                        <w:rPr>
                          <w:sz w:val="18"/>
                        </w:rPr>
                        <w:t xml:space="preserve"> </w:t>
                      </w:r>
                      <w:r>
                        <w:rPr>
                          <w:sz w:val="18"/>
                        </w:rPr>
                        <w:t xml:space="preserve">negativni </w:t>
                      </w:r>
                      <w:r w:rsidRPr="00921896">
                        <w:rPr>
                          <w:sz w:val="18"/>
                        </w:rPr>
                        <w:t>učinek</w:t>
                      </w:r>
                      <w:r>
                        <w:rPr>
                          <w:sz w:val="18"/>
                        </w:rPr>
                        <w:t xml:space="preserve"> oz. kaže na možno višjo občutljivost na podnebne spremembe in nižjo sposobnost prilagajanja</w:t>
                      </w:r>
                    </w:p>
                  </w:txbxContent>
                </v:textbox>
                <w10:wrap type="topAndBottom"/>
              </v:shape>
            </w:pict>
          </mc:Fallback>
        </mc:AlternateContent>
      </w:r>
      <w:r w:rsidRPr="000938AF">
        <w:rPr>
          <w:lang w:eastAsia="sl-SI"/>
        </w:rPr>
        <w:t>Legenda:</w:t>
      </w:r>
    </w:p>
    <w:p w14:paraId="7CFDCC4B" w14:textId="5CB633E0" w:rsidR="00DD497A" w:rsidRPr="00A237D6" w:rsidRDefault="00DD497A" w:rsidP="00FD380F">
      <w:pPr>
        <w:rPr>
          <w:lang w:eastAsia="sl-SI"/>
        </w:rPr>
      </w:pPr>
      <w:r w:rsidRPr="000938AF">
        <w:rPr>
          <w:noProof/>
          <w:lang w:eastAsia="sl-SI"/>
        </w:rPr>
        <mc:AlternateContent>
          <mc:Choice Requires="wps">
            <w:drawing>
              <wp:anchor distT="45720" distB="45720" distL="114300" distR="114300" simplePos="0" relativeHeight="252053504" behindDoc="0" locked="0" layoutInCell="1" allowOverlap="1" wp14:anchorId="59ACC094" wp14:editId="14C2FFAB">
                <wp:simplePos x="0" y="0"/>
                <wp:positionH relativeFrom="column">
                  <wp:posOffset>0</wp:posOffset>
                </wp:positionH>
                <wp:positionV relativeFrom="paragraph">
                  <wp:posOffset>722630</wp:posOffset>
                </wp:positionV>
                <wp:extent cx="5753100" cy="514350"/>
                <wp:effectExtent l="0" t="0" r="19050" b="19050"/>
                <wp:wrapTopAndBottom/>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514350"/>
                        </a:xfrm>
                        <a:prstGeom prst="rect">
                          <a:avLst/>
                        </a:prstGeom>
                        <a:solidFill>
                          <a:schemeClr val="accent6">
                            <a:lumMod val="60000"/>
                            <a:lumOff val="40000"/>
                          </a:schemeClr>
                        </a:solidFill>
                        <a:ln w="9525">
                          <a:solidFill>
                            <a:schemeClr val="accent6">
                              <a:lumMod val="60000"/>
                              <a:lumOff val="40000"/>
                            </a:schemeClr>
                          </a:solidFill>
                          <a:miter lim="800000"/>
                          <a:headEnd/>
                          <a:tailEnd/>
                        </a:ln>
                      </wps:spPr>
                      <wps:txbx>
                        <w:txbxContent>
                          <w:p w14:paraId="76CF5B88" w14:textId="77777777" w:rsidR="00996D54" w:rsidRPr="00921896" w:rsidRDefault="00996D54" w:rsidP="00DD497A">
                            <w:pPr>
                              <w:rPr>
                                <w:sz w:val="18"/>
                              </w:rPr>
                            </w:pPr>
                            <w:r w:rsidRPr="00921896">
                              <w:rPr>
                                <w:sz w:val="18"/>
                              </w:rPr>
                              <w:t xml:space="preserve">Kazalniki, katerih večja vrednost </w:t>
                            </w:r>
                            <w:r>
                              <w:rPr>
                                <w:sz w:val="18"/>
                              </w:rPr>
                              <w:t>prikazuje</w:t>
                            </w:r>
                            <w:r w:rsidRPr="00921896">
                              <w:rPr>
                                <w:sz w:val="18"/>
                              </w:rPr>
                              <w:t xml:space="preserve"> </w:t>
                            </w:r>
                            <w:r>
                              <w:rPr>
                                <w:sz w:val="18"/>
                              </w:rPr>
                              <w:t>pozitivni/zaščiten</w:t>
                            </w:r>
                            <w:r w:rsidRPr="00921896">
                              <w:rPr>
                                <w:sz w:val="18"/>
                              </w:rPr>
                              <w:t xml:space="preserve"> učinek</w:t>
                            </w:r>
                            <w:r>
                              <w:rPr>
                                <w:sz w:val="18"/>
                              </w:rPr>
                              <w:t xml:space="preserve"> glede vplivov podnebnih sprememb in kažejo dejavnike, ki višajo sposobnost prilagajanja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ACC094" id="_x0000_s1029" type="#_x0000_t202" style="position:absolute;left:0;text-align:left;margin-left:0;margin-top:56.9pt;width:453pt;height:40.5pt;z-index:25205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" fillcolor="#a8d08d [1945]" strokecolor="#a8d08d [1945]">
                <v:textbox>
                  <w:txbxContent>
                    <w:p w14:paraId="76CF5B88" w14:textId="77777777" w:rsidR="00996D54" w:rsidRPr="00921896" w:rsidRDefault="00996D54" w:rsidP="00DD497A">
                      <w:pPr>
                        <w:rPr>
                          <w:sz w:val="18"/>
                        </w:rPr>
                      </w:pPr>
                      <w:r w:rsidRPr="00921896">
                        <w:rPr>
                          <w:sz w:val="18"/>
                        </w:rPr>
                        <w:t xml:space="preserve">Kazalniki, katerih večja vrednost </w:t>
                      </w:r>
                      <w:r>
                        <w:rPr>
                          <w:sz w:val="18"/>
                        </w:rPr>
                        <w:t>prikazuje</w:t>
                      </w:r>
                      <w:r w:rsidRPr="00921896">
                        <w:rPr>
                          <w:sz w:val="18"/>
                        </w:rPr>
                        <w:t xml:space="preserve"> </w:t>
                      </w:r>
                      <w:r>
                        <w:rPr>
                          <w:sz w:val="18"/>
                        </w:rPr>
                        <w:t>pozitivni/zaščiten</w:t>
                      </w:r>
                      <w:r w:rsidRPr="00921896">
                        <w:rPr>
                          <w:sz w:val="18"/>
                        </w:rPr>
                        <w:t xml:space="preserve"> učinek</w:t>
                      </w:r>
                      <w:r>
                        <w:rPr>
                          <w:sz w:val="18"/>
                        </w:rPr>
                        <w:t xml:space="preserve"> glede vplivov podnebnih sprememb in kažejo dejavnike, ki višajo sposobnost prilagajanja</w:t>
                      </w:r>
                    </w:p>
                  </w:txbxContent>
                </v:textbox>
                <w10:wrap type="topAndBottom"/>
              </v:shape>
            </w:pict>
          </mc:Fallback>
        </mc:AlternateContent>
      </w:r>
      <w:r w:rsidRPr="00A237D6">
        <w:rPr>
          <w:lang w:eastAsia="sl-SI"/>
        </w:rPr>
        <w:t xml:space="preserve">Interpretacija grafa: </w:t>
      </w:r>
    </w:p>
    <w:p w14:paraId="6254081F" w14:textId="77777777" w:rsidR="00730953" w:rsidRDefault="00730953" w:rsidP="00730953">
      <w:pPr>
        <w:spacing w:after="0"/>
        <w:rPr>
          <w:lang w:eastAsia="sl-SI"/>
        </w:rPr>
      </w:pPr>
      <w:r>
        <w:rPr>
          <w:lang w:eastAsia="sl-SI"/>
        </w:rPr>
        <w:t xml:space="preserve">-vrednost razmerja je 1 - vrednost kazalnika v občini je enaka povprečju v Sloveniji, </w:t>
      </w:r>
    </w:p>
    <w:p w14:paraId="4CC88AD7" w14:textId="77777777" w:rsidR="00730953" w:rsidRDefault="00730953" w:rsidP="00730953">
      <w:pPr>
        <w:spacing w:after="0"/>
        <w:rPr>
          <w:lang w:eastAsia="sl-SI"/>
        </w:rPr>
      </w:pPr>
      <w:r>
        <w:rPr>
          <w:lang w:eastAsia="sl-SI"/>
        </w:rPr>
        <w:t xml:space="preserve">-vrednost razmerja je manjša od 1 - vrednost kazalnika v občini je manjša od povprečja v Sloveniji, </w:t>
      </w:r>
    </w:p>
    <w:p w14:paraId="4483446E" w14:textId="77777777" w:rsidR="00730953" w:rsidRDefault="00730953" w:rsidP="00730953">
      <w:pPr>
        <w:spacing w:after="0"/>
        <w:rPr>
          <w:lang w:eastAsia="sl-SI"/>
        </w:rPr>
      </w:pPr>
      <w:r>
        <w:rPr>
          <w:lang w:eastAsia="sl-SI"/>
        </w:rPr>
        <w:t>-vrednost razmerja je večja od 1 - vrednost kazalnika v občini je večja od povprečja v Sloveniji.</w:t>
      </w:r>
    </w:p>
    <w:p w14:paraId="670F5CB5" w14:textId="77777777" w:rsidR="003430D6" w:rsidRPr="000938AF" w:rsidRDefault="003430D6" w:rsidP="003430D6">
      <w:pPr>
        <w:spacing w:after="0"/>
        <w:rPr>
          <w:lang w:eastAsia="sl-SI"/>
        </w:rPr>
      </w:pPr>
    </w:p>
    <w:p w14:paraId="57F42B1B" w14:textId="36ECE89F" w:rsidR="00DD497A" w:rsidRPr="00FD380F" w:rsidRDefault="00DD497A" w:rsidP="00CE43D7">
      <w:pPr>
        <w:pStyle w:val="Naslov4"/>
      </w:pPr>
      <w:r w:rsidRPr="00FD380F">
        <w:t xml:space="preserve">Rezultati analize razmerja vrednosti kazalnikov v </w:t>
      </w:r>
      <w:r w:rsidR="00730953">
        <w:t xml:space="preserve">Mestni </w:t>
      </w:r>
      <w:r w:rsidRPr="00FD380F">
        <w:t xml:space="preserve">občini </w:t>
      </w:r>
      <w:r w:rsidR="00730953">
        <w:t>Nova Gorica</w:t>
      </w:r>
      <w:r w:rsidRPr="00FD380F">
        <w:t xml:space="preserve"> in Sloveniji</w:t>
      </w:r>
    </w:p>
    <w:p w14:paraId="2E224C51" w14:textId="77777777" w:rsidR="00730953" w:rsidRDefault="00730953" w:rsidP="00730953">
      <w:pPr>
        <w:rPr>
          <w:u w:val="single"/>
          <w:lang w:eastAsia="sl-SI"/>
        </w:rPr>
      </w:pPr>
      <w:r>
        <w:rPr>
          <w:u w:val="single"/>
          <w:lang w:eastAsia="sl-SI"/>
        </w:rPr>
        <w:t xml:space="preserve">Pri kazalnikih, katerih večja vrednost ima negativni učinek, izstopajo astma pri otrocih in mladostnikih, </w:t>
      </w:r>
      <w:proofErr w:type="spellStart"/>
      <w:r>
        <w:rPr>
          <w:u w:val="single"/>
          <w:lang w:eastAsia="sl-SI"/>
        </w:rPr>
        <w:t>Lymska</w:t>
      </w:r>
      <w:proofErr w:type="spellEnd"/>
      <w:r>
        <w:rPr>
          <w:u w:val="single"/>
          <w:lang w:eastAsia="sl-SI"/>
        </w:rPr>
        <w:t xml:space="preserve"> borelioza (primeri), vrednost indeksa staranja, delež prebivalcev starih 65 let in več, stopnja tveganja revščine, povprečna starost, možganska kap.</w:t>
      </w:r>
    </w:p>
    <w:p w14:paraId="74D67A8B" w14:textId="77777777" w:rsidR="00730953" w:rsidRDefault="00730953" w:rsidP="00F90C17">
      <w:pPr>
        <w:pStyle w:val="Odstavekseznama"/>
        <w:numPr>
          <w:ilvl w:val="0"/>
          <w:numId w:val="18"/>
        </w:numPr>
        <w:rPr>
          <w:rFonts w:ascii="Trebuchet MS" w:hAnsi="Trebuchet MS"/>
          <w:lang w:eastAsia="sl-SI"/>
        </w:rPr>
      </w:pPr>
      <w:r>
        <w:rPr>
          <w:rFonts w:ascii="Trebuchet MS" w:hAnsi="Trebuchet MS"/>
          <w:lang w:eastAsia="sl-SI"/>
        </w:rPr>
        <w:lastRenderedPageBreak/>
        <w:t>Največje odstopanje v Mestni občini Nova Gorica v primerjavi s povprečjem Slovenije je pri številu hospitalizacij zaradi astme pri otrocih, starih 0-19 let. Kazalnik opisuje število bolnišničnih obravnav zaradi astme pri otrocih in mladostnikih, starih med 0 in 19 let, na 1000 otrok in mladostnikov v opazovanem koledarskem letu.</w:t>
      </w:r>
      <w:r>
        <w:rPr>
          <w:rFonts w:ascii="Trebuchet MS" w:hAnsi="Trebuchet MS" w:cs="Arial"/>
          <w:sz w:val="23"/>
          <w:szCs w:val="23"/>
        </w:rPr>
        <w:t xml:space="preserve"> </w:t>
      </w:r>
      <w:r>
        <w:rPr>
          <w:rFonts w:ascii="Trebuchet MS" w:hAnsi="Trebuchet MS"/>
          <w:lang w:eastAsia="sl-SI"/>
        </w:rPr>
        <w:t>Zaradi majhnega vzorca opazovanih oseb in možnosti ponavljajočih se poslabšanj pri isti osebi predpostavljamo, da ta podatek ni alarmanten. Sicer pa je ta kazalnik v zvezi s podnebnimi spremembami pomembno upoštevati, ker so sprejemi otrok v bolnišnico zaradi astme lahko povezani s povišanimi koncentracijami ozona (Lin s sodelavci, 2008). Ozon nastaja iz predhodnikov ozona pod vplivom sončnega sevanja in pri višjih temperaturah, ki se obetajo kot posledica podnebnih sprememb (</w:t>
      </w:r>
      <w:proofErr w:type="spellStart"/>
      <w:r>
        <w:rPr>
          <w:rFonts w:ascii="Trebuchet MS" w:hAnsi="Trebuchet MS"/>
        </w:rPr>
        <w:t>Varotsos</w:t>
      </w:r>
      <w:proofErr w:type="spellEnd"/>
      <w:r>
        <w:rPr>
          <w:rFonts w:ascii="Trebuchet MS" w:hAnsi="Trebuchet MS"/>
        </w:rPr>
        <w:t xml:space="preserve"> KV s sod., 2019). </w:t>
      </w:r>
    </w:p>
    <w:p w14:paraId="63280C66" w14:textId="77777777" w:rsidR="00730953" w:rsidRDefault="00730953" w:rsidP="00F90C17">
      <w:pPr>
        <w:pStyle w:val="Odstavekseznama"/>
        <w:numPr>
          <w:ilvl w:val="0"/>
          <w:numId w:val="18"/>
        </w:numPr>
        <w:spacing w:after="160" w:line="256" w:lineRule="auto"/>
        <w:rPr>
          <w:rFonts w:ascii="Trebuchet MS" w:hAnsi="Trebuchet MS"/>
          <w:szCs w:val="22"/>
          <w:lang w:eastAsia="sl-SI"/>
        </w:rPr>
      </w:pPr>
      <w:r>
        <w:rPr>
          <w:rFonts w:ascii="Trebuchet MS" w:hAnsi="Trebuchet MS"/>
          <w:szCs w:val="22"/>
          <w:lang w:eastAsia="sl-SI"/>
        </w:rPr>
        <w:t xml:space="preserve">Na drugem mestu je odstopanje pri povprečnem številu prijavljenih primerov </w:t>
      </w:r>
      <w:proofErr w:type="spellStart"/>
      <w:r>
        <w:rPr>
          <w:rFonts w:ascii="Trebuchet MS" w:hAnsi="Trebuchet MS"/>
          <w:szCs w:val="22"/>
          <w:lang w:eastAsia="sl-SI"/>
        </w:rPr>
        <w:t>Lymske</w:t>
      </w:r>
      <w:proofErr w:type="spellEnd"/>
      <w:r>
        <w:rPr>
          <w:rFonts w:ascii="Trebuchet MS" w:hAnsi="Trebuchet MS"/>
          <w:szCs w:val="22"/>
          <w:lang w:eastAsia="sl-SI"/>
        </w:rPr>
        <w:t xml:space="preserve"> borelioze. Bolezen povzroča ugriz klopa, okuženega z borelijo. Bolezen je razširjena po celi Sloveniji, največja obolevnost je v goriški statistični regiji, sledita pa pomurska in gorenjska statistična regija (NIJZ, Zdravje v občini, podatki za obdobje 2015-2018). </w:t>
      </w:r>
    </w:p>
    <w:p w14:paraId="12708018" w14:textId="77777777" w:rsidR="00730953" w:rsidRDefault="00730953" w:rsidP="00F90C17">
      <w:pPr>
        <w:pStyle w:val="Odstavekseznama"/>
        <w:numPr>
          <w:ilvl w:val="0"/>
          <w:numId w:val="18"/>
        </w:numPr>
        <w:rPr>
          <w:rFonts w:ascii="Trebuchet MS" w:hAnsi="Trebuchet MS"/>
          <w:szCs w:val="22"/>
          <w:lang w:eastAsia="sl-SI"/>
        </w:rPr>
      </w:pPr>
      <w:r>
        <w:rPr>
          <w:rFonts w:ascii="Trebuchet MS" w:hAnsi="Trebuchet MS"/>
          <w:szCs w:val="22"/>
          <w:lang w:eastAsia="sl-SI"/>
        </w:rPr>
        <w:t xml:space="preserve">Sledi kazalnik, ki prikazuje Indeks staranja prebivalstva občine. Indeks staranja je vrednost, ki izraža razmerje med številom oseb, starih 65 ali več let, in številom oseb, mlajših od 15 let (SURS 1). Pove tudi, da se povprečna starost prebivalcev te občine dviga v povprečju hitreje kot v celotni Sloveniji </w:t>
      </w:r>
      <w:r w:rsidRPr="00D21550">
        <w:rPr>
          <w:rFonts w:ascii="Trebuchet MS" w:hAnsi="Trebuchet MS"/>
          <w:szCs w:val="22"/>
          <w:lang w:eastAsia="sl-SI"/>
        </w:rPr>
        <w:t xml:space="preserve">(SURS </w:t>
      </w:r>
      <w:proofErr w:type="spellStart"/>
      <w:r w:rsidRPr="00D21550">
        <w:rPr>
          <w:rFonts w:ascii="Trebuchet MS" w:hAnsi="Trebuchet MS"/>
          <w:szCs w:val="22"/>
          <w:lang w:eastAsia="sl-SI"/>
        </w:rPr>
        <w:t>obč</w:t>
      </w:r>
      <w:proofErr w:type="spellEnd"/>
      <w:r w:rsidRPr="00D21550">
        <w:rPr>
          <w:rFonts w:ascii="Trebuchet MS" w:hAnsi="Trebuchet MS"/>
          <w:szCs w:val="22"/>
          <w:lang w:eastAsia="sl-SI"/>
        </w:rPr>
        <w:t>, 2018).</w:t>
      </w:r>
      <w:r>
        <w:rPr>
          <w:rFonts w:ascii="Trebuchet MS" w:hAnsi="Trebuchet MS"/>
          <w:szCs w:val="22"/>
          <w:lang w:eastAsia="sl-SI"/>
        </w:rPr>
        <w:t xml:space="preserve"> V Sloveniji je več starega kot mladega prebivalstva, v Mestni občini Nova Gorica pa je to razmerje še bolj pomaknjeno v prid starejših. Starejši so zaradi pešanja funkcij, kroničnih bolezni, zdravil in krhkosti posebno ranljiva skupina za učinke podnebnih sprememb.</w:t>
      </w:r>
    </w:p>
    <w:p w14:paraId="00EEE6CC" w14:textId="77777777" w:rsidR="00730953" w:rsidRDefault="00730953" w:rsidP="00F90C17">
      <w:pPr>
        <w:pStyle w:val="Odstavekseznama"/>
        <w:numPr>
          <w:ilvl w:val="0"/>
          <w:numId w:val="18"/>
        </w:numPr>
        <w:rPr>
          <w:rFonts w:ascii="Trebuchet MS" w:hAnsi="Trebuchet MS"/>
          <w:szCs w:val="22"/>
          <w:lang w:eastAsia="sl-SI"/>
        </w:rPr>
      </w:pPr>
      <w:r>
        <w:rPr>
          <w:rFonts w:ascii="Trebuchet MS" w:hAnsi="Trebuchet MS"/>
          <w:szCs w:val="22"/>
          <w:lang w:eastAsia="sl-SI"/>
        </w:rPr>
        <w:t>Nekoliko nad povprečjem Slovenije je v Mestni občini Nova Gorica tudi kazalnik, ki prikazuje Delež prebivalcev starih nad 65 let. Ta kazalnik opisuje odstotek prebivalcev, starih 65 let in več na določenem območju v sredini opazovanega koledarskega leta. (NIJZ, Zdravje v občini).</w:t>
      </w:r>
      <w:r w:rsidRPr="00A569F8">
        <w:t xml:space="preserve"> </w:t>
      </w:r>
      <w:r>
        <w:rPr>
          <w:rFonts w:ascii="Trebuchet MS" w:hAnsi="Trebuchet MS"/>
          <w:szCs w:val="22"/>
          <w:lang w:eastAsia="sl-SI"/>
        </w:rPr>
        <w:t>V občinah</w:t>
      </w:r>
      <w:r w:rsidRPr="00A569F8">
        <w:rPr>
          <w:rFonts w:ascii="Trebuchet MS" w:hAnsi="Trebuchet MS"/>
          <w:szCs w:val="22"/>
          <w:lang w:eastAsia="sl-SI"/>
        </w:rPr>
        <w:t xml:space="preserve"> z velikim deležem starejšega prebivalstva prihaja do naraščanja števila poškodb okončin, vnetnih in degenerativnih bolezni sklepov ter bolezni hrbtenice, kar povečuje potrebe po dolgotrajni oskrbi oz. domski oskrbi in posledično porast stroškov v zdravstvenem sistemu (NIJZ, Zdravje v občini).</w:t>
      </w:r>
    </w:p>
    <w:p w14:paraId="6818DDEC" w14:textId="77777777" w:rsidR="00730953" w:rsidRPr="00146588" w:rsidRDefault="00730953" w:rsidP="00F90C17">
      <w:pPr>
        <w:pStyle w:val="Odstavekseznama"/>
        <w:numPr>
          <w:ilvl w:val="0"/>
          <w:numId w:val="18"/>
        </w:numPr>
        <w:rPr>
          <w:rFonts w:ascii="Trebuchet MS" w:hAnsi="Trebuchet MS"/>
          <w:szCs w:val="22"/>
          <w:lang w:eastAsia="sl-SI"/>
        </w:rPr>
      </w:pPr>
      <w:r w:rsidRPr="00A569F8">
        <w:rPr>
          <w:rFonts w:ascii="Trebuchet MS" w:hAnsi="Trebuchet MS"/>
          <w:szCs w:val="22"/>
          <w:lang w:eastAsia="sl-SI"/>
        </w:rPr>
        <w:t>Vrednost kazalnika Stopnja tveganja revščine je v Mestni občini Nova Gorica višja kot je povprečje v Sloveniji. Po definiciji SURS ta kazalnik prikazuje odstotek oseb, ki živijo v gospodinjstvih, katerih ekvivalentni razpoložljivi dohodek (po socialnih transferjih) je nižji od praga tveganja revščine (prag tveganja revščine je opredeljen s 60 % mediane ekvivalentnega razpoložljivega dohodka v državi). Osebe, ki živijo v revščini, imajo manj možnosti za ureditev zadovoljivih stanovanjskih razmer varnega domačega okolja. Zaradi zmanjšanega finančnega prihodka si ne morejo zagotoviti opreme, ki izboljšuje kakovost življenja in zmanjšuje tveganja za nastanek bolezni (npr. klimatske naprave, ogrevanje, zdrava prehrana in drugo), s čimer pa se povečuje tudi breme v sistemu socialnega in zdravstvenega varstva.</w:t>
      </w:r>
    </w:p>
    <w:p w14:paraId="22678C06" w14:textId="77777777" w:rsidR="00730953" w:rsidRDefault="00730953" w:rsidP="00F90C17">
      <w:pPr>
        <w:pStyle w:val="Odstavekseznama"/>
        <w:numPr>
          <w:ilvl w:val="0"/>
          <w:numId w:val="18"/>
        </w:numPr>
        <w:ind w:left="357" w:hanging="357"/>
        <w:rPr>
          <w:rFonts w:ascii="Trebuchet MS" w:hAnsi="Trebuchet MS"/>
          <w:szCs w:val="22"/>
          <w:lang w:eastAsia="sl-SI"/>
        </w:rPr>
      </w:pPr>
      <w:r>
        <w:rPr>
          <w:rFonts w:ascii="Trebuchet MS" w:hAnsi="Trebuchet MS"/>
          <w:szCs w:val="22"/>
          <w:lang w:eastAsia="sl-SI"/>
        </w:rPr>
        <w:t xml:space="preserve">Kazalnik Povprečna starost prikazuje aritmetično sredino starosti določene skupine prebivalstva. (SURS 1). Po podatkih SURS je bila povprečna starost v letu 2018 v Mestni občini Nova Gorica 45,1 let, kar je nad povprečjem Slovenije( 43,3 leta). Višja povprečna starost </w:t>
      </w:r>
      <w:r>
        <w:rPr>
          <w:rFonts w:ascii="Trebuchet MS" w:hAnsi="Trebuchet MS"/>
          <w:szCs w:val="22"/>
          <w:lang w:eastAsia="sl-SI"/>
        </w:rPr>
        <w:lastRenderedPageBreak/>
        <w:t>prebivalcev povzroča padec števila rojstev in posledično zmanjševanje deleža otrok, se pa povečuje delež delovno aktivnega prebivalstva ter delež starejših oseb. Višja povprečna starost prebivalcev je povezana z zmanjšano sposobnostjo prilagajanja podnebnim spremembam.</w:t>
      </w:r>
    </w:p>
    <w:p w14:paraId="797395B9" w14:textId="77777777" w:rsidR="00730953" w:rsidRDefault="00730953" w:rsidP="00F90C17">
      <w:pPr>
        <w:pStyle w:val="Odstavekseznama"/>
        <w:numPr>
          <w:ilvl w:val="0"/>
          <w:numId w:val="18"/>
        </w:numPr>
        <w:ind w:left="357" w:hanging="357"/>
        <w:rPr>
          <w:rFonts w:ascii="Trebuchet MS" w:hAnsi="Trebuchet MS"/>
          <w:szCs w:val="22"/>
          <w:lang w:eastAsia="sl-SI"/>
        </w:rPr>
      </w:pPr>
      <w:r>
        <w:rPr>
          <w:rFonts w:ascii="Trebuchet MS" w:hAnsi="Trebuchet MS"/>
          <w:szCs w:val="22"/>
          <w:lang w:eastAsia="sl-SI"/>
        </w:rPr>
        <w:t>Kazalnik Možganska kap prikazuje stopnjo bolnišničnih obravnav zaradi možganske kapi pri osebah med 35 in 84 letom starosti na 1.000 prebivalcev v opazovanem koledarskem letu. S stopnjo možganskih kapi je neločljivo povezan tudi kazalnik Prejemniki zdravil zaradi povišanega krvnega tlaka, ki prikazuje delež prejemnikov zdravil za zniževanje krvnega tlaka na 1.000 prebivalcev v opazovanem koledarskem letu. Zvišan krvni tlak je eden ključnih dejavnikov za nastanek možganske kapi, ki so v veliki meri vezani na nezdrav življenjski slog. Nezdrava prehrana, nezadostno gibanje in škodljive razvade povečujejo tveganje za nastanek možganskih kapi in s tem zmanjšujejo sposobnosti organizma za prilagajanje okolijskim dejavnikom. Bolniki s srčno-žilnimi boleznimi spadajo med ogrožene skupine zaradi podnebnih sprememb, zlasti vročinskih valov ali požarov. Kazalnik ima v Mestni občini Nova Gorica nekoliko višjo vrednost od povprečja Slovenije, sicer pa vrednosti niso alarmantne.</w:t>
      </w:r>
    </w:p>
    <w:p w14:paraId="5D69FF22" w14:textId="77777777" w:rsidR="00730953" w:rsidRDefault="00730953" w:rsidP="00F90C17">
      <w:pPr>
        <w:pStyle w:val="Odstavekseznama"/>
        <w:numPr>
          <w:ilvl w:val="0"/>
          <w:numId w:val="18"/>
        </w:numPr>
        <w:rPr>
          <w:rFonts w:ascii="Trebuchet MS" w:hAnsi="Trebuchet MS"/>
          <w:szCs w:val="22"/>
          <w:lang w:eastAsia="sl-SI"/>
        </w:rPr>
      </w:pPr>
      <w:r>
        <w:rPr>
          <w:rFonts w:ascii="Trebuchet MS" w:hAnsi="Trebuchet MS"/>
          <w:szCs w:val="22"/>
          <w:lang w:eastAsia="sl-SI"/>
        </w:rPr>
        <w:t>Odstopa tudi kazalnik Stopnja tveganja socialne izključenosti, ki je po navedbi SURS odstotek oseb, izpostavljenih tveganju socialne izključenosti. Gre za osebe, ki živijo pod pragom tveganja revščine, ali so resno materialno prikrajšane, ali živijo v gospodinjstvih z zelo nizko delovno intenzivnostjo (SURS 1). Ta kazalnik se v Mestni občini Nova Gorica skoraj ne razlikuje od povprečja Slovenije. Socialno izključene osebe pa imajo večje tveganje za nastanek duševnih stisk oz. motenj, kar se posledično kaže tudi v večjih vrednostih kazalnika o Prejemnikih zdravil zaradi duševnih motenj.</w:t>
      </w:r>
    </w:p>
    <w:p w14:paraId="466D9E68" w14:textId="77777777" w:rsidR="00730953" w:rsidRDefault="00730953" w:rsidP="00730953">
      <w:pPr>
        <w:pStyle w:val="Odstavekseznama"/>
        <w:ind w:left="360"/>
        <w:rPr>
          <w:rFonts w:ascii="Trebuchet MS" w:hAnsi="Trebuchet MS"/>
          <w:szCs w:val="22"/>
          <w:lang w:eastAsia="sl-SI"/>
        </w:rPr>
      </w:pPr>
    </w:p>
    <w:p w14:paraId="4967BDE6" w14:textId="77777777" w:rsidR="00730953" w:rsidRDefault="00730953" w:rsidP="00730953">
      <w:pPr>
        <w:spacing w:after="240"/>
        <w:rPr>
          <w:u w:val="single"/>
          <w:lang w:eastAsia="sl-SI"/>
        </w:rPr>
      </w:pPr>
      <w:r>
        <w:rPr>
          <w:u w:val="single"/>
          <w:lang w:eastAsia="sl-SI"/>
        </w:rPr>
        <w:t xml:space="preserve">Pri kazalnikih, katerih večja vrednost ima pozitivni - zaščitni učinek, najbolj izstopajo pomoč na domu, mikrobiološka kakovost pitne vode in  </w:t>
      </w:r>
      <w:r>
        <w:rPr>
          <w:u w:val="single"/>
        </w:rPr>
        <w:t xml:space="preserve">stopnja delovne aktivnosti. </w:t>
      </w:r>
    </w:p>
    <w:p w14:paraId="2BECF680" w14:textId="77777777" w:rsidR="00730953" w:rsidRDefault="00730953" w:rsidP="00F90C17">
      <w:pPr>
        <w:pStyle w:val="Odstavekseznama"/>
        <w:numPr>
          <w:ilvl w:val="0"/>
          <w:numId w:val="18"/>
        </w:numPr>
        <w:spacing w:after="160" w:line="256" w:lineRule="auto"/>
        <w:rPr>
          <w:rFonts w:ascii="Trebuchet MS" w:hAnsi="Trebuchet MS"/>
          <w:szCs w:val="22"/>
        </w:rPr>
      </w:pPr>
      <w:r w:rsidRPr="0079692C">
        <w:rPr>
          <w:rFonts w:ascii="Trebuchet MS" w:hAnsi="Trebuchet MS"/>
          <w:lang w:eastAsia="sl-SI"/>
        </w:rPr>
        <w:t>Kazalnik</w:t>
      </w:r>
      <w:r w:rsidRPr="0079692C">
        <w:rPr>
          <w:rFonts w:ascii="Trebuchet MS" w:hAnsi="Trebuchet MS"/>
        </w:rPr>
        <w:t xml:space="preserve"> </w:t>
      </w:r>
      <w:r w:rsidRPr="0079692C">
        <w:rPr>
          <w:rFonts w:ascii="Trebuchet MS" w:hAnsi="Trebuchet MS"/>
          <w:lang w:eastAsia="sl-SI"/>
        </w:rPr>
        <w:t>Pomoč na domu</w:t>
      </w:r>
      <w:r w:rsidRPr="0079692C">
        <w:rPr>
          <w:rFonts w:ascii="Trebuchet MS" w:hAnsi="Trebuchet MS"/>
        </w:rPr>
        <w:t xml:space="preserve"> prikazuje delež uporabnikov pomoči na domu med osebami starimi 65 let in več. Obsega socialno oskrbo upravičenca v primeru starosti, invalidnosti ter v drugih primerih, ko pomoč na domu lahko nadomesti institucionalno varstvo. Organizacija pomoči na</w:t>
      </w:r>
      <w:r>
        <w:t xml:space="preserve"> </w:t>
      </w:r>
      <w:r>
        <w:rPr>
          <w:rFonts w:ascii="Trebuchet MS" w:hAnsi="Trebuchet MS"/>
          <w:szCs w:val="22"/>
        </w:rPr>
        <w:t>domu spada v pristojnost občin in pomembno vpliva na možnost starejšega prebivalstva za prilagajanje na učinke podnebnih sprememb (NIJZ 1).</w:t>
      </w:r>
      <w:r>
        <w:rPr>
          <w:rFonts w:ascii="Trebuchet MS" w:hAnsi="Trebuchet MS"/>
          <w:szCs w:val="22"/>
          <w:lang w:eastAsia="sl-SI"/>
        </w:rPr>
        <w:t xml:space="preserve"> Kazalnik Pomoč na domu ima v Mestni občini Nova Gorica višjo vrednost od povprečja Slovenije, kar kaže na večji delež starejših, ki potrebujejo pomoč na domu, a tudi večjo dostopnost pomoči na domu. Večja dostopnost do pomoči na domu je tudi posledica nižje cene pomoči na domu, saj Mestna občina Nova Gorica zagotavlja višje sofinanciranje cene pomoči, kot to določa zakonodaja. Med mestnimi občinami je cena pomoči na domu v Mestni občini Nova Gorica med najnižjimi. Mestna občina Nova Gorica si prizadeva za konstanten razvoj in širitev storitve pomoči na domu. </w:t>
      </w:r>
    </w:p>
    <w:p w14:paraId="2BCF34DD" w14:textId="77777777" w:rsidR="00730953" w:rsidRDefault="00730953" w:rsidP="00F90C17">
      <w:pPr>
        <w:pStyle w:val="Odstavekseznama"/>
        <w:numPr>
          <w:ilvl w:val="0"/>
          <w:numId w:val="18"/>
        </w:numPr>
        <w:spacing w:after="240"/>
        <w:rPr>
          <w:rFonts w:ascii="Trebuchet MS" w:hAnsi="Trebuchet MS"/>
          <w:szCs w:val="22"/>
        </w:rPr>
      </w:pPr>
      <w:r>
        <w:rPr>
          <w:rFonts w:ascii="Trebuchet MS" w:hAnsi="Trebuchet MS"/>
          <w:szCs w:val="22"/>
        </w:rPr>
        <w:t xml:space="preserve">Kazalnik Mikrobiološka kakovost pitne vode ima v Mestni občini Nova Gorica višjo vrednost od povprečja Slovenije. Prikazuje razmerje med številom prebivalcev, ki se oskrbujejo s pitno vodo zelo dobre ali dobre kakovosti (indikatorji fekalne onesnaženosti niso prisotni, oziroma so prisotni pri največ 5 % vzorcev v opazovanem obdobju) in številom vseh prebivalcev občine, pomnoženo s 100. Za izračun se praviloma uporabi najmanj triletni niz podatkov iz baze </w:t>
      </w:r>
      <w:r>
        <w:rPr>
          <w:rFonts w:ascii="Trebuchet MS" w:hAnsi="Trebuchet MS"/>
          <w:szCs w:val="22"/>
        </w:rPr>
        <w:lastRenderedPageBreak/>
        <w:t>državnega monitoringa pitne vode. Omogočanje dostopnosti do varne pitne vode sodi med prve preventivne ukrepe, ki so v zgodovini prispevali k izboljšanju zdravja in podaljšali povprečno trajanje življenja. Mikrobiološka kakovost pitne vode ima odločilno vlogo v preprečevanju nastanka, razvoja in širjenja črevesnih nalezljivih bolezni, širše gledano pa tudi vseh ostalih nalezljivih bolezni, saj predstavlja osnovni pogoj za vzdrževanje osebne higiene in sanitarno-higienskih pogojev v notranjem in zunanjem okolju (bivalnem, delovnem, vzgojno-varstvenem, prostočasnem) (NIJZ, Zdravje v občini).</w:t>
      </w:r>
    </w:p>
    <w:p w14:paraId="472BBD07" w14:textId="77777777" w:rsidR="00730953" w:rsidRDefault="00730953" w:rsidP="00F90C17">
      <w:pPr>
        <w:pStyle w:val="Odstavekseznama"/>
        <w:numPr>
          <w:ilvl w:val="0"/>
          <w:numId w:val="18"/>
        </w:numPr>
        <w:spacing w:after="240"/>
        <w:rPr>
          <w:rFonts w:ascii="Trebuchet MS" w:hAnsi="Trebuchet MS"/>
          <w:szCs w:val="22"/>
        </w:rPr>
      </w:pPr>
      <w:r>
        <w:rPr>
          <w:rFonts w:ascii="Trebuchet MS" w:hAnsi="Trebuchet MS"/>
          <w:szCs w:val="22"/>
        </w:rPr>
        <w:t xml:space="preserve">Stopnja delovne aktivnosti je kazalnik, ki je v Mestni občini Nova Gorica prav tako nad povprečjem Slovenije. Ta kazalnik opisuje prikazuje odstotni delež delovno aktivnega prebivalstva, starega med 15 in 64 let med vsemi prebivalci, starimi med 15 in 64 let. Za posameznika redno delo predstavlja gotovost za prihodnost in s tem večjo samozavest pri življenjskih odločitvah, ki zadevajo eksistenco in ustvarjanje družine. Z boljšimi eksistencialnimi izhodišči je posameznik bolj samozavesten v odnosu do družbe, kar se odraža na vseh nivojih bivanja in tudi na zdravstvenem stanju. Izguba redne zaposlitve se odraža tudi na samozavesti in s tem posredno vpliva na večje tveganje za pojav duševnih bolezni, predvsem motenj razpoloženja (NIJZ, Zdravje v občini). </w:t>
      </w:r>
    </w:p>
    <w:p w14:paraId="73FF9EF7" w14:textId="26E1470A" w:rsidR="00730953" w:rsidRDefault="00730953" w:rsidP="00730953">
      <w:pPr>
        <w:pStyle w:val="Odstavekseznama"/>
        <w:spacing w:after="240"/>
        <w:ind w:left="360"/>
        <w:rPr>
          <w:rFonts w:ascii="Trebuchet MS" w:hAnsi="Trebuchet MS"/>
          <w:szCs w:val="22"/>
        </w:rPr>
      </w:pPr>
      <w:r>
        <w:rPr>
          <w:rFonts w:ascii="Trebuchet MS" w:hAnsi="Trebuchet MS"/>
          <w:szCs w:val="22"/>
        </w:rPr>
        <w:t xml:space="preserve">Viri kazalnikov: </w:t>
      </w:r>
      <w:r w:rsidR="00746F5D">
        <w:rPr>
          <w:rFonts w:ascii="Trebuchet MS" w:hAnsi="Trebuchet MS"/>
          <w:szCs w:val="22"/>
        </w:rPr>
        <w:t xml:space="preserve">Priloga </w:t>
      </w:r>
      <w:r w:rsidR="00746F5D">
        <w:rPr>
          <w:rFonts w:ascii="Trebuchet MS" w:hAnsi="Trebuchet MS"/>
          <w:szCs w:val="22"/>
        </w:rPr>
        <w:fldChar w:fldCharType="begin"/>
      </w:r>
      <w:r w:rsidR="00746F5D">
        <w:rPr>
          <w:rFonts w:ascii="Trebuchet MS" w:hAnsi="Trebuchet MS"/>
          <w:szCs w:val="22"/>
        </w:rPr>
        <w:instrText xml:space="preserve"> REF _Ref74911472 \r \h </w:instrText>
      </w:r>
      <w:r w:rsidR="00746F5D">
        <w:rPr>
          <w:rFonts w:ascii="Trebuchet MS" w:hAnsi="Trebuchet MS"/>
          <w:szCs w:val="22"/>
        </w:rPr>
      </w:r>
      <w:r w:rsidR="00746F5D">
        <w:rPr>
          <w:rFonts w:ascii="Trebuchet MS" w:hAnsi="Trebuchet MS"/>
          <w:szCs w:val="22"/>
        </w:rPr>
        <w:fldChar w:fldCharType="separate"/>
      </w:r>
      <w:r w:rsidR="004700D5">
        <w:rPr>
          <w:rFonts w:ascii="Trebuchet MS" w:hAnsi="Trebuchet MS"/>
          <w:szCs w:val="22"/>
        </w:rPr>
        <w:t>8.3.1</w:t>
      </w:r>
      <w:r w:rsidR="00746F5D">
        <w:rPr>
          <w:rFonts w:ascii="Trebuchet MS" w:hAnsi="Trebuchet MS"/>
          <w:szCs w:val="22"/>
        </w:rPr>
        <w:fldChar w:fldCharType="end"/>
      </w:r>
    </w:p>
    <w:p w14:paraId="263B9D2E" w14:textId="5C784B48" w:rsidR="00DD497A" w:rsidRPr="00372680" w:rsidRDefault="00DD497A" w:rsidP="00372680">
      <w:pPr>
        <w:pStyle w:val="Naslov5"/>
        <w:rPr>
          <w:rStyle w:val="tlid-translation"/>
        </w:rPr>
      </w:pPr>
      <w:r w:rsidRPr="00372680">
        <w:rPr>
          <w:rStyle w:val="tlid-translation"/>
        </w:rPr>
        <w:t>Učinki obremenitve s toploto</w:t>
      </w:r>
    </w:p>
    <w:p w14:paraId="3114F9FA" w14:textId="77777777" w:rsidR="00730953" w:rsidRDefault="00730953" w:rsidP="00730953">
      <w:pPr>
        <w:rPr>
          <w:lang w:eastAsia="sl-SI"/>
        </w:rPr>
      </w:pPr>
      <w:r>
        <w:rPr>
          <w:rStyle w:val="tlid-translation"/>
        </w:rPr>
        <w:t xml:space="preserve">Obremenitev s toploto pomembno vpliva na zdravje prebivalcev. </w:t>
      </w:r>
      <w:r>
        <w:rPr>
          <w:lang w:eastAsia="sl-SI"/>
        </w:rPr>
        <w:t xml:space="preserve">Pregledali smo število hospitalizacij in umrlih v času vročinskih valov v primerjavi s časom izven vročinskih valov. Analizirali smo podatke iz toplejšega dela leta od maja do septembra v dveh zaporednih desetletjih: 1999-2008 (nižja povprečna </w:t>
      </w:r>
      <w:proofErr w:type="spellStart"/>
      <w:r>
        <w:rPr>
          <w:lang w:eastAsia="sl-SI"/>
        </w:rPr>
        <w:t>psevdoekvivalentna</w:t>
      </w:r>
      <w:proofErr w:type="spellEnd"/>
      <w:r>
        <w:rPr>
          <w:lang w:eastAsia="sl-SI"/>
        </w:rPr>
        <w:t xml:space="preserve"> temperatura v Sloveniji) in 2009-2018 (višja povprečna </w:t>
      </w:r>
      <w:proofErr w:type="spellStart"/>
      <w:r>
        <w:rPr>
          <w:lang w:eastAsia="sl-SI"/>
        </w:rPr>
        <w:t>psevdoekvivalentna</w:t>
      </w:r>
      <w:proofErr w:type="spellEnd"/>
      <w:r>
        <w:rPr>
          <w:lang w:eastAsia="sl-SI"/>
        </w:rPr>
        <w:t xml:space="preserve"> temperatura v Sloveniji).</w:t>
      </w:r>
      <w:r>
        <w:t xml:space="preserve"> </w:t>
      </w:r>
      <w:proofErr w:type="spellStart"/>
      <w:r>
        <w:t>Psevdo</w:t>
      </w:r>
      <w:r>
        <w:rPr>
          <w:bCs/>
        </w:rPr>
        <w:t>ekvivalentna</w:t>
      </w:r>
      <w:proofErr w:type="spellEnd"/>
      <w:r>
        <w:rPr>
          <w:bCs/>
        </w:rPr>
        <w:t xml:space="preserve"> temperatura je indeks, ki prikazuje kombiniran vpliv temperature in absolutne vlažnosti zraka. </w:t>
      </w:r>
      <w:r>
        <w:rPr>
          <w:lang w:eastAsia="sl-SI"/>
        </w:rPr>
        <w:t xml:space="preserve">Poleg tega smo pregledali število umrlih v času vročinskih valov v primerjavi s časom brez vročinskih valov za celotno dvajsetletno obdobje (1999-2018). </w:t>
      </w:r>
    </w:p>
    <w:p w14:paraId="0CC6C9B5" w14:textId="77777777" w:rsidR="00730953" w:rsidRDefault="00730953" w:rsidP="00730953">
      <w:r>
        <w:t>Vročinske valove v času poletnih mesecev (od junija do konca septembra) uvrščamo med ekstremne vremenske dogodke. Po svetu in tudi pri nas obstajata dva pomembna dejavnika, ki sta povezana z vročinskimi valovi v prihodnosti. Vročinski valovi bodo postali vedno daljši, močnejši in bolj pogosti (</w:t>
      </w:r>
      <w:proofErr w:type="spellStart"/>
      <w:r>
        <w:t>Meehl</w:t>
      </w:r>
      <w:proofErr w:type="spellEnd"/>
      <w:r>
        <w:t xml:space="preserve"> in </w:t>
      </w:r>
      <w:proofErr w:type="spellStart"/>
      <w:r>
        <w:t>Tebaldi</w:t>
      </w:r>
      <w:proofErr w:type="spellEnd"/>
      <w:r>
        <w:t>, 2004). Drug dejavnik pa je staranje prebivalstva v razvitih državah sveta, tako, da v prihodnosti lahko pričakujemo večji delež starostnikov v populaciji, ki so bolj podvrženi vplivom vročinskih valov (</w:t>
      </w:r>
      <w:proofErr w:type="spellStart"/>
      <w:r>
        <w:t>United</w:t>
      </w:r>
      <w:proofErr w:type="spellEnd"/>
      <w:r>
        <w:t xml:space="preserve"> </w:t>
      </w:r>
      <w:proofErr w:type="spellStart"/>
      <w:r>
        <w:t>Nation</w:t>
      </w:r>
      <w:proofErr w:type="spellEnd"/>
      <w:r>
        <w:t xml:space="preserve">, 2013). </w:t>
      </w:r>
    </w:p>
    <w:p w14:paraId="4134EF15" w14:textId="77777777" w:rsidR="00730953" w:rsidRDefault="00730953" w:rsidP="00730953">
      <w:r>
        <w:t>Ranljive skupine prebivalcev so še posebej pomembne za umrljivost in obolevnost v času vročinskih valov. To so predvsem starejši, otroci, osebe s kroničnimi srčno-žilnimi obolenji in obolenji dihal, sladkorni bolniki, osebe s prekomerno telesno maso, duševni bolniki in fizično aktivni delavci na prostem (</w:t>
      </w:r>
      <w:proofErr w:type="spellStart"/>
      <w:r>
        <w:rPr>
          <w:rFonts w:cs="Times New Roman"/>
        </w:rPr>
        <w:t>Kilbourne</w:t>
      </w:r>
      <w:proofErr w:type="spellEnd"/>
      <w:r>
        <w:rPr>
          <w:rFonts w:cs="Times New Roman"/>
        </w:rPr>
        <w:t>, 1999</w:t>
      </w:r>
      <w:r>
        <w:t>).</w:t>
      </w:r>
    </w:p>
    <w:p w14:paraId="26C4D9AA" w14:textId="77777777" w:rsidR="00730953" w:rsidRDefault="00730953" w:rsidP="00730953">
      <w:r>
        <w:t xml:space="preserve">Analiza povezanosti vročinskih valov in števila hospitalizacij za upravno enoto (UE) Nova Gorica je potekala s pomočjo izračuna relativnega tveganja (RT) in 95 % intervala zaupanja (% IZ). V opisu rezultatov smo izpostavili statistično značilne rezultate. </w:t>
      </w:r>
    </w:p>
    <w:p w14:paraId="68DF0AD9" w14:textId="77777777" w:rsidR="00730953" w:rsidRDefault="00730953" w:rsidP="00730953">
      <w:r>
        <w:lastRenderedPageBreak/>
        <w:t xml:space="preserve">Rezultati analize za upravno enoto Nova Gorica so pokazali, da se je v prvem desetletju (1999-2008) pokazala </w:t>
      </w:r>
      <w:proofErr w:type="spellStart"/>
      <w:r>
        <w:t>protektivna</w:t>
      </w:r>
      <w:proofErr w:type="spellEnd"/>
      <w:r>
        <w:t xml:space="preserve"> povezanost med vročinskimi valovi in številom hospitalizacij zaradi skoraj vseh opazovanih vzrokov bolezni (vsi vzroki, srčno-žilna obolenja, obolenja dihal). Izstopa pa skupina starejših od 74 let, kjer pri hospitalizacijah zaradi bolezni srca in ožilja nismo ugotovili statistično značilne povezanosti,  ter  moški z boleznimi dihal in starejši od 19 let z boleznimi dihal, kjer tudi nismo ugotovili statistično značilne povezanosti.</w:t>
      </w:r>
    </w:p>
    <w:p w14:paraId="4FB01A98" w14:textId="77777777" w:rsidR="00730953" w:rsidRDefault="00730953" w:rsidP="00730953">
      <w:r>
        <w:t xml:space="preserve">Tudi za drugo desetletje (2009-2018), je analiza pokazala </w:t>
      </w:r>
      <w:proofErr w:type="spellStart"/>
      <w:r>
        <w:t>protektivno</w:t>
      </w:r>
      <w:proofErr w:type="spellEnd"/>
      <w:r>
        <w:t xml:space="preserve"> povezanost med vročinskimi valovi in številom hospitalizacij zaradi vseh opazovanih vzrokov. V tem obdobju statistično značilne povezanosti ni bilo v skupinah starih 75 let in več,  pri moških, hospitaliziranih zaradi  bolezni dihal, ter v skupini starih 75 let in več, hospitaliziranih zaradi bolezni srca in ožilja. Več: Priloga 2.</w:t>
      </w:r>
    </w:p>
    <w:p w14:paraId="31F92B69" w14:textId="77777777" w:rsidR="00730953" w:rsidRDefault="00730953" w:rsidP="00730953">
      <w:pPr>
        <w:rPr>
          <w:rFonts w:ascii="Times New Roman" w:hAnsi="Times New Roman" w:cs="Times New Roman"/>
          <w:sz w:val="24"/>
          <w:szCs w:val="24"/>
        </w:rPr>
      </w:pPr>
      <w:r>
        <w:t xml:space="preserve">Številne raziskave po svetu poročajo, da v zadnjih letih upada povezanost med vročinskimi valovi in številom hospitalizacij predvsem v razvitih državah, kot sta ZDA in Japonska, kar nakazuje na adaptacijo prebivalcev (4,5). V Braziliji prav tako opažajo upad števila hospitalizacij v času vročinskih valov v predelih z višjim </w:t>
      </w:r>
      <w:proofErr w:type="spellStart"/>
      <w:r>
        <w:t>socio</w:t>
      </w:r>
      <w:proofErr w:type="spellEnd"/>
      <w:r>
        <w:t>-ekonomskim statusom (6). Ta fenomen lahko pripišemo paralelnemu ekonomskemu razvoju, izboljšanju infrastrukture (večja uporabo klimatskih naprav in izolacija stavb) in razvoju zdravstvenih sistemov v zadnjem opazovanem obdobju (7,8). Glede na paradoks, da tveganje za povečano število hospitalizacij v času vročinskih valov upada, obstaja v znanstvenih krogih tudi razlaga tako imenovanega »</w:t>
      </w:r>
      <w:proofErr w:type="spellStart"/>
      <w:r>
        <w:t>harvesting</w:t>
      </w:r>
      <w:proofErr w:type="spellEnd"/>
      <w:r>
        <w:t xml:space="preserve"> učinka«, ki pomeni, da tisti posamezniki, ki so ogroženi zaradi vročinskih valov prej umrejo, preden pridejo do bolnišnice. To hipotezo so potrdile nekatere raziskave v Evropi, vendar so potrebne dodatne bolj poglobljene raziskave (9). Drugi dejavnik za tako imenovani </w:t>
      </w:r>
      <w:proofErr w:type="spellStart"/>
      <w:r>
        <w:t>protektivni</w:t>
      </w:r>
      <w:proofErr w:type="spellEnd"/>
      <w:r>
        <w:t xml:space="preserve"> učinek vročinskih valov je, da starejši v času vročinskih valov večinoma ostajajo doma in  tako niso neposredno izpostavljeni vročini, kot je na primer aktivna populacija (odhajanje na delo in v šolo).</w:t>
      </w:r>
      <w:r>
        <w:rPr>
          <w:rFonts w:ascii="Times New Roman" w:hAnsi="Times New Roman" w:cs="Times New Roman"/>
          <w:sz w:val="24"/>
          <w:szCs w:val="24"/>
        </w:rPr>
        <w:t xml:space="preserve"> </w:t>
      </w:r>
      <w:r>
        <w:rPr>
          <w:rFonts w:cstheme="minorHAnsi"/>
        </w:rPr>
        <w:t xml:space="preserve">Tretji dejavnik, ki bi lahko bil razlog za </w:t>
      </w:r>
      <w:proofErr w:type="spellStart"/>
      <w:r>
        <w:rPr>
          <w:rFonts w:cstheme="minorHAnsi"/>
        </w:rPr>
        <w:t>protektivni</w:t>
      </w:r>
      <w:proofErr w:type="spellEnd"/>
      <w:r>
        <w:rPr>
          <w:rFonts w:cstheme="minorHAnsi"/>
        </w:rPr>
        <w:t xml:space="preserve"> učinek vročinskih valov na hospitalizacije pa je, da smo v analizi izključili poškodbe, kar lahko vodi do podcenjevanja učinka vročine na hospitalizacije starejših. Ti so v času vročina bolj občutljivi za poškodbe (padci in zlomi) kot mlajša populacija, predvsem zaradi vrtoglavice in sinkope, ki sta posledica visokih temperatur.</w:t>
      </w:r>
    </w:p>
    <w:p w14:paraId="3F032E17" w14:textId="77777777" w:rsidR="00730953" w:rsidRDefault="00730953" w:rsidP="00730953">
      <w:r>
        <w:t>Ker bodo vročinski valovi postali daljši, pogostejši in močnejši, moramo nadaljevati z adaptacijskimi strategijami (sistem zgodnjega obveščanja) in promocijskimi kampanjami o pravilnem ravnanju predvsem ranljivih skupin v času vročinskih valov.</w:t>
      </w:r>
    </w:p>
    <w:p w14:paraId="780C051D" w14:textId="77777777" w:rsidR="00730953" w:rsidRDefault="00730953" w:rsidP="00730953">
      <w:r>
        <w:t xml:space="preserve">Glede na to, da smo v celotni Sloveniji v preteklih letih (2006-2015) zabeležili povečano število umrlih v obdobju vročinskih valov </w:t>
      </w:r>
      <w:r>
        <w:rPr>
          <w:lang w:eastAsia="sl-SI"/>
        </w:rPr>
        <w:t>v starostni skupini 75 let in več zaradi vseh vzrokov smrti in zaradi srčno-žilnih bolezni, ter je bilo povečano število umrlih v mestih</w:t>
      </w:r>
      <w:r>
        <w:t xml:space="preserve"> </w:t>
      </w:r>
      <w:r>
        <w:rPr>
          <w:lang w:eastAsia="sl-SI"/>
        </w:rPr>
        <w:t xml:space="preserve">v tej starostni skupini (Perčič S. s sod., 2018), nas je zanimalo, kako je v Novi Gorici. </w:t>
      </w:r>
      <w:r>
        <w:t xml:space="preserve">Zaradi majhnega števila prebivalcev UE in majhnega števila opazovanih dogodkov (umrlih oseb) na dan analiz za Mestno občino Nova Gorica nismo izvedli. </w:t>
      </w:r>
    </w:p>
    <w:p w14:paraId="0B0843A3" w14:textId="77777777" w:rsidR="00DD497A" w:rsidRPr="00B64060" w:rsidRDefault="00DD497A" w:rsidP="00372680">
      <w:pPr>
        <w:pStyle w:val="Naslov5"/>
        <w:rPr>
          <w:highlight w:val="yellow"/>
        </w:rPr>
      </w:pPr>
      <w:r w:rsidRPr="000938AF">
        <w:t>Zdravstvene ustanove</w:t>
      </w:r>
    </w:p>
    <w:p w14:paraId="00076E17" w14:textId="35926124" w:rsidR="00730953" w:rsidRDefault="00730953" w:rsidP="00730953">
      <w:r>
        <w:rPr>
          <w:lang w:eastAsia="sl-SI"/>
        </w:rPr>
        <w:t>V Mestni občini Nova Gorica je ena zdravstvena ustanova - Zdravstveni dom osnovno varstvo Nova Gorica (v nadaljevanju ZD), ki deluje na 27 lokacijah. V ZD je velik prostorski problem, ki ga rešujejo v času povečanih obremenitev (kot je sedaj ob pojavu COVID-19) s pomočjo dodatnih, začasnih prostorov (kontejnerske idr. rešitve) (</w:t>
      </w:r>
      <w:r>
        <w:t>Program dela in finančni načrt za leto 2021</w:t>
      </w:r>
      <w:r>
        <w:rPr>
          <w:lang w:eastAsia="sl-SI"/>
        </w:rPr>
        <w:t xml:space="preserve">).V ZD je  kadrovska stiska; oprema bi zadoščala za krajši čas delovanja v izrednih razmerah (Vir: </w:t>
      </w:r>
      <w:r>
        <w:rPr>
          <w:lang w:eastAsia="sl-SI"/>
        </w:rPr>
        <w:lastRenderedPageBreak/>
        <w:t>komunikacija z ZD preko elektronske pošte, 16.12.2020). Imajo načrt ukrepanja in delovanja ob množičnih nesrečah.</w:t>
      </w:r>
    </w:p>
    <w:p w14:paraId="2BFC7B18" w14:textId="77777777" w:rsidR="00372680" w:rsidRDefault="00372680" w:rsidP="00DD497A">
      <w:pPr>
        <w:jc w:val="left"/>
        <w:rPr>
          <w:lang w:eastAsia="sl-SI"/>
        </w:rPr>
      </w:pPr>
    </w:p>
    <w:p w14:paraId="1F92568F" w14:textId="1934FC88" w:rsidR="00DD497A" w:rsidRPr="00DD1006" w:rsidRDefault="00DD497A" w:rsidP="00DD497A">
      <w:pPr>
        <w:pStyle w:val="Naslov3"/>
        <w:rPr>
          <w:rFonts w:eastAsia="Calibri"/>
          <w:lang w:eastAsia="sl-SI"/>
        </w:rPr>
      </w:pPr>
      <w:bookmarkStart w:id="281" w:name="_Toc34130182"/>
      <w:bookmarkStart w:id="282" w:name="_Toc44656960"/>
      <w:bookmarkStart w:id="283" w:name="_Toc97026771"/>
      <w:r w:rsidRPr="00DD1006">
        <w:rPr>
          <w:rFonts w:eastAsia="Calibri"/>
          <w:lang w:eastAsia="sl-SI"/>
        </w:rPr>
        <w:t xml:space="preserve">Ocena potencialnih vplivov podnebnih sprememb na sektor </w:t>
      </w:r>
      <w:r w:rsidR="00F91232">
        <w:rPr>
          <w:rFonts w:eastAsia="Calibri"/>
          <w:lang w:eastAsia="sl-SI"/>
        </w:rPr>
        <w:t xml:space="preserve">zdravstvo </w:t>
      </w:r>
      <w:r w:rsidRPr="00DD1006">
        <w:rPr>
          <w:rFonts w:eastAsia="Calibri"/>
          <w:lang w:eastAsia="sl-SI"/>
        </w:rPr>
        <w:t>po kazalnikih</w:t>
      </w:r>
      <w:bookmarkEnd w:id="281"/>
      <w:bookmarkEnd w:id="283"/>
      <w:r w:rsidRPr="00DD1006">
        <w:rPr>
          <w:rFonts w:eastAsia="Calibri"/>
          <w:lang w:eastAsia="sl-SI"/>
        </w:rPr>
        <w:t xml:space="preserve"> </w:t>
      </w:r>
      <w:bookmarkEnd w:id="282"/>
    </w:p>
    <w:p w14:paraId="0D97AC70" w14:textId="5D1A809F" w:rsidR="00E23AAB" w:rsidRDefault="00E23AAB" w:rsidP="00E23AAB">
      <w:pPr>
        <w:rPr>
          <w:lang w:eastAsia="sl-SI"/>
        </w:rPr>
      </w:pPr>
      <w:r>
        <w:rPr>
          <w:lang w:eastAsia="sl-SI"/>
        </w:rPr>
        <w:t xml:space="preserve">Kazalnike, ki so pomembni za ocenjevanje ranljivosti sektorja, smo razdelili v štiri segmente: </w:t>
      </w:r>
      <w:r>
        <w:t>zdravstveno stanje prebivalcev, naravno okolje, demografska slika in sistem zdravstvenega varstva.</w:t>
      </w:r>
    </w:p>
    <w:p w14:paraId="790851C2" w14:textId="3D39CD68" w:rsidR="00E23AAB" w:rsidRDefault="00E23AAB" w:rsidP="00E23AAB">
      <w:pPr>
        <w:pStyle w:val="Napis"/>
        <w:keepNext/>
      </w:pPr>
      <w:bookmarkStart w:id="284" w:name="_Toc97026973"/>
      <w:r>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20</w:t>
      </w:r>
      <w:r w:rsidR="00976D80">
        <w:fldChar w:fldCharType="end"/>
      </w:r>
      <w:r w:rsidRPr="00C84F73">
        <w:t>: Kazalniki ranljivosti</w:t>
      </w:r>
      <w:bookmarkEnd w:id="284"/>
    </w:p>
    <w:tbl>
      <w:tblPr>
        <w:tblStyle w:val="Tabelamrea"/>
        <w:tblW w:w="5000" w:type="pct"/>
        <w:tblLook w:val="04A0" w:firstRow="1" w:lastRow="0" w:firstColumn="1" w:lastColumn="0" w:noHBand="0" w:noVBand="1"/>
      </w:tblPr>
      <w:tblGrid>
        <w:gridCol w:w="2130"/>
        <w:gridCol w:w="5484"/>
        <w:gridCol w:w="2014"/>
      </w:tblGrid>
      <w:tr w:rsidR="00E23AAB" w14:paraId="52FB3BF1" w14:textId="77777777" w:rsidTr="00E23AAB">
        <w:tc>
          <w:tcPr>
            <w:tcW w:w="1106" w:type="pct"/>
          </w:tcPr>
          <w:p w14:paraId="0EBF00DC" w14:textId="77777777" w:rsidR="00E23AAB" w:rsidRDefault="00E23AAB" w:rsidP="00FF0031">
            <w:pPr>
              <w:rPr>
                <w:b/>
                <w:lang w:eastAsia="sl-SI"/>
              </w:rPr>
            </w:pPr>
            <w:r>
              <w:rPr>
                <w:b/>
                <w:lang w:eastAsia="sl-SI"/>
              </w:rPr>
              <w:t>Segment</w:t>
            </w:r>
          </w:p>
        </w:tc>
        <w:tc>
          <w:tcPr>
            <w:tcW w:w="2848" w:type="pct"/>
          </w:tcPr>
          <w:p w14:paraId="5090A5ED" w14:textId="77777777" w:rsidR="00E23AAB" w:rsidRDefault="00E23AAB" w:rsidP="00FF0031">
            <w:pPr>
              <w:jc w:val="left"/>
              <w:rPr>
                <w:b/>
                <w:lang w:eastAsia="sl-SI"/>
              </w:rPr>
            </w:pPr>
            <w:r>
              <w:rPr>
                <w:b/>
                <w:lang w:eastAsia="sl-SI"/>
              </w:rPr>
              <w:t>Kazalniki</w:t>
            </w:r>
          </w:p>
        </w:tc>
        <w:tc>
          <w:tcPr>
            <w:tcW w:w="1046" w:type="pct"/>
          </w:tcPr>
          <w:p w14:paraId="583A632B" w14:textId="77777777" w:rsidR="00E23AAB" w:rsidRDefault="00E23AAB" w:rsidP="00FF0031">
            <w:pPr>
              <w:rPr>
                <w:b/>
                <w:lang w:eastAsia="sl-SI"/>
              </w:rPr>
            </w:pPr>
            <w:r>
              <w:rPr>
                <w:b/>
                <w:lang w:eastAsia="sl-SI"/>
              </w:rPr>
              <w:t>Komponenta potencialnega vpliva</w:t>
            </w:r>
          </w:p>
        </w:tc>
      </w:tr>
      <w:tr w:rsidR="00E23AAB" w14:paraId="1A526DCE" w14:textId="77777777" w:rsidTr="00E23AAB">
        <w:tc>
          <w:tcPr>
            <w:tcW w:w="1106" w:type="pct"/>
          </w:tcPr>
          <w:p w14:paraId="0B3765CB" w14:textId="77777777" w:rsidR="00E23AAB" w:rsidRDefault="00E23AAB" w:rsidP="00FF0031">
            <w:pPr>
              <w:rPr>
                <w:lang w:eastAsia="sl-SI"/>
              </w:rPr>
            </w:pPr>
            <w:r>
              <w:rPr>
                <w:lang w:eastAsia="sl-SI"/>
              </w:rPr>
              <w:t>Zdravstveno stanje prebivalcev</w:t>
            </w:r>
          </w:p>
        </w:tc>
        <w:tc>
          <w:tcPr>
            <w:tcW w:w="2848" w:type="pct"/>
            <w:tcBorders>
              <w:bottom w:val="single" w:sz="4" w:space="0" w:color="auto"/>
            </w:tcBorders>
          </w:tcPr>
          <w:p w14:paraId="6748DD08" w14:textId="77777777" w:rsidR="00E23AAB" w:rsidRDefault="00E23AAB" w:rsidP="00FF0031">
            <w:pPr>
              <w:jc w:val="left"/>
              <w:rPr>
                <w:lang w:eastAsia="sl-SI"/>
              </w:rPr>
            </w:pPr>
            <w:r>
              <w:rPr>
                <w:lang w:eastAsia="sl-SI"/>
              </w:rPr>
              <w:t>Prejemniki zdravil zaradi povišanega krvnega tlaka,</w:t>
            </w:r>
          </w:p>
          <w:p w14:paraId="71547643" w14:textId="77777777" w:rsidR="00E23AAB" w:rsidRDefault="00E23AAB" w:rsidP="00FF0031">
            <w:pPr>
              <w:jc w:val="left"/>
              <w:rPr>
                <w:lang w:eastAsia="sl-SI"/>
              </w:rPr>
            </w:pPr>
            <w:r>
              <w:rPr>
                <w:lang w:eastAsia="sl-SI"/>
              </w:rPr>
              <w:t>Prejemniki zdravil zaradi sladkorne bolezni,</w:t>
            </w:r>
          </w:p>
          <w:p w14:paraId="5049D9EE" w14:textId="77777777" w:rsidR="00E23AAB" w:rsidRDefault="00E23AAB" w:rsidP="00FF0031">
            <w:pPr>
              <w:jc w:val="left"/>
              <w:rPr>
                <w:lang w:eastAsia="sl-SI"/>
              </w:rPr>
            </w:pPr>
            <w:r>
              <w:rPr>
                <w:lang w:eastAsia="sl-SI"/>
              </w:rPr>
              <w:t>Prejemniki zdravil zaradi duševnih motenj,</w:t>
            </w:r>
          </w:p>
          <w:p w14:paraId="3C3A6763" w14:textId="77777777" w:rsidR="00E23AAB" w:rsidRDefault="00E23AAB" w:rsidP="00FF0031">
            <w:pPr>
              <w:jc w:val="left"/>
              <w:rPr>
                <w:lang w:eastAsia="sl-SI"/>
              </w:rPr>
            </w:pPr>
            <w:r>
              <w:rPr>
                <w:lang w:eastAsia="sl-SI"/>
              </w:rPr>
              <w:t>Splošna umrljivost,</w:t>
            </w:r>
          </w:p>
          <w:p w14:paraId="279D1855" w14:textId="77777777" w:rsidR="00E23AAB" w:rsidRDefault="00E23AAB" w:rsidP="00FF0031">
            <w:pPr>
              <w:jc w:val="left"/>
              <w:rPr>
                <w:lang w:eastAsia="sl-SI"/>
              </w:rPr>
            </w:pPr>
            <w:r>
              <w:rPr>
                <w:lang w:eastAsia="sl-SI"/>
              </w:rPr>
              <w:t>Umrljivost zaradi bolezni srca in ožilja,</w:t>
            </w:r>
          </w:p>
          <w:p w14:paraId="50BB46C6" w14:textId="77777777" w:rsidR="00E23AAB" w:rsidRDefault="00E23AAB" w:rsidP="00FF0031">
            <w:pPr>
              <w:jc w:val="left"/>
              <w:rPr>
                <w:lang w:eastAsia="sl-SI"/>
              </w:rPr>
            </w:pPr>
            <w:r>
              <w:rPr>
                <w:lang w:eastAsia="sl-SI"/>
              </w:rPr>
              <w:t>Astma (št. hospitalizacij 0-19 let),</w:t>
            </w:r>
          </w:p>
          <w:p w14:paraId="3B97083A" w14:textId="77777777" w:rsidR="00E23AAB" w:rsidRDefault="00E23AAB" w:rsidP="00FF0031">
            <w:pPr>
              <w:jc w:val="left"/>
              <w:rPr>
                <w:lang w:eastAsia="sl-SI"/>
              </w:rPr>
            </w:pPr>
            <w:r>
              <w:rPr>
                <w:lang w:eastAsia="sl-SI"/>
              </w:rPr>
              <w:t xml:space="preserve">Stopnja bolnišničnih obravnav zaradi srčne kapi, </w:t>
            </w:r>
          </w:p>
          <w:p w14:paraId="2C235AEF" w14:textId="77777777" w:rsidR="00E23AAB" w:rsidRDefault="00E23AAB" w:rsidP="00FF0031">
            <w:pPr>
              <w:jc w:val="left"/>
              <w:rPr>
                <w:lang w:eastAsia="sl-SI"/>
              </w:rPr>
            </w:pPr>
            <w:r>
              <w:rPr>
                <w:lang w:eastAsia="sl-SI"/>
              </w:rPr>
              <w:t>Stopnja bolnišničnih obravnav zaradi možganske kapi (35-84 let)</w:t>
            </w:r>
          </w:p>
        </w:tc>
        <w:tc>
          <w:tcPr>
            <w:tcW w:w="1046" w:type="pct"/>
            <w:tcBorders>
              <w:bottom w:val="single" w:sz="4" w:space="0" w:color="auto"/>
            </w:tcBorders>
          </w:tcPr>
          <w:p w14:paraId="63644FB3" w14:textId="77777777" w:rsidR="00E23AAB" w:rsidRDefault="00E23AAB" w:rsidP="00FF0031">
            <w:pPr>
              <w:rPr>
                <w:lang w:eastAsia="sl-SI"/>
              </w:rPr>
            </w:pPr>
            <w:r>
              <w:rPr>
                <w:lang w:eastAsia="sl-SI"/>
              </w:rPr>
              <w:t>Občutljivost</w:t>
            </w:r>
          </w:p>
        </w:tc>
      </w:tr>
      <w:tr w:rsidR="00E23AAB" w14:paraId="71FF8493" w14:textId="77777777" w:rsidTr="00E23AAB">
        <w:tc>
          <w:tcPr>
            <w:tcW w:w="1106" w:type="pct"/>
            <w:tcBorders>
              <w:right w:val="single" w:sz="4" w:space="0" w:color="auto"/>
            </w:tcBorders>
          </w:tcPr>
          <w:p w14:paraId="674B4143" w14:textId="77777777" w:rsidR="00E23AAB" w:rsidRDefault="00E23AAB" w:rsidP="00FF0031">
            <w:pPr>
              <w:rPr>
                <w:lang w:eastAsia="sl-SI"/>
              </w:rPr>
            </w:pPr>
            <w:r>
              <w:rPr>
                <w:lang w:eastAsia="sl-SI"/>
              </w:rPr>
              <w:t>Naravno okolje</w:t>
            </w:r>
          </w:p>
        </w:tc>
        <w:tc>
          <w:tcPr>
            <w:tcW w:w="2848" w:type="pct"/>
            <w:tcBorders>
              <w:top w:val="single" w:sz="4" w:space="0" w:color="auto"/>
              <w:left w:val="single" w:sz="4" w:space="0" w:color="auto"/>
              <w:bottom w:val="single" w:sz="4" w:space="0" w:color="auto"/>
              <w:right w:val="single" w:sz="4" w:space="0" w:color="auto"/>
            </w:tcBorders>
          </w:tcPr>
          <w:p w14:paraId="4D13A7D7" w14:textId="77777777" w:rsidR="00E23AAB" w:rsidRDefault="00E23AAB" w:rsidP="00FF0031">
            <w:pPr>
              <w:jc w:val="left"/>
              <w:rPr>
                <w:lang w:eastAsia="sl-SI"/>
              </w:rPr>
            </w:pPr>
            <w:r>
              <w:rPr>
                <w:lang w:eastAsia="sl-SI"/>
              </w:rPr>
              <w:t xml:space="preserve">Toplotna obremenitev (kazalnik vročine (EHF), jakost, trajanje, pogostost vročinskih valov, število vročih dni in tropskih noči), </w:t>
            </w:r>
          </w:p>
          <w:p w14:paraId="061AD0A8" w14:textId="77777777" w:rsidR="00E23AAB" w:rsidRDefault="00E23AAB" w:rsidP="00FF0031">
            <w:pPr>
              <w:jc w:val="left"/>
              <w:rPr>
                <w:lang w:eastAsia="sl-SI"/>
              </w:rPr>
            </w:pPr>
            <w:r>
              <w:rPr>
                <w:lang w:eastAsia="sl-SI"/>
              </w:rPr>
              <w:t xml:space="preserve">Hospitalizacije in umrli v času vročinskih valov v primerjavi s časom izven vročinskih valov, </w:t>
            </w:r>
          </w:p>
          <w:p w14:paraId="4DC35F93" w14:textId="77777777" w:rsidR="00E23AAB" w:rsidRDefault="00E23AAB" w:rsidP="00FF0031">
            <w:pPr>
              <w:jc w:val="left"/>
              <w:rPr>
                <w:lang w:eastAsia="sl-SI"/>
              </w:rPr>
            </w:pPr>
            <w:r>
              <w:rPr>
                <w:lang w:eastAsia="sl-SI"/>
              </w:rPr>
              <w:t xml:space="preserve">KME - št. primerov/100 000, </w:t>
            </w:r>
          </w:p>
          <w:p w14:paraId="5B365A20" w14:textId="77777777" w:rsidR="00E23AAB" w:rsidRDefault="00E23AAB" w:rsidP="00FF0031">
            <w:pPr>
              <w:jc w:val="left"/>
              <w:rPr>
                <w:lang w:eastAsia="sl-SI"/>
              </w:rPr>
            </w:pPr>
            <w:r>
              <w:rPr>
                <w:lang w:eastAsia="sl-SI"/>
              </w:rPr>
              <w:t>Koncentracije ozona,</w:t>
            </w:r>
          </w:p>
          <w:p w14:paraId="4F2C61A7" w14:textId="77777777" w:rsidR="00E23AAB" w:rsidRDefault="00E23AAB" w:rsidP="00FF0031">
            <w:pPr>
              <w:jc w:val="left"/>
              <w:rPr>
                <w:lang w:eastAsia="sl-SI"/>
              </w:rPr>
            </w:pPr>
            <w:r>
              <w:rPr>
                <w:lang w:eastAsia="sl-SI"/>
              </w:rPr>
              <w:t>Kvaliteta pitne vode, kopalne vode.</w:t>
            </w:r>
          </w:p>
        </w:tc>
        <w:tc>
          <w:tcPr>
            <w:tcW w:w="1046" w:type="pct"/>
            <w:tcBorders>
              <w:top w:val="single" w:sz="4" w:space="0" w:color="auto"/>
              <w:left w:val="single" w:sz="4" w:space="0" w:color="auto"/>
              <w:bottom w:val="single" w:sz="4" w:space="0" w:color="auto"/>
              <w:right w:val="single" w:sz="4" w:space="0" w:color="auto"/>
            </w:tcBorders>
          </w:tcPr>
          <w:p w14:paraId="74AB3050" w14:textId="77777777" w:rsidR="00E23AAB" w:rsidRDefault="00E23AAB" w:rsidP="00FF0031">
            <w:pPr>
              <w:rPr>
                <w:lang w:eastAsia="sl-SI"/>
              </w:rPr>
            </w:pPr>
            <w:r>
              <w:rPr>
                <w:lang w:eastAsia="sl-SI"/>
              </w:rPr>
              <w:t xml:space="preserve">Izpostavljenost, </w:t>
            </w:r>
          </w:p>
          <w:p w14:paraId="66695570" w14:textId="77777777" w:rsidR="00E23AAB" w:rsidRDefault="00E23AAB" w:rsidP="00FF0031">
            <w:pPr>
              <w:rPr>
                <w:lang w:eastAsia="sl-SI"/>
              </w:rPr>
            </w:pPr>
            <w:r>
              <w:rPr>
                <w:lang w:eastAsia="sl-SI"/>
              </w:rPr>
              <w:t>občutljivost</w:t>
            </w:r>
          </w:p>
        </w:tc>
      </w:tr>
      <w:tr w:rsidR="00E23AAB" w14:paraId="103662CC" w14:textId="77777777" w:rsidTr="00E23AAB">
        <w:tc>
          <w:tcPr>
            <w:tcW w:w="1106" w:type="pct"/>
            <w:tcBorders>
              <w:right w:val="single" w:sz="4" w:space="0" w:color="auto"/>
            </w:tcBorders>
          </w:tcPr>
          <w:p w14:paraId="728DE1E7" w14:textId="77777777" w:rsidR="00E23AAB" w:rsidRDefault="00E23AAB" w:rsidP="00FF0031">
            <w:pPr>
              <w:rPr>
                <w:lang w:eastAsia="sl-SI"/>
              </w:rPr>
            </w:pPr>
            <w:r>
              <w:rPr>
                <w:lang w:eastAsia="sl-SI"/>
              </w:rPr>
              <w:t>Demografska slika</w:t>
            </w:r>
          </w:p>
        </w:tc>
        <w:tc>
          <w:tcPr>
            <w:tcW w:w="2848" w:type="pct"/>
            <w:tcBorders>
              <w:top w:val="single" w:sz="4" w:space="0" w:color="auto"/>
              <w:left w:val="single" w:sz="4" w:space="0" w:color="auto"/>
              <w:bottom w:val="single" w:sz="4" w:space="0" w:color="auto"/>
              <w:right w:val="single" w:sz="4" w:space="0" w:color="auto"/>
            </w:tcBorders>
          </w:tcPr>
          <w:p w14:paraId="48204757" w14:textId="77777777" w:rsidR="00E23AAB" w:rsidRDefault="00E23AAB" w:rsidP="00FF0031">
            <w:pPr>
              <w:jc w:val="left"/>
              <w:rPr>
                <w:lang w:eastAsia="sl-SI"/>
              </w:rPr>
            </w:pPr>
            <w:r>
              <w:rPr>
                <w:lang w:eastAsia="sl-SI"/>
              </w:rPr>
              <w:t xml:space="preserve">Povprečna starost, </w:t>
            </w:r>
          </w:p>
          <w:p w14:paraId="195DA827" w14:textId="77777777" w:rsidR="00E23AAB" w:rsidRDefault="00E23AAB" w:rsidP="00FF0031">
            <w:pPr>
              <w:jc w:val="left"/>
              <w:rPr>
                <w:lang w:eastAsia="sl-SI"/>
              </w:rPr>
            </w:pPr>
            <w:r>
              <w:rPr>
                <w:lang w:eastAsia="sl-SI"/>
              </w:rPr>
              <w:t xml:space="preserve">Delež prebivalcev starih 65 let in več, </w:t>
            </w:r>
          </w:p>
          <w:p w14:paraId="3908A7F3" w14:textId="77777777" w:rsidR="00E23AAB" w:rsidRDefault="00E23AAB" w:rsidP="00FF0031">
            <w:pPr>
              <w:jc w:val="left"/>
              <w:rPr>
                <w:lang w:eastAsia="sl-SI"/>
              </w:rPr>
            </w:pPr>
            <w:r>
              <w:rPr>
                <w:lang w:eastAsia="sl-SI"/>
              </w:rPr>
              <w:t>Vrednost indeksa staranja</w:t>
            </w:r>
          </w:p>
        </w:tc>
        <w:tc>
          <w:tcPr>
            <w:tcW w:w="1046" w:type="pct"/>
            <w:tcBorders>
              <w:top w:val="single" w:sz="4" w:space="0" w:color="auto"/>
              <w:left w:val="single" w:sz="4" w:space="0" w:color="auto"/>
              <w:bottom w:val="single" w:sz="4" w:space="0" w:color="auto"/>
              <w:right w:val="single" w:sz="4" w:space="0" w:color="auto"/>
            </w:tcBorders>
          </w:tcPr>
          <w:p w14:paraId="1C1FEF92" w14:textId="77777777" w:rsidR="00E23AAB" w:rsidRDefault="00E23AAB" w:rsidP="00FF0031">
            <w:pPr>
              <w:rPr>
                <w:lang w:eastAsia="sl-SI"/>
              </w:rPr>
            </w:pPr>
            <w:r>
              <w:rPr>
                <w:lang w:eastAsia="sl-SI"/>
              </w:rPr>
              <w:t>Občutljivost</w:t>
            </w:r>
          </w:p>
        </w:tc>
      </w:tr>
      <w:tr w:rsidR="00E23AAB" w14:paraId="624C431A" w14:textId="77777777" w:rsidTr="00E23AAB">
        <w:tc>
          <w:tcPr>
            <w:tcW w:w="1106" w:type="pct"/>
            <w:tcBorders>
              <w:right w:val="single" w:sz="4" w:space="0" w:color="auto"/>
            </w:tcBorders>
          </w:tcPr>
          <w:p w14:paraId="1178ECC7" w14:textId="77777777" w:rsidR="00E23AAB" w:rsidRDefault="00E23AAB" w:rsidP="00FF0031">
            <w:pPr>
              <w:rPr>
                <w:lang w:eastAsia="sl-SI"/>
              </w:rPr>
            </w:pPr>
            <w:r>
              <w:rPr>
                <w:lang w:eastAsia="sl-SI"/>
              </w:rPr>
              <w:t>Sistem zdravstvenega varstva</w:t>
            </w:r>
          </w:p>
        </w:tc>
        <w:tc>
          <w:tcPr>
            <w:tcW w:w="2848" w:type="pct"/>
            <w:tcBorders>
              <w:top w:val="single" w:sz="4" w:space="0" w:color="auto"/>
              <w:left w:val="single" w:sz="4" w:space="0" w:color="auto"/>
              <w:bottom w:val="single" w:sz="4" w:space="0" w:color="auto"/>
              <w:right w:val="single" w:sz="4" w:space="0" w:color="auto"/>
            </w:tcBorders>
          </w:tcPr>
          <w:p w14:paraId="67203867" w14:textId="77777777" w:rsidR="00E23AAB" w:rsidRDefault="00E23AAB" w:rsidP="00FF0031">
            <w:pPr>
              <w:jc w:val="left"/>
              <w:rPr>
                <w:lang w:eastAsia="sl-SI"/>
              </w:rPr>
            </w:pPr>
            <w:r>
              <w:rPr>
                <w:lang w:eastAsia="sl-SI"/>
              </w:rPr>
              <w:t xml:space="preserve">Infrastruktura, </w:t>
            </w:r>
          </w:p>
          <w:p w14:paraId="5A20A467" w14:textId="77777777" w:rsidR="00E23AAB" w:rsidRDefault="00E23AAB" w:rsidP="00FF0031">
            <w:pPr>
              <w:jc w:val="left"/>
              <w:rPr>
                <w:lang w:eastAsia="sl-SI"/>
              </w:rPr>
            </w:pPr>
            <w:r>
              <w:rPr>
                <w:lang w:eastAsia="sl-SI"/>
              </w:rPr>
              <w:t>Zmogljivost zdravstvenega sistema</w:t>
            </w:r>
          </w:p>
        </w:tc>
        <w:tc>
          <w:tcPr>
            <w:tcW w:w="1046" w:type="pct"/>
            <w:tcBorders>
              <w:top w:val="single" w:sz="4" w:space="0" w:color="auto"/>
              <w:left w:val="single" w:sz="4" w:space="0" w:color="auto"/>
              <w:bottom w:val="single" w:sz="4" w:space="0" w:color="auto"/>
              <w:right w:val="single" w:sz="4" w:space="0" w:color="auto"/>
            </w:tcBorders>
          </w:tcPr>
          <w:p w14:paraId="314FED38" w14:textId="77777777" w:rsidR="00E23AAB" w:rsidRDefault="00E23AAB" w:rsidP="00FF0031">
            <w:pPr>
              <w:rPr>
                <w:lang w:eastAsia="sl-SI"/>
              </w:rPr>
            </w:pPr>
            <w:r>
              <w:rPr>
                <w:lang w:eastAsia="sl-SI"/>
              </w:rPr>
              <w:t>Občutljivost</w:t>
            </w:r>
          </w:p>
        </w:tc>
      </w:tr>
    </w:tbl>
    <w:p w14:paraId="22B71A68" w14:textId="77777777" w:rsidR="00E23AAB" w:rsidRDefault="00E23AAB" w:rsidP="00E23AAB">
      <w:pPr>
        <w:rPr>
          <w:lang w:eastAsia="sl-SI"/>
        </w:rPr>
      </w:pPr>
    </w:p>
    <w:p w14:paraId="657CD914" w14:textId="49ED7995" w:rsidR="00E23AAB" w:rsidRDefault="00E23AAB" w:rsidP="00E23AAB">
      <w:pPr>
        <w:rPr>
          <w:lang w:eastAsia="sl-SI"/>
        </w:rPr>
      </w:pPr>
      <w:r>
        <w:rPr>
          <w:lang w:eastAsia="sl-SI"/>
        </w:rPr>
        <w:t xml:space="preserve">Potencialni vplivi podnebnih sprememb so posledica dveh dejavnikov: izpostavljenosti prebivalstva (trenutnega in pričakovanega stanja podnebja) in njegove občutljivosti (zdravstvenega stanja, naravnega/fizičnega in socialnega okolja). </w:t>
      </w:r>
    </w:p>
    <w:p w14:paraId="75966F4C" w14:textId="77777777" w:rsidR="00DD497A" w:rsidRPr="000938AF" w:rsidRDefault="00DD497A" w:rsidP="00CE43D7">
      <w:pPr>
        <w:pStyle w:val="Naslov4"/>
      </w:pPr>
      <w:r w:rsidRPr="000938AF">
        <w:t>Izpostavljenost</w:t>
      </w:r>
    </w:p>
    <w:p w14:paraId="6A0AFF1C" w14:textId="22BA76C6" w:rsidR="00E23AAB" w:rsidRDefault="00E23AAB" w:rsidP="00E23AAB">
      <w:pPr>
        <w:rPr>
          <w:lang w:eastAsia="sl-SI"/>
        </w:rPr>
      </w:pPr>
      <w:r>
        <w:rPr>
          <w:lang w:eastAsia="sl-SI"/>
        </w:rPr>
        <w:t xml:space="preserve">Pri identifikaciji izpostavljenosti smo analizirali dejavnike, ki vplivajo na zdravje in posledično na zdravstvo in izhajajo iz trenutnega stanja podnebja (referenčno obdobje 1981-2010), ter iz </w:t>
      </w:r>
      <w:r>
        <w:rPr>
          <w:lang w:eastAsia="sl-SI"/>
        </w:rPr>
        <w:lastRenderedPageBreak/>
        <w:t>pričakovanih podnebnih sprememb po podnebnih scenarijih RCP 4.5 (obdobje 2011-2040) in RCP 8.5 (obdobje 2041-2070).</w:t>
      </w:r>
    </w:p>
    <w:p w14:paraId="505A34FA" w14:textId="33BF4885" w:rsidR="00E23AAB" w:rsidRDefault="00E23AAB" w:rsidP="00E23AAB">
      <w:pPr>
        <w:pStyle w:val="Napis"/>
        <w:keepNext/>
      </w:pPr>
      <w:bookmarkStart w:id="285" w:name="_Ref74910545"/>
      <w:bookmarkStart w:id="286" w:name="_Toc97026974"/>
      <w:r>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21</w:t>
      </w:r>
      <w:r w:rsidR="00976D80">
        <w:fldChar w:fldCharType="end"/>
      </w:r>
      <w:bookmarkEnd w:id="285"/>
      <w:r>
        <w:t>: Izpostavljenost nekaterim dejavnikom iz naravnega okolja v referenčnem obdobju in dveh prihodnjih tridesetletnih obdobjih (scenarij RCP4.5) (vir: ARSO, natančnejši opis v poglavju 4)</w:t>
      </w:r>
      <w:bookmarkEnd w:id="286"/>
    </w:p>
    <w:tbl>
      <w:tblPr>
        <w:tblStyle w:val="Tabelamrea"/>
        <w:tblW w:w="0" w:type="auto"/>
        <w:tblLook w:val="04A0" w:firstRow="1" w:lastRow="0" w:firstColumn="1" w:lastColumn="0" w:noHBand="0" w:noVBand="1"/>
      </w:tblPr>
      <w:tblGrid>
        <w:gridCol w:w="2407"/>
        <w:gridCol w:w="2407"/>
        <w:gridCol w:w="2407"/>
        <w:gridCol w:w="2407"/>
      </w:tblGrid>
      <w:tr w:rsidR="00E23AAB" w14:paraId="4FDA5258" w14:textId="77777777" w:rsidTr="00FF0031">
        <w:tc>
          <w:tcPr>
            <w:tcW w:w="2407" w:type="dxa"/>
            <w:tcBorders>
              <w:tl2br w:val="single" w:sz="4" w:space="0" w:color="auto"/>
            </w:tcBorders>
          </w:tcPr>
          <w:p w14:paraId="1349A2B9" w14:textId="77777777" w:rsidR="00E23AAB" w:rsidRDefault="00E23AAB" w:rsidP="00FF0031">
            <w:pPr>
              <w:rPr>
                <w:b/>
                <w:lang w:eastAsia="sl-SI"/>
              </w:rPr>
            </w:pPr>
            <w:r>
              <w:rPr>
                <w:b/>
                <w:lang w:eastAsia="sl-SI"/>
              </w:rPr>
              <w:t xml:space="preserve">   </w:t>
            </w:r>
          </w:p>
          <w:p w14:paraId="0AF44D48" w14:textId="0068F45A" w:rsidR="00E23AAB" w:rsidRDefault="00E23AAB" w:rsidP="00FF0031">
            <w:pPr>
              <w:rPr>
                <w:b/>
                <w:lang w:eastAsia="sl-SI"/>
              </w:rPr>
            </w:pPr>
            <w:r>
              <w:rPr>
                <w:b/>
                <w:lang w:eastAsia="sl-SI"/>
              </w:rPr>
              <w:t xml:space="preserve">      Obdobje</w:t>
            </w:r>
          </w:p>
          <w:p w14:paraId="59456DDD" w14:textId="77777777" w:rsidR="00E23AAB" w:rsidRDefault="00E23AAB" w:rsidP="00FF0031">
            <w:pPr>
              <w:rPr>
                <w:b/>
                <w:lang w:eastAsia="sl-SI"/>
              </w:rPr>
            </w:pPr>
          </w:p>
          <w:p w14:paraId="5794A5A7" w14:textId="77777777" w:rsidR="00E23AAB" w:rsidRDefault="00E23AAB" w:rsidP="00FF0031">
            <w:pPr>
              <w:rPr>
                <w:b/>
                <w:lang w:eastAsia="sl-SI"/>
              </w:rPr>
            </w:pPr>
          </w:p>
          <w:p w14:paraId="7CA3E6DC" w14:textId="77777777" w:rsidR="00E23AAB" w:rsidRDefault="00E23AAB" w:rsidP="00FF0031">
            <w:pPr>
              <w:rPr>
                <w:b/>
                <w:lang w:eastAsia="sl-SI"/>
              </w:rPr>
            </w:pPr>
          </w:p>
          <w:p w14:paraId="36DC750B" w14:textId="77777777" w:rsidR="00E23AAB" w:rsidRDefault="00E23AAB" w:rsidP="00FF0031">
            <w:pPr>
              <w:rPr>
                <w:b/>
                <w:lang w:eastAsia="sl-SI"/>
              </w:rPr>
            </w:pPr>
          </w:p>
          <w:p w14:paraId="4282E8DC" w14:textId="77777777" w:rsidR="00E23AAB" w:rsidRDefault="00E23AAB" w:rsidP="00FF0031">
            <w:pPr>
              <w:rPr>
                <w:b/>
                <w:lang w:eastAsia="sl-SI"/>
              </w:rPr>
            </w:pPr>
            <w:r>
              <w:rPr>
                <w:b/>
                <w:lang w:eastAsia="sl-SI"/>
              </w:rPr>
              <w:t xml:space="preserve">Izpostavljenost toploti in </w:t>
            </w:r>
          </w:p>
          <w:p w14:paraId="332C0CCD" w14:textId="77777777" w:rsidR="00E23AAB" w:rsidRDefault="00E23AAB" w:rsidP="00FF0031">
            <w:pPr>
              <w:rPr>
                <w:b/>
                <w:lang w:eastAsia="sl-SI"/>
              </w:rPr>
            </w:pPr>
            <w:r>
              <w:rPr>
                <w:b/>
                <w:lang w:eastAsia="sl-SI"/>
              </w:rPr>
              <w:t>padavinam</w:t>
            </w:r>
          </w:p>
          <w:p w14:paraId="3BF3D5E3" w14:textId="77777777" w:rsidR="00E23AAB" w:rsidRDefault="00E23AAB" w:rsidP="00FF0031">
            <w:pPr>
              <w:rPr>
                <w:b/>
                <w:lang w:eastAsia="sl-SI"/>
              </w:rPr>
            </w:pPr>
          </w:p>
        </w:tc>
        <w:tc>
          <w:tcPr>
            <w:tcW w:w="2407" w:type="dxa"/>
          </w:tcPr>
          <w:p w14:paraId="14612EE6" w14:textId="77777777" w:rsidR="00E23AAB" w:rsidRDefault="00E23AAB" w:rsidP="00FF0031">
            <w:pPr>
              <w:rPr>
                <w:b/>
                <w:lang w:eastAsia="sl-SI"/>
              </w:rPr>
            </w:pPr>
          </w:p>
          <w:p w14:paraId="6F50E154" w14:textId="77777777" w:rsidR="00E23AAB" w:rsidRDefault="00E23AAB" w:rsidP="00FF0031">
            <w:pPr>
              <w:rPr>
                <w:b/>
                <w:lang w:eastAsia="sl-SI"/>
              </w:rPr>
            </w:pPr>
            <w:r>
              <w:rPr>
                <w:b/>
                <w:lang w:eastAsia="sl-SI"/>
              </w:rPr>
              <w:t>Referenčno obdobje</w:t>
            </w:r>
          </w:p>
          <w:p w14:paraId="0CE14110" w14:textId="77777777" w:rsidR="00E23AAB" w:rsidRDefault="00E23AAB" w:rsidP="00FF0031">
            <w:pPr>
              <w:rPr>
                <w:b/>
                <w:lang w:eastAsia="sl-SI"/>
              </w:rPr>
            </w:pPr>
            <w:r>
              <w:rPr>
                <w:b/>
                <w:lang w:eastAsia="sl-SI"/>
              </w:rPr>
              <w:t>1981-2010</w:t>
            </w:r>
          </w:p>
        </w:tc>
        <w:tc>
          <w:tcPr>
            <w:tcW w:w="2407" w:type="dxa"/>
          </w:tcPr>
          <w:p w14:paraId="3889CBDE" w14:textId="77777777" w:rsidR="00E23AAB" w:rsidRDefault="00E23AAB" w:rsidP="00FF0031">
            <w:pPr>
              <w:pStyle w:val="Odstavekseznama"/>
              <w:spacing w:line="240" w:lineRule="auto"/>
              <w:rPr>
                <w:rFonts w:ascii="Trebuchet MS" w:hAnsi="Trebuchet MS"/>
                <w:b/>
                <w:szCs w:val="22"/>
                <w:lang w:eastAsia="sl-SI"/>
              </w:rPr>
            </w:pPr>
          </w:p>
          <w:p w14:paraId="195EE150" w14:textId="77777777" w:rsidR="00E23AAB" w:rsidRDefault="00E23AAB" w:rsidP="00F90C17">
            <w:pPr>
              <w:pStyle w:val="Odstavekseznama"/>
              <w:numPr>
                <w:ilvl w:val="0"/>
                <w:numId w:val="13"/>
              </w:numPr>
              <w:spacing w:line="240" w:lineRule="auto"/>
              <w:rPr>
                <w:rFonts w:ascii="Trebuchet MS" w:hAnsi="Trebuchet MS"/>
                <w:b/>
                <w:szCs w:val="22"/>
                <w:lang w:eastAsia="sl-SI"/>
              </w:rPr>
            </w:pPr>
            <w:r>
              <w:rPr>
                <w:rFonts w:ascii="Trebuchet MS" w:hAnsi="Trebuchet MS"/>
                <w:b/>
                <w:szCs w:val="22"/>
                <w:lang w:eastAsia="sl-SI"/>
              </w:rPr>
              <w:t xml:space="preserve">Obdobje </w:t>
            </w:r>
          </w:p>
          <w:p w14:paraId="67F66F7C" w14:textId="77777777" w:rsidR="00E23AAB" w:rsidRDefault="00E23AAB" w:rsidP="00FF0031">
            <w:pPr>
              <w:ind w:left="360"/>
              <w:rPr>
                <w:b/>
                <w:lang w:eastAsia="sl-SI"/>
              </w:rPr>
            </w:pPr>
            <w:r>
              <w:rPr>
                <w:b/>
                <w:lang w:eastAsia="sl-SI"/>
              </w:rPr>
              <w:t>2011-2040</w:t>
            </w:r>
          </w:p>
        </w:tc>
        <w:tc>
          <w:tcPr>
            <w:tcW w:w="2407" w:type="dxa"/>
          </w:tcPr>
          <w:p w14:paraId="741FD570" w14:textId="77777777" w:rsidR="00E23AAB" w:rsidRDefault="00E23AAB" w:rsidP="00FF0031">
            <w:pPr>
              <w:rPr>
                <w:b/>
                <w:lang w:eastAsia="sl-SI"/>
              </w:rPr>
            </w:pPr>
          </w:p>
          <w:p w14:paraId="044C3163" w14:textId="77777777" w:rsidR="00E23AAB" w:rsidRDefault="00E23AAB" w:rsidP="00F90C17">
            <w:pPr>
              <w:pStyle w:val="Odstavekseznama"/>
              <w:numPr>
                <w:ilvl w:val="0"/>
                <w:numId w:val="13"/>
              </w:numPr>
              <w:spacing w:line="240" w:lineRule="auto"/>
              <w:rPr>
                <w:rFonts w:ascii="Trebuchet MS" w:hAnsi="Trebuchet MS"/>
                <w:b/>
                <w:szCs w:val="22"/>
                <w:lang w:eastAsia="sl-SI"/>
              </w:rPr>
            </w:pPr>
            <w:r>
              <w:rPr>
                <w:rFonts w:ascii="Trebuchet MS" w:hAnsi="Trebuchet MS"/>
                <w:b/>
                <w:szCs w:val="22"/>
                <w:lang w:eastAsia="sl-SI"/>
              </w:rPr>
              <w:t xml:space="preserve">obdobje </w:t>
            </w:r>
          </w:p>
          <w:p w14:paraId="7A0F54A4" w14:textId="77777777" w:rsidR="00E23AAB" w:rsidRDefault="00E23AAB" w:rsidP="00FF0031">
            <w:pPr>
              <w:rPr>
                <w:b/>
                <w:lang w:eastAsia="sl-SI"/>
              </w:rPr>
            </w:pPr>
            <w:r>
              <w:rPr>
                <w:b/>
                <w:lang w:eastAsia="sl-SI"/>
              </w:rPr>
              <w:t>2041-2070</w:t>
            </w:r>
          </w:p>
          <w:p w14:paraId="392F01D4" w14:textId="77777777" w:rsidR="00E23AAB" w:rsidRDefault="00E23AAB" w:rsidP="00FF0031">
            <w:pPr>
              <w:rPr>
                <w:b/>
                <w:lang w:eastAsia="sl-SI"/>
              </w:rPr>
            </w:pPr>
          </w:p>
          <w:p w14:paraId="5B65EB5E" w14:textId="77777777" w:rsidR="00E23AAB" w:rsidRDefault="00E23AAB" w:rsidP="00FF0031">
            <w:pPr>
              <w:rPr>
                <w:b/>
                <w:lang w:eastAsia="sl-SI"/>
              </w:rPr>
            </w:pPr>
          </w:p>
          <w:p w14:paraId="70036EAE" w14:textId="77777777" w:rsidR="00E23AAB" w:rsidRDefault="00E23AAB" w:rsidP="00FF0031">
            <w:pPr>
              <w:rPr>
                <w:b/>
                <w:lang w:eastAsia="sl-SI"/>
              </w:rPr>
            </w:pPr>
          </w:p>
          <w:p w14:paraId="4EB9FAE0" w14:textId="77777777" w:rsidR="00E23AAB" w:rsidRDefault="00E23AAB" w:rsidP="00FF0031">
            <w:pPr>
              <w:rPr>
                <w:b/>
                <w:lang w:eastAsia="sl-SI"/>
              </w:rPr>
            </w:pPr>
          </w:p>
        </w:tc>
      </w:tr>
      <w:tr w:rsidR="00E23AAB" w14:paraId="6262B88A" w14:textId="77777777" w:rsidTr="00FF0031">
        <w:tc>
          <w:tcPr>
            <w:tcW w:w="2407" w:type="dxa"/>
          </w:tcPr>
          <w:p w14:paraId="0595D430" w14:textId="77777777" w:rsidR="00E23AAB" w:rsidRDefault="00E23AAB" w:rsidP="00FF0031">
            <w:pPr>
              <w:jc w:val="left"/>
              <w:rPr>
                <w:lang w:eastAsia="sl-SI"/>
              </w:rPr>
            </w:pPr>
            <w:r>
              <w:rPr>
                <w:lang w:eastAsia="sl-SI"/>
              </w:rPr>
              <w:t>Kazalnik vročine EHF* pozitiven</w:t>
            </w:r>
          </w:p>
        </w:tc>
        <w:tc>
          <w:tcPr>
            <w:tcW w:w="2407" w:type="dxa"/>
          </w:tcPr>
          <w:p w14:paraId="5FF9DD39" w14:textId="77777777" w:rsidR="00E23AAB" w:rsidRDefault="00E23AAB" w:rsidP="00FF0031">
            <w:pPr>
              <w:rPr>
                <w:lang w:eastAsia="sl-SI"/>
              </w:rPr>
            </w:pPr>
            <w:r>
              <w:rPr>
                <w:lang w:eastAsia="sl-SI"/>
              </w:rPr>
              <w:t>16 dni/leto</w:t>
            </w:r>
          </w:p>
        </w:tc>
        <w:tc>
          <w:tcPr>
            <w:tcW w:w="2407" w:type="dxa"/>
          </w:tcPr>
          <w:p w14:paraId="0FA8BEDC" w14:textId="77777777" w:rsidR="00E23AAB" w:rsidRDefault="00E23AAB" w:rsidP="00FF0031">
            <w:pPr>
              <w:rPr>
                <w:lang w:eastAsia="sl-SI"/>
              </w:rPr>
            </w:pPr>
            <w:r>
              <w:rPr>
                <w:lang w:eastAsia="sl-SI"/>
              </w:rPr>
              <w:t>+11 dni/leto</w:t>
            </w:r>
          </w:p>
        </w:tc>
        <w:tc>
          <w:tcPr>
            <w:tcW w:w="2407" w:type="dxa"/>
          </w:tcPr>
          <w:p w14:paraId="57AEA7A8" w14:textId="77777777" w:rsidR="00E23AAB" w:rsidRDefault="00E23AAB" w:rsidP="00FF0031">
            <w:pPr>
              <w:rPr>
                <w:lang w:eastAsia="sl-SI"/>
              </w:rPr>
            </w:pPr>
            <w:r>
              <w:rPr>
                <w:lang w:eastAsia="sl-SI"/>
              </w:rPr>
              <w:t>+24 dni/leto</w:t>
            </w:r>
          </w:p>
        </w:tc>
      </w:tr>
      <w:tr w:rsidR="00E23AAB" w14:paraId="1FA18E4C" w14:textId="77777777" w:rsidTr="00FF0031">
        <w:tc>
          <w:tcPr>
            <w:tcW w:w="2407" w:type="dxa"/>
          </w:tcPr>
          <w:p w14:paraId="004E5E2E" w14:textId="77777777" w:rsidR="00E23AAB" w:rsidRDefault="00E23AAB" w:rsidP="00FF0031">
            <w:pPr>
              <w:jc w:val="left"/>
              <w:rPr>
                <w:lang w:eastAsia="sl-SI"/>
              </w:rPr>
            </w:pPr>
            <w:r>
              <w:rPr>
                <w:lang w:eastAsia="sl-SI"/>
              </w:rPr>
              <w:t>Jakost vročinskih valov (najmočnejšega VV)</w:t>
            </w:r>
          </w:p>
        </w:tc>
        <w:tc>
          <w:tcPr>
            <w:tcW w:w="2407" w:type="dxa"/>
          </w:tcPr>
          <w:p w14:paraId="597FA83B" w14:textId="77777777" w:rsidR="00E23AAB" w:rsidRDefault="00E23AAB" w:rsidP="00FF0031">
            <w:pPr>
              <w:rPr>
                <w:lang w:eastAsia="sl-SI"/>
              </w:rPr>
            </w:pPr>
          </w:p>
        </w:tc>
        <w:tc>
          <w:tcPr>
            <w:tcW w:w="2407" w:type="dxa"/>
          </w:tcPr>
          <w:p w14:paraId="1165CF02" w14:textId="77777777" w:rsidR="00E23AAB" w:rsidRDefault="00E23AAB" w:rsidP="00FF0031">
            <w:pPr>
              <w:rPr>
                <w:lang w:eastAsia="sl-SI"/>
              </w:rPr>
            </w:pPr>
            <w:r>
              <w:rPr>
                <w:lang w:eastAsia="sl-SI"/>
              </w:rPr>
              <w:t>Nekoliko močnejši od današnjih</w:t>
            </w:r>
          </w:p>
        </w:tc>
        <w:tc>
          <w:tcPr>
            <w:tcW w:w="2407" w:type="dxa"/>
          </w:tcPr>
          <w:p w14:paraId="09C32CFD" w14:textId="77777777" w:rsidR="00E23AAB" w:rsidRDefault="00E23AAB" w:rsidP="00FF0031">
            <w:pPr>
              <w:rPr>
                <w:lang w:eastAsia="sl-SI"/>
              </w:rPr>
            </w:pPr>
            <w:r>
              <w:rPr>
                <w:lang w:eastAsia="sl-SI"/>
              </w:rPr>
              <w:t>Precej močnejši od današnjih</w:t>
            </w:r>
          </w:p>
        </w:tc>
      </w:tr>
      <w:tr w:rsidR="00E23AAB" w14:paraId="5BC6FB81" w14:textId="77777777" w:rsidTr="00FF0031">
        <w:tc>
          <w:tcPr>
            <w:tcW w:w="2407" w:type="dxa"/>
          </w:tcPr>
          <w:p w14:paraId="13DCCFC8" w14:textId="77777777" w:rsidR="00E23AAB" w:rsidRDefault="00E23AAB" w:rsidP="00FF0031">
            <w:pPr>
              <w:jc w:val="left"/>
              <w:rPr>
                <w:lang w:eastAsia="sl-SI"/>
              </w:rPr>
            </w:pPr>
            <w:r>
              <w:rPr>
                <w:lang w:eastAsia="sl-SI"/>
              </w:rPr>
              <w:t>Trajanje vročinskih valov**</w:t>
            </w:r>
          </w:p>
        </w:tc>
        <w:tc>
          <w:tcPr>
            <w:tcW w:w="2407" w:type="dxa"/>
          </w:tcPr>
          <w:p w14:paraId="191BDACA" w14:textId="77777777" w:rsidR="00E23AAB" w:rsidRDefault="00E23AAB" w:rsidP="00FF0031">
            <w:pPr>
              <w:rPr>
                <w:lang w:eastAsia="sl-SI"/>
              </w:rPr>
            </w:pPr>
          </w:p>
        </w:tc>
        <w:tc>
          <w:tcPr>
            <w:tcW w:w="2407" w:type="dxa"/>
          </w:tcPr>
          <w:p w14:paraId="5CA53486" w14:textId="77777777" w:rsidR="00E23AAB" w:rsidRPr="00884D31" w:rsidRDefault="00E23AAB" w:rsidP="00FF0031">
            <w:pPr>
              <w:rPr>
                <w:lang w:eastAsia="sl-SI"/>
              </w:rPr>
            </w:pPr>
            <w:r w:rsidRPr="00884D31">
              <w:rPr>
                <w:lang w:eastAsia="sl-SI"/>
              </w:rPr>
              <w:t>+1 dan/leto**</w:t>
            </w:r>
          </w:p>
        </w:tc>
        <w:tc>
          <w:tcPr>
            <w:tcW w:w="2407" w:type="dxa"/>
          </w:tcPr>
          <w:p w14:paraId="48DCDAE9" w14:textId="77777777" w:rsidR="00E23AAB" w:rsidRPr="00884D31" w:rsidRDefault="00E23AAB" w:rsidP="00FF0031">
            <w:pPr>
              <w:rPr>
                <w:lang w:eastAsia="sl-SI"/>
              </w:rPr>
            </w:pPr>
            <w:r w:rsidRPr="00884D31">
              <w:rPr>
                <w:lang w:eastAsia="sl-SI"/>
              </w:rPr>
              <w:t>+1dan/leto**</w:t>
            </w:r>
          </w:p>
        </w:tc>
      </w:tr>
      <w:tr w:rsidR="00E23AAB" w14:paraId="689F9867" w14:textId="77777777" w:rsidTr="00FF0031">
        <w:tc>
          <w:tcPr>
            <w:tcW w:w="2407" w:type="dxa"/>
          </w:tcPr>
          <w:p w14:paraId="7BAB5C0D" w14:textId="77777777" w:rsidR="00E23AAB" w:rsidRDefault="00E23AAB" w:rsidP="00FF0031">
            <w:pPr>
              <w:jc w:val="left"/>
              <w:rPr>
                <w:lang w:eastAsia="sl-SI"/>
              </w:rPr>
            </w:pPr>
            <w:r>
              <w:rPr>
                <w:lang w:eastAsia="sl-SI"/>
              </w:rPr>
              <w:t>Število vročinskih valov</w:t>
            </w:r>
          </w:p>
        </w:tc>
        <w:tc>
          <w:tcPr>
            <w:tcW w:w="2407" w:type="dxa"/>
          </w:tcPr>
          <w:p w14:paraId="77F756E8" w14:textId="77777777" w:rsidR="00E23AAB" w:rsidRDefault="00E23AAB" w:rsidP="00FF0031">
            <w:pPr>
              <w:rPr>
                <w:lang w:eastAsia="sl-SI"/>
              </w:rPr>
            </w:pPr>
            <w:r>
              <w:rPr>
                <w:lang w:eastAsia="sl-SI"/>
              </w:rPr>
              <w:t>Povprečno 4/leto</w:t>
            </w:r>
          </w:p>
        </w:tc>
        <w:tc>
          <w:tcPr>
            <w:tcW w:w="2407" w:type="dxa"/>
          </w:tcPr>
          <w:p w14:paraId="66CDE99B" w14:textId="77777777" w:rsidR="00E23AAB" w:rsidRDefault="00E23AAB" w:rsidP="00FF0031">
            <w:pPr>
              <w:rPr>
                <w:lang w:eastAsia="sl-SI"/>
              </w:rPr>
            </w:pPr>
            <w:r>
              <w:rPr>
                <w:lang w:eastAsia="sl-SI"/>
              </w:rPr>
              <w:t>Povprečno +1/leto</w:t>
            </w:r>
          </w:p>
        </w:tc>
        <w:tc>
          <w:tcPr>
            <w:tcW w:w="2407" w:type="dxa"/>
          </w:tcPr>
          <w:p w14:paraId="0487CBBC" w14:textId="77777777" w:rsidR="00E23AAB" w:rsidRDefault="00E23AAB" w:rsidP="00FF0031">
            <w:pPr>
              <w:rPr>
                <w:lang w:eastAsia="sl-SI"/>
              </w:rPr>
            </w:pPr>
            <w:r>
              <w:rPr>
                <w:lang w:eastAsia="sl-SI"/>
              </w:rPr>
              <w:t>Povprečno +2/leto</w:t>
            </w:r>
          </w:p>
        </w:tc>
      </w:tr>
      <w:tr w:rsidR="00E23AAB" w14:paraId="1F5E66D2" w14:textId="77777777" w:rsidTr="00FF0031">
        <w:tc>
          <w:tcPr>
            <w:tcW w:w="2407" w:type="dxa"/>
          </w:tcPr>
          <w:p w14:paraId="4DA68E98" w14:textId="77777777" w:rsidR="00E23AAB" w:rsidRDefault="00E23AAB" w:rsidP="00FF0031">
            <w:pPr>
              <w:rPr>
                <w:lang w:eastAsia="sl-SI"/>
              </w:rPr>
            </w:pPr>
            <w:r>
              <w:rPr>
                <w:lang w:eastAsia="sl-SI"/>
              </w:rPr>
              <w:t>Število vročih dni</w:t>
            </w:r>
          </w:p>
        </w:tc>
        <w:tc>
          <w:tcPr>
            <w:tcW w:w="2407" w:type="dxa"/>
          </w:tcPr>
          <w:p w14:paraId="09B93BA2" w14:textId="77777777" w:rsidR="00E23AAB" w:rsidRDefault="00E23AAB" w:rsidP="00FF0031">
            <w:pPr>
              <w:rPr>
                <w:lang w:eastAsia="sl-SI"/>
              </w:rPr>
            </w:pPr>
            <w:r>
              <w:rPr>
                <w:lang w:eastAsia="sl-SI"/>
              </w:rPr>
              <w:t>povprečno 13 dni/leto, v mestu Nova Gorica: 22 dni/leto</w:t>
            </w:r>
          </w:p>
          <w:p w14:paraId="2231643C" w14:textId="77777777" w:rsidR="00E23AAB" w:rsidRDefault="00E23AAB" w:rsidP="00FF0031">
            <w:pPr>
              <w:rPr>
                <w:lang w:eastAsia="sl-SI"/>
              </w:rPr>
            </w:pPr>
          </w:p>
        </w:tc>
        <w:tc>
          <w:tcPr>
            <w:tcW w:w="2407" w:type="dxa"/>
          </w:tcPr>
          <w:p w14:paraId="5BDF15FB" w14:textId="77777777" w:rsidR="00E23AAB" w:rsidRDefault="00E23AAB" w:rsidP="00FF0031">
            <w:pPr>
              <w:rPr>
                <w:lang w:eastAsia="sl-SI"/>
              </w:rPr>
            </w:pPr>
            <w:r>
              <w:rPr>
                <w:lang w:eastAsia="sl-SI"/>
              </w:rPr>
              <w:t xml:space="preserve">+7 dni/leto; </w:t>
            </w:r>
          </w:p>
          <w:p w14:paraId="185B2344" w14:textId="77777777" w:rsidR="00E23AAB" w:rsidRDefault="00E23AAB" w:rsidP="00FF0031">
            <w:pPr>
              <w:rPr>
                <w:lang w:eastAsia="sl-SI"/>
              </w:rPr>
            </w:pPr>
            <w:r>
              <w:rPr>
                <w:lang w:eastAsia="sl-SI"/>
              </w:rPr>
              <w:t xml:space="preserve">v mestu: +10 dni/leto </w:t>
            </w:r>
          </w:p>
          <w:p w14:paraId="7B649C73" w14:textId="77777777" w:rsidR="00E23AAB" w:rsidRDefault="00E23AAB" w:rsidP="00FF0031">
            <w:pPr>
              <w:rPr>
                <w:lang w:eastAsia="sl-SI"/>
              </w:rPr>
            </w:pPr>
          </w:p>
        </w:tc>
        <w:tc>
          <w:tcPr>
            <w:tcW w:w="2407" w:type="dxa"/>
          </w:tcPr>
          <w:p w14:paraId="5DD2E32F" w14:textId="77777777" w:rsidR="00E23AAB" w:rsidRDefault="00E23AAB" w:rsidP="00FF0031">
            <w:pPr>
              <w:rPr>
                <w:lang w:eastAsia="sl-SI"/>
              </w:rPr>
            </w:pPr>
            <w:r>
              <w:rPr>
                <w:lang w:eastAsia="sl-SI"/>
              </w:rPr>
              <w:t xml:space="preserve">+15-17  dni/leto; v mestu: + 20-21 dni/leto </w:t>
            </w:r>
          </w:p>
          <w:p w14:paraId="7E626234" w14:textId="77777777" w:rsidR="00E23AAB" w:rsidRDefault="00E23AAB" w:rsidP="00FF0031">
            <w:pPr>
              <w:rPr>
                <w:lang w:eastAsia="sl-SI"/>
              </w:rPr>
            </w:pPr>
          </w:p>
        </w:tc>
      </w:tr>
      <w:tr w:rsidR="00E23AAB" w14:paraId="3F235ED5" w14:textId="77777777" w:rsidTr="00FF0031">
        <w:tc>
          <w:tcPr>
            <w:tcW w:w="2407" w:type="dxa"/>
          </w:tcPr>
          <w:p w14:paraId="039B3892" w14:textId="77777777" w:rsidR="00E23AAB" w:rsidRDefault="00E23AAB" w:rsidP="00FF0031">
            <w:pPr>
              <w:rPr>
                <w:lang w:eastAsia="sl-SI"/>
              </w:rPr>
            </w:pPr>
            <w:r>
              <w:rPr>
                <w:lang w:eastAsia="sl-SI"/>
              </w:rPr>
              <w:t>Število tropskih noči</w:t>
            </w:r>
          </w:p>
        </w:tc>
        <w:tc>
          <w:tcPr>
            <w:tcW w:w="2407" w:type="dxa"/>
          </w:tcPr>
          <w:p w14:paraId="74D5E7F1" w14:textId="77777777" w:rsidR="00E23AAB" w:rsidRDefault="00E23AAB" w:rsidP="00FF0031">
            <w:pPr>
              <w:rPr>
                <w:lang w:eastAsia="sl-SI"/>
              </w:rPr>
            </w:pPr>
            <w:r>
              <w:rPr>
                <w:lang w:eastAsia="sl-SI"/>
              </w:rPr>
              <w:t>Povprečno 1 /leto; v mestu povprečno 3/leto</w:t>
            </w:r>
          </w:p>
        </w:tc>
        <w:tc>
          <w:tcPr>
            <w:tcW w:w="2407" w:type="dxa"/>
          </w:tcPr>
          <w:p w14:paraId="4D2FFD83" w14:textId="77777777" w:rsidR="00E23AAB" w:rsidRDefault="00E23AAB" w:rsidP="00FF0031">
            <w:pPr>
              <w:rPr>
                <w:lang w:eastAsia="sl-SI"/>
              </w:rPr>
            </w:pPr>
            <w:r>
              <w:rPr>
                <w:lang w:eastAsia="sl-SI"/>
              </w:rPr>
              <w:t xml:space="preserve">+2 -3/leto; </w:t>
            </w:r>
          </w:p>
          <w:p w14:paraId="451D7942" w14:textId="77777777" w:rsidR="00E23AAB" w:rsidRDefault="00E23AAB" w:rsidP="00FF0031">
            <w:pPr>
              <w:rPr>
                <w:lang w:eastAsia="sl-SI"/>
              </w:rPr>
            </w:pPr>
            <w:r>
              <w:rPr>
                <w:lang w:eastAsia="sl-SI"/>
              </w:rPr>
              <w:t xml:space="preserve">v mestu +5/leto </w:t>
            </w:r>
          </w:p>
          <w:p w14:paraId="16C1BDAF" w14:textId="77777777" w:rsidR="00E23AAB" w:rsidRDefault="00E23AAB" w:rsidP="00FF0031">
            <w:pPr>
              <w:rPr>
                <w:lang w:eastAsia="sl-SI"/>
              </w:rPr>
            </w:pPr>
          </w:p>
        </w:tc>
        <w:tc>
          <w:tcPr>
            <w:tcW w:w="2407" w:type="dxa"/>
          </w:tcPr>
          <w:p w14:paraId="21969AD9" w14:textId="77777777" w:rsidR="00E23AAB" w:rsidRDefault="00E23AAB" w:rsidP="00FF0031">
            <w:pPr>
              <w:rPr>
                <w:lang w:eastAsia="sl-SI"/>
              </w:rPr>
            </w:pPr>
            <w:r>
              <w:rPr>
                <w:lang w:eastAsia="sl-SI"/>
              </w:rPr>
              <w:t xml:space="preserve">+8/leto; </w:t>
            </w:r>
          </w:p>
          <w:p w14:paraId="29BF3A1F" w14:textId="77777777" w:rsidR="00E23AAB" w:rsidRDefault="00E23AAB" w:rsidP="00FF0031">
            <w:pPr>
              <w:rPr>
                <w:lang w:eastAsia="sl-SI"/>
              </w:rPr>
            </w:pPr>
            <w:r>
              <w:rPr>
                <w:lang w:eastAsia="sl-SI"/>
              </w:rPr>
              <w:t xml:space="preserve">v mestu +13/leto </w:t>
            </w:r>
          </w:p>
          <w:p w14:paraId="28256F16" w14:textId="77777777" w:rsidR="00E23AAB" w:rsidRDefault="00E23AAB" w:rsidP="00FF0031">
            <w:pPr>
              <w:rPr>
                <w:lang w:eastAsia="sl-SI"/>
              </w:rPr>
            </w:pPr>
          </w:p>
        </w:tc>
      </w:tr>
      <w:tr w:rsidR="00E23AAB" w14:paraId="7303BA9F" w14:textId="77777777" w:rsidTr="00FF0031">
        <w:tc>
          <w:tcPr>
            <w:tcW w:w="2407" w:type="dxa"/>
          </w:tcPr>
          <w:p w14:paraId="4AF9E1ED" w14:textId="77777777" w:rsidR="00E23AAB" w:rsidRDefault="00E23AAB" w:rsidP="00FF0031">
            <w:pPr>
              <w:rPr>
                <w:lang w:eastAsia="sl-SI"/>
              </w:rPr>
            </w:pPr>
            <w:r>
              <w:rPr>
                <w:lang w:eastAsia="sl-SI"/>
              </w:rPr>
              <w:t>Izjemne padavine</w:t>
            </w:r>
          </w:p>
        </w:tc>
        <w:tc>
          <w:tcPr>
            <w:tcW w:w="2407" w:type="dxa"/>
          </w:tcPr>
          <w:p w14:paraId="6F5D250D" w14:textId="77777777" w:rsidR="00E23AAB" w:rsidRDefault="00E23AAB" w:rsidP="00FF0031">
            <w:pPr>
              <w:rPr>
                <w:lang w:eastAsia="sl-SI"/>
              </w:rPr>
            </w:pPr>
          </w:p>
        </w:tc>
        <w:tc>
          <w:tcPr>
            <w:tcW w:w="4814" w:type="dxa"/>
            <w:gridSpan w:val="2"/>
          </w:tcPr>
          <w:p w14:paraId="63634966" w14:textId="77777777" w:rsidR="00E23AAB" w:rsidRDefault="00E23AAB" w:rsidP="00FF0031">
            <w:pPr>
              <w:rPr>
                <w:lang w:eastAsia="sl-SI"/>
              </w:rPr>
            </w:pPr>
            <w:r>
              <w:rPr>
                <w:lang w:eastAsia="sl-SI"/>
              </w:rPr>
              <w:t>Povečala se bosta tako jakost kot pogostost izjemnih padavin (za povprečno1 dan/leto)</w:t>
            </w:r>
          </w:p>
        </w:tc>
      </w:tr>
    </w:tbl>
    <w:p w14:paraId="711B6D87" w14:textId="77777777" w:rsidR="00E23AAB" w:rsidRPr="00E23AAB" w:rsidRDefault="00E23AAB" w:rsidP="00E23AAB">
      <w:pPr>
        <w:spacing w:after="0" w:line="240" w:lineRule="auto"/>
        <w:rPr>
          <w:sz w:val="20"/>
          <w:szCs w:val="20"/>
          <w:lang w:eastAsia="sl-SI"/>
        </w:rPr>
      </w:pPr>
      <w:r w:rsidRPr="00E23AAB">
        <w:rPr>
          <w:sz w:val="20"/>
          <w:szCs w:val="20"/>
          <w:lang w:eastAsia="sl-SI"/>
        </w:rPr>
        <w:t xml:space="preserve">*EHF: </w:t>
      </w:r>
      <w:proofErr w:type="spellStart"/>
      <w:r w:rsidRPr="00E23AAB">
        <w:rPr>
          <w:sz w:val="20"/>
          <w:szCs w:val="20"/>
          <w:lang w:eastAsia="sl-SI"/>
        </w:rPr>
        <w:t>Excess</w:t>
      </w:r>
      <w:proofErr w:type="spellEnd"/>
      <w:r w:rsidRPr="00E23AAB">
        <w:rPr>
          <w:sz w:val="20"/>
          <w:szCs w:val="20"/>
          <w:lang w:eastAsia="sl-SI"/>
        </w:rPr>
        <w:t xml:space="preserve"> </w:t>
      </w:r>
      <w:proofErr w:type="spellStart"/>
      <w:r w:rsidRPr="00E23AAB">
        <w:rPr>
          <w:sz w:val="20"/>
          <w:szCs w:val="20"/>
          <w:lang w:eastAsia="sl-SI"/>
        </w:rPr>
        <w:t>Heat</w:t>
      </w:r>
      <w:proofErr w:type="spellEnd"/>
      <w:r w:rsidRPr="00E23AAB">
        <w:rPr>
          <w:sz w:val="20"/>
          <w:szCs w:val="20"/>
          <w:lang w:eastAsia="sl-SI"/>
        </w:rPr>
        <w:t xml:space="preserve"> </w:t>
      </w:r>
      <w:proofErr w:type="spellStart"/>
      <w:r w:rsidRPr="00E23AAB">
        <w:rPr>
          <w:sz w:val="20"/>
          <w:szCs w:val="20"/>
          <w:lang w:eastAsia="sl-SI"/>
        </w:rPr>
        <w:t>Factor</w:t>
      </w:r>
      <w:proofErr w:type="spellEnd"/>
      <w:r w:rsidRPr="00E23AAB">
        <w:rPr>
          <w:sz w:val="20"/>
          <w:szCs w:val="20"/>
          <w:lang w:eastAsia="sl-SI"/>
        </w:rPr>
        <w:t xml:space="preserve"> – kazalnik vročine, ki izkazuje toplotno obremenitev v dneh, ko je vroče tako čez dan, kot tudi nadpovprečno toplo ponoči (več v poglavju 4)</w:t>
      </w:r>
    </w:p>
    <w:p w14:paraId="4445D957" w14:textId="77777777" w:rsidR="00E23AAB" w:rsidRPr="00E23AAB" w:rsidRDefault="00E23AAB" w:rsidP="00E23AAB">
      <w:pPr>
        <w:rPr>
          <w:sz w:val="20"/>
          <w:szCs w:val="20"/>
          <w:lang w:eastAsia="sl-SI"/>
        </w:rPr>
      </w:pPr>
      <w:r w:rsidRPr="00E23AAB">
        <w:rPr>
          <w:sz w:val="20"/>
          <w:szCs w:val="20"/>
          <w:lang w:eastAsia="sl-SI"/>
        </w:rPr>
        <w:t>**Dolžina posameznega vročinskega vala bo v tem obdobju daljša za povprečno 1 dan.</w:t>
      </w:r>
    </w:p>
    <w:p w14:paraId="5F12B5C6" w14:textId="77777777" w:rsidR="00E23AAB" w:rsidRDefault="00E23AAB" w:rsidP="00E23AAB">
      <w:pPr>
        <w:rPr>
          <w:rFonts w:cs="Times New Roman"/>
          <w:color w:val="000000"/>
        </w:rPr>
      </w:pPr>
      <w:r>
        <w:rPr>
          <w:rFonts w:cs="Times New Roman"/>
          <w:color w:val="000000"/>
        </w:rPr>
        <w:t>V občini so grozeči zemeljski plazovi od tega sta dva velika plazova: plaz Gradišče na d Prvačino in plaz Šmihel. Ostankov industrijskih odlagališč ni (vir: Mestna Občina Nova Gorica).</w:t>
      </w:r>
    </w:p>
    <w:p w14:paraId="4B21746D" w14:textId="77777777" w:rsidR="00E23AAB" w:rsidRDefault="00E23AAB" w:rsidP="00E23AAB">
      <w:pPr>
        <w:rPr>
          <w:rFonts w:cs="Times New Roman"/>
          <w:color w:val="000000"/>
        </w:rPr>
      </w:pPr>
      <w:r>
        <w:rPr>
          <w:rFonts w:cs="Times New Roman"/>
          <w:color w:val="000000"/>
        </w:rPr>
        <w:t xml:space="preserve">V spomladanskem in poletnem času nastajajo suše in s tem požari v naravi. V jesenskih mesecih pa se v kratkem času zlije enormna količina padavin, kar povzroča poplave in plazove (vir: Mestna Občina Nova Gorica). </w:t>
      </w:r>
    </w:p>
    <w:p w14:paraId="05BC3FD0" w14:textId="77777777" w:rsidR="00E23AAB" w:rsidRDefault="00E23AAB" w:rsidP="00E23AAB">
      <w:pPr>
        <w:pStyle w:val="Naslov5"/>
      </w:pPr>
      <w:r>
        <w:t xml:space="preserve">Izpostavljenost </w:t>
      </w:r>
      <w:proofErr w:type="spellStart"/>
      <w:r>
        <w:t>troposferskemu</w:t>
      </w:r>
      <w:proofErr w:type="spellEnd"/>
      <w:r>
        <w:t xml:space="preserve"> ozonu</w:t>
      </w:r>
    </w:p>
    <w:p w14:paraId="21E8B680" w14:textId="77777777" w:rsidR="00E23AAB" w:rsidRDefault="00E23AAB" w:rsidP="00E23AAB">
      <w:r>
        <w:rPr>
          <w:rFonts w:cs="Arial"/>
        </w:rPr>
        <w:t xml:space="preserve">Prebivalci Mestne občine Nova Gorica so izpostavljeni </w:t>
      </w:r>
      <w:proofErr w:type="spellStart"/>
      <w:r>
        <w:rPr>
          <w:rFonts w:cs="Arial"/>
        </w:rPr>
        <w:t>troposferskemu</w:t>
      </w:r>
      <w:proofErr w:type="spellEnd"/>
      <w:r>
        <w:rPr>
          <w:rFonts w:cs="Arial"/>
        </w:rPr>
        <w:t xml:space="preserve"> (ali </w:t>
      </w:r>
      <w:proofErr w:type="spellStart"/>
      <w:r>
        <w:rPr>
          <w:rFonts w:cs="Arial"/>
        </w:rPr>
        <w:t>prizemnemu</w:t>
      </w:r>
      <w:proofErr w:type="spellEnd"/>
      <w:r>
        <w:rPr>
          <w:rFonts w:cs="Arial"/>
        </w:rPr>
        <w:t xml:space="preserve">) ozonu. </w:t>
      </w:r>
      <w:proofErr w:type="spellStart"/>
      <w:r>
        <w:rPr>
          <w:lang w:eastAsia="sl-SI"/>
        </w:rPr>
        <w:t>Troposferski</w:t>
      </w:r>
      <w:proofErr w:type="spellEnd"/>
      <w:r>
        <w:rPr>
          <w:lang w:eastAsia="sl-SI"/>
        </w:rPr>
        <w:t xml:space="preserve"> ozon nastaja s kemijsko reakcijo med dušikovimi oksidi in lahko hlapnimi ogljikovodiki ob prisotnosti sončne svetlobe (fotokemična reakcija). Snovem, iz katerih nastane </w:t>
      </w:r>
      <w:proofErr w:type="spellStart"/>
      <w:r>
        <w:rPr>
          <w:lang w:eastAsia="sl-SI"/>
        </w:rPr>
        <w:t>troposferski</w:t>
      </w:r>
      <w:proofErr w:type="spellEnd"/>
      <w:r>
        <w:rPr>
          <w:lang w:eastAsia="sl-SI"/>
        </w:rPr>
        <w:t xml:space="preserve"> </w:t>
      </w:r>
      <w:r>
        <w:rPr>
          <w:lang w:eastAsia="sl-SI"/>
        </w:rPr>
        <w:lastRenderedPageBreak/>
        <w:t xml:space="preserve">ozon, pravimo predhodniki ozona. Viri predhodnikov ozona so predvsem promet, kurišča, industrija, bencinske črpalke, kemične čistilnice, pomemben vir pa je tudi narava. Reakcije so bolj intenzivne, čim višja je temperatura zraka in čim močnejše je sončno sevanje, zato so koncentracije </w:t>
      </w:r>
      <w:proofErr w:type="spellStart"/>
      <w:r>
        <w:rPr>
          <w:lang w:eastAsia="sl-SI"/>
        </w:rPr>
        <w:t>troposferskega</w:t>
      </w:r>
      <w:proofErr w:type="spellEnd"/>
      <w:r>
        <w:rPr>
          <w:lang w:eastAsia="sl-SI"/>
        </w:rPr>
        <w:t xml:space="preserve"> ozona običajno največje poleti in na višjih nadmorskih legah. </w:t>
      </w:r>
      <w:r>
        <w:t>Kratkoročna (nekaj ur ali dni) ali dolgoročna (več mesecev ali let) izpostavljenost ljudi ozonu lahko povzroči številne škodljive strukturne, funkcionalne in biokemijske spremembe v dihalnem sistemu, ki so povezane z zmanjšanjem pljučne funkcije, povečanjem odzivnosti dihal, oslabitvijo obrambnega mehanizma dihal in poslabšanjem astme. Novejše raziskave so pokazale tudi sistemske škodljive učinke ozona, med drugim vplive na delovanje srca, razvoj ateroskleroze in vpliv na večjo obolevnost ter umrljivost zaradi bolezni dihal in srčno žilnih bolezni (WHO, 2013; WHO, 2008).</w:t>
      </w:r>
    </w:p>
    <w:p w14:paraId="77AE1F38" w14:textId="77777777" w:rsidR="00E23AAB" w:rsidRDefault="00E23AAB" w:rsidP="00E23AAB">
      <w:r>
        <w:rPr>
          <w:rFonts w:cs="Arial"/>
        </w:rPr>
        <w:t xml:space="preserve">Glede na spremljanje kakovosti zraka na merilnem mestu Nova Gorica, ki je reprezentativno za Mestno občino Nova Gorica, lahko sklepamo, da so prebivalci Mestne občine Nova Gorica občasno izpostavljeni povečanim koncentracijam </w:t>
      </w:r>
      <w:proofErr w:type="spellStart"/>
      <w:r>
        <w:rPr>
          <w:rFonts w:cs="Arial"/>
        </w:rPr>
        <w:t>troposferskega</w:t>
      </w:r>
      <w:proofErr w:type="spellEnd"/>
      <w:r>
        <w:rPr>
          <w:rFonts w:cs="Arial"/>
        </w:rPr>
        <w:t xml:space="preserve"> ozona. V zadnjem </w:t>
      </w:r>
      <w:r>
        <w:t xml:space="preserve">triletnem povprečju (2019) je bila ciljna vrednost (CV) na tem merilnem mestu presežena 42 krat, kar uvršča to merilno mesto na 4. mesto za Krvavcem, Otlico in Koprom. Ciljna vrednost (CV) se uporablja za varovanje zdravja ljudi in znaša 120 </w:t>
      </w:r>
      <w:proofErr w:type="spellStart"/>
      <w:r>
        <w:t>μg</w:t>
      </w:r>
      <w:proofErr w:type="spellEnd"/>
      <w:r>
        <w:t>/m</w:t>
      </w:r>
      <w:r>
        <w:rPr>
          <w:vertAlign w:val="superscript"/>
        </w:rPr>
        <w:t>3</w:t>
      </w:r>
      <w:r>
        <w:t xml:space="preserve">. </w:t>
      </w:r>
    </w:p>
    <w:p w14:paraId="6DF09590" w14:textId="7C8180AC" w:rsidR="00E23AAB" w:rsidRDefault="00E23AAB" w:rsidP="00E23AAB">
      <w:pPr>
        <w:spacing w:after="0" w:line="240" w:lineRule="auto"/>
      </w:pPr>
      <w:r>
        <w:t xml:space="preserve">V letu 2019 je bilo na merilnem mestu Nova Gorica tudi 5 preseganj opozorilne vrednosti (OV). V obdobju 2010-2019 je bila OV presežena 64 ur, s čimer se glede preseganja OV Nova Gorica uvršča na 2. mesto (za Otlico). Opozorilna vrednost znaša 180 </w:t>
      </w:r>
      <w:proofErr w:type="spellStart"/>
      <w:r>
        <w:t>μg</w:t>
      </w:r>
      <w:proofErr w:type="spellEnd"/>
      <w:r>
        <w:t>/m</w:t>
      </w:r>
      <w:r>
        <w:rPr>
          <w:vertAlign w:val="superscript"/>
        </w:rPr>
        <w:t>3</w:t>
      </w:r>
      <w:r>
        <w:t xml:space="preserve"> in se uporablja za zaščito prebivalstva pred kratkotrajno izpostavljenostjo velikim koncentracijam </w:t>
      </w:r>
      <w:proofErr w:type="spellStart"/>
      <w:r>
        <w:t>troposferskega</w:t>
      </w:r>
      <w:proofErr w:type="spellEnd"/>
      <w:r>
        <w:t xml:space="preserve"> ozona (</w:t>
      </w:r>
      <w:proofErr w:type="spellStart"/>
      <w:r>
        <w:t>Ur.l</w:t>
      </w:r>
      <w:proofErr w:type="spellEnd"/>
      <w:r>
        <w:t xml:space="preserve">. RS, št. 9/2011, 8/2015 in </w:t>
      </w:r>
      <w:hyperlink r:id="rId141" w:tgtFrame="_blank" w:tooltip="Uredba o spremembah Uredbe o kakovosti zunanjega zraka" w:history="1">
        <w:r>
          <w:t>66/18</w:t>
        </w:r>
      </w:hyperlink>
      <w:r>
        <w:t>).</w:t>
      </w:r>
    </w:p>
    <w:p w14:paraId="41A696A5" w14:textId="77777777" w:rsidR="00E23AAB" w:rsidRDefault="00E23AAB" w:rsidP="00E23AAB">
      <w:r>
        <w:t>Na merilnem mestu Nova Gorica so izračunane tudi vrednosti kazalca SOMO</w:t>
      </w:r>
      <w:r>
        <w:rPr>
          <w:vertAlign w:val="subscript"/>
        </w:rPr>
        <w:t>35</w:t>
      </w:r>
      <w:r>
        <w:t xml:space="preserve"> (Sum of Ozone </w:t>
      </w:r>
      <w:proofErr w:type="spellStart"/>
      <w:r>
        <w:t>Means</w:t>
      </w:r>
      <w:proofErr w:type="spellEnd"/>
      <w:r>
        <w:t xml:space="preserve"> </w:t>
      </w:r>
      <w:proofErr w:type="spellStart"/>
      <w:r>
        <w:t>Over</w:t>
      </w:r>
      <w:proofErr w:type="spellEnd"/>
      <w:r>
        <w:t xml:space="preserve"> 35 </w:t>
      </w:r>
      <w:proofErr w:type="spellStart"/>
      <w:r>
        <w:t>ppb</w:t>
      </w:r>
      <w:proofErr w:type="spellEnd"/>
      <w:r>
        <w:t xml:space="preserve">), ki kažejo, da so k izpostavljenosti ozonu v letu 2019 najbolj prispevali meseci od aprila do oktobra (NIJZ 2, </w:t>
      </w:r>
      <w:proofErr w:type="spellStart"/>
      <w:r>
        <w:t>Šömen</w:t>
      </w:r>
      <w:proofErr w:type="spellEnd"/>
      <w:r>
        <w:t xml:space="preserve"> </w:t>
      </w:r>
      <w:proofErr w:type="spellStart"/>
      <w:r>
        <w:t>Joksić</w:t>
      </w:r>
      <w:proofErr w:type="spellEnd"/>
      <w:r>
        <w:t>, 2018). Kazalec SOMO</w:t>
      </w:r>
      <w:r>
        <w:rPr>
          <w:vertAlign w:val="subscript"/>
        </w:rPr>
        <w:t>35</w:t>
      </w:r>
      <w:r>
        <w:t xml:space="preserve"> predstavlja kumulativno letno izpostavljenost ozonu in se izraža v </w:t>
      </w:r>
      <w:r>
        <w:sym w:font="Symbol" w:char="F06D"/>
      </w:r>
      <w:r>
        <w:t>g/m</w:t>
      </w:r>
      <w:r>
        <w:rPr>
          <w:vertAlign w:val="superscript"/>
        </w:rPr>
        <w:t>3</w:t>
      </w:r>
      <w:r>
        <w:t xml:space="preserve">.d. (NIJZ 2, </w:t>
      </w:r>
      <w:proofErr w:type="spellStart"/>
      <w:r>
        <w:t>Šömen</w:t>
      </w:r>
      <w:proofErr w:type="spellEnd"/>
      <w:r>
        <w:t xml:space="preserve"> </w:t>
      </w:r>
      <w:proofErr w:type="spellStart"/>
      <w:r>
        <w:t>Joksić</w:t>
      </w:r>
      <w:proofErr w:type="spellEnd"/>
      <w:r>
        <w:t>, 2018).</w:t>
      </w:r>
    </w:p>
    <w:p w14:paraId="2EEE0FFC" w14:textId="77777777" w:rsidR="00E23AAB" w:rsidRDefault="00E23AAB" w:rsidP="00E23AAB">
      <w:pPr>
        <w:rPr>
          <w:rStyle w:val="tlid-translation"/>
        </w:rPr>
      </w:pPr>
      <w:r>
        <w:rPr>
          <w:rFonts w:cs="Arial"/>
        </w:rPr>
        <w:t xml:space="preserve">Napovedi </w:t>
      </w:r>
      <w:r>
        <w:rPr>
          <w:rStyle w:val="tlid-translation"/>
        </w:rPr>
        <w:t xml:space="preserve">kažejo, da naj bi podnebne spremembe vplivale na prihodnje ravni </w:t>
      </w:r>
      <w:proofErr w:type="spellStart"/>
      <w:r>
        <w:rPr>
          <w:rStyle w:val="tlid-translation"/>
        </w:rPr>
        <w:t>troposferskega</w:t>
      </w:r>
      <w:proofErr w:type="spellEnd"/>
      <w:r>
        <w:rPr>
          <w:rStyle w:val="tlid-translation"/>
        </w:rPr>
        <w:t xml:space="preserve"> ozona tako zaradi sprememb meteoroloških razmer kot zaradi povečanih emisij specifičnih predhodnikov ozona, kot na primer iz vegetacije pri višjih temperaturah, in/ali emisij iz požarov v naravi zaradi suše. Potencialno povečanje koncentracij </w:t>
      </w:r>
      <w:proofErr w:type="spellStart"/>
      <w:r>
        <w:rPr>
          <w:rStyle w:val="tlid-translation"/>
        </w:rPr>
        <w:t>troposfersega</w:t>
      </w:r>
      <w:proofErr w:type="spellEnd"/>
      <w:r>
        <w:rPr>
          <w:rStyle w:val="tlid-translation"/>
        </w:rPr>
        <w:t xml:space="preserve"> ozona bi lahko vplivalo na večjo izpostavljenost, posledično pa na večjo obolevnost in umrljivost zaradi srčno-žilnih bolezni in bolezni dihal (</w:t>
      </w:r>
      <w:proofErr w:type="spellStart"/>
      <w:r>
        <w:rPr>
          <w:rStyle w:val="tlid-translation"/>
        </w:rPr>
        <w:t>Ebi</w:t>
      </w:r>
      <w:proofErr w:type="spellEnd"/>
      <w:r>
        <w:rPr>
          <w:rStyle w:val="tlid-translation"/>
        </w:rPr>
        <w:t xml:space="preserve"> KL, </w:t>
      </w:r>
      <w:proofErr w:type="spellStart"/>
      <w:r>
        <w:rPr>
          <w:rStyle w:val="tlid-translation"/>
        </w:rPr>
        <w:t>Mc</w:t>
      </w:r>
      <w:proofErr w:type="spellEnd"/>
      <w:r>
        <w:rPr>
          <w:rStyle w:val="tlid-translation"/>
        </w:rPr>
        <w:t xml:space="preserve"> Gregor G, 2008). Povezava med posameznimi podnebnimi dejavniki in nastankom </w:t>
      </w:r>
      <w:proofErr w:type="spellStart"/>
      <w:r>
        <w:rPr>
          <w:rStyle w:val="tlid-translation"/>
        </w:rPr>
        <w:t>troposferskega</w:t>
      </w:r>
      <w:proofErr w:type="spellEnd"/>
      <w:r>
        <w:rPr>
          <w:rStyle w:val="tlid-translation"/>
        </w:rPr>
        <w:t xml:space="preserve"> ozona je sicer večinoma dobro razumljena, vendar so napovedi prihodnjih koncentracij ozona zaradi kompleksnih interakcij atmosferskih procesov zelo negotove (EEA, 2015). Velika negotovost glede prihodnjih projekcij koncentracij </w:t>
      </w:r>
      <w:proofErr w:type="spellStart"/>
      <w:r>
        <w:rPr>
          <w:rStyle w:val="tlid-translation"/>
        </w:rPr>
        <w:t>troposferskega</w:t>
      </w:r>
      <w:proofErr w:type="spellEnd"/>
      <w:r>
        <w:rPr>
          <w:rStyle w:val="tlid-translation"/>
        </w:rPr>
        <w:t xml:space="preserve"> ozona namreč ni povezana le s podnebnimi spremembami in prihodnjimi emisijami predhodnikov ozona, toplogrednih plinov in drugih onesnaževal, temveč tudi s spremembami v ranljivosti prebivalstva, vzorci obnašanja ter aktivnosti posameznika oziroma celotne družbe v prihodnosti (</w:t>
      </w:r>
      <w:proofErr w:type="spellStart"/>
      <w:r>
        <w:rPr>
          <w:rStyle w:val="tlid-translation"/>
        </w:rPr>
        <w:t>Oru</w:t>
      </w:r>
      <w:proofErr w:type="spellEnd"/>
      <w:r>
        <w:rPr>
          <w:rStyle w:val="tlid-translation"/>
        </w:rPr>
        <w:t xml:space="preserve"> in sod., 2013). </w:t>
      </w:r>
    </w:p>
    <w:p w14:paraId="477F3D87" w14:textId="77777777" w:rsidR="00E23AAB" w:rsidRDefault="00E23AAB" w:rsidP="00E23AAB">
      <w:pPr>
        <w:pStyle w:val="Naslov5"/>
      </w:pPr>
      <w:r>
        <w:t>Izpostavljenost preko pitne in kopalne vode</w:t>
      </w:r>
    </w:p>
    <w:p w14:paraId="77684FB6" w14:textId="77777777" w:rsidR="00E23AAB" w:rsidRDefault="00E23AAB" w:rsidP="00E23AAB">
      <w:pPr>
        <w:autoSpaceDE w:val="0"/>
        <w:autoSpaceDN w:val="0"/>
        <w:adjustRightInd w:val="0"/>
        <w:rPr>
          <w:rFonts w:cs="Calibri"/>
        </w:rPr>
      </w:pPr>
      <w:r>
        <w:rPr>
          <w:rFonts w:cstheme="minorHAnsi"/>
          <w:lang w:eastAsia="sl-SI"/>
        </w:rPr>
        <w:t xml:space="preserve">Podnebne spremembe lahko vplivajo na kvaliteto pitne in kopalne vode. </w:t>
      </w:r>
      <w:r>
        <w:rPr>
          <w:rFonts w:cs="Calibri"/>
        </w:rPr>
        <w:t xml:space="preserve">Zaradi suš in ekstremnih padavin, obilnega spiranja površin in globljih zemeljskih plasti ter poplav lahko pride do večjega </w:t>
      </w:r>
      <w:proofErr w:type="spellStart"/>
      <w:r>
        <w:rPr>
          <w:rFonts w:cs="Calibri"/>
        </w:rPr>
        <w:t>izplavljanja</w:t>
      </w:r>
      <w:proofErr w:type="spellEnd"/>
      <w:r>
        <w:rPr>
          <w:rFonts w:cs="Calibri"/>
        </w:rPr>
        <w:t xml:space="preserve"> različnih snovi (npr. iz kmetijstva, neurejene kanalizacije ali industrije, prometa) v </w:t>
      </w:r>
      <w:r>
        <w:rPr>
          <w:rFonts w:cs="Calibri"/>
        </w:rPr>
        <w:lastRenderedPageBreak/>
        <w:t>podtalnico in druge vire pitne vode. Med neurji in poplavami pride lahko tudi do poškodb vodovoda. Pri nas so še posebej ranljivi manjši vodovodi, saj je mikrobiološka kakovost vode v njih pogosto bolj odvisna od vremenskih razmer in padavin kot pri večjih vodovodih. Slabše je tudi upravljanje in infrastruktura malih vodovodov in slabša odzivnost na izredne razmere (Pohar M., 2016).</w:t>
      </w:r>
    </w:p>
    <w:p w14:paraId="77C6F9FE" w14:textId="77777777" w:rsidR="00E23AAB" w:rsidRDefault="00E23AAB" w:rsidP="00E23AAB">
      <w:pPr>
        <w:rPr>
          <w:rFonts w:cstheme="minorHAnsi"/>
          <w:lang w:eastAsia="sl-SI"/>
        </w:rPr>
      </w:pPr>
      <w:r>
        <w:rPr>
          <w:rFonts w:cstheme="minorHAnsi"/>
          <w:lang w:eastAsia="sl-SI"/>
        </w:rPr>
        <w:t xml:space="preserve">V Sloveniji smo ugotovili statistično značilno linearno povezavo med številom ukrepov na oskrbovanih območjih vodovodov in številom prizadetih ljudi ter maksimalno količino padavin (NIJZ). </w:t>
      </w:r>
    </w:p>
    <w:p w14:paraId="27716F4C" w14:textId="77777777" w:rsidR="00E23AAB" w:rsidRDefault="00E23AAB" w:rsidP="00E23AAB">
      <w:pPr>
        <w:rPr>
          <w:rFonts w:cstheme="minorHAnsi"/>
          <w:lang w:eastAsia="sl-SI"/>
        </w:rPr>
      </w:pPr>
      <w:r>
        <w:rPr>
          <w:rFonts w:cstheme="minorHAnsi"/>
          <w:lang w:eastAsia="sl-SI"/>
        </w:rPr>
        <w:t xml:space="preserve">Večina virov pitne vode na območju Mestne občine Nova Gorica je pod vplivom površine, kar pomeni, da lahko ob obilnem deževju ali kakršnihkoli aktivnostih na vplivnih območjih na površini (npr. neustrezna uporaba kemikalij v kmetijstvu, razlitje), hitreje pride do vdora površinske vode in onesnaževal v podtalnico. </w:t>
      </w:r>
    </w:p>
    <w:p w14:paraId="45C79159" w14:textId="22C4967B" w:rsidR="00E23AAB" w:rsidRDefault="00E23AAB" w:rsidP="00E23AAB">
      <w:pPr>
        <w:rPr>
          <w:rFonts w:cs="Arial"/>
        </w:rPr>
      </w:pPr>
      <w:r>
        <w:rPr>
          <w:rFonts w:cstheme="minorHAnsi"/>
          <w:lang w:eastAsia="sl-SI"/>
        </w:rPr>
        <w:t xml:space="preserve">V Mestni občini Nova Gorica </w:t>
      </w:r>
      <w:r>
        <w:t xml:space="preserve">izvaja gospodarsko javno službo oskrbe s pitno vodo družba Vodovodi in kanalizacija Nova Gorica </w:t>
      </w:r>
      <w:proofErr w:type="spellStart"/>
      <w:r>
        <w:t>d.d</w:t>
      </w:r>
      <w:proofErr w:type="spellEnd"/>
      <w:r>
        <w:t xml:space="preserve">. </w:t>
      </w:r>
      <w:r>
        <w:rPr>
          <w:rFonts w:cstheme="minorHAnsi"/>
          <w:lang w:eastAsia="sl-SI"/>
        </w:rPr>
        <w:t xml:space="preserve">(v nadaljevanju VIK NG) </w:t>
      </w:r>
      <w:r>
        <w:t xml:space="preserve">in sicer na vodovodnem sistemu </w:t>
      </w:r>
      <w:proofErr w:type="spellStart"/>
      <w:r>
        <w:t>Mrzlek</w:t>
      </w:r>
      <w:proofErr w:type="spellEnd"/>
      <w:r>
        <w:t>, Hubelj, Kromberk, Grgar, Čepovan-Trnovo, Osek-Vitovlje, Ozeljan, Bate-Banjšice, Dol pri Čepovanu, Sveta Gora in Sveto.</w:t>
      </w:r>
      <w:r>
        <w:rPr>
          <w:rFonts w:cstheme="minorHAnsi"/>
          <w:lang w:eastAsia="sl-SI"/>
        </w:rPr>
        <w:t xml:space="preserve"> Iz njihovega Poročila o kakovosti pitne vode za leto 2019 je razvidno, </w:t>
      </w:r>
      <w:r>
        <w:rPr>
          <w:rFonts w:cs="Arial"/>
        </w:rPr>
        <w:t>da je bila pitna voda na oskrbovalnih območjih, ki so v upravljanju VIK NG zdravstveno ustrezna. Vodne vire vseh vodovodov ogrožajo dejavnosti (npr. aktivno kmetijstv</w:t>
      </w:r>
      <w:r w:rsidRPr="00E23AAB">
        <w:rPr>
          <w:rFonts w:cs="Arial"/>
        </w:rPr>
        <w:t>o</w:t>
      </w:r>
      <w:r w:rsidR="000A0548" w:rsidRPr="000A0548">
        <w:t xml:space="preserve"> </w:t>
      </w:r>
      <w:r w:rsidR="000A0548" w:rsidRPr="000A0548">
        <w:rPr>
          <w:rFonts w:cs="Arial"/>
        </w:rPr>
        <w:t>in morebiten potres na Trnovsko Banjški planoti (TB planoti</w:t>
      </w:r>
      <w:r w:rsidRPr="00E23AAB">
        <w:rPr>
          <w:rFonts w:cs="Arial"/>
        </w:rPr>
        <w:t>).</w:t>
      </w:r>
      <w:r>
        <w:rPr>
          <w:rFonts w:cs="Arial"/>
        </w:rPr>
        <w:t xml:space="preserve"> Največji oskrbovalni sistem je vodovod </w:t>
      </w:r>
      <w:proofErr w:type="spellStart"/>
      <w:r>
        <w:rPr>
          <w:rFonts w:cs="Arial"/>
        </w:rPr>
        <w:t>Mrzlek</w:t>
      </w:r>
      <w:proofErr w:type="spellEnd"/>
      <w:r>
        <w:rPr>
          <w:rFonts w:cs="Arial"/>
        </w:rPr>
        <w:t xml:space="preserve">, ki skupaj oskrbuje okoli 47.000 uporabnikov (tudi izven Mestne občine Nova Gorica). Na tem sistemu ni bilo zaznati neskladnih vzorcev. </w:t>
      </w:r>
    </w:p>
    <w:p w14:paraId="141FDBE6" w14:textId="77777777" w:rsidR="00E23AAB" w:rsidRDefault="00E23AAB" w:rsidP="00E23AAB">
      <w:pPr>
        <w:rPr>
          <w:rFonts w:cs="Arial"/>
        </w:rPr>
      </w:pPr>
      <w:r>
        <w:rPr>
          <w:rFonts w:cs="Arial"/>
        </w:rPr>
        <w:t xml:space="preserve">Vodovodni sistem Hubelj upravljata KSD d.o.o. Ajdovščina na območju občine Ajdovščina in VIK NG na območju Mestne občine Nova Gorica in občine Renče Vogrsko. Del sistema v upravljanju VIK NG oskrbuje območje s 8512 uporabniki. Vodovodni sistem Hubelj oskrbuje uporabnike z zelo stabilno kvalitetno vodo, saj na njem ni bilo zaznati neskladnih vzorcev, vodni vir ogroža plazenje nad zajetjem. </w:t>
      </w:r>
    </w:p>
    <w:p w14:paraId="2543D4DB" w14:textId="4A1E612B" w:rsidR="00E23AAB" w:rsidRDefault="00E23AAB" w:rsidP="00E23AAB">
      <w:pPr>
        <w:rPr>
          <w:rFonts w:cs="Arial"/>
        </w:rPr>
      </w:pPr>
      <w:r>
        <w:rPr>
          <w:rFonts w:cs="Arial"/>
        </w:rPr>
        <w:t>Nekaj več neskladnih vzorcev je bilo zaznati pri manjših vodovodnih sistemih, kot je vodovod Kromberk, kjer je urejena dezinfekcija s klorom; Osek-Vitovlje, kjer je sanacija zajetja Vitovlje v teku, vodna vira ogroža plazenje nad zajetjem; vodovod Grgar ima fekalno onesnažen vodni vir, voda se klorira; vodovod Sveto ogroža gnojenje pašnika ob zajetju; vodovod Čepovan-Trnovo ima staro omrežje in se dodatno klorira, vodne vire ogroža gnojenje pašnika ob in nad zajetjem; vodovod Ozeljan ima fekalno onesnažen vir, zato se voda klorira; vodovod Bate-Banjšice ima težave z motnostjo, voda se klorira, vodne vire ogroža g</w:t>
      </w:r>
      <w:r>
        <w:rPr>
          <w:rFonts w:cs="Arial"/>
          <w:lang w:eastAsia="sl-SI"/>
        </w:rPr>
        <w:t>nojenje in plazenje nad zajetjem</w:t>
      </w:r>
      <w:r>
        <w:rPr>
          <w:rFonts w:cs="Arial"/>
        </w:rPr>
        <w:t xml:space="preserve">. Tudi vodovoda Sveta Gora in Ozeljan ogroža plazenje nad zajetjem. Predvsem so fekalno onesnažena najmanjša oskrbovalna območja, ki oskrbujejo po manj kot 50 uporabnikov. </w:t>
      </w:r>
    </w:p>
    <w:p w14:paraId="3649A848" w14:textId="7C83568A" w:rsidR="00E23AAB" w:rsidRDefault="00E23AAB" w:rsidP="00E23AAB">
      <w:pPr>
        <w:rPr>
          <w:rFonts w:cstheme="minorHAnsi"/>
        </w:rPr>
      </w:pPr>
      <w:r>
        <w:rPr>
          <w:rFonts w:cstheme="minorHAnsi"/>
        </w:rPr>
        <w:t xml:space="preserve">V Mestni občini Nova Gorica je bilo v letu 2020 v monitoring (spremljanje kakovosti kopalne vode) vključeno kopalno območje Soča pri Solkanu. Odvzeti vzorci v letu 2020 niso nikoli presegli smernih vrednosti za parametra </w:t>
      </w:r>
      <w:proofErr w:type="spellStart"/>
      <w:r>
        <w:rPr>
          <w:rFonts w:cstheme="minorHAnsi"/>
        </w:rPr>
        <w:t>intestinalni</w:t>
      </w:r>
      <w:proofErr w:type="spellEnd"/>
      <w:r>
        <w:rPr>
          <w:rFonts w:cstheme="minorHAnsi"/>
        </w:rPr>
        <w:t xml:space="preserve"> </w:t>
      </w:r>
      <w:proofErr w:type="spellStart"/>
      <w:r>
        <w:rPr>
          <w:rFonts w:cstheme="minorHAnsi"/>
        </w:rPr>
        <w:t>enterokoki</w:t>
      </w:r>
      <w:proofErr w:type="spellEnd"/>
      <w:r>
        <w:rPr>
          <w:rFonts w:cstheme="minorHAnsi"/>
        </w:rPr>
        <w:t xml:space="preserve"> in </w:t>
      </w:r>
      <w:proofErr w:type="spellStart"/>
      <w:r>
        <w:rPr>
          <w:rFonts w:cstheme="minorHAnsi"/>
        </w:rPr>
        <w:t>Escherichia</w:t>
      </w:r>
      <w:proofErr w:type="spellEnd"/>
      <w:r>
        <w:rPr>
          <w:rFonts w:cstheme="minorHAnsi"/>
        </w:rPr>
        <w:t xml:space="preserve"> coli. Na tem območju se je zgodilo nekaj nesreč (utopitev), zadnja v letu </w:t>
      </w:r>
      <w:r w:rsidRPr="00BF5110">
        <w:rPr>
          <w:rFonts w:cstheme="minorHAnsi"/>
        </w:rPr>
        <w:t>202</w:t>
      </w:r>
      <w:r w:rsidR="00921FCD">
        <w:rPr>
          <w:rFonts w:cstheme="minorHAnsi"/>
        </w:rPr>
        <w:t>1.</w:t>
      </w:r>
    </w:p>
    <w:p w14:paraId="42C99A03" w14:textId="77777777" w:rsidR="00E23AAB" w:rsidRDefault="00E23AAB" w:rsidP="00E23AAB">
      <w:r>
        <w:rPr>
          <w:rFonts w:cstheme="minorHAnsi"/>
        </w:rPr>
        <w:t xml:space="preserve">Ljudje se kopajo tudi v zadrževalniku </w:t>
      </w:r>
      <w:proofErr w:type="spellStart"/>
      <w:r>
        <w:rPr>
          <w:rFonts w:cstheme="minorHAnsi"/>
        </w:rPr>
        <w:t>Vogršček</w:t>
      </w:r>
      <w:proofErr w:type="spellEnd"/>
      <w:r>
        <w:rPr>
          <w:rFonts w:cstheme="minorHAnsi"/>
        </w:rPr>
        <w:t xml:space="preserve">. </w:t>
      </w:r>
      <w:r>
        <w:t xml:space="preserve">Na takem kopališču se ne izvaja nadzor kakovosti kopalne vode z državnim monitoringom kakovosti kopalnih voda v času kopalne sezone, pač pa je kontrolo kakovosti vode v letu 2019 preverjala Mestna občina Nova Gorica. V letu 2019 je bilo </w:t>
      </w:r>
      <w:r>
        <w:lastRenderedPageBreak/>
        <w:t xml:space="preserve">odvzetih 7 vzorcev, en vzorec je presegel smerne vrednosti za </w:t>
      </w:r>
      <w:proofErr w:type="spellStart"/>
      <w:r>
        <w:t>E.coli</w:t>
      </w:r>
      <w:proofErr w:type="spellEnd"/>
      <w:r>
        <w:t xml:space="preserve">. V letu 2020 so se na zadrževalniku </w:t>
      </w:r>
      <w:proofErr w:type="spellStart"/>
      <w:r>
        <w:t>Vogršček</w:t>
      </w:r>
      <w:proofErr w:type="spellEnd"/>
      <w:r>
        <w:t xml:space="preserve"> izvajala sanacijska dela. </w:t>
      </w:r>
    </w:p>
    <w:p w14:paraId="4B264659" w14:textId="0F3242F2" w:rsidR="00E23AAB" w:rsidRDefault="00E23AAB" w:rsidP="00E23AAB">
      <w:pPr>
        <w:rPr>
          <w:rFonts w:cstheme="minorHAnsi"/>
        </w:rPr>
      </w:pPr>
      <w:r>
        <w:rPr>
          <w:rFonts w:cstheme="minorHAnsi"/>
        </w:rPr>
        <w:t>Kopanje v površinskih vodah priporočamo le tam, kjer se spremlja kakovost kopalne vode in je poskrbljeno za varnost, vendar se ljudje na lastno odgovornost kopajo tudi na drugih območjih površinskih voda, kjer se monitoring ne izvaja.</w:t>
      </w:r>
      <w:r>
        <w:t xml:space="preserve"> </w:t>
      </w:r>
      <w:r>
        <w:rPr>
          <w:rFonts w:cstheme="minorHAnsi"/>
        </w:rPr>
        <w:t xml:space="preserve">Na nenadzorovanih površinskih vodah kopanje odsvetujemo. Kopalci naj pri kopanju na površinskih vodah upoštevajo najmanj priporočila oziroma opozorila, dostopna na </w:t>
      </w:r>
      <w:hyperlink r:id="rId142" w:history="1">
        <w:r>
          <w:rPr>
            <w:rStyle w:val="Hiperpovezava"/>
            <w:rFonts w:cstheme="minorHAnsi"/>
          </w:rPr>
          <w:t>tej povezavi</w:t>
        </w:r>
      </w:hyperlink>
      <w:r>
        <w:rPr>
          <w:rFonts w:cstheme="minorHAnsi"/>
        </w:rPr>
        <w:t xml:space="preserve">. V pripravi je sprememba Uredbe o upravljanju in kakovosti kopalnih voda. </w:t>
      </w:r>
    </w:p>
    <w:p w14:paraId="16659555" w14:textId="77777777" w:rsidR="00E23AAB" w:rsidRPr="0079692C" w:rsidRDefault="00E23AAB" w:rsidP="00E23AAB">
      <w:r w:rsidRPr="0079692C">
        <w:t>Samo mesto Nova Gorica in primestna naselja (Solkan, Kromberk, Rožna Dolina) ima centralno čistilno napravo, in sicer CČN Nova Gorica, ki poleg odpadnih vod navedenih naselij skrbi še za čiščenje odpadne vode iz naselij Šempeter pri Gorici, Vrtojba ter Miren. Sama čistilna naprava se nahaja v Občini Miren – Kostanjevica, nahaja se na poplavnem območju, je pa dvignjena na nivo 100 letnih poplavnih vod. Drugače CČN ni ogrožena (vir: Mestna Občina Nova Gorica</w:t>
      </w:r>
      <w:r>
        <w:t xml:space="preserve"> in Poročilo o zagotavljanju…</w:t>
      </w:r>
      <w:r w:rsidRPr="0079692C">
        <w:t>).</w:t>
      </w:r>
    </w:p>
    <w:p w14:paraId="7BC36A52" w14:textId="77777777" w:rsidR="00E23AAB" w:rsidRDefault="00E23AAB" w:rsidP="00E23AAB">
      <w:pPr>
        <w:pStyle w:val="Naslov5"/>
      </w:pPr>
      <w:r>
        <w:t>Izpostavljenost vektorjem (prenašalcem mikrobov)</w:t>
      </w:r>
    </w:p>
    <w:p w14:paraId="12D2BA89" w14:textId="77777777" w:rsidR="00E23AAB" w:rsidRDefault="00E23AAB" w:rsidP="00E23AAB">
      <w:pPr>
        <w:rPr>
          <w:rFonts w:cs="Calibri"/>
          <w:bCs/>
        </w:rPr>
      </w:pPr>
      <w:r>
        <w:rPr>
          <w:rFonts w:cs="Calibri"/>
          <w:bCs/>
        </w:rPr>
        <w:t>Podnebne spremembe pomembno vplivajo na geografsko razširjenost vektorjev (prenašalcev mikrobov) in poleg drugih dejavnikov določajo njihov življenjski prostor.</w:t>
      </w:r>
    </w:p>
    <w:p w14:paraId="394ADF3B" w14:textId="77777777" w:rsidR="00E23AAB" w:rsidRDefault="00E23AAB" w:rsidP="00E23AAB">
      <w:pPr>
        <w:rPr>
          <w:rFonts w:cs="Calibri"/>
          <w:bCs/>
        </w:rPr>
      </w:pPr>
      <w:r>
        <w:rPr>
          <w:rFonts w:cs="Calibri"/>
          <w:bCs/>
        </w:rPr>
        <w:t xml:space="preserve">Podatki v tuji literaturi kažejo, da so klopi zaradi podnebnih sprememb v zadnjih desetletjih postali številčnejši na številnih območjih, sezona njihove aktivnosti se je podaljšala. Na porazdelitev in pojavnost bolezni, ki jih prenašajo klopi, vplivajo tudi drugi </w:t>
      </w:r>
      <w:proofErr w:type="spellStart"/>
      <w:r>
        <w:rPr>
          <w:rFonts w:cs="Calibri"/>
          <w:bCs/>
        </w:rPr>
        <w:t>okoljski</w:t>
      </w:r>
      <w:proofErr w:type="spellEnd"/>
      <w:r>
        <w:rPr>
          <w:rFonts w:cs="Calibri"/>
          <w:bCs/>
        </w:rPr>
        <w:t xml:space="preserve"> dejavniki, predvsem stopnja urbanizacije, površina ter </w:t>
      </w:r>
      <w:proofErr w:type="spellStart"/>
      <w:r>
        <w:rPr>
          <w:rFonts w:cs="Calibri"/>
          <w:bCs/>
        </w:rPr>
        <w:t>fragmentiranost</w:t>
      </w:r>
      <w:proofErr w:type="spellEnd"/>
      <w:r>
        <w:rPr>
          <w:rFonts w:cs="Calibri"/>
          <w:bCs/>
        </w:rPr>
        <w:t xml:space="preserve"> gozda, razširjenost nekaterih živali (jelenjadi in srnjadi) (</w:t>
      </w:r>
      <w:proofErr w:type="spellStart"/>
      <w:r>
        <w:rPr>
          <w:rFonts w:cs="Calibri"/>
          <w:bCs/>
        </w:rPr>
        <w:t>Socan</w:t>
      </w:r>
      <w:proofErr w:type="spellEnd"/>
      <w:r>
        <w:rPr>
          <w:rFonts w:cs="Calibri"/>
          <w:bCs/>
        </w:rPr>
        <w:t xml:space="preserve"> M, Blaško Markič M.) Kot kazalnik vektorskih bolezni smo prikazali povprečno število prijavljenih primerov klopnega </w:t>
      </w:r>
      <w:proofErr w:type="spellStart"/>
      <w:r>
        <w:rPr>
          <w:rFonts w:cs="Calibri"/>
          <w:bCs/>
        </w:rPr>
        <w:t>meningoencefalitisa</w:t>
      </w:r>
      <w:proofErr w:type="spellEnd"/>
      <w:r>
        <w:rPr>
          <w:rFonts w:cs="Calibri"/>
          <w:bCs/>
        </w:rPr>
        <w:t xml:space="preserve">(KME)/100 000 prebivalcev in število primerov </w:t>
      </w:r>
      <w:proofErr w:type="spellStart"/>
      <w:r>
        <w:rPr>
          <w:rFonts w:cs="Calibri"/>
          <w:bCs/>
        </w:rPr>
        <w:t>Lymske</w:t>
      </w:r>
      <w:proofErr w:type="spellEnd"/>
      <w:r>
        <w:rPr>
          <w:rFonts w:cs="Calibri"/>
          <w:bCs/>
        </w:rPr>
        <w:t xml:space="preserve"> borelioze/100 000 prebivalcev v letih 2015-2019. V teh letih v Mestni občini Nova Gorica ni bilo prijavljenih primerov KME. </w:t>
      </w:r>
      <w:r>
        <w:rPr>
          <w:rFonts w:eastAsia="Times New Roman" w:cs="Times New Roman"/>
        </w:rPr>
        <w:t xml:space="preserve">Za zaščito pred klopnim </w:t>
      </w:r>
      <w:proofErr w:type="spellStart"/>
      <w:r>
        <w:rPr>
          <w:rFonts w:eastAsia="Times New Roman" w:cs="Times New Roman"/>
        </w:rPr>
        <w:t>meningoencefalitisom</w:t>
      </w:r>
      <w:proofErr w:type="spellEnd"/>
      <w:r>
        <w:rPr>
          <w:rFonts w:eastAsia="Times New Roman" w:cs="Times New Roman"/>
        </w:rPr>
        <w:t xml:space="preserve"> je na voljo cepljenje, ki je najbolj učinkovit ukrep.</w:t>
      </w:r>
      <w:r>
        <w:rPr>
          <w:rFonts w:cs="Calibri"/>
          <w:bCs/>
        </w:rPr>
        <w:t xml:space="preserve"> </w:t>
      </w:r>
    </w:p>
    <w:p w14:paraId="08629C86" w14:textId="77777777" w:rsidR="00E23AAB" w:rsidRDefault="00E23AAB" w:rsidP="00E23AAB">
      <w:pPr>
        <w:rPr>
          <w:rFonts w:eastAsia="Times New Roman" w:cs="Times New Roman"/>
        </w:rPr>
      </w:pPr>
      <w:r>
        <w:rPr>
          <w:rFonts w:cs="Calibri"/>
          <w:bCs/>
        </w:rPr>
        <w:t xml:space="preserve">Povprečno število prijavljenih primerov </w:t>
      </w:r>
      <w:proofErr w:type="spellStart"/>
      <w:r>
        <w:rPr>
          <w:rFonts w:cs="Calibri"/>
          <w:bCs/>
        </w:rPr>
        <w:t>Lymske</w:t>
      </w:r>
      <w:proofErr w:type="spellEnd"/>
      <w:r>
        <w:rPr>
          <w:rFonts w:cs="Calibri"/>
          <w:bCs/>
        </w:rPr>
        <w:t xml:space="preserve"> borelioze/100 000 prebivalcev v letih 2015-2019 je v Mestni občini Nova Gorica višje kot je povprečje za Slovenijo (podatki NIJZ).  </w:t>
      </w:r>
      <w:r>
        <w:rPr>
          <w:lang w:eastAsia="sl-SI"/>
        </w:rPr>
        <w:t>Bolezen je razširjena po celi Sloveniji, največja obolevnost je v goriški statistični regiji  sledita pomurska in gorenjska statistična regija (podatki 2015-2018)</w:t>
      </w:r>
      <w:r>
        <w:rPr>
          <w:rFonts w:cs="Calibri"/>
          <w:bCs/>
        </w:rPr>
        <w:t xml:space="preserve">. </w:t>
      </w:r>
      <w:r>
        <w:rPr>
          <w:rFonts w:eastAsia="Times New Roman" w:cs="Times New Roman"/>
        </w:rPr>
        <w:t xml:space="preserve">Ker cepiva proti </w:t>
      </w:r>
      <w:proofErr w:type="spellStart"/>
      <w:r>
        <w:rPr>
          <w:rFonts w:eastAsia="Times New Roman" w:cs="Times New Roman"/>
        </w:rPr>
        <w:t>Lymski</w:t>
      </w:r>
      <w:proofErr w:type="spellEnd"/>
      <w:r>
        <w:rPr>
          <w:rFonts w:eastAsia="Times New Roman" w:cs="Times New Roman"/>
        </w:rPr>
        <w:t xml:space="preserve"> boreliozi za zdaj ni na voljo, je za preprečevanje bolezni najučinkovitejša zaščita pred vbodom klopa s primernimi oblačili in </w:t>
      </w:r>
      <w:proofErr w:type="spellStart"/>
      <w:r>
        <w:rPr>
          <w:rFonts w:eastAsia="Times New Roman" w:cs="Times New Roman"/>
        </w:rPr>
        <w:t>repelenti</w:t>
      </w:r>
      <w:proofErr w:type="spellEnd"/>
      <w:r>
        <w:rPr>
          <w:rFonts w:eastAsia="Times New Roman" w:cs="Times New Roman"/>
        </w:rPr>
        <w:t>, s pregledovanjem kože in takojšnjim odstranjevanjem klopov (NIJZ).</w:t>
      </w:r>
    </w:p>
    <w:p w14:paraId="2CE9D550" w14:textId="77777777" w:rsidR="00DD497A" w:rsidRPr="000640F2" w:rsidRDefault="00DD497A" w:rsidP="00CE43D7">
      <w:pPr>
        <w:pStyle w:val="Naslov4"/>
      </w:pPr>
      <w:r w:rsidRPr="000640F2">
        <w:t>Občutljivost</w:t>
      </w:r>
    </w:p>
    <w:p w14:paraId="39F8CD49" w14:textId="77777777" w:rsidR="00E23AAB" w:rsidRDefault="00E23AAB" w:rsidP="00E23AAB">
      <w:pPr>
        <w:rPr>
          <w:lang w:eastAsia="sl-SI"/>
        </w:rPr>
      </w:pPr>
      <w:r>
        <w:rPr>
          <w:lang w:eastAsia="sl-SI"/>
        </w:rPr>
        <w:t xml:space="preserve">Ranljive skupine prebivalcev, ki so bolj občutljive za podnebne spremembe so </w:t>
      </w:r>
      <w:r>
        <w:t xml:space="preserve">otroci, starejši, ljudje s kroničnimi obolenji, revni, delavci na prostem, ženske, prebivalci, ki živijo v velikih mestih in prebivalci, ki živijo na območjih z večjim tveganjem za vplive podnebnih sprememb. Ranljive skupine na katere smo se osredotočili pri Mestni občini Nova Gorica so razvidne iz Preglednice Kazalniki ranljivosti v vrstici »Zdravstveno stanje prebivalcev« in </w:t>
      </w:r>
      <w:r>
        <w:rPr>
          <w:lang w:eastAsia="sl-SI"/>
        </w:rPr>
        <w:t>v poglavju »Obstoječe stanje sektorja«.</w:t>
      </w:r>
    </w:p>
    <w:p w14:paraId="18E84310" w14:textId="77777777" w:rsidR="00E23AAB" w:rsidRDefault="00E23AAB" w:rsidP="00E23AAB">
      <w:r>
        <w:rPr>
          <w:lang w:eastAsia="sl-SI"/>
        </w:rPr>
        <w:t xml:space="preserve">Demografska slika izpostavlja problem starejšega prebivalstva </w:t>
      </w:r>
      <w:r>
        <w:t>(tj. prebivalci, stari 65 ali več let)</w:t>
      </w:r>
      <w:r>
        <w:rPr>
          <w:lang w:eastAsia="sl-SI"/>
        </w:rPr>
        <w:t xml:space="preserve">, ki spada k ranljivim skupinam. Projekcije SURS kažejo, da se bo delež starejših v Sloveniji </w:t>
      </w:r>
      <w:r>
        <w:rPr>
          <w:lang w:eastAsia="sl-SI"/>
        </w:rPr>
        <w:lastRenderedPageBreak/>
        <w:t xml:space="preserve">povečeval. </w:t>
      </w:r>
      <w:r>
        <w:t xml:space="preserve">Leta 2018 so starejši predstavljali 19,4 % prebivalstva Slovenije; leta 2030 (v sredini prvega tridesetletnega opazovanega obdobja 2011-2040) naj bil bilo v tej starostni skupini 25 % prebivalcev; </w:t>
      </w:r>
      <w:r w:rsidRPr="005F0D8E">
        <w:t>leta 2055 (v sredini drugega tridesetletnega opazovanega obdobja 2041-2070) naj bil bilo v tej starostni skupini skoraj 32 % prebivalcev Slovenije, leta 2070 pa skoraj 30 % (SURS 2).</w:t>
      </w:r>
      <w:r>
        <w:t xml:space="preserve"> Rahlo zmanjšanje je morda posledica močnejše generacije, rojene okrog leta 1965-1970, ki bo do takrat večinoma že umrla in se bo delež starejših ustalil na 30%. </w:t>
      </w:r>
    </w:p>
    <w:p w14:paraId="2161729D" w14:textId="77777777" w:rsidR="00E23AAB" w:rsidRDefault="00E23AAB" w:rsidP="00E23AAB">
      <w:pPr>
        <w:rPr>
          <w:lang w:eastAsia="sl-SI"/>
        </w:rPr>
      </w:pPr>
      <w:r>
        <w:rPr>
          <w:lang w:eastAsia="sl-SI"/>
        </w:rPr>
        <w:t>Rastoča ranljiva skupina prebivalcev in predvidene večje obremenitve iz okolja (s toploto, izrednimi vremenskimi razmerami, onesnaženji v zraku, potencialno slabšo kvaliteto pitne, kopalne vode) lahko povečajo obremenitev zdravstvenega sistema in ogrozijo infrastrukturo zdravstva.</w:t>
      </w:r>
    </w:p>
    <w:p w14:paraId="3276B48C" w14:textId="77777777" w:rsidR="00E23AAB" w:rsidRDefault="00E23AAB" w:rsidP="00E23AAB">
      <w:pPr>
        <w:rPr>
          <w:lang w:eastAsia="sl-SI"/>
        </w:rPr>
      </w:pPr>
      <w:r>
        <w:rPr>
          <w:lang w:eastAsia="sl-SI"/>
        </w:rPr>
        <w:t xml:space="preserve">Potencialni vpliv podnebnih sprememb na zdravstvo, ki vključuje informacije o izpostavljenosti in občutljivosti, kaže na povečevanje obojega. </w:t>
      </w:r>
      <w:r w:rsidRPr="0079692C">
        <w:rPr>
          <w:lang w:eastAsia="sl-SI"/>
        </w:rPr>
        <w:t>Ocene potencialnega vpliva se gibljejo od zmerne v sedanjem obdobju, do velike v prvem tridesetletnem obdobju in, glede na napovedi, pričakujemo, da bo v drugem tridesetletnem obdobju potencialni vpliv še večji.</w:t>
      </w:r>
    </w:p>
    <w:p w14:paraId="2AA42B89" w14:textId="77777777" w:rsidR="003430D6" w:rsidRDefault="003430D6" w:rsidP="000640F2">
      <w:pPr>
        <w:rPr>
          <w:lang w:eastAsia="sl-SI"/>
        </w:rPr>
      </w:pPr>
    </w:p>
    <w:p w14:paraId="01DD3AC5" w14:textId="77777777" w:rsidR="00DD497A" w:rsidRPr="00DD1006" w:rsidRDefault="00DD497A" w:rsidP="000640F2">
      <w:pPr>
        <w:pStyle w:val="Naslov3"/>
        <w:rPr>
          <w:rFonts w:eastAsia="Calibri"/>
          <w:lang w:eastAsia="sl-SI"/>
        </w:rPr>
      </w:pPr>
      <w:bookmarkStart w:id="287" w:name="_Toc34130183"/>
      <w:bookmarkStart w:id="288" w:name="_Toc44656961"/>
      <w:bookmarkStart w:id="289" w:name="_Toc97026772"/>
      <w:r w:rsidRPr="00DD1006">
        <w:rPr>
          <w:rFonts w:eastAsia="Calibri"/>
          <w:lang w:eastAsia="sl-SI"/>
        </w:rPr>
        <w:t>Ocena sposobnosti prilagajanja</w:t>
      </w:r>
      <w:bookmarkEnd w:id="287"/>
      <w:r w:rsidRPr="00DD1006">
        <w:rPr>
          <w:rFonts w:eastAsia="Calibri"/>
          <w:lang w:eastAsia="sl-SI"/>
        </w:rPr>
        <w:t xml:space="preserve"> sektorja zdravstvo</w:t>
      </w:r>
      <w:bookmarkEnd w:id="288"/>
      <w:bookmarkEnd w:id="289"/>
    </w:p>
    <w:p w14:paraId="121ABD5F" w14:textId="77777777" w:rsidR="00E23AAB" w:rsidRDefault="00E23AAB" w:rsidP="00E23AAB">
      <w:r>
        <w:t>Na sposobnost prilagajanja pomembno vplivajo socialno-ekonomski dejavniki. Po podatkih SURS je bilo leta 2018 v Mestni občini Nova Gorica približno 66 % zaposlenih ali samozaposlenih oseb (tj. delovno aktivnih) med osebami v starosti 15–64 let (tj. med delovno sposobnim prebivalstvom), kar je več od slovenskega povprečja (65 %). Povprečna mesečna plača na osebo, zaposleno pri pravnih osebah, je bila v tej občini v bruto znesku za približno 1 %  nižja od letnega povprečja mesečnih plač v Sloveniji, v neto znesku pa približno enaka letnemu povprečju. Izobrazba: število študentov oz. število diplomantov (na 1000 prebivalcev) je bilo podobno (37 študentov in 7 diplomantov) kot v Sloveniji (povprečno 37 študentov in 8 diplomantov) (SURS 1).</w:t>
      </w:r>
    </w:p>
    <w:p w14:paraId="26DFB191" w14:textId="77777777" w:rsidR="00E23AAB" w:rsidRDefault="00E23AAB" w:rsidP="00E23AAB">
      <w:r>
        <w:t xml:space="preserve">V podatkih SURS ali Zdravje v občini opažamo višjo stopnjo tveganja revščine in socialne izključenosti (podatki SURS, 2018) v primerjavi s povprečjem v Sloveniji, kar negativno vpliva na sposobnost prilagajanja (NIJZ 1). </w:t>
      </w:r>
    </w:p>
    <w:p w14:paraId="6EABC929" w14:textId="77777777" w:rsidR="00E23AAB" w:rsidRDefault="00E23AAB" w:rsidP="00E23AAB">
      <w:pPr>
        <w:rPr>
          <w:lang w:eastAsia="sl-SI"/>
        </w:rPr>
      </w:pPr>
      <w:r>
        <w:rPr>
          <w:lang w:eastAsia="sl-SI"/>
        </w:rPr>
        <w:t xml:space="preserve">Na slabšo sposobnost prilagajanja pomembno vpliva tudi rastoči delež starejših oseb, za katere je znano, da imajo več kroničnih nenalezljivih bolezni, jemljejo več zdravil in so bolj krhki. V Mestni občini Nova Gorica je stanje nekoliko slabše v primerjavi s povprečjem Slovenije. Večji je indeks staranja in večji je delež prebivalcev starejših od 65 let v primerjavi s Slovenijo. </w:t>
      </w:r>
    </w:p>
    <w:p w14:paraId="4F5120A8" w14:textId="217E0244" w:rsidR="00E23AAB" w:rsidRDefault="00E23AAB" w:rsidP="00E23AAB">
      <w:pPr>
        <w:rPr>
          <w:rFonts w:cs="Arial"/>
        </w:rPr>
      </w:pPr>
      <w:r>
        <w:rPr>
          <w:lang w:eastAsia="sl-SI"/>
        </w:rPr>
        <w:t>Ukrepi, kot so energetske sanacije, načrti pripravljenosti, sistemi za obvladovanje tveganj pri preskrbi s hrano in vodo, ozaveščanje prebivalcev, subvencije, naložbe v večjo energetsko učinkovitost stavb ter drugi, večajo sposobnost prilagajanja</w:t>
      </w:r>
      <w:r>
        <w:rPr>
          <w:rFonts w:cs="Arial"/>
        </w:rPr>
        <w:t xml:space="preserve"> (Program porabe). Po podatkih, ki nam jih je posredovala občina imajo pregled možnih začasnih nastanitev za možnost umika večjega števila ljudi in ozavešča prebivalce ter jih spodbuja k zaščiti npr. cepljenju proti KME. </w:t>
      </w:r>
    </w:p>
    <w:p w14:paraId="7A29BC12" w14:textId="1CC4601A" w:rsidR="0053259D" w:rsidRDefault="0053259D" w:rsidP="00E23AAB"/>
    <w:p w14:paraId="34A79911" w14:textId="77777777" w:rsidR="008334B2" w:rsidRDefault="008334B2" w:rsidP="00E23AAB"/>
    <w:p w14:paraId="4AFD7CB4" w14:textId="3A82ED01" w:rsidR="00DD497A" w:rsidRPr="008778F1" w:rsidRDefault="00DE735C" w:rsidP="000640F2">
      <w:pPr>
        <w:pStyle w:val="Naslov3"/>
        <w:rPr>
          <w:rFonts w:eastAsia="Calibri"/>
          <w:lang w:eastAsia="sl-SI"/>
        </w:rPr>
      </w:pPr>
      <w:bookmarkStart w:id="290" w:name="_Toc34130184"/>
      <w:bookmarkStart w:id="291" w:name="_Toc44656962"/>
      <w:bookmarkStart w:id="292" w:name="_Toc97026773"/>
      <w:r>
        <w:rPr>
          <w:rFonts w:eastAsia="Calibri"/>
          <w:lang w:eastAsia="sl-SI"/>
        </w:rPr>
        <w:t>Ocena</w:t>
      </w:r>
      <w:r w:rsidR="00DD497A" w:rsidRPr="00A46357">
        <w:rPr>
          <w:rFonts w:eastAsia="Calibri"/>
          <w:lang w:eastAsia="sl-SI"/>
        </w:rPr>
        <w:t xml:space="preserve"> ranljivosti sektorja</w:t>
      </w:r>
      <w:bookmarkEnd w:id="290"/>
      <w:r w:rsidR="00DD497A" w:rsidRPr="00A46357">
        <w:rPr>
          <w:rFonts w:eastAsia="Calibri"/>
          <w:lang w:eastAsia="sl-SI"/>
        </w:rPr>
        <w:t xml:space="preserve"> zdravstvo</w:t>
      </w:r>
      <w:bookmarkEnd w:id="291"/>
      <w:bookmarkEnd w:id="292"/>
    </w:p>
    <w:p w14:paraId="79A5EDD6" w14:textId="54688424" w:rsidR="00DD497A" w:rsidRDefault="00DD497A" w:rsidP="000640F2">
      <w:pPr>
        <w:rPr>
          <w:noProof/>
        </w:rPr>
      </w:pPr>
      <w:r w:rsidRPr="00A237D6">
        <w:rPr>
          <w:lang w:eastAsia="sl-SI"/>
        </w:rPr>
        <w:lastRenderedPageBreak/>
        <w:t>Ocena ranljivosti sektorja zdravstva temelji na</w:t>
      </w:r>
      <w:r w:rsidRPr="000938AF">
        <w:rPr>
          <w:lang w:eastAsia="sl-SI"/>
        </w:rPr>
        <w:t xml:space="preserve"> sintezi dejavnikov potencialnih vplivov in sposobnosti prilagajanja. Določili smo jo kvantitativno. Skupna ocena ranljivosti je v sedanjem obdobju zmerna (3) in je predstavljena v</w:t>
      </w:r>
      <w:r w:rsidR="0053259D">
        <w:rPr>
          <w:lang w:eastAsia="sl-SI"/>
        </w:rPr>
        <w:t xml:space="preserve"> </w:t>
      </w:r>
      <w:r w:rsidR="0053259D">
        <w:rPr>
          <w:lang w:eastAsia="sl-SI"/>
        </w:rPr>
        <w:fldChar w:fldCharType="begin"/>
      </w:r>
      <w:r w:rsidR="0053259D">
        <w:rPr>
          <w:lang w:eastAsia="sl-SI"/>
        </w:rPr>
        <w:instrText xml:space="preserve"> REF _Ref74910545 \h </w:instrText>
      </w:r>
      <w:r w:rsidR="0053259D">
        <w:rPr>
          <w:lang w:eastAsia="sl-SI"/>
        </w:rPr>
      </w:r>
      <w:r w:rsidR="0053259D">
        <w:rPr>
          <w:lang w:eastAsia="sl-SI"/>
        </w:rPr>
        <w:fldChar w:fldCharType="separate"/>
      </w:r>
      <w:r w:rsidR="004700D5">
        <w:t xml:space="preserve">Preglednica </w:t>
      </w:r>
      <w:r w:rsidR="004700D5">
        <w:rPr>
          <w:noProof/>
        </w:rPr>
        <w:t>6</w:t>
      </w:r>
      <w:r w:rsidR="004700D5">
        <w:t>.</w:t>
      </w:r>
      <w:r w:rsidR="004700D5">
        <w:rPr>
          <w:noProof/>
        </w:rPr>
        <w:t>21</w:t>
      </w:r>
      <w:r w:rsidR="0053259D">
        <w:rPr>
          <w:lang w:eastAsia="sl-SI"/>
        </w:rPr>
        <w:fldChar w:fldCharType="end"/>
      </w:r>
      <w:r w:rsidRPr="000938AF">
        <w:rPr>
          <w:lang w:eastAsia="sl-SI"/>
        </w:rPr>
        <w:t>.</w:t>
      </w:r>
    </w:p>
    <w:p w14:paraId="46157C56" w14:textId="1CC6AD08" w:rsidR="00E23AAB" w:rsidRDefault="00E23AAB" w:rsidP="00E23AAB">
      <w:pPr>
        <w:pStyle w:val="Napis"/>
        <w:keepNext/>
      </w:pPr>
      <w:bookmarkStart w:id="293" w:name="_Ref74911329"/>
      <w:bookmarkStart w:id="294" w:name="_Toc97026975"/>
      <w:r>
        <w:lastRenderedPageBreak/>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22</w:t>
      </w:r>
      <w:r w:rsidR="00976D80">
        <w:fldChar w:fldCharType="end"/>
      </w:r>
      <w:bookmarkEnd w:id="293"/>
      <w:r w:rsidR="0053259D">
        <w:t xml:space="preserve">: </w:t>
      </w:r>
      <w:r w:rsidRPr="00250D3F">
        <w:t>Ocena ranljivosti zdravstva sestavljen iz štirih segmentov sektorja in kazalnikov ranljivosti ter potencialni vplivi in sposobnost prilagajanja,</w:t>
      </w:r>
      <w:r>
        <w:t xml:space="preserve"> </w:t>
      </w:r>
      <w:r w:rsidRPr="00250D3F">
        <w:t>sedanje stanje</w:t>
      </w:r>
      <w:bookmarkEnd w:id="294"/>
    </w:p>
    <w:p w14:paraId="2127820C" w14:textId="56D56EDE" w:rsidR="00E23AAB" w:rsidRDefault="00E23AAB" w:rsidP="000640F2">
      <w:pPr>
        <w:rPr>
          <w:lang w:eastAsia="sl-SI"/>
        </w:rPr>
      </w:pPr>
      <w:r w:rsidRPr="00157A4E">
        <w:rPr>
          <w:noProof/>
          <w:lang w:eastAsia="sl-SI"/>
        </w:rPr>
        <w:drawing>
          <wp:inline distT="0" distB="0" distL="0" distR="0" wp14:anchorId="4D62D756" wp14:editId="110FA230">
            <wp:extent cx="7321312" cy="5402465"/>
            <wp:effectExtent l="6985" t="0" r="1270" b="1270"/>
            <wp:docPr id="6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ka 1"/>
                    <pic:cNvPicPr>
                      <a:picLocks noChangeAspect="1" noChangeArrowheads="1"/>
                    </pic:cNvPicPr>
                  </pic:nvPicPr>
                  <pic:blipFill>
                    <a:blip r:embed="rId143">
                      <a:extLst>
                        <a:ext uri="{28A0092B-C50C-407E-A947-70E740481C1C}">
                          <a14:useLocalDpi xmlns:a14="http://schemas.microsoft.com/office/drawing/2010/main" val="0"/>
                        </a:ext>
                      </a:extLst>
                    </a:blip>
                    <a:stretch>
                      <a:fillRect/>
                    </a:stretch>
                  </pic:blipFill>
                  <pic:spPr bwMode="auto">
                    <a:xfrm rot="16200000">
                      <a:off x="0" y="0"/>
                      <a:ext cx="7352366" cy="5425380"/>
                    </a:xfrm>
                    <a:prstGeom prst="rect">
                      <a:avLst/>
                    </a:prstGeom>
                    <a:noFill/>
                    <a:ln>
                      <a:noFill/>
                    </a:ln>
                  </pic:spPr>
                </pic:pic>
              </a:graphicData>
            </a:graphic>
          </wp:inline>
        </w:drawing>
      </w:r>
    </w:p>
    <w:p w14:paraId="550B2FC3" w14:textId="77777777" w:rsidR="008334B2" w:rsidRPr="000938AF" w:rsidRDefault="008334B2" w:rsidP="000640F2">
      <w:pPr>
        <w:rPr>
          <w:lang w:eastAsia="sl-SI"/>
        </w:rPr>
      </w:pPr>
    </w:p>
    <w:p w14:paraId="353DA196" w14:textId="77777777" w:rsidR="00DD497A" w:rsidRPr="000938AF" w:rsidRDefault="00DD497A" w:rsidP="000640F2">
      <w:pPr>
        <w:pStyle w:val="Naslov3"/>
        <w:rPr>
          <w:rFonts w:eastAsia="Calibri"/>
          <w:lang w:eastAsia="sl-SI"/>
        </w:rPr>
      </w:pPr>
      <w:bookmarkStart w:id="295" w:name="_Toc34130185"/>
      <w:bookmarkStart w:id="296" w:name="_Toc44656963"/>
      <w:bookmarkStart w:id="297" w:name="_Toc97026774"/>
      <w:r w:rsidRPr="000938AF">
        <w:rPr>
          <w:rFonts w:eastAsia="Calibri"/>
          <w:lang w:eastAsia="sl-SI"/>
        </w:rPr>
        <w:lastRenderedPageBreak/>
        <w:t>Ocena tveganja</w:t>
      </w:r>
      <w:bookmarkEnd w:id="295"/>
      <w:r w:rsidRPr="000938AF">
        <w:rPr>
          <w:rFonts w:eastAsia="Calibri"/>
          <w:lang w:eastAsia="sl-SI"/>
        </w:rPr>
        <w:t xml:space="preserve"> za sektor zdravstvo</w:t>
      </w:r>
      <w:bookmarkEnd w:id="296"/>
      <w:bookmarkEnd w:id="297"/>
    </w:p>
    <w:p w14:paraId="66BAF6AE" w14:textId="77777777" w:rsidR="0053259D" w:rsidRDefault="0053259D" w:rsidP="0053259D">
      <w:pPr>
        <w:rPr>
          <w:lang w:eastAsia="sl-SI"/>
        </w:rPr>
      </w:pPr>
      <w:r>
        <w:rPr>
          <w:lang w:eastAsia="sl-SI"/>
        </w:rPr>
        <w:t>Ocena tveganja je podana kot sprememba ranljivosti na podnebne spremembe v prihodnosti glede na ranljivost v sedanjem času. Upoštevane so spremembe izpostavljenosti in občutljivosti sektorja ter spremembe sposobnosti prilagajanja. Ocena je podana na predpostavki, da se ukrepi za prilagajanje podnebnim spremembam ne izvajajo.</w:t>
      </w:r>
    </w:p>
    <w:p w14:paraId="2D965325" w14:textId="2F37D05D" w:rsidR="0053259D" w:rsidRDefault="0053259D" w:rsidP="0053259D">
      <w:pPr>
        <w:rPr>
          <w:lang w:eastAsia="sl-SI"/>
        </w:rPr>
      </w:pPr>
      <w:r>
        <w:rPr>
          <w:lang w:eastAsia="sl-SI"/>
        </w:rPr>
        <w:t>Ocena ranljivost zdravstva je sestavljena iz štirih segmentov sektorja s kazalniki ranljivosti ter potencialnimi vplivi in sposobnostjo prilagajanja v sedanjem obdobju ter kasnejših obdobjih med leti 2011-2040 in 2041–2070 (</w:t>
      </w:r>
      <w:r>
        <w:rPr>
          <w:lang w:eastAsia="sl-SI"/>
        </w:rPr>
        <w:fldChar w:fldCharType="begin"/>
      </w:r>
      <w:r>
        <w:rPr>
          <w:lang w:eastAsia="sl-SI"/>
        </w:rPr>
        <w:instrText xml:space="preserve"> REF _Ref74910760 \h </w:instrText>
      </w:r>
      <w:r>
        <w:rPr>
          <w:lang w:eastAsia="sl-SI"/>
        </w:rPr>
      </w:r>
      <w:r>
        <w:rPr>
          <w:lang w:eastAsia="sl-SI"/>
        </w:rPr>
        <w:fldChar w:fldCharType="separate"/>
      </w:r>
      <w:r w:rsidR="004700D5">
        <w:t xml:space="preserve">Slika </w:t>
      </w:r>
      <w:r w:rsidR="004700D5">
        <w:rPr>
          <w:noProof/>
        </w:rPr>
        <w:t>6</w:t>
      </w:r>
      <w:r w:rsidR="004700D5">
        <w:t>.</w:t>
      </w:r>
      <w:r w:rsidR="004700D5">
        <w:rPr>
          <w:noProof/>
        </w:rPr>
        <w:t>23</w:t>
      </w:r>
      <w:r>
        <w:rPr>
          <w:lang w:eastAsia="sl-SI"/>
        </w:rPr>
        <w:fldChar w:fldCharType="end"/>
      </w:r>
      <w:r>
        <w:rPr>
          <w:lang w:eastAsia="sl-SI"/>
        </w:rPr>
        <w:t>). Ocena ranljivosti zdravstva v prihodnosti in ocena tveganja sta skupaj prikazani v Preglednici 6.23.</w:t>
      </w:r>
    </w:p>
    <w:p w14:paraId="29CAA48C" w14:textId="2FDEA4D0" w:rsidR="0053259D" w:rsidRDefault="0053259D" w:rsidP="0053259D">
      <w:pPr>
        <w:keepNext/>
        <w:jc w:val="center"/>
      </w:pPr>
      <w:r>
        <w:rPr>
          <w:noProof/>
          <w:lang w:eastAsia="sl-SI"/>
        </w:rPr>
        <w:drawing>
          <wp:inline distT="0" distB="0" distL="0" distR="0" wp14:anchorId="616EE8FB" wp14:editId="1FCDC536">
            <wp:extent cx="4861608" cy="3714115"/>
            <wp:effectExtent l="0" t="0" r="0"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noChangeArrowheads="1"/>
                    </pic:cNvPicPr>
                  </pic:nvPicPr>
                  <pic:blipFill rotWithShape="1">
                    <a:blip r:embed="rId27">
                      <a:extLst>
                        <a:ext uri="{28A0092B-C50C-407E-A947-70E740481C1C}">
                          <a14:useLocalDpi xmlns:a14="http://schemas.microsoft.com/office/drawing/2010/main" val="0"/>
                        </a:ext>
                      </a:extLst>
                    </a:blip>
                    <a:srcRect l="1162" t="2010" b="-1"/>
                    <a:stretch/>
                  </pic:blipFill>
                  <pic:spPr bwMode="auto">
                    <a:xfrm>
                      <a:off x="0" y="0"/>
                      <a:ext cx="4862434" cy="3714746"/>
                    </a:xfrm>
                    <a:prstGeom prst="rect">
                      <a:avLst/>
                    </a:prstGeom>
                    <a:noFill/>
                    <a:ln>
                      <a:noFill/>
                    </a:ln>
                    <a:extLst>
                      <a:ext uri="{53640926-AAD7-44D8-BBD7-CCE9431645EC}">
                        <a14:shadowObscured xmlns:a14="http://schemas.microsoft.com/office/drawing/2010/main"/>
                      </a:ext>
                    </a:extLst>
                  </pic:spPr>
                </pic:pic>
              </a:graphicData>
            </a:graphic>
          </wp:inline>
        </w:drawing>
      </w:r>
    </w:p>
    <w:p w14:paraId="0EE72544" w14:textId="088207D3" w:rsidR="0053259D" w:rsidRDefault="0053259D" w:rsidP="0053259D">
      <w:pPr>
        <w:pStyle w:val="Napis"/>
        <w:rPr>
          <w:rFonts w:ascii="Trebuchet MS" w:hAnsi="Trebuchet MS"/>
        </w:rPr>
      </w:pPr>
      <w:bookmarkStart w:id="298" w:name="_Ref74910760"/>
      <w:bookmarkStart w:id="299" w:name="_Toc97026873"/>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22</w:t>
      </w:r>
      <w:r w:rsidR="008334B2">
        <w:fldChar w:fldCharType="end"/>
      </w:r>
      <w:bookmarkEnd w:id="298"/>
      <w:r>
        <w:t>: Prikaz ocene ranljivosti zdravstva v Mestni občini Nova Gorica na podnebne spremembe v referenčnem obdobju in prihodnosti</w:t>
      </w:r>
      <w:bookmarkEnd w:id="299"/>
    </w:p>
    <w:p w14:paraId="3647CF3B" w14:textId="77777777" w:rsidR="0053259D" w:rsidRDefault="0053259D" w:rsidP="0053259D">
      <w:pPr>
        <w:rPr>
          <w:lang w:eastAsia="sl-SI"/>
        </w:rPr>
      </w:pPr>
      <w:r>
        <w:rPr>
          <w:lang w:eastAsia="sl-SI"/>
        </w:rPr>
        <w:t xml:space="preserve">V obdobju 2041-2070 se bo prebivalstvo še bolj postaralo in razmere v okolju dodatno zaostrile, posebej v primeru pesimističnega scenarija RCP 8.5. </w:t>
      </w:r>
      <w:r w:rsidRPr="0079692C">
        <w:rPr>
          <w:lang w:eastAsia="sl-SI"/>
        </w:rPr>
        <w:t>Možno je, da bodo starejši, glede na izvajane in načrtovane programe za krepitev zdravja, morda bolj zdravi in sistem zdravstvenega varstva, zaradi primernih vlaganj in kadrovanja, kljub podnebnim spremembam ne bo tako prizadet; vseeno pa je ocenjena ranljivost v obdobju 2041-2070 višja kot v prejšnjem tridesetletnem obdobju.</w:t>
      </w:r>
    </w:p>
    <w:p w14:paraId="7BE5D762" w14:textId="77777777" w:rsidR="0053259D" w:rsidRDefault="0053259D" w:rsidP="0053259D">
      <w:pPr>
        <w:rPr>
          <w:lang w:eastAsia="sl-SI"/>
        </w:rPr>
      </w:pPr>
      <w:r>
        <w:rPr>
          <w:lang w:eastAsia="sl-SI"/>
        </w:rPr>
        <w:t xml:space="preserve">Skupna ocena ranljivosti v prihodnosti je velika (4), glede na napovedi sprememb v okolju in demografskih sprememb se bo višala, zato je tudi skupna ocena tveganja velika (4). </w:t>
      </w:r>
    </w:p>
    <w:p w14:paraId="38BAA659" w14:textId="26F3E33A" w:rsidR="00F02CED" w:rsidRPr="005C01CC" w:rsidRDefault="00F02CED" w:rsidP="00DD497A">
      <w:pPr>
        <w:rPr>
          <w:lang w:eastAsia="sl-SI"/>
        </w:rPr>
      </w:pPr>
    </w:p>
    <w:p w14:paraId="73B0A441" w14:textId="7E41FE45" w:rsidR="0053259D" w:rsidRPr="0053259D" w:rsidRDefault="0053259D" w:rsidP="0053259D">
      <w:pPr>
        <w:pStyle w:val="Napis"/>
        <w:rPr>
          <w:rFonts w:ascii="Trebuchet MS" w:hAnsi="Trebuchet MS"/>
        </w:rPr>
      </w:pPr>
      <w:bookmarkStart w:id="300" w:name="_Toc97026976"/>
      <w:r>
        <w:lastRenderedPageBreak/>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23</w:t>
      </w:r>
      <w:r w:rsidR="00976D80">
        <w:fldChar w:fldCharType="end"/>
      </w:r>
      <w:r>
        <w:t>: Ocena ranljivost zdravstva, sestavljena iz štirih segmentov sektorja s kazalniki ranljivosti ter potencialnimi vplivi in sposobnostjo prilagajanja v obdobju 2011-2040 in ocena tveganja.</w:t>
      </w:r>
      <w:bookmarkEnd w:id="300"/>
    </w:p>
    <w:p w14:paraId="22DF9CC2" w14:textId="771A7897" w:rsidR="00C32FCE" w:rsidRDefault="00F02CED">
      <w:pPr>
        <w:jc w:val="left"/>
        <w:rPr>
          <w:lang w:eastAsia="sl-SI"/>
        </w:rPr>
      </w:pPr>
      <w:r>
        <w:rPr>
          <w:noProof/>
          <w:lang w:eastAsia="sl-SI"/>
        </w:rPr>
        <w:drawing>
          <wp:inline distT="0" distB="0" distL="0" distR="0" wp14:anchorId="47872AED" wp14:editId="34135DD1">
            <wp:extent cx="7407626" cy="5431582"/>
            <wp:effectExtent l="0" t="2540" r="635" b="635"/>
            <wp:docPr id="491270393" name="Picture 491270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70393" name="Picture 491270393"/>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rot="16200000">
                      <a:off x="0" y="0"/>
                      <a:ext cx="7416641" cy="5438193"/>
                    </a:xfrm>
                    <a:prstGeom prst="rect">
                      <a:avLst/>
                    </a:prstGeom>
                    <a:noFill/>
                    <a:ln>
                      <a:noFill/>
                    </a:ln>
                  </pic:spPr>
                </pic:pic>
              </a:graphicData>
            </a:graphic>
          </wp:inline>
        </w:drawing>
      </w:r>
      <w:r w:rsidR="00C32FCE">
        <w:rPr>
          <w:lang w:eastAsia="sl-SI"/>
        </w:rPr>
        <w:br w:type="page"/>
      </w:r>
    </w:p>
    <w:p w14:paraId="0CB4C0C1" w14:textId="4AF7E00E" w:rsidR="00C13A63" w:rsidRDefault="00C13A63" w:rsidP="00C32FCE">
      <w:pPr>
        <w:pStyle w:val="Naslov3"/>
        <w:rPr>
          <w:rFonts w:eastAsia="Calibri"/>
          <w:lang w:eastAsia="sl-SI"/>
        </w:rPr>
      </w:pPr>
      <w:bookmarkStart w:id="301" w:name="_Toc34130189"/>
      <w:bookmarkStart w:id="302" w:name="_Toc44656965"/>
      <w:bookmarkStart w:id="303" w:name="_Toc97026775"/>
      <w:r>
        <w:rPr>
          <w:rFonts w:eastAsia="Calibri"/>
          <w:lang w:eastAsia="sl-SI"/>
        </w:rPr>
        <w:lastRenderedPageBreak/>
        <w:t>Ključna sporočila sektorja zdravstvo</w:t>
      </w:r>
      <w:bookmarkEnd w:id="303"/>
    </w:p>
    <w:p w14:paraId="3E51F0AF" w14:textId="77777777" w:rsidR="0053259D" w:rsidRDefault="0053259D" w:rsidP="0053259D">
      <w:pPr>
        <w:rPr>
          <w:lang w:eastAsia="sl-SI"/>
        </w:rPr>
      </w:pPr>
      <w:r>
        <w:t xml:space="preserve">Podnebne spremembe vplivajo na zdravje. Da bi lahko ocenili ranljivost in tveganje zaradi podnebnih sprememb smo najprej pregledali sedanje stanje. </w:t>
      </w:r>
      <w:r>
        <w:rPr>
          <w:lang w:eastAsia="sl-SI"/>
        </w:rPr>
        <w:t xml:space="preserve">Za oceno sedanjega stanja smo izbrali kazalnike in prikazali njihovo vrednost za Mestno občino Nova Gorica  v primerjavi s povprečjem za Slovenijo. Najpomembnejša odstopanja, ki nakazujejo večjo ranljivost, so kazalniki, ki kažejo na staranje prebivalstva (vrednost indeksa staranja, delež prebivalcev starih 65 let in več) ter nekoliko večjo stopnjo tveganja. Ugodno pa je, da je nekoliko višji od povprečja v Sloveniji kazalnik pomoč na domu in mikrobiološka kakovost pitne vode ter  stopnja delovne aktivnosti. Potencialni vplivi podnebnih sprememb so posledica dveh dejavnikov: izpostavljenosti prebivalstva (trenutnega in pričakovanega stanja podnebja) in njegove občutljivosti (zdravstvenega stanja, naravnega/fizičnega in socialnega okolja). Napovedi kažejo, da bodo prebivalci izpostavljeni vročinskim valovom, ki bodo močnejši, daljši in pogostejši. Povečala se bosta jakost in pogostost izjemnih padavin in s tem verjetnost za poplave, plazove. Najverjetneje se bodo višale koncentracije </w:t>
      </w:r>
      <w:proofErr w:type="spellStart"/>
      <w:r>
        <w:rPr>
          <w:lang w:eastAsia="sl-SI"/>
        </w:rPr>
        <w:t>troposferskega</w:t>
      </w:r>
      <w:proofErr w:type="spellEnd"/>
      <w:r>
        <w:rPr>
          <w:lang w:eastAsia="sl-SI"/>
        </w:rPr>
        <w:t xml:space="preserve"> ozona. Podnebne spremembe bodo vplivale na kvaliteto pitne in kopalne vode, zemeljske plazove ter vektorje (prenašalce bolezni). Občutljivost prebivalstva se bo večala, napovedi namreč kažejo, da se bo delež starejših (ranljive skupine) povečeval. </w:t>
      </w:r>
    </w:p>
    <w:p w14:paraId="688B4DD3" w14:textId="77777777" w:rsidR="0053259D" w:rsidRDefault="0053259D" w:rsidP="0053259D">
      <w:pPr>
        <w:rPr>
          <w:lang w:eastAsia="sl-SI"/>
        </w:rPr>
      </w:pPr>
      <w:r>
        <w:rPr>
          <w:lang w:eastAsia="sl-SI"/>
        </w:rPr>
        <w:t>Rastoča ranljiva skupina prebivalcev in predvidene večje obremenitve iz okolja (s toploto, izrednimi vremenskimi razmerami, onesnaženji v zraku, potencialno slabšo kvaliteto pitne, kopalne vode) lahko povečajo obremenitev zdravstvenega sistema in ogrozijo infrastrukturo zdravstva.</w:t>
      </w:r>
    </w:p>
    <w:p w14:paraId="43359934" w14:textId="77777777" w:rsidR="0053259D" w:rsidRDefault="0053259D" w:rsidP="0053259D">
      <w:r>
        <w:t xml:space="preserve">Na sposobnost prilagajanja pomembno vplivajo socialno-ekonomski dejavniki. Višji </w:t>
      </w:r>
      <w:r>
        <w:rPr>
          <w:lang w:eastAsia="sl-SI"/>
        </w:rPr>
        <w:t xml:space="preserve">stopnja tveganja revščine in stopnja tveganja socialne izključenosti </w:t>
      </w:r>
      <w:r>
        <w:t xml:space="preserve">v primerjavi s povprečjem v Sloveniji, ter rastoča skupina starejših manjšajo spodobnost prilagajanja. </w:t>
      </w:r>
    </w:p>
    <w:p w14:paraId="7A433BE6" w14:textId="77777777" w:rsidR="0053259D" w:rsidRDefault="0053259D" w:rsidP="0053259D">
      <w:pPr>
        <w:rPr>
          <w:lang w:eastAsia="sl-SI"/>
        </w:rPr>
      </w:pPr>
      <w:r>
        <w:rPr>
          <w:lang w:eastAsia="sl-SI"/>
        </w:rPr>
        <w:t>Ocena ranljivosti sektorja zdravstva temelji na sintezi dejavnikov potencialnih vplivov in sposobnosti prilagajanja. Skupna ocena ranljivosti v prihodnosti je velika (4)), glede na napovedi sprememb v okolju in demografskih sprememb (staranja prebivalstva) se bo višala</w:t>
      </w:r>
      <w:r w:rsidRPr="00520747">
        <w:rPr>
          <w:lang w:eastAsia="sl-SI"/>
        </w:rPr>
        <w:t>,</w:t>
      </w:r>
      <w:r>
        <w:rPr>
          <w:lang w:eastAsia="sl-SI"/>
        </w:rPr>
        <w:t xml:space="preserve"> zato je skupna ocena tveganja: veliko tveganje (4). </w:t>
      </w:r>
    </w:p>
    <w:p w14:paraId="18549EC8" w14:textId="015C1D4D" w:rsidR="00C13A63" w:rsidRDefault="00C13A63">
      <w:pPr>
        <w:jc w:val="left"/>
        <w:rPr>
          <w:lang w:eastAsia="sl-SI"/>
        </w:rPr>
      </w:pPr>
      <w:r>
        <w:rPr>
          <w:lang w:eastAsia="sl-SI"/>
        </w:rPr>
        <w:br w:type="page"/>
      </w:r>
    </w:p>
    <w:p w14:paraId="778D7998" w14:textId="31737878" w:rsidR="00DD497A" w:rsidRDefault="00DD497A" w:rsidP="00C32FCE">
      <w:pPr>
        <w:pStyle w:val="Naslov3"/>
        <w:rPr>
          <w:rFonts w:eastAsia="Calibri"/>
          <w:lang w:eastAsia="sl-SI"/>
        </w:rPr>
      </w:pPr>
      <w:bookmarkStart w:id="304" w:name="_Toc97026776"/>
      <w:r w:rsidRPr="00A46357">
        <w:rPr>
          <w:rFonts w:eastAsia="Calibri"/>
          <w:lang w:eastAsia="sl-SI"/>
        </w:rPr>
        <w:lastRenderedPageBreak/>
        <w:t>Viri</w:t>
      </w:r>
      <w:bookmarkEnd w:id="301"/>
      <w:bookmarkEnd w:id="302"/>
      <w:bookmarkEnd w:id="304"/>
      <w:r>
        <w:rPr>
          <w:rFonts w:eastAsia="Calibri"/>
          <w:lang w:eastAsia="sl-SI"/>
        </w:rPr>
        <w:t xml:space="preserve"> </w:t>
      </w:r>
    </w:p>
    <w:p w14:paraId="09DAE3A5" w14:textId="77777777" w:rsidR="0053259D" w:rsidRDefault="0053259D" w:rsidP="0053259D">
      <w:proofErr w:type="spellStart"/>
      <w:r>
        <w:t>Claeys</w:t>
      </w:r>
      <w:proofErr w:type="spellEnd"/>
      <w:r>
        <w:t xml:space="preserve"> MJ, </w:t>
      </w:r>
      <w:proofErr w:type="spellStart"/>
      <w:r>
        <w:t>Rajagopalan</w:t>
      </w:r>
      <w:proofErr w:type="spellEnd"/>
      <w:r>
        <w:t xml:space="preserve"> S, </w:t>
      </w:r>
      <w:proofErr w:type="spellStart"/>
      <w:r>
        <w:t>Nawrot</w:t>
      </w:r>
      <w:proofErr w:type="spellEnd"/>
      <w:r>
        <w:t xml:space="preserve"> TS, </w:t>
      </w:r>
      <w:proofErr w:type="spellStart"/>
      <w:r>
        <w:t>Brook</w:t>
      </w:r>
      <w:proofErr w:type="spellEnd"/>
      <w:r>
        <w:t xml:space="preserve"> RD. </w:t>
      </w:r>
      <w:proofErr w:type="spellStart"/>
      <w:r>
        <w:t>Climate</w:t>
      </w:r>
      <w:proofErr w:type="spellEnd"/>
      <w:r>
        <w:t xml:space="preserve"> </w:t>
      </w:r>
      <w:proofErr w:type="spellStart"/>
      <w:r>
        <w:t>and</w:t>
      </w:r>
      <w:proofErr w:type="spellEnd"/>
      <w:r>
        <w:t xml:space="preserve"> </w:t>
      </w:r>
      <w:proofErr w:type="spellStart"/>
      <w:r>
        <w:t>environmental</w:t>
      </w:r>
      <w:proofErr w:type="spellEnd"/>
      <w:r>
        <w:t xml:space="preserve"> </w:t>
      </w:r>
      <w:proofErr w:type="spellStart"/>
      <w:r>
        <w:t>triggers</w:t>
      </w:r>
      <w:proofErr w:type="spellEnd"/>
      <w:r>
        <w:t xml:space="preserve"> of </w:t>
      </w:r>
      <w:proofErr w:type="spellStart"/>
      <w:r>
        <w:t>acute</w:t>
      </w:r>
      <w:proofErr w:type="spellEnd"/>
      <w:r>
        <w:t xml:space="preserve"> </w:t>
      </w:r>
      <w:proofErr w:type="spellStart"/>
      <w:r>
        <w:t>myocardial</w:t>
      </w:r>
      <w:proofErr w:type="spellEnd"/>
      <w:r>
        <w:t xml:space="preserve"> </w:t>
      </w:r>
      <w:proofErr w:type="spellStart"/>
      <w:r>
        <w:t>infarction</w:t>
      </w:r>
      <w:proofErr w:type="spellEnd"/>
      <w:r>
        <w:t xml:space="preserve">. </w:t>
      </w:r>
      <w:r>
        <w:rPr>
          <w:i/>
          <w:iCs/>
        </w:rPr>
        <w:t xml:space="preserve">Eur </w:t>
      </w:r>
      <w:proofErr w:type="spellStart"/>
      <w:r>
        <w:rPr>
          <w:i/>
          <w:iCs/>
        </w:rPr>
        <w:t>Heart</w:t>
      </w:r>
      <w:proofErr w:type="spellEnd"/>
      <w:r>
        <w:rPr>
          <w:i/>
          <w:iCs/>
        </w:rPr>
        <w:t xml:space="preserve"> J</w:t>
      </w:r>
      <w:r>
        <w:t>. 2017;38(13):955-960. doi:10.1093/</w:t>
      </w:r>
      <w:proofErr w:type="spellStart"/>
      <w:r>
        <w:t>eurheartj</w:t>
      </w:r>
      <w:proofErr w:type="spellEnd"/>
      <w:r>
        <w:t>/ehw151.</w:t>
      </w:r>
    </w:p>
    <w:p w14:paraId="2D5BEB03" w14:textId="467A3E0F" w:rsidR="0053259D" w:rsidRDefault="0053259D" w:rsidP="0053259D">
      <w:pPr>
        <w:rPr>
          <w:rFonts w:cs="AGaramond-SemiboldItalic"/>
          <w:bCs/>
          <w:i/>
          <w:iCs/>
          <w:color w:val="231F20"/>
          <w:lang w:val="en-US"/>
        </w:rPr>
      </w:pPr>
      <w:proofErr w:type="spellStart"/>
      <w:r>
        <w:rPr>
          <w:rFonts w:cs="UniversLTStd-BoldObl"/>
          <w:bCs/>
          <w:iCs/>
          <w:color w:val="231F20"/>
          <w:lang w:val="en-US"/>
        </w:rPr>
        <w:t>Ebi</w:t>
      </w:r>
      <w:proofErr w:type="spellEnd"/>
      <w:r>
        <w:rPr>
          <w:rFonts w:cs="UniversLTStd-BoldObl"/>
          <w:bCs/>
          <w:iCs/>
          <w:color w:val="231F20"/>
          <w:lang w:val="en-US"/>
        </w:rPr>
        <w:t xml:space="preserve"> </w:t>
      </w:r>
      <w:proofErr w:type="gramStart"/>
      <w:r>
        <w:rPr>
          <w:rFonts w:cs="UniversLTStd-BoldObl"/>
          <w:bCs/>
          <w:iCs/>
          <w:color w:val="231F20"/>
          <w:lang w:val="en-US"/>
        </w:rPr>
        <w:t>KL ,</w:t>
      </w:r>
      <w:proofErr w:type="gramEnd"/>
      <w:r>
        <w:rPr>
          <w:rFonts w:cs="UniversLTStd-BoldObl"/>
          <w:bCs/>
          <w:iCs/>
          <w:color w:val="231F20"/>
          <w:lang w:val="en-US"/>
        </w:rPr>
        <w:t xml:space="preserve"> McGregor G.</w:t>
      </w:r>
      <w:r>
        <w:rPr>
          <w:rFonts w:cs="UniversLTStd-BoldObl"/>
          <w:b/>
          <w:bCs/>
          <w:i/>
          <w:iCs/>
          <w:color w:val="231F20"/>
          <w:lang w:val="en-US"/>
        </w:rPr>
        <w:t xml:space="preserve"> </w:t>
      </w:r>
      <w:r>
        <w:rPr>
          <w:rFonts w:cs="UniversLTStd-Bold"/>
          <w:bCs/>
          <w:color w:val="231F20"/>
          <w:lang w:val="en-US"/>
        </w:rPr>
        <w:t xml:space="preserve">Climate Change, Tropospheric Ozone and Particulate Matter, and Health Impacts. </w:t>
      </w:r>
      <w:r>
        <w:rPr>
          <w:rFonts w:cs="AGaramond-SemiboldItalic"/>
          <w:bCs/>
          <w:i/>
          <w:iCs/>
          <w:color w:val="231F20"/>
          <w:lang w:val="en-US"/>
        </w:rPr>
        <w:t>Environ</w:t>
      </w:r>
      <w:r>
        <w:rPr>
          <w:rFonts w:cs="AGaramond-SemiboldItalic"/>
          <w:b/>
          <w:bCs/>
          <w:i/>
          <w:iCs/>
          <w:color w:val="231F20"/>
          <w:lang w:val="en-US"/>
        </w:rPr>
        <w:t xml:space="preserve"> </w:t>
      </w:r>
      <w:r>
        <w:rPr>
          <w:rFonts w:cs="AGaramond-SemiboldItalic"/>
          <w:bCs/>
          <w:i/>
          <w:iCs/>
          <w:color w:val="231F20"/>
          <w:lang w:val="en-US"/>
        </w:rPr>
        <w:t xml:space="preserve">Health </w:t>
      </w:r>
      <w:proofErr w:type="spellStart"/>
      <w:r>
        <w:rPr>
          <w:rFonts w:cs="AGaramond-SemiboldItalic"/>
          <w:bCs/>
          <w:i/>
          <w:iCs/>
          <w:color w:val="231F20"/>
          <w:lang w:val="en-US"/>
        </w:rPr>
        <w:t>Perspect</w:t>
      </w:r>
      <w:proofErr w:type="spellEnd"/>
      <w:r>
        <w:rPr>
          <w:rFonts w:cs="AGaramond-SemiboldItalic"/>
          <w:bCs/>
          <w:i/>
          <w:iCs/>
          <w:color w:val="231F20"/>
          <w:lang w:val="en-US"/>
        </w:rPr>
        <w:t xml:space="preserve"> </w:t>
      </w:r>
      <w:r>
        <w:rPr>
          <w:rFonts w:cs="AGaramond-Semibold"/>
          <w:bCs/>
          <w:color w:val="231F20"/>
          <w:lang w:val="en-US"/>
        </w:rPr>
        <w:t xml:space="preserve">116:1449–1455 (2008). doi:10.1289/ehp.11463 available via </w:t>
      </w:r>
      <w:hyperlink r:id="rId144" w:history="1">
        <w:r>
          <w:rPr>
            <w:rStyle w:val="Hiperpovezava"/>
            <w:rFonts w:cs="AGaramond-SemiboldItalic"/>
            <w:bCs/>
            <w:i/>
            <w:iCs/>
            <w:lang w:val="en-US"/>
          </w:rPr>
          <w:t>http://dx.doi.org/</w:t>
        </w:r>
      </w:hyperlink>
    </w:p>
    <w:p w14:paraId="3A53A32A" w14:textId="5AAB9EEA" w:rsidR="0053259D" w:rsidRDefault="0053259D" w:rsidP="0053259D">
      <w:r>
        <w:rPr>
          <w:rFonts w:eastAsia="Times New Roman" w:cs="Times New Roman"/>
          <w:bCs/>
          <w:kern w:val="36"/>
          <w:lang w:val="en-US"/>
        </w:rPr>
        <w:t xml:space="preserve">EEA. Air pollution due to ozone: health impacts and effects of climate change. </w:t>
      </w:r>
      <w:hyperlink r:id="rId145" w:history="1">
        <w:r>
          <w:rPr>
            <w:rStyle w:val="Hiperpovezava"/>
          </w:rPr>
          <w:t>https://www.eea.europa.eu/data-and-maps/indicators/air-pollution-by-ozone-2/assessment</w:t>
        </w:r>
      </w:hyperlink>
    </w:p>
    <w:p w14:paraId="35A74A44" w14:textId="77777777" w:rsidR="0053259D" w:rsidRDefault="0053259D" w:rsidP="0053259D">
      <w:proofErr w:type="spellStart"/>
      <w:r>
        <w:t>Gasparrini</w:t>
      </w:r>
      <w:proofErr w:type="spellEnd"/>
      <w:r>
        <w:t xml:space="preserve"> A, </w:t>
      </w:r>
      <w:proofErr w:type="spellStart"/>
      <w:r>
        <w:t>Guo</w:t>
      </w:r>
      <w:proofErr w:type="spellEnd"/>
      <w:r>
        <w:t xml:space="preserve"> Y, </w:t>
      </w:r>
      <w:proofErr w:type="spellStart"/>
      <w:r>
        <w:t>Hashizume</w:t>
      </w:r>
      <w:proofErr w:type="spellEnd"/>
      <w:r>
        <w:t xml:space="preserve"> M, </w:t>
      </w:r>
      <w:proofErr w:type="spellStart"/>
      <w:r>
        <w:t>Kinney</w:t>
      </w:r>
      <w:proofErr w:type="spellEnd"/>
      <w:r>
        <w:t xml:space="preserve"> PL, Petkova EP, </w:t>
      </w:r>
      <w:proofErr w:type="spellStart"/>
      <w:r>
        <w:t>Lavigne</w:t>
      </w:r>
      <w:proofErr w:type="spellEnd"/>
      <w:r>
        <w:t xml:space="preserve"> E, et </w:t>
      </w:r>
      <w:proofErr w:type="spellStart"/>
      <w:r>
        <w:t>al</w:t>
      </w:r>
      <w:proofErr w:type="spellEnd"/>
      <w:r>
        <w:t xml:space="preserve">. </w:t>
      </w:r>
      <w:proofErr w:type="spellStart"/>
      <w:r>
        <w:t>Temporal</w:t>
      </w:r>
      <w:proofErr w:type="spellEnd"/>
      <w:r>
        <w:t xml:space="preserve"> </w:t>
      </w:r>
      <w:proofErr w:type="spellStart"/>
      <w:r>
        <w:t>variation</w:t>
      </w:r>
      <w:proofErr w:type="spellEnd"/>
      <w:r>
        <w:t xml:space="preserve"> in </w:t>
      </w:r>
      <w:proofErr w:type="spellStart"/>
      <w:r>
        <w:t>heat</w:t>
      </w:r>
      <w:proofErr w:type="spellEnd"/>
      <w:r>
        <w:t>–</w:t>
      </w:r>
      <w:proofErr w:type="spellStart"/>
      <w:r>
        <w:t>mortality</w:t>
      </w:r>
      <w:proofErr w:type="spellEnd"/>
      <w:r>
        <w:t xml:space="preserve"> </w:t>
      </w:r>
      <w:proofErr w:type="spellStart"/>
      <w:r>
        <w:t>associations</w:t>
      </w:r>
      <w:proofErr w:type="spellEnd"/>
      <w:r>
        <w:t xml:space="preserve">: a </w:t>
      </w:r>
      <w:proofErr w:type="spellStart"/>
      <w:r>
        <w:t>multicountry</w:t>
      </w:r>
      <w:proofErr w:type="spellEnd"/>
      <w:r>
        <w:t xml:space="preserve"> </w:t>
      </w:r>
      <w:proofErr w:type="spellStart"/>
      <w:r>
        <w:t>study</w:t>
      </w:r>
      <w:proofErr w:type="spellEnd"/>
      <w:r>
        <w:t xml:space="preserve">. </w:t>
      </w:r>
      <w:proofErr w:type="spellStart"/>
      <w:r>
        <w:t>Environ</w:t>
      </w:r>
      <w:proofErr w:type="spellEnd"/>
      <w:r>
        <w:t xml:space="preserve"> </w:t>
      </w:r>
      <w:proofErr w:type="spellStart"/>
      <w:r>
        <w:t>Health</w:t>
      </w:r>
      <w:proofErr w:type="spellEnd"/>
      <w:r>
        <w:t xml:space="preserve"> </w:t>
      </w:r>
      <w:proofErr w:type="spellStart"/>
      <w:r>
        <w:t>Perspect</w:t>
      </w:r>
      <w:proofErr w:type="spellEnd"/>
      <w:r>
        <w:t>. 2015;123(11):1200 10.1289/ehp.1409070</w:t>
      </w:r>
    </w:p>
    <w:p w14:paraId="6DD8DB88" w14:textId="77777777" w:rsidR="0053259D" w:rsidRDefault="0053259D" w:rsidP="0053259D">
      <w:proofErr w:type="spellStart"/>
      <w:r>
        <w:t>Ghirardi</w:t>
      </w:r>
      <w:proofErr w:type="spellEnd"/>
      <w:r>
        <w:t xml:space="preserve"> L, </w:t>
      </w:r>
      <w:proofErr w:type="spellStart"/>
      <w:r>
        <w:t>Bisoffi</w:t>
      </w:r>
      <w:proofErr w:type="spellEnd"/>
      <w:r>
        <w:t xml:space="preserve"> G, </w:t>
      </w:r>
      <w:proofErr w:type="spellStart"/>
      <w:r>
        <w:t>Mirandola</w:t>
      </w:r>
      <w:proofErr w:type="spellEnd"/>
      <w:r>
        <w:t xml:space="preserve"> R, </w:t>
      </w:r>
      <w:proofErr w:type="spellStart"/>
      <w:r>
        <w:t>Ricci</w:t>
      </w:r>
      <w:proofErr w:type="spellEnd"/>
      <w:r>
        <w:t xml:space="preserve"> G, </w:t>
      </w:r>
      <w:proofErr w:type="spellStart"/>
      <w:r>
        <w:t>Baccini</w:t>
      </w:r>
      <w:proofErr w:type="spellEnd"/>
      <w:r>
        <w:t xml:space="preserve"> M. </w:t>
      </w:r>
      <w:proofErr w:type="spellStart"/>
      <w:r>
        <w:t>The</w:t>
      </w:r>
      <w:proofErr w:type="spellEnd"/>
      <w:r>
        <w:t xml:space="preserve"> </w:t>
      </w:r>
      <w:proofErr w:type="spellStart"/>
      <w:r>
        <w:t>Impact</w:t>
      </w:r>
      <w:proofErr w:type="spellEnd"/>
      <w:r>
        <w:t xml:space="preserve"> of </w:t>
      </w:r>
      <w:proofErr w:type="spellStart"/>
      <w:r>
        <w:t>Heat</w:t>
      </w:r>
      <w:proofErr w:type="spellEnd"/>
      <w:r>
        <w:t xml:space="preserve"> on </w:t>
      </w:r>
      <w:proofErr w:type="spellStart"/>
      <w:r>
        <w:t>an</w:t>
      </w:r>
      <w:proofErr w:type="spellEnd"/>
      <w:r>
        <w:t xml:space="preserve"> </w:t>
      </w:r>
      <w:proofErr w:type="spellStart"/>
      <w:r>
        <w:t>Emergency</w:t>
      </w:r>
      <w:proofErr w:type="spellEnd"/>
      <w:r>
        <w:t xml:space="preserve"> </w:t>
      </w:r>
      <w:proofErr w:type="spellStart"/>
      <w:r>
        <w:t>Department</w:t>
      </w:r>
      <w:proofErr w:type="spellEnd"/>
      <w:r>
        <w:t xml:space="preserve"> in </w:t>
      </w:r>
      <w:proofErr w:type="spellStart"/>
      <w:r>
        <w:t>Italy</w:t>
      </w:r>
      <w:proofErr w:type="spellEnd"/>
      <w:r>
        <w:t xml:space="preserve">: </w:t>
      </w:r>
      <w:proofErr w:type="spellStart"/>
      <w:r>
        <w:t>Attributable</w:t>
      </w:r>
      <w:proofErr w:type="spellEnd"/>
      <w:r>
        <w:t xml:space="preserve"> </w:t>
      </w:r>
      <w:proofErr w:type="spellStart"/>
      <w:r>
        <w:t>Visits</w:t>
      </w:r>
      <w:proofErr w:type="spellEnd"/>
      <w:r>
        <w:t xml:space="preserve"> </w:t>
      </w:r>
      <w:proofErr w:type="spellStart"/>
      <w:r>
        <w:t>among</w:t>
      </w:r>
      <w:proofErr w:type="spellEnd"/>
      <w:r>
        <w:t xml:space="preserve"> </w:t>
      </w:r>
      <w:proofErr w:type="spellStart"/>
      <w:r>
        <w:t>Children</w:t>
      </w:r>
      <w:proofErr w:type="spellEnd"/>
      <w:r>
        <w:t xml:space="preserve">, </w:t>
      </w:r>
      <w:proofErr w:type="spellStart"/>
      <w:r>
        <w:t>Adults</w:t>
      </w:r>
      <w:proofErr w:type="spellEnd"/>
      <w:r>
        <w:t xml:space="preserve">, </w:t>
      </w:r>
      <w:proofErr w:type="spellStart"/>
      <w:r>
        <w:t>and</w:t>
      </w:r>
      <w:proofErr w:type="spellEnd"/>
      <w:r>
        <w:t xml:space="preserve"> </w:t>
      </w:r>
      <w:proofErr w:type="spellStart"/>
      <w:r>
        <w:t>the</w:t>
      </w:r>
      <w:proofErr w:type="spellEnd"/>
      <w:r>
        <w:t xml:space="preserve"> </w:t>
      </w:r>
      <w:proofErr w:type="spellStart"/>
      <w:r>
        <w:t>Elderly</w:t>
      </w:r>
      <w:proofErr w:type="spellEnd"/>
      <w:r>
        <w:t xml:space="preserve"> </w:t>
      </w:r>
      <w:proofErr w:type="spellStart"/>
      <w:r>
        <w:t>during</w:t>
      </w:r>
      <w:proofErr w:type="spellEnd"/>
      <w:r>
        <w:t xml:space="preserve"> </w:t>
      </w:r>
      <w:proofErr w:type="spellStart"/>
      <w:r>
        <w:t>the</w:t>
      </w:r>
      <w:proofErr w:type="spellEnd"/>
      <w:r>
        <w:t xml:space="preserve"> </w:t>
      </w:r>
      <w:proofErr w:type="spellStart"/>
      <w:r>
        <w:t>Warm</w:t>
      </w:r>
      <w:proofErr w:type="spellEnd"/>
      <w:r>
        <w:t xml:space="preserve"> </w:t>
      </w:r>
      <w:proofErr w:type="spellStart"/>
      <w:r>
        <w:t>Season</w:t>
      </w:r>
      <w:proofErr w:type="spellEnd"/>
      <w:r>
        <w:t xml:space="preserve">. </w:t>
      </w:r>
      <w:proofErr w:type="spellStart"/>
      <w:r>
        <w:t>PLoS</w:t>
      </w:r>
      <w:proofErr w:type="spellEnd"/>
      <w:r>
        <w:t xml:space="preserve"> One. 2015 </w:t>
      </w:r>
      <w:proofErr w:type="spellStart"/>
      <w:r>
        <w:t>Oct</w:t>
      </w:r>
      <w:proofErr w:type="spellEnd"/>
      <w:r>
        <w:t xml:space="preserve"> 29;10(10):e0141054. </w:t>
      </w:r>
      <w:proofErr w:type="spellStart"/>
      <w:r>
        <w:t>doi</w:t>
      </w:r>
      <w:proofErr w:type="spellEnd"/>
      <w:r>
        <w:t>: 10.1371/journal.pone.0141054.</w:t>
      </w:r>
    </w:p>
    <w:p w14:paraId="336ADF87" w14:textId="77777777" w:rsidR="0053259D" w:rsidRDefault="0053259D" w:rsidP="0053259D">
      <w:pPr>
        <w:rPr>
          <w:rFonts w:cs="Times New Roman"/>
        </w:rPr>
      </w:pPr>
      <w:proofErr w:type="spellStart"/>
      <w:r>
        <w:rPr>
          <w:rFonts w:cs="Times New Roman"/>
        </w:rPr>
        <w:t>Kilbourne</w:t>
      </w:r>
      <w:proofErr w:type="spellEnd"/>
      <w:r>
        <w:rPr>
          <w:rFonts w:cs="Times New Roman"/>
        </w:rPr>
        <w:t xml:space="preserve"> EM. </w:t>
      </w:r>
      <w:proofErr w:type="spellStart"/>
      <w:r>
        <w:rPr>
          <w:rFonts w:cs="Times New Roman"/>
        </w:rPr>
        <w:t>The</w:t>
      </w:r>
      <w:proofErr w:type="spellEnd"/>
      <w:r>
        <w:rPr>
          <w:rFonts w:cs="Times New Roman"/>
        </w:rPr>
        <w:t xml:space="preserve"> </w:t>
      </w:r>
      <w:proofErr w:type="spellStart"/>
      <w:r>
        <w:rPr>
          <w:rFonts w:cs="Times New Roman"/>
        </w:rPr>
        <w:t>spectrum</w:t>
      </w:r>
      <w:proofErr w:type="spellEnd"/>
      <w:r>
        <w:rPr>
          <w:rFonts w:cs="Times New Roman"/>
        </w:rPr>
        <w:t xml:space="preserve"> of </w:t>
      </w:r>
      <w:proofErr w:type="spellStart"/>
      <w:r>
        <w:rPr>
          <w:rFonts w:cs="Times New Roman"/>
        </w:rPr>
        <w:t>illness</w:t>
      </w:r>
      <w:proofErr w:type="spellEnd"/>
      <w:r>
        <w:rPr>
          <w:rFonts w:cs="Times New Roman"/>
        </w:rPr>
        <w:t xml:space="preserve"> </w:t>
      </w:r>
      <w:proofErr w:type="spellStart"/>
      <w:r>
        <w:rPr>
          <w:rFonts w:cs="Times New Roman"/>
        </w:rPr>
        <w:t>during</w:t>
      </w:r>
      <w:proofErr w:type="spellEnd"/>
      <w:r>
        <w:rPr>
          <w:rFonts w:cs="Times New Roman"/>
        </w:rPr>
        <w:t xml:space="preserve"> </w:t>
      </w:r>
      <w:proofErr w:type="spellStart"/>
      <w:r>
        <w:rPr>
          <w:rFonts w:cs="Times New Roman"/>
        </w:rPr>
        <w:t>heat</w:t>
      </w:r>
      <w:proofErr w:type="spellEnd"/>
      <w:r>
        <w:rPr>
          <w:rFonts w:cs="Times New Roman"/>
        </w:rPr>
        <w:t xml:space="preserve"> </w:t>
      </w:r>
      <w:proofErr w:type="spellStart"/>
      <w:r>
        <w:rPr>
          <w:rFonts w:cs="Times New Roman"/>
        </w:rPr>
        <w:t>waves</w:t>
      </w:r>
      <w:proofErr w:type="spellEnd"/>
      <w:r>
        <w:rPr>
          <w:rFonts w:cs="Times New Roman"/>
        </w:rPr>
        <w:t xml:space="preserve">. Am J </w:t>
      </w:r>
      <w:proofErr w:type="spellStart"/>
      <w:r>
        <w:rPr>
          <w:rFonts w:cs="Times New Roman"/>
        </w:rPr>
        <w:t>Prev</w:t>
      </w:r>
      <w:proofErr w:type="spellEnd"/>
      <w:r>
        <w:rPr>
          <w:rFonts w:cs="Times New Roman"/>
        </w:rPr>
        <w:t xml:space="preserve"> Med. 1999;16:359–360.</w:t>
      </w:r>
    </w:p>
    <w:p w14:paraId="260DFFE8" w14:textId="77777777" w:rsidR="0053259D" w:rsidRDefault="0053259D" w:rsidP="0053259D">
      <w:r>
        <w:t xml:space="preserve">Lin S, </w:t>
      </w:r>
      <w:proofErr w:type="spellStart"/>
      <w:r>
        <w:t>Liu</w:t>
      </w:r>
      <w:proofErr w:type="spellEnd"/>
      <w:r>
        <w:t xml:space="preserve"> X, Le LH, </w:t>
      </w:r>
      <w:proofErr w:type="spellStart"/>
      <w:r>
        <w:t>Hwang</w:t>
      </w:r>
      <w:proofErr w:type="spellEnd"/>
      <w:r>
        <w:t xml:space="preserve"> SA. </w:t>
      </w:r>
      <w:proofErr w:type="spellStart"/>
      <w:r>
        <w:t>Chronic</w:t>
      </w:r>
      <w:proofErr w:type="spellEnd"/>
      <w:r>
        <w:t xml:space="preserve"> </w:t>
      </w:r>
      <w:proofErr w:type="spellStart"/>
      <w:r>
        <w:t>exposure</w:t>
      </w:r>
      <w:proofErr w:type="spellEnd"/>
      <w:r>
        <w:t xml:space="preserve"> to ambient ozone </w:t>
      </w:r>
      <w:proofErr w:type="spellStart"/>
      <w:r>
        <w:t>and</w:t>
      </w:r>
      <w:proofErr w:type="spellEnd"/>
      <w:r>
        <w:t xml:space="preserve"> </w:t>
      </w:r>
      <w:proofErr w:type="spellStart"/>
      <w:r>
        <w:t>asthma</w:t>
      </w:r>
      <w:proofErr w:type="spellEnd"/>
      <w:r>
        <w:t xml:space="preserve"> hospital </w:t>
      </w:r>
      <w:proofErr w:type="spellStart"/>
      <w:r>
        <w:t>admissions</w:t>
      </w:r>
      <w:proofErr w:type="spellEnd"/>
      <w:r>
        <w:t xml:space="preserve"> </w:t>
      </w:r>
      <w:proofErr w:type="spellStart"/>
      <w:r>
        <w:t>among</w:t>
      </w:r>
      <w:proofErr w:type="spellEnd"/>
      <w:r>
        <w:t xml:space="preserve"> </w:t>
      </w:r>
      <w:proofErr w:type="spellStart"/>
      <w:r>
        <w:t>children</w:t>
      </w:r>
      <w:proofErr w:type="spellEnd"/>
      <w:r>
        <w:t xml:space="preserve">. </w:t>
      </w:r>
      <w:proofErr w:type="spellStart"/>
      <w:r>
        <w:rPr>
          <w:i/>
          <w:iCs/>
        </w:rPr>
        <w:t>Environ</w:t>
      </w:r>
      <w:proofErr w:type="spellEnd"/>
      <w:r>
        <w:rPr>
          <w:i/>
          <w:iCs/>
        </w:rPr>
        <w:t xml:space="preserve"> </w:t>
      </w:r>
      <w:proofErr w:type="spellStart"/>
      <w:r>
        <w:rPr>
          <w:i/>
          <w:iCs/>
        </w:rPr>
        <w:t>Health</w:t>
      </w:r>
      <w:proofErr w:type="spellEnd"/>
      <w:r>
        <w:rPr>
          <w:i/>
          <w:iCs/>
        </w:rPr>
        <w:t xml:space="preserve"> </w:t>
      </w:r>
      <w:proofErr w:type="spellStart"/>
      <w:r>
        <w:rPr>
          <w:i/>
          <w:iCs/>
        </w:rPr>
        <w:t>Perspect</w:t>
      </w:r>
      <w:proofErr w:type="spellEnd"/>
      <w:r>
        <w:t>. 2008;116(12):1725-1730. doi:10.1289/ehp.11184</w:t>
      </w:r>
    </w:p>
    <w:p w14:paraId="021F3429" w14:textId="77777777" w:rsidR="0053259D" w:rsidRDefault="0053259D" w:rsidP="0053259D">
      <w:proofErr w:type="spellStart"/>
      <w:r>
        <w:t>Macinko</w:t>
      </w:r>
      <w:proofErr w:type="spellEnd"/>
      <w:r>
        <w:t xml:space="preserve"> J, Harris MJ. </w:t>
      </w:r>
      <w:proofErr w:type="spellStart"/>
      <w:r>
        <w:t>Brazil’s</w:t>
      </w:r>
      <w:proofErr w:type="spellEnd"/>
      <w:r>
        <w:t xml:space="preserve"> </w:t>
      </w:r>
      <w:proofErr w:type="spellStart"/>
      <w:r>
        <w:t>family</w:t>
      </w:r>
      <w:proofErr w:type="spellEnd"/>
      <w:r>
        <w:t xml:space="preserve"> </w:t>
      </w:r>
      <w:proofErr w:type="spellStart"/>
      <w:r>
        <w:t>health</w:t>
      </w:r>
      <w:proofErr w:type="spellEnd"/>
      <w:r>
        <w:t xml:space="preserve"> </w:t>
      </w:r>
      <w:proofErr w:type="spellStart"/>
      <w:r>
        <w:t>strategy</w:t>
      </w:r>
      <w:proofErr w:type="spellEnd"/>
      <w:r>
        <w:t>—</w:t>
      </w:r>
      <w:proofErr w:type="spellStart"/>
      <w:r>
        <w:t>delivering</w:t>
      </w:r>
      <w:proofErr w:type="spellEnd"/>
      <w:r>
        <w:t xml:space="preserve"> </w:t>
      </w:r>
      <w:proofErr w:type="spellStart"/>
      <w:r>
        <w:t>community-based</w:t>
      </w:r>
      <w:proofErr w:type="spellEnd"/>
      <w:r>
        <w:t xml:space="preserve"> </w:t>
      </w:r>
      <w:proofErr w:type="spellStart"/>
      <w:r>
        <w:t>primary</w:t>
      </w:r>
      <w:proofErr w:type="spellEnd"/>
      <w:r>
        <w:t xml:space="preserve"> </w:t>
      </w:r>
      <w:proofErr w:type="spellStart"/>
      <w:r>
        <w:t>care</w:t>
      </w:r>
      <w:proofErr w:type="spellEnd"/>
      <w:r>
        <w:t xml:space="preserve"> in a </w:t>
      </w:r>
      <w:proofErr w:type="spellStart"/>
      <w:r>
        <w:t>universal</w:t>
      </w:r>
      <w:proofErr w:type="spellEnd"/>
      <w:r>
        <w:t xml:space="preserve"> </w:t>
      </w:r>
      <w:proofErr w:type="spellStart"/>
      <w:r>
        <w:t>health</w:t>
      </w:r>
      <w:proofErr w:type="spellEnd"/>
      <w:r>
        <w:t xml:space="preserve"> </w:t>
      </w:r>
      <w:proofErr w:type="spellStart"/>
      <w:r>
        <w:t>system</w:t>
      </w:r>
      <w:proofErr w:type="spellEnd"/>
      <w:r>
        <w:t xml:space="preserve">. N </w:t>
      </w:r>
      <w:proofErr w:type="spellStart"/>
      <w:r>
        <w:t>Engl</w:t>
      </w:r>
      <w:proofErr w:type="spellEnd"/>
      <w:r>
        <w:t xml:space="preserve"> J Med. 2015;372(23):2177–81. 10.1056/NEJMp1501140</w:t>
      </w:r>
    </w:p>
    <w:p w14:paraId="0220CA50" w14:textId="77777777" w:rsidR="0053259D" w:rsidRDefault="0053259D" w:rsidP="0053259D">
      <w:proofErr w:type="spellStart"/>
      <w:r>
        <w:t>Meehl</w:t>
      </w:r>
      <w:proofErr w:type="spellEnd"/>
      <w:r>
        <w:t xml:space="preserve"> GA, </w:t>
      </w:r>
      <w:proofErr w:type="spellStart"/>
      <w:r>
        <w:t>Tebaldi</w:t>
      </w:r>
      <w:proofErr w:type="spellEnd"/>
      <w:r>
        <w:t xml:space="preserve"> C. More </w:t>
      </w:r>
      <w:proofErr w:type="spellStart"/>
      <w:r>
        <w:t>intense</w:t>
      </w:r>
      <w:proofErr w:type="spellEnd"/>
      <w:r>
        <w:t xml:space="preserve">, more </w:t>
      </w:r>
      <w:proofErr w:type="spellStart"/>
      <w:r>
        <w:t>frequent</w:t>
      </w:r>
      <w:proofErr w:type="spellEnd"/>
      <w:r>
        <w:t xml:space="preserve">, </w:t>
      </w:r>
      <w:proofErr w:type="spellStart"/>
      <w:r>
        <w:t>and</w:t>
      </w:r>
      <w:proofErr w:type="spellEnd"/>
      <w:r>
        <w:t xml:space="preserve"> </w:t>
      </w:r>
      <w:proofErr w:type="spellStart"/>
      <w:r>
        <w:t>longer</w:t>
      </w:r>
      <w:proofErr w:type="spellEnd"/>
      <w:r>
        <w:t xml:space="preserve"> </w:t>
      </w:r>
      <w:proofErr w:type="spellStart"/>
      <w:r>
        <w:t>lasting</w:t>
      </w:r>
      <w:proofErr w:type="spellEnd"/>
      <w:r>
        <w:t xml:space="preserve"> </w:t>
      </w:r>
      <w:proofErr w:type="spellStart"/>
      <w:r>
        <w:t>heat</w:t>
      </w:r>
      <w:proofErr w:type="spellEnd"/>
      <w:r>
        <w:t xml:space="preserve"> </w:t>
      </w:r>
      <w:proofErr w:type="spellStart"/>
      <w:r>
        <w:t>waves</w:t>
      </w:r>
      <w:proofErr w:type="spellEnd"/>
      <w:r>
        <w:t xml:space="preserve"> in </w:t>
      </w:r>
      <w:proofErr w:type="spellStart"/>
      <w:r>
        <w:t>the</w:t>
      </w:r>
      <w:proofErr w:type="spellEnd"/>
      <w:r>
        <w:t xml:space="preserve"> 21st </w:t>
      </w:r>
      <w:proofErr w:type="spellStart"/>
      <w:r>
        <w:t>century</w:t>
      </w:r>
      <w:proofErr w:type="spellEnd"/>
      <w:r>
        <w:t>. Science. 2004;305:994–997.</w:t>
      </w:r>
    </w:p>
    <w:p w14:paraId="3EFE0222" w14:textId="77777777" w:rsidR="0053259D" w:rsidRDefault="0053259D" w:rsidP="0053259D">
      <w:proofErr w:type="spellStart"/>
      <w:r>
        <w:t>Michelozzi</w:t>
      </w:r>
      <w:proofErr w:type="spellEnd"/>
      <w:r>
        <w:t xml:space="preserve"> P, Accetta G, De </w:t>
      </w:r>
      <w:proofErr w:type="spellStart"/>
      <w:r>
        <w:t>Sario</w:t>
      </w:r>
      <w:proofErr w:type="spellEnd"/>
      <w:r>
        <w:t xml:space="preserve"> M, </w:t>
      </w:r>
      <w:proofErr w:type="spellStart"/>
      <w:r>
        <w:t>D'ippoliti</w:t>
      </w:r>
      <w:proofErr w:type="spellEnd"/>
      <w:r>
        <w:t xml:space="preserve"> D, Marino C, </w:t>
      </w:r>
      <w:proofErr w:type="spellStart"/>
      <w:r>
        <w:t>Baccini</w:t>
      </w:r>
      <w:proofErr w:type="spellEnd"/>
      <w:r>
        <w:t xml:space="preserve"> M, et </w:t>
      </w:r>
      <w:proofErr w:type="spellStart"/>
      <w:r>
        <w:t>al</w:t>
      </w:r>
      <w:proofErr w:type="spellEnd"/>
      <w:r>
        <w:t xml:space="preserve">. </w:t>
      </w:r>
      <w:proofErr w:type="spellStart"/>
      <w:r>
        <w:t>High</w:t>
      </w:r>
      <w:proofErr w:type="spellEnd"/>
      <w:r>
        <w:t xml:space="preserve"> temperature </w:t>
      </w:r>
      <w:proofErr w:type="spellStart"/>
      <w:r>
        <w:t>and</w:t>
      </w:r>
      <w:proofErr w:type="spellEnd"/>
      <w:r>
        <w:t xml:space="preserve"> </w:t>
      </w:r>
      <w:proofErr w:type="spellStart"/>
      <w:r>
        <w:t>hospitalizations</w:t>
      </w:r>
      <w:proofErr w:type="spellEnd"/>
      <w:r>
        <w:t xml:space="preserve"> </w:t>
      </w:r>
      <w:proofErr w:type="spellStart"/>
      <w:r>
        <w:t>for</w:t>
      </w:r>
      <w:proofErr w:type="spellEnd"/>
      <w:r>
        <w:t xml:space="preserve"> </w:t>
      </w:r>
      <w:proofErr w:type="spellStart"/>
      <w:r>
        <w:t>cardiovascular</w:t>
      </w:r>
      <w:proofErr w:type="spellEnd"/>
      <w:r>
        <w:t xml:space="preserve"> </w:t>
      </w:r>
      <w:proofErr w:type="spellStart"/>
      <w:r>
        <w:t>and</w:t>
      </w:r>
      <w:proofErr w:type="spellEnd"/>
      <w:r>
        <w:t xml:space="preserve"> </w:t>
      </w:r>
      <w:proofErr w:type="spellStart"/>
      <w:r>
        <w:t>respiratory</w:t>
      </w:r>
      <w:proofErr w:type="spellEnd"/>
      <w:r>
        <w:t xml:space="preserve"> </w:t>
      </w:r>
      <w:proofErr w:type="spellStart"/>
      <w:r>
        <w:t>causes</w:t>
      </w:r>
      <w:proofErr w:type="spellEnd"/>
      <w:r>
        <w:t xml:space="preserve"> in 12 </w:t>
      </w:r>
      <w:proofErr w:type="spellStart"/>
      <w:r>
        <w:t>European</w:t>
      </w:r>
      <w:proofErr w:type="spellEnd"/>
      <w:r>
        <w:t xml:space="preserve"> </w:t>
      </w:r>
      <w:proofErr w:type="spellStart"/>
      <w:r>
        <w:t>cities</w:t>
      </w:r>
      <w:proofErr w:type="spellEnd"/>
      <w:r>
        <w:t xml:space="preserve">. Am J </w:t>
      </w:r>
      <w:proofErr w:type="spellStart"/>
      <w:r>
        <w:t>Respir</w:t>
      </w:r>
      <w:proofErr w:type="spellEnd"/>
      <w:r>
        <w:t xml:space="preserve"> </w:t>
      </w:r>
      <w:proofErr w:type="spellStart"/>
      <w:r>
        <w:t>Crit</w:t>
      </w:r>
      <w:proofErr w:type="spellEnd"/>
      <w:r>
        <w:t xml:space="preserve"> </w:t>
      </w:r>
      <w:proofErr w:type="spellStart"/>
      <w:r>
        <w:t>Care</w:t>
      </w:r>
      <w:proofErr w:type="spellEnd"/>
      <w:r>
        <w:t xml:space="preserve"> Med. 2009;179(5):383–9. 10.1164/rccm.200802-217OC</w:t>
      </w:r>
    </w:p>
    <w:p w14:paraId="31A49D20" w14:textId="77777777" w:rsidR="0053259D" w:rsidRDefault="0053259D" w:rsidP="0053259D">
      <w:pPr>
        <w:rPr>
          <w:rFonts w:cs="Arial"/>
        </w:rPr>
      </w:pPr>
      <w:r>
        <w:t xml:space="preserve">NIJZ 1: </w:t>
      </w:r>
      <w:r>
        <w:rPr>
          <w:rFonts w:cs="Arial"/>
        </w:rPr>
        <w:t>http://obcine.nijz.si/</w:t>
      </w:r>
    </w:p>
    <w:p w14:paraId="132CB177" w14:textId="04FC4C35" w:rsidR="0053259D" w:rsidRDefault="0053259D" w:rsidP="0053259D">
      <w:r>
        <w:rPr>
          <w:rFonts w:cs="Arial"/>
        </w:rPr>
        <w:t xml:space="preserve">NIJZ 2: NIJZ. Povišane koncentracije </w:t>
      </w:r>
      <w:proofErr w:type="spellStart"/>
      <w:r>
        <w:rPr>
          <w:rFonts w:cs="Arial"/>
        </w:rPr>
        <w:t>troposferskega</w:t>
      </w:r>
      <w:proofErr w:type="spellEnd"/>
      <w:r>
        <w:rPr>
          <w:rFonts w:cs="Arial"/>
        </w:rPr>
        <w:t xml:space="preserve"> ozona. Priporočila za prebivalce. </w:t>
      </w:r>
      <w:r w:rsidR="007A0276">
        <w:fldChar w:fldCharType="begin"/>
      </w:r>
      <w:r w:rsidR="007A0276">
        <w:instrText xml:space="preserve"> HYPERLINK "https://www.nijz.si/sites/www.nijz.si/files/uploaded/priporocila_nijz-ozon_2020-1-6-2020.pdf" </w:instrText>
      </w:r>
      <w:r w:rsidR="007A0276">
        <w:fldChar w:fldCharType="separate"/>
      </w:r>
      <w:r>
        <w:rPr>
          <w:rStyle w:val="Hiperpovezava"/>
          <w:rFonts w:cs="Arial"/>
        </w:rPr>
        <w:t>https://www.nijz.si/sites/www.nijz.si/files/uploaded/priporocila_nijz-ozon_2020-1-6-2020.pdf</w:t>
      </w:r>
      <w:r w:rsidR="007A0276">
        <w:rPr>
          <w:rStyle w:val="Hiperpovezava"/>
          <w:rFonts w:cs="Arial"/>
        </w:rPr>
        <w:fldChar w:fldCharType="end"/>
      </w:r>
      <w:r>
        <w:t xml:space="preserve">Nordio F, </w:t>
      </w:r>
      <w:proofErr w:type="spellStart"/>
      <w:r>
        <w:t>Zanobetti</w:t>
      </w:r>
      <w:proofErr w:type="spellEnd"/>
      <w:r>
        <w:t xml:space="preserve"> A, </w:t>
      </w:r>
      <w:proofErr w:type="spellStart"/>
      <w:r>
        <w:t>Colicino</w:t>
      </w:r>
      <w:proofErr w:type="spellEnd"/>
      <w:r>
        <w:t xml:space="preserve"> E, </w:t>
      </w:r>
      <w:proofErr w:type="spellStart"/>
      <w:r>
        <w:t>Kloog</w:t>
      </w:r>
      <w:proofErr w:type="spellEnd"/>
      <w:r>
        <w:t xml:space="preserve"> I, </w:t>
      </w:r>
      <w:proofErr w:type="spellStart"/>
      <w:r>
        <w:t>Schwartz</w:t>
      </w:r>
      <w:proofErr w:type="spellEnd"/>
      <w:r>
        <w:t xml:space="preserve"> J. </w:t>
      </w:r>
      <w:proofErr w:type="spellStart"/>
      <w:r>
        <w:t>Changing</w:t>
      </w:r>
      <w:proofErr w:type="spellEnd"/>
      <w:r>
        <w:t xml:space="preserve"> </w:t>
      </w:r>
      <w:proofErr w:type="spellStart"/>
      <w:r>
        <w:t>patterns</w:t>
      </w:r>
      <w:proofErr w:type="spellEnd"/>
      <w:r>
        <w:t xml:space="preserve"> of </w:t>
      </w:r>
      <w:proofErr w:type="spellStart"/>
      <w:r>
        <w:t>the</w:t>
      </w:r>
      <w:proofErr w:type="spellEnd"/>
      <w:r>
        <w:t xml:space="preserve"> temperature–</w:t>
      </w:r>
      <w:proofErr w:type="spellStart"/>
      <w:r>
        <w:t>mortality</w:t>
      </w:r>
      <w:proofErr w:type="spellEnd"/>
      <w:r>
        <w:t xml:space="preserve"> </w:t>
      </w:r>
      <w:proofErr w:type="spellStart"/>
      <w:r>
        <w:t>association</w:t>
      </w:r>
      <w:proofErr w:type="spellEnd"/>
      <w:r>
        <w:t xml:space="preserve"> </w:t>
      </w:r>
      <w:proofErr w:type="spellStart"/>
      <w:r>
        <w:t>by</w:t>
      </w:r>
      <w:proofErr w:type="spellEnd"/>
      <w:r>
        <w:t xml:space="preserve"> time </w:t>
      </w:r>
      <w:proofErr w:type="spellStart"/>
      <w:r>
        <w:t>and</w:t>
      </w:r>
      <w:proofErr w:type="spellEnd"/>
      <w:r>
        <w:t xml:space="preserve"> </w:t>
      </w:r>
      <w:proofErr w:type="spellStart"/>
      <w:r>
        <w:t>location</w:t>
      </w:r>
      <w:proofErr w:type="spellEnd"/>
      <w:r>
        <w:t xml:space="preserve"> in </w:t>
      </w:r>
      <w:proofErr w:type="spellStart"/>
      <w:r>
        <w:t>the</w:t>
      </w:r>
      <w:proofErr w:type="spellEnd"/>
      <w:r>
        <w:t xml:space="preserve"> US, </w:t>
      </w:r>
      <w:proofErr w:type="spellStart"/>
      <w:r>
        <w:t>and</w:t>
      </w:r>
      <w:proofErr w:type="spellEnd"/>
      <w:r>
        <w:t xml:space="preserve"> </w:t>
      </w:r>
      <w:proofErr w:type="spellStart"/>
      <w:r>
        <w:t>implications</w:t>
      </w:r>
      <w:proofErr w:type="spellEnd"/>
      <w:r>
        <w:t xml:space="preserve"> </w:t>
      </w:r>
      <w:proofErr w:type="spellStart"/>
      <w:r>
        <w:t>for</w:t>
      </w:r>
      <w:proofErr w:type="spellEnd"/>
      <w:r>
        <w:t xml:space="preserve"> </w:t>
      </w:r>
      <w:proofErr w:type="spellStart"/>
      <w:r>
        <w:t>climate</w:t>
      </w:r>
      <w:proofErr w:type="spellEnd"/>
      <w:r>
        <w:t xml:space="preserve"> </w:t>
      </w:r>
      <w:proofErr w:type="spellStart"/>
      <w:r>
        <w:t>change</w:t>
      </w:r>
      <w:proofErr w:type="spellEnd"/>
      <w:r>
        <w:t xml:space="preserve">. </w:t>
      </w:r>
      <w:proofErr w:type="spellStart"/>
      <w:r>
        <w:t>Environ</w:t>
      </w:r>
      <w:proofErr w:type="spellEnd"/>
      <w:r>
        <w:t xml:space="preserve"> </w:t>
      </w:r>
      <w:proofErr w:type="spellStart"/>
      <w:r>
        <w:t>Int</w:t>
      </w:r>
      <w:proofErr w:type="spellEnd"/>
      <w:r>
        <w:t>. 2015;81:80–6. 10.1016/j.envint.2015.04.009</w:t>
      </w:r>
    </w:p>
    <w:p w14:paraId="34A0D7BB" w14:textId="77777777" w:rsidR="0053259D" w:rsidRDefault="0053259D" w:rsidP="0053259D">
      <w:proofErr w:type="spellStart"/>
      <w:r>
        <w:t>Nordio</w:t>
      </w:r>
      <w:proofErr w:type="spellEnd"/>
      <w:r>
        <w:t xml:space="preserve"> F, </w:t>
      </w:r>
      <w:proofErr w:type="spellStart"/>
      <w:r>
        <w:t>Zanobetti</w:t>
      </w:r>
      <w:proofErr w:type="spellEnd"/>
      <w:r>
        <w:t xml:space="preserve"> A, </w:t>
      </w:r>
      <w:proofErr w:type="spellStart"/>
      <w:r>
        <w:t>Colicino</w:t>
      </w:r>
      <w:proofErr w:type="spellEnd"/>
      <w:r>
        <w:t xml:space="preserve"> E, </w:t>
      </w:r>
      <w:proofErr w:type="spellStart"/>
      <w:r>
        <w:t>Kloog</w:t>
      </w:r>
      <w:proofErr w:type="spellEnd"/>
      <w:r>
        <w:t xml:space="preserve"> I, </w:t>
      </w:r>
      <w:proofErr w:type="spellStart"/>
      <w:r>
        <w:t>Schwartz</w:t>
      </w:r>
      <w:proofErr w:type="spellEnd"/>
      <w:r>
        <w:t xml:space="preserve"> J. </w:t>
      </w:r>
      <w:proofErr w:type="spellStart"/>
      <w:r>
        <w:t>Changing</w:t>
      </w:r>
      <w:proofErr w:type="spellEnd"/>
      <w:r>
        <w:t xml:space="preserve"> </w:t>
      </w:r>
      <w:proofErr w:type="spellStart"/>
      <w:r>
        <w:t>patterns</w:t>
      </w:r>
      <w:proofErr w:type="spellEnd"/>
      <w:r>
        <w:t xml:space="preserve"> of </w:t>
      </w:r>
      <w:proofErr w:type="spellStart"/>
      <w:r>
        <w:t>the</w:t>
      </w:r>
      <w:proofErr w:type="spellEnd"/>
      <w:r>
        <w:t xml:space="preserve"> temperature–</w:t>
      </w:r>
      <w:proofErr w:type="spellStart"/>
      <w:r>
        <w:t>mortality</w:t>
      </w:r>
      <w:proofErr w:type="spellEnd"/>
      <w:r>
        <w:t xml:space="preserve"> </w:t>
      </w:r>
      <w:proofErr w:type="spellStart"/>
      <w:r>
        <w:t>association</w:t>
      </w:r>
      <w:proofErr w:type="spellEnd"/>
      <w:r>
        <w:t xml:space="preserve"> </w:t>
      </w:r>
      <w:proofErr w:type="spellStart"/>
      <w:r>
        <w:t>by</w:t>
      </w:r>
      <w:proofErr w:type="spellEnd"/>
      <w:r>
        <w:t xml:space="preserve"> time </w:t>
      </w:r>
      <w:proofErr w:type="spellStart"/>
      <w:r>
        <w:t>and</w:t>
      </w:r>
      <w:proofErr w:type="spellEnd"/>
      <w:r>
        <w:t xml:space="preserve"> </w:t>
      </w:r>
      <w:proofErr w:type="spellStart"/>
      <w:r>
        <w:t>location</w:t>
      </w:r>
      <w:proofErr w:type="spellEnd"/>
      <w:r>
        <w:t xml:space="preserve"> in </w:t>
      </w:r>
      <w:proofErr w:type="spellStart"/>
      <w:r>
        <w:t>the</w:t>
      </w:r>
      <w:proofErr w:type="spellEnd"/>
      <w:r>
        <w:t xml:space="preserve"> US, </w:t>
      </w:r>
      <w:proofErr w:type="spellStart"/>
      <w:r>
        <w:t>and</w:t>
      </w:r>
      <w:proofErr w:type="spellEnd"/>
      <w:r>
        <w:t xml:space="preserve"> </w:t>
      </w:r>
      <w:proofErr w:type="spellStart"/>
      <w:r>
        <w:t>implications</w:t>
      </w:r>
      <w:proofErr w:type="spellEnd"/>
      <w:r>
        <w:t xml:space="preserve"> </w:t>
      </w:r>
      <w:proofErr w:type="spellStart"/>
      <w:r>
        <w:t>for</w:t>
      </w:r>
      <w:proofErr w:type="spellEnd"/>
      <w:r>
        <w:t xml:space="preserve"> </w:t>
      </w:r>
      <w:proofErr w:type="spellStart"/>
      <w:r>
        <w:t>climate</w:t>
      </w:r>
      <w:proofErr w:type="spellEnd"/>
      <w:r>
        <w:t xml:space="preserve"> </w:t>
      </w:r>
      <w:proofErr w:type="spellStart"/>
      <w:r>
        <w:t>change</w:t>
      </w:r>
      <w:proofErr w:type="spellEnd"/>
      <w:r>
        <w:t xml:space="preserve">. </w:t>
      </w:r>
      <w:proofErr w:type="spellStart"/>
      <w:r>
        <w:t>Environ</w:t>
      </w:r>
      <w:proofErr w:type="spellEnd"/>
      <w:r>
        <w:t xml:space="preserve"> </w:t>
      </w:r>
      <w:proofErr w:type="spellStart"/>
      <w:r>
        <w:t>Int</w:t>
      </w:r>
      <w:proofErr w:type="spellEnd"/>
      <w:r>
        <w:t>. 2015;81:80–6. 10.1016/j.envint.2015.04.009</w:t>
      </w:r>
    </w:p>
    <w:p w14:paraId="1980EEF0" w14:textId="77777777" w:rsidR="0053259D" w:rsidRDefault="0053259D" w:rsidP="0053259D">
      <w:proofErr w:type="spellStart"/>
      <w:r>
        <w:t>Orru</w:t>
      </w:r>
      <w:proofErr w:type="spellEnd"/>
      <w:r>
        <w:t xml:space="preserve"> H, Andersson C, </w:t>
      </w:r>
      <w:proofErr w:type="spellStart"/>
      <w:r>
        <w:t>Ebi</w:t>
      </w:r>
      <w:proofErr w:type="spellEnd"/>
      <w:r>
        <w:t xml:space="preserve"> KL, </w:t>
      </w:r>
      <w:proofErr w:type="spellStart"/>
      <w:r>
        <w:t>Langner</w:t>
      </w:r>
      <w:proofErr w:type="spellEnd"/>
      <w:r>
        <w:t xml:space="preserve"> J, </w:t>
      </w:r>
      <w:proofErr w:type="spellStart"/>
      <w:r>
        <w:t>Åström</w:t>
      </w:r>
      <w:proofErr w:type="spellEnd"/>
      <w:r>
        <w:t xml:space="preserve"> C, Forsberg B. </w:t>
      </w:r>
      <w:proofErr w:type="spellStart"/>
      <w:r>
        <w:rPr>
          <w:bCs/>
        </w:rPr>
        <w:t>Impact</w:t>
      </w:r>
      <w:proofErr w:type="spellEnd"/>
      <w:r>
        <w:rPr>
          <w:bCs/>
        </w:rPr>
        <w:t xml:space="preserve"> of </w:t>
      </w:r>
      <w:proofErr w:type="spellStart"/>
      <w:r>
        <w:rPr>
          <w:bCs/>
        </w:rPr>
        <w:t>climate</w:t>
      </w:r>
      <w:proofErr w:type="spellEnd"/>
      <w:r>
        <w:rPr>
          <w:bCs/>
        </w:rPr>
        <w:t xml:space="preserve"> </w:t>
      </w:r>
      <w:proofErr w:type="spellStart"/>
      <w:r>
        <w:rPr>
          <w:bCs/>
        </w:rPr>
        <w:t>change</w:t>
      </w:r>
      <w:proofErr w:type="spellEnd"/>
      <w:r>
        <w:rPr>
          <w:bCs/>
        </w:rPr>
        <w:t xml:space="preserve"> on ozone-</w:t>
      </w:r>
      <w:proofErr w:type="spellStart"/>
      <w:r>
        <w:rPr>
          <w:bCs/>
        </w:rPr>
        <w:t>related</w:t>
      </w:r>
      <w:proofErr w:type="spellEnd"/>
      <w:r>
        <w:rPr>
          <w:bCs/>
        </w:rPr>
        <w:t xml:space="preserve"> </w:t>
      </w:r>
      <w:proofErr w:type="spellStart"/>
      <w:r>
        <w:rPr>
          <w:bCs/>
        </w:rPr>
        <w:t>mortality</w:t>
      </w:r>
      <w:proofErr w:type="spellEnd"/>
      <w:r>
        <w:rPr>
          <w:bCs/>
        </w:rPr>
        <w:t xml:space="preserve"> </w:t>
      </w:r>
      <w:proofErr w:type="spellStart"/>
      <w:r>
        <w:rPr>
          <w:bCs/>
        </w:rPr>
        <w:t>and</w:t>
      </w:r>
      <w:proofErr w:type="spellEnd"/>
      <w:r>
        <w:rPr>
          <w:bCs/>
        </w:rPr>
        <w:t xml:space="preserve"> </w:t>
      </w:r>
      <w:proofErr w:type="spellStart"/>
      <w:r>
        <w:rPr>
          <w:bCs/>
        </w:rPr>
        <w:t>morbidity</w:t>
      </w:r>
      <w:proofErr w:type="spellEnd"/>
      <w:r>
        <w:rPr>
          <w:bCs/>
        </w:rPr>
        <w:t xml:space="preserve"> in </w:t>
      </w:r>
      <w:proofErr w:type="spellStart"/>
      <w:r>
        <w:rPr>
          <w:bCs/>
        </w:rPr>
        <w:t>Europe</w:t>
      </w:r>
      <w:proofErr w:type="spellEnd"/>
      <w:r>
        <w:rPr>
          <w:bCs/>
        </w:rPr>
        <w:t xml:space="preserve">. </w:t>
      </w:r>
      <w:proofErr w:type="spellStart"/>
      <w:r>
        <w:t>European</w:t>
      </w:r>
      <w:proofErr w:type="spellEnd"/>
      <w:r>
        <w:t xml:space="preserve"> </w:t>
      </w:r>
      <w:proofErr w:type="spellStart"/>
      <w:r>
        <w:t>Respiratory</w:t>
      </w:r>
      <w:proofErr w:type="spellEnd"/>
      <w:r>
        <w:t xml:space="preserve"> </w:t>
      </w:r>
      <w:proofErr w:type="spellStart"/>
      <w:r>
        <w:t>Journal</w:t>
      </w:r>
      <w:proofErr w:type="spellEnd"/>
      <w:r>
        <w:t> 2013 41: 285-294.</w:t>
      </w:r>
      <w:r>
        <w:rPr>
          <w:b/>
          <w:bCs/>
          <w:color w:val="000000"/>
          <w:shd w:val="clear" w:color="auto" w:fill="FFFFFF"/>
        </w:rPr>
        <w:t xml:space="preserve"> </w:t>
      </w:r>
      <w:r>
        <w:t>DOI: 10.1183/09031936.00210411</w:t>
      </w:r>
    </w:p>
    <w:p w14:paraId="025B240A" w14:textId="77777777" w:rsidR="0053259D" w:rsidRDefault="0053259D" w:rsidP="0053259D">
      <w:r>
        <w:lastRenderedPageBreak/>
        <w:t>Ostravska deklaracija. https://www.gov.si/podrocja/zdravje/preventiva-in-skrb-za-zdravje/nov-podrocje-200205110445/</w:t>
      </w:r>
    </w:p>
    <w:p w14:paraId="7D82459B" w14:textId="77777777" w:rsidR="0053259D" w:rsidRDefault="0053259D" w:rsidP="0053259D">
      <w:r>
        <w:rPr>
          <w:lang w:eastAsia="sl-SI"/>
        </w:rPr>
        <w:t xml:space="preserve">Perčič S, Kukec A, Cegnar T, Hojs A. </w:t>
      </w:r>
      <w:r>
        <w:rPr>
          <w:rStyle w:val="A9"/>
          <w:sz w:val="22"/>
        </w:rPr>
        <w:t>Vplivi vročinskih valov na umrljivost v Sloveniji. Vetrnica. Ljubljana, Slovensko meteorološko društvo, 2018</w:t>
      </w:r>
    </w:p>
    <w:p w14:paraId="09B55170" w14:textId="77777777" w:rsidR="0053259D" w:rsidRDefault="0053259D" w:rsidP="0053259D">
      <w:pPr>
        <w:rPr>
          <w:rFonts w:cs="Calibri"/>
        </w:rPr>
      </w:pPr>
      <w:r>
        <w:rPr>
          <w:rFonts w:cs="Calibri"/>
        </w:rPr>
        <w:t>Pohar M. Voda in podnebne spremembe. NIJZ, 2016</w:t>
      </w:r>
    </w:p>
    <w:p w14:paraId="0C01DF20" w14:textId="5E042E85" w:rsidR="0053259D" w:rsidRDefault="0053259D" w:rsidP="0053259D">
      <w:pPr>
        <w:rPr>
          <w:rFonts w:cs="Calibri"/>
        </w:rPr>
      </w:pPr>
      <w:r w:rsidRPr="005F0D8E">
        <w:rPr>
          <w:rFonts w:cs="Calibri"/>
        </w:rPr>
        <w:t xml:space="preserve">Poročilo o zagotavljanju ustreznosti pitne vode na oskrbovalnih območjih v upravljanju Vodovodov in kanalizacije Nova Gorica </w:t>
      </w:r>
      <w:proofErr w:type="spellStart"/>
      <w:r w:rsidRPr="005F0D8E">
        <w:rPr>
          <w:rFonts w:cs="Calibri"/>
        </w:rPr>
        <w:t>d.d</w:t>
      </w:r>
      <w:proofErr w:type="spellEnd"/>
      <w:r w:rsidRPr="005F0D8E">
        <w:rPr>
          <w:rFonts w:cs="Calibri"/>
        </w:rPr>
        <w:t>.</w:t>
      </w:r>
      <w:r>
        <w:rPr>
          <w:rFonts w:cs="Calibri"/>
        </w:rPr>
        <w:t xml:space="preserve">  </w:t>
      </w:r>
      <w:r w:rsidR="007A0276">
        <w:fldChar w:fldCharType="begin"/>
      </w:r>
      <w:r w:rsidR="007A0276">
        <w:instrText xml:space="preserve"> HYPERLINK "https://www.vik-ng.si/nase-dejavnosti/oskrba-z-vodo/kakovost-pitne-vode" </w:instrText>
      </w:r>
      <w:r w:rsidR="007A0276">
        <w:fldChar w:fldCharType="separate"/>
      </w:r>
      <w:r>
        <w:rPr>
          <w:rStyle w:val="Hiperpovezava"/>
        </w:rPr>
        <w:t>https://www.vik-ng.si/nase-dejavnosti/oskrba-z-vodo/kakovost-pitne-vode</w:t>
      </w:r>
      <w:r w:rsidR="007A0276">
        <w:rPr>
          <w:rStyle w:val="Hiperpovezava"/>
        </w:rPr>
        <w:fldChar w:fldCharType="end"/>
      </w:r>
    </w:p>
    <w:p w14:paraId="3ED99342" w14:textId="61799708" w:rsidR="0053259D" w:rsidRDefault="0053259D" w:rsidP="0053259D">
      <w:pPr>
        <w:rPr>
          <w:lang w:eastAsia="sl-SI"/>
        </w:rPr>
      </w:pPr>
      <w:r>
        <w:rPr>
          <w:rFonts w:cs="Arial"/>
        </w:rPr>
        <w:t>Program porabe sredstev sklada za podnebne spremembe v letu 2020.</w:t>
      </w:r>
      <w:r>
        <w:rPr>
          <w:lang w:eastAsia="sl-SI"/>
        </w:rPr>
        <w:t xml:space="preserve"> </w:t>
      </w:r>
      <w:r w:rsidR="007A0276">
        <w:fldChar w:fldCharType="begin"/>
      </w:r>
      <w:r w:rsidR="007A0276">
        <w:instrText xml:space="preserve"> HYPERLINK "https://e-uprava.gov.si/.download/edemokracija/datotekaVsebina/405950?disposition=inline" </w:instrText>
      </w:r>
      <w:r w:rsidR="007A0276">
        <w:fldChar w:fldCharType="separate"/>
      </w:r>
      <w:r>
        <w:rPr>
          <w:rStyle w:val="Hiperpovezava"/>
          <w:lang w:eastAsia="sl-SI"/>
        </w:rPr>
        <w:t>https://e-uprava.gov.si/.download/edemokracija/datotekaVsebina/405950?disposition=inline</w:t>
      </w:r>
      <w:r w:rsidR="007A0276">
        <w:rPr>
          <w:rStyle w:val="Hiperpovezava"/>
          <w:lang w:eastAsia="sl-SI"/>
        </w:rPr>
        <w:fldChar w:fldCharType="end"/>
      </w:r>
    </w:p>
    <w:p w14:paraId="3BF33381" w14:textId="10A3EB45" w:rsidR="0053259D" w:rsidRDefault="0053259D" w:rsidP="0053259D">
      <w:pPr>
        <w:rPr>
          <w:lang w:eastAsia="sl-SI"/>
        </w:rPr>
      </w:pPr>
      <w:r>
        <w:rPr>
          <w:lang w:eastAsia="sl-SI"/>
        </w:rPr>
        <w:t xml:space="preserve">Resolucija o nacionalnem programu duševnega zdravja 2018−2028 (ReNPDZ18–28). </w:t>
      </w:r>
      <w:r w:rsidR="007A0276">
        <w:fldChar w:fldCharType="begin"/>
      </w:r>
      <w:r w:rsidR="007A0276">
        <w:instrText xml:space="preserve"> HYPERLINK "http://www.pisrs.si/Pis.web/pregledPredpisa?id=RESO120" </w:instrText>
      </w:r>
      <w:r w:rsidR="007A0276">
        <w:fldChar w:fldCharType="separate"/>
      </w:r>
      <w:r>
        <w:rPr>
          <w:rStyle w:val="Hiperpovezava"/>
        </w:rPr>
        <w:t>http://www.pisrs.si/Pis.web/pregledPredpisa?id=RESO120</w:t>
      </w:r>
      <w:r w:rsidR="007A0276">
        <w:rPr>
          <w:rStyle w:val="Hiperpovezava"/>
        </w:rPr>
        <w:fldChar w:fldCharType="end"/>
      </w:r>
    </w:p>
    <w:p w14:paraId="7C0B9E3F" w14:textId="77777777" w:rsidR="0053259D" w:rsidRDefault="0053259D" w:rsidP="0053259D">
      <w:proofErr w:type="spellStart"/>
      <w:r>
        <w:rPr>
          <w:rFonts w:cs="Calibri"/>
          <w:bCs/>
        </w:rPr>
        <w:t>Socan</w:t>
      </w:r>
      <w:proofErr w:type="spellEnd"/>
      <w:r>
        <w:rPr>
          <w:rFonts w:cs="Calibri"/>
          <w:bCs/>
        </w:rPr>
        <w:t xml:space="preserve"> M, Blaško Markič M. Prijavljeni primeri </w:t>
      </w:r>
      <w:proofErr w:type="spellStart"/>
      <w:r>
        <w:rPr>
          <w:rFonts w:cs="Calibri"/>
          <w:bCs/>
        </w:rPr>
        <w:t>Lymske</w:t>
      </w:r>
      <w:proofErr w:type="spellEnd"/>
      <w:r>
        <w:rPr>
          <w:rFonts w:cs="Calibri"/>
          <w:bCs/>
        </w:rPr>
        <w:t xml:space="preserve"> borelioze in klopnega </w:t>
      </w:r>
      <w:proofErr w:type="spellStart"/>
      <w:r>
        <w:rPr>
          <w:rFonts w:cs="Calibri"/>
          <w:bCs/>
        </w:rPr>
        <w:t>meningoencefalitisa</w:t>
      </w:r>
      <w:proofErr w:type="spellEnd"/>
      <w:r>
        <w:rPr>
          <w:rFonts w:cs="Calibri"/>
          <w:bCs/>
        </w:rPr>
        <w:t xml:space="preserve"> v Sloveniji. http://kazalci.arso.gov.si/sl/content/prijavljeni-primeri-lymske-borelioze-klopnega-meningoencefalitisa-v-sloveniji-0?tid=7.</w:t>
      </w:r>
    </w:p>
    <w:p w14:paraId="64C2D48A" w14:textId="7B8575FA" w:rsidR="0053259D" w:rsidRDefault="0053259D" w:rsidP="0053259D">
      <w:r>
        <w:t xml:space="preserve">SURS 1: </w:t>
      </w:r>
      <w:hyperlink r:id="rId146" w:history="1">
        <w:r>
          <w:rPr>
            <w:rStyle w:val="Hiperpovezava"/>
          </w:rPr>
          <w:t>https://www.stat.si/obcine/sl/Municip/Index/52</w:t>
        </w:r>
      </w:hyperlink>
    </w:p>
    <w:p w14:paraId="2160A380" w14:textId="4A0BF5B3" w:rsidR="0053259D" w:rsidRDefault="0053259D" w:rsidP="0053259D">
      <w:pPr>
        <w:rPr>
          <w:rStyle w:val="Hiperpovezava"/>
        </w:rPr>
      </w:pPr>
      <w:r>
        <w:t xml:space="preserve">SURS 2: SURS. Projekcije prebivalstva EUROPOP2018 za Slovenijo. </w:t>
      </w:r>
      <w:r w:rsidR="007A0276">
        <w:fldChar w:fldCharType="begin"/>
      </w:r>
      <w:r w:rsidR="007A0276">
        <w:instrText xml:space="preserve"> HYPERLINK "https://www.stat.si/StatWeb/</w:instrText>
      </w:r>
      <w:r w:rsidR="007A0276">
        <w:instrText xml:space="preserve">News/Index/8316" </w:instrText>
      </w:r>
      <w:r w:rsidR="007A0276">
        <w:fldChar w:fldCharType="separate"/>
      </w:r>
      <w:r>
        <w:rPr>
          <w:rStyle w:val="Hiperpovezava"/>
        </w:rPr>
        <w:t>https://www.stat.si/StatWeb/News/Index/8316</w:t>
      </w:r>
      <w:r w:rsidR="007A0276">
        <w:rPr>
          <w:rStyle w:val="Hiperpovezava"/>
        </w:rPr>
        <w:fldChar w:fldCharType="end"/>
      </w:r>
    </w:p>
    <w:p w14:paraId="136D3886" w14:textId="77777777" w:rsidR="0053259D" w:rsidRDefault="0053259D" w:rsidP="0053259D">
      <w:r>
        <w:rPr>
          <w:rStyle w:val="Hiperpovezava"/>
        </w:rPr>
        <w:t xml:space="preserve">SURS </w:t>
      </w:r>
      <w:proofErr w:type="spellStart"/>
      <w:r>
        <w:rPr>
          <w:rStyle w:val="Hiperpovezava"/>
        </w:rPr>
        <w:t>obč</w:t>
      </w:r>
      <w:proofErr w:type="spellEnd"/>
      <w:r>
        <w:rPr>
          <w:rStyle w:val="Hiperpovezava"/>
        </w:rPr>
        <w:t xml:space="preserve">, 2018: Občina Nova Gorica. </w:t>
      </w:r>
      <w:r w:rsidRPr="00BA432A">
        <w:t>https://www.stat.si/obcine/sl/Municip/Index/112</w:t>
      </w:r>
    </w:p>
    <w:p w14:paraId="601E2A0B" w14:textId="47DDB3DC" w:rsidR="0053259D" w:rsidRDefault="0053259D" w:rsidP="0053259D">
      <w:pPr>
        <w:rPr>
          <w:rStyle w:val="Hiperpovezava"/>
        </w:rPr>
      </w:pPr>
      <w:proofErr w:type="spellStart"/>
      <w:r>
        <w:rPr>
          <w:rStyle w:val="Hiperpovezava"/>
        </w:rPr>
        <w:t>Šömen</w:t>
      </w:r>
      <w:proofErr w:type="spellEnd"/>
      <w:r>
        <w:rPr>
          <w:rStyle w:val="Hiperpovezava"/>
        </w:rPr>
        <w:t xml:space="preserve"> </w:t>
      </w:r>
      <w:proofErr w:type="spellStart"/>
      <w:r>
        <w:rPr>
          <w:rStyle w:val="Hiperpovezava"/>
        </w:rPr>
        <w:t>Joksić</w:t>
      </w:r>
      <w:proofErr w:type="spellEnd"/>
      <w:r>
        <w:rPr>
          <w:rStyle w:val="Hiperpovezava"/>
        </w:rPr>
        <w:t xml:space="preserve"> A. Kazalec izpostavljenosti ozonu: SOMO</w:t>
      </w:r>
      <w:r>
        <w:rPr>
          <w:rStyle w:val="Hiperpovezava"/>
          <w:vertAlign w:val="subscript"/>
        </w:rPr>
        <w:t>35</w:t>
      </w:r>
      <w:r>
        <w:rPr>
          <w:rStyle w:val="Hiperpovezava"/>
        </w:rPr>
        <w:t xml:space="preserve">. </w:t>
      </w:r>
      <w:proofErr w:type="spellStart"/>
      <w:r>
        <w:rPr>
          <w:rStyle w:val="Hiperpovezava"/>
        </w:rPr>
        <w:t>eNBOZ</w:t>
      </w:r>
      <w:proofErr w:type="spellEnd"/>
      <w:r>
        <w:rPr>
          <w:rStyle w:val="Hiperpovezava"/>
        </w:rPr>
        <w:t>, 2018, 4-10.</w:t>
      </w:r>
      <w:r>
        <w:t xml:space="preserve"> </w:t>
      </w:r>
      <w:r w:rsidR="007A0276">
        <w:fldChar w:fldCharType="begin"/>
      </w:r>
      <w:r w:rsidR="007A0276">
        <w:instrText xml:space="preserve"> HYPERLINK "https://docplayer.si/</w:instrText>
      </w:r>
      <w:r w:rsidR="007A0276">
        <w:instrText xml:space="preserve">187992892-Maj-2018-%C5%A1t-5-issn.html" </w:instrText>
      </w:r>
      <w:r w:rsidR="007A0276">
        <w:fldChar w:fldCharType="separate"/>
      </w:r>
      <w:r>
        <w:rPr>
          <w:rStyle w:val="Hiperpovezava"/>
        </w:rPr>
        <w:t>https://docplayer.si/187992892-Maj-2018-%C5%A1t-5-issn.html</w:t>
      </w:r>
      <w:r w:rsidR="007A0276">
        <w:rPr>
          <w:rStyle w:val="Hiperpovezava"/>
        </w:rPr>
        <w:fldChar w:fldCharType="end"/>
      </w:r>
    </w:p>
    <w:p w14:paraId="003FDF23" w14:textId="1F49E4FA" w:rsidR="0053259D" w:rsidRDefault="0053259D" w:rsidP="0053259D">
      <w:proofErr w:type="spellStart"/>
      <w:r>
        <w:t>The</w:t>
      </w:r>
      <w:proofErr w:type="spellEnd"/>
      <w:r>
        <w:t xml:space="preserve"> </w:t>
      </w:r>
      <w:proofErr w:type="spellStart"/>
      <w:r>
        <w:t>World</w:t>
      </w:r>
      <w:proofErr w:type="spellEnd"/>
      <w:r>
        <w:t xml:space="preserve"> Bank. GDP </w:t>
      </w:r>
      <w:proofErr w:type="spellStart"/>
      <w:r>
        <w:t>ranking</w:t>
      </w:r>
      <w:proofErr w:type="spellEnd"/>
      <w:r>
        <w:t xml:space="preserve"> (2016); 2017. </w:t>
      </w:r>
      <w:proofErr w:type="spellStart"/>
      <w:r>
        <w:t>Database</w:t>
      </w:r>
      <w:proofErr w:type="spellEnd"/>
      <w:r>
        <w:t xml:space="preserve">: </w:t>
      </w:r>
      <w:proofErr w:type="spellStart"/>
      <w:r>
        <w:t>World</w:t>
      </w:r>
      <w:proofErr w:type="spellEnd"/>
      <w:r>
        <w:t xml:space="preserve"> </w:t>
      </w:r>
      <w:proofErr w:type="spellStart"/>
      <w:r>
        <w:t>Development</w:t>
      </w:r>
      <w:proofErr w:type="spellEnd"/>
      <w:r>
        <w:t xml:space="preserve"> </w:t>
      </w:r>
      <w:proofErr w:type="spellStart"/>
      <w:r>
        <w:t>Indicators</w:t>
      </w:r>
      <w:proofErr w:type="spellEnd"/>
      <w:r>
        <w:t xml:space="preserve"> (2017) [Internet]. </w:t>
      </w:r>
      <w:r w:rsidR="007A0276">
        <w:fldChar w:fldCharType="begin"/>
      </w:r>
      <w:r w:rsidR="007A0276">
        <w:instrText xml:space="preserve"> HYPERLINK "https://data.worldbank.org/data-catalog/g</w:instrText>
      </w:r>
      <w:r w:rsidR="007A0276">
        <w:instrText xml:space="preserve">dp-ranking-table" \t "_blank" </w:instrText>
      </w:r>
      <w:r w:rsidR="007A0276">
        <w:fldChar w:fldCharType="separate"/>
      </w:r>
      <w:r>
        <w:rPr>
          <w:rStyle w:val="Hiperpovezava"/>
        </w:rPr>
        <w:t>https://data.worldbank.org/data-catalog/gdp-ranking-table</w:t>
      </w:r>
      <w:r w:rsidR="007A0276">
        <w:rPr>
          <w:rStyle w:val="Hiperpovezava"/>
        </w:rPr>
        <w:fldChar w:fldCharType="end"/>
      </w:r>
      <w:r>
        <w:t>.</w:t>
      </w:r>
    </w:p>
    <w:p w14:paraId="2D5FEDD9" w14:textId="77777777" w:rsidR="0053259D" w:rsidRDefault="0053259D" w:rsidP="0053259D">
      <w:proofErr w:type="spellStart"/>
      <w:r>
        <w:t>United</w:t>
      </w:r>
      <w:proofErr w:type="spellEnd"/>
      <w:r>
        <w:t xml:space="preserve"> </w:t>
      </w:r>
      <w:proofErr w:type="spellStart"/>
      <w:r>
        <w:t>Nation</w:t>
      </w:r>
      <w:proofErr w:type="spellEnd"/>
      <w:r>
        <w:t xml:space="preserve">. </w:t>
      </w:r>
      <w:proofErr w:type="spellStart"/>
      <w:r>
        <w:t>World</w:t>
      </w:r>
      <w:proofErr w:type="spellEnd"/>
      <w:r>
        <w:t xml:space="preserve"> </w:t>
      </w:r>
      <w:proofErr w:type="spellStart"/>
      <w:r>
        <w:t>Population</w:t>
      </w:r>
      <w:proofErr w:type="spellEnd"/>
      <w:r>
        <w:t xml:space="preserve"> </w:t>
      </w:r>
      <w:proofErr w:type="spellStart"/>
      <w:r>
        <w:t>Ageing</w:t>
      </w:r>
      <w:proofErr w:type="spellEnd"/>
      <w:r>
        <w:t xml:space="preserve"> 2013 ST/ESA/SER.A/348; </w:t>
      </w:r>
      <w:proofErr w:type="spellStart"/>
      <w:r>
        <w:t>Department</w:t>
      </w:r>
      <w:proofErr w:type="spellEnd"/>
      <w:r>
        <w:t xml:space="preserve"> of </w:t>
      </w:r>
      <w:proofErr w:type="spellStart"/>
      <w:r>
        <w:t>Economic</w:t>
      </w:r>
      <w:proofErr w:type="spellEnd"/>
      <w:r>
        <w:t xml:space="preserve"> </w:t>
      </w:r>
      <w:proofErr w:type="spellStart"/>
      <w:r>
        <w:t>and</w:t>
      </w:r>
      <w:proofErr w:type="spellEnd"/>
      <w:r>
        <w:t xml:space="preserve"> Social </w:t>
      </w:r>
      <w:proofErr w:type="spellStart"/>
      <w:r>
        <w:t>Affairs</w:t>
      </w:r>
      <w:proofErr w:type="spellEnd"/>
      <w:r>
        <w:t xml:space="preserve">, </w:t>
      </w:r>
      <w:proofErr w:type="spellStart"/>
      <w:r>
        <w:t>Population</w:t>
      </w:r>
      <w:proofErr w:type="spellEnd"/>
      <w:r>
        <w:t xml:space="preserve"> </w:t>
      </w:r>
      <w:proofErr w:type="spellStart"/>
      <w:r>
        <w:t>Division</w:t>
      </w:r>
      <w:proofErr w:type="spellEnd"/>
      <w:r>
        <w:t>: New York, NY, USA, 2013.</w:t>
      </w:r>
    </w:p>
    <w:p w14:paraId="54347726" w14:textId="70E20D6E" w:rsidR="0053259D" w:rsidRDefault="0053259D" w:rsidP="0053259D">
      <w:pPr>
        <w:rPr>
          <w:lang w:eastAsia="sl-SI"/>
        </w:rPr>
      </w:pPr>
      <w:proofErr w:type="spellStart"/>
      <w:r>
        <w:t>Varotsos</w:t>
      </w:r>
      <w:proofErr w:type="spellEnd"/>
      <w:r>
        <w:t xml:space="preserve">, K.V., </w:t>
      </w:r>
      <w:proofErr w:type="spellStart"/>
      <w:r>
        <w:t>Giannakopoulos</w:t>
      </w:r>
      <w:proofErr w:type="spellEnd"/>
      <w:r>
        <w:t xml:space="preserve">, C., </w:t>
      </w:r>
      <w:proofErr w:type="spellStart"/>
      <w:r>
        <w:t>Tombrou</w:t>
      </w:r>
      <w:proofErr w:type="spellEnd"/>
      <w:r>
        <w:t xml:space="preserve">, M. Ozone-temperature </w:t>
      </w:r>
      <w:proofErr w:type="spellStart"/>
      <w:r>
        <w:t>relationship</w:t>
      </w:r>
      <w:proofErr w:type="spellEnd"/>
      <w:r>
        <w:t xml:space="preserve"> </w:t>
      </w:r>
      <w:proofErr w:type="spellStart"/>
      <w:r>
        <w:t>during</w:t>
      </w:r>
      <w:proofErr w:type="spellEnd"/>
      <w:r>
        <w:t xml:space="preserve"> </w:t>
      </w:r>
      <w:proofErr w:type="spellStart"/>
      <w:r>
        <w:t>the</w:t>
      </w:r>
      <w:proofErr w:type="spellEnd"/>
      <w:r>
        <w:t xml:space="preserve"> 2003 </w:t>
      </w:r>
      <w:proofErr w:type="spellStart"/>
      <w:r>
        <w:t>and</w:t>
      </w:r>
      <w:proofErr w:type="spellEnd"/>
      <w:r>
        <w:t xml:space="preserve"> 2014 </w:t>
      </w:r>
      <w:proofErr w:type="spellStart"/>
      <w:r>
        <w:t>heatwaves</w:t>
      </w:r>
      <w:proofErr w:type="spellEnd"/>
      <w:r>
        <w:t xml:space="preserve"> in </w:t>
      </w:r>
      <w:proofErr w:type="spellStart"/>
      <w:r>
        <w:t>Europe</w:t>
      </w:r>
      <w:proofErr w:type="spellEnd"/>
      <w:r>
        <w:t xml:space="preserve">. </w:t>
      </w:r>
      <w:r>
        <w:rPr>
          <w:i/>
          <w:iCs/>
        </w:rPr>
        <w:t xml:space="preserve">Reg </w:t>
      </w:r>
      <w:proofErr w:type="spellStart"/>
      <w:r>
        <w:rPr>
          <w:i/>
          <w:iCs/>
        </w:rPr>
        <w:t>Environ</w:t>
      </w:r>
      <w:proofErr w:type="spellEnd"/>
      <w:r>
        <w:rPr>
          <w:i/>
          <w:iCs/>
        </w:rPr>
        <w:t xml:space="preserve"> </w:t>
      </w:r>
      <w:proofErr w:type="spellStart"/>
      <w:r>
        <w:rPr>
          <w:i/>
          <w:iCs/>
        </w:rPr>
        <w:t>Change</w:t>
      </w:r>
      <w:proofErr w:type="spellEnd"/>
      <w:r>
        <w:t xml:space="preserve"> </w:t>
      </w:r>
      <w:r>
        <w:rPr>
          <w:b/>
          <w:bCs/>
        </w:rPr>
        <w:t xml:space="preserve">19, </w:t>
      </w:r>
      <w:r>
        <w:t xml:space="preserve">1653–1665 (2019). </w:t>
      </w:r>
      <w:r w:rsidR="007A0276">
        <w:fldChar w:fldCharType="begin"/>
      </w:r>
      <w:r w:rsidR="007A0276">
        <w:instrText xml:space="preserve"> HYPERLINK "https://doi.org/10.1007/s10113-019-01498-4" </w:instrText>
      </w:r>
      <w:r w:rsidR="007A0276">
        <w:fldChar w:fldCharType="separate"/>
      </w:r>
      <w:r>
        <w:rPr>
          <w:rStyle w:val="Hiperpovezava"/>
        </w:rPr>
        <w:t>https://doi.org/10.1007/s10113-019-01498-4</w:t>
      </w:r>
      <w:r w:rsidR="007A0276">
        <w:rPr>
          <w:rStyle w:val="Hiperpovezava"/>
        </w:rPr>
        <w:fldChar w:fldCharType="end"/>
      </w:r>
      <w:r>
        <w:rPr>
          <w:lang w:eastAsia="sl-SI"/>
        </w:rPr>
        <w:t>.</w:t>
      </w:r>
    </w:p>
    <w:p w14:paraId="7BCBC272" w14:textId="77777777" w:rsidR="0053259D" w:rsidRDefault="0053259D" w:rsidP="0053259D">
      <w:pPr>
        <w:rPr>
          <w:lang w:eastAsia="sl-SI"/>
        </w:rPr>
      </w:pPr>
      <w:r>
        <w:t xml:space="preserve">WHO 2006. </w:t>
      </w:r>
      <w:proofErr w:type="spellStart"/>
      <w:r>
        <w:t>Air</w:t>
      </w:r>
      <w:proofErr w:type="spellEnd"/>
      <w:r>
        <w:t xml:space="preserve"> </w:t>
      </w:r>
      <w:proofErr w:type="spellStart"/>
      <w:r>
        <w:t>Quality</w:t>
      </w:r>
      <w:proofErr w:type="spellEnd"/>
      <w:r>
        <w:t xml:space="preserve"> </w:t>
      </w:r>
      <w:proofErr w:type="spellStart"/>
      <w:r>
        <w:t>Guidelines</w:t>
      </w:r>
      <w:proofErr w:type="spellEnd"/>
      <w:r>
        <w:t xml:space="preserve">, Global </w:t>
      </w:r>
      <w:proofErr w:type="spellStart"/>
      <w:r>
        <w:t>update</w:t>
      </w:r>
      <w:proofErr w:type="spellEnd"/>
      <w:r>
        <w:t xml:space="preserve"> 2005, </w:t>
      </w:r>
      <w:proofErr w:type="spellStart"/>
      <w:r>
        <w:t>Particulate</w:t>
      </w:r>
      <w:proofErr w:type="spellEnd"/>
      <w:r>
        <w:t xml:space="preserve"> </w:t>
      </w:r>
      <w:proofErr w:type="spellStart"/>
      <w:r>
        <w:t>matter</w:t>
      </w:r>
      <w:proofErr w:type="spellEnd"/>
      <w:r>
        <w:t xml:space="preserve">, ozone, </w:t>
      </w:r>
      <w:proofErr w:type="spellStart"/>
      <w:r>
        <w:t>nitrogen</w:t>
      </w:r>
      <w:proofErr w:type="spellEnd"/>
      <w:r>
        <w:t xml:space="preserve"> </w:t>
      </w:r>
      <w:proofErr w:type="spellStart"/>
      <w:r>
        <w:t>dioxide</w:t>
      </w:r>
      <w:proofErr w:type="spellEnd"/>
      <w:r>
        <w:t xml:space="preserve"> </w:t>
      </w:r>
      <w:proofErr w:type="spellStart"/>
      <w:r>
        <w:t>and</w:t>
      </w:r>
      <w:proofErr w:type="spellEnd"/>
      <w:r>
        <w:t xml:space="preserve"> </w:t>
      </w:r>
      <w:proofErr w:type="spellStart"/>
      <w:r>
        <w:t>sulfur</w:t>
      </w:r>
      <w:proofErr w:type="spellEnd"/>
      <w:r>
        <w:t xml:space="preserve"> </w:t>
      </w:r>
      <w:proofErr w:type="spellStart"/>
      <w:r>
        <w:t>dioxide</w:t>
      </w:r>
      <w:proofErr w:type="spellEnd"/>
      <w:r>
        <w:t xml:space="preserve">. </w:t>
      </w:r>
      <w:proofErr w:type="spellStart"/>
      <w:r>
        <w:t>Summary</w:t>
      </w:r>
      <w:proofErr w:type="spellEnd"/>
      <w:r>
        <w:t xml:space="preserve"> of </w:t>
      </w:r>
      <w:proofErr w:type="spellStart"/>
      <w:r>
        <w:t>risk</w:t>
      </w:r>
      <w:proofErr w:type="spellEnd"/>
      <w:r>
        <w:t xml:space="preserve"> </w:t>
      </w:r>
      <w:proofErr w:type="spellStart"/>
      <w:r>
        <w:t>assessment</w:t>
      </w:r>
      <w:proofErr w:type="spellEnd"/>
      <w:r>
        <w:t>. http://apps.who.int/iris/bitstream/10665/69477/1/WHO_SDE_PHE_OEH_06.02_eng.pdf</w:t>
      </w:r>
      <w:r>
        <w:rPr>
          <w:rFonts w:cs="Arial"/>
        </w:rPr>
        <w:t>).</w:t>
      </w:r>
    </w:p>
    <w:p w14:paraId="52EF80DB" w14:textId="2B2A2129" w:rsidR="0053259D" w:rsidRDefault="0053259D" w:rsidP="0053259D">
      <w:pPr>
        <w:rPr>
          <w:lang w:val="en-US" w:eastAsia="sl-SI"/>
        </w:rPr>
      </w:pPr>
      <w:proofErr w:type="gramStart"/>
      <w:r>
        <w:rPr>
          <w:lang w:val="en-US" w:eastAsia="sl-SI"/>
        </w:rPr>
        <w:t>WHO.</w:t>
      </w:r>
      <w:proofErr w:type="gramEnd"/>
      <w:r>
        <w:rPr>
          <w:lang w:val="en-US" w:eastAsia="sl-SI"/>
        </w:rPr>
        <w:t xml:space="preserve"> </w:t>
      </w:r>
      <w:r>
        <w:rPr>
          <w:rFonts w:cstheme="minorHAnsi"/>
          <w:lang w:val="en-US" w:eastAsia="sl-SI"/>
        </w:rPr>
        <w:t>I</w:t>
      </w:r>
      <w:proofErr w:type="spellStart"/>
      <w:r>
        <w:rPr>
          <w:rFonts w:cstheme="minorHAnsi"/>
        </w:rPr>
        <w:t>mproving</w:t>
      </w:r>
      <w:proofErr w:type="spellEnd"/>
      <w:r>
        <w:rPr>
          <w:rFonts w:cstheme="minorHAnsi"/>
        </w:rPr>
        <w:t xml:space="preserve"> </w:t>
      </w:r>
      <w:proofErr w:type="spellStart"/>
      <w:r>
        <w:rPr>
          <w:rFonts w:cstheme="minorHAnsi"/>
        </w:rPr>
        <w:t>Public</w:t>
      </w:r>
      <w:proofErr w:type="spellEnd"/>
      <w:r>
        <w:rPr>
          <w:rFonts w:cstheme="minorHAnsi"/>
        </w:rPr>
        <w:t xml:space="preserve"> </w:t>
      </w:r>
      <w:proofErr w:type="spellStart"/>
      <w:r>
        <w:rPr>
          <w:rFonts w:cstheme="minorHAnsi"/>
        </w:rPr>
        <w:t>Health</w:t>
      </w:r>
      <w:proofErr w:type="spellEnd"/>
      <w:r>
        <w:rPr>
          <w:rFonts w:cstheme="minorHAnsi"/>
        </w:rPr>
        <w:t xml:space="preserve"> </w:t>
      </w:r>
      <w:proofErr w:type="spellStart"/>
      <w:r>
        <w:rPr>
          <w:rFonts w:cstheme="minorHAnsi"/>
        </w:rPr>
        <w:t>Responses</w:t>
      </w:r>
      <w:proofErr w:type="spellEnd"/>
      <w:r>
        <w:rPr>
          <w:rFonts w:cstheme="minorHAnsi"/>
        </w:rPr>
        <w:t xml:space="preserve"> to </w:t>
      </w:r>
      <w:proofErr w:type="spellStart"/>
      <w:r>
        <w:rPr>
          <w:rFonts w:cstheme="minorHAnsi"/>
        </w:rPr>
        <w:t>Extreme</w:t>
      </w:r>
      <w:proofErr w:type="spellEnd"/>
      <w:r>
        <w:rPr>
          <w:rFonts w:cstheme="minorHAnsi"/>
        </w:rPr>
        <w:t xml:space="preserve"> </w:t>
      </w:r>
      <w:proofErr w:type="spellStart"/>
      <w:r>
        <w:rPr>
          <w:rFonts w:cstheme="minorHAnsi"/>
        </w:rPr>
        <w:t>Weather</w:t>
      </w:r>
      <w:proofErr w:type="spellEnd"/>
      <w:r>
        <w:rPr>
          <w:rFonts w:cstheme="minorHAnsi"/>
        </w:rPr>
        <w:t xml:space="preserve">/ </w:t>
      </w:r>
      <w:proofErr w:type="spellStart"/>
      <w:r>
        <w:rPr>
          <w:rFonts w:cstheme="minorHAnsi"/>
        </w:rPr>
        <w:t>Heat-Waves</w:t>
      </w:r>
      <w:proofErr w:type="spellEnd"/>
      <w:r>
        <w:rPr>
          <w:rFonts w:cstheme="minorHAnsi"/>
        </w:rPr>
        <w:t xml:space="preserve"> – </w:t>
      </w:r>
      <w:proofErr w:type="spellStart"/>
      <w:r>
        <w:rPr>
          <w:rFonts w:cstheme="minorHAnsi"/>
        </w:rPr>
        <w:t>EuroHEAT</w:t>
      </w:r>
      <w:proofErr w:type="spellEnd"/>
      <w:r>
        <w:rPr>
          <w:rFonts w:cstheme="minorHAnsi"/>
        </w:rPr>
        <w:t xml:space="preserve"> Meeting </w:t>
      </w:r>
      <w:proofErr w:type="spellStart"/>
      <w:r>
        <w:rPr>
          <w:rFonts w:cstheme="minorHAnsi"/>
        </w:rPr>
        <w:t>Report</w:t>
      </w:r>
      <w:proofErr w:type="spellEnd"/>
      <w:r>
        <w:rPr>
          <w:rFonts w:cstheme="minorHAnsi"/>
        </w:rPr>
        <w:t xml:space="preserve"> Bonn, </w:t>
      </w:r>
      <w:proofErr w:type="spellStart"/>
      <w:r>
        <w:rPr>
          <w:rFonts w:cstheme="minorHAnsi"/>
        </w:rPr>
        <w:t>Germany</w:t>
      </w:r>
      <w:proofErr w:type="spellEnd"/>
      <w:r>
        <w:rPr>
          <w:rFonts w:cstheme="minorHAnsi"/>
        </w:rPr>
        <w:t xml:space="preserve">, 22-23 </w:t>
      </w:r>
      <w:proofErr w:type="spellStart"/>
      <w:r>
        <w:rPr>
          <w:rFonts w:cstheme="minorHAnsi"/>
        </w:rPr>
        <w:t>March</w:t>
      </w:r>
      <w:proofErr w:type="spellEnd"/>
      <w:r>
        <w:rPr>
          <w:rFonts w:cstheme="minorHAnsi"/>
        </w:rPr>
        <w:t xml:space="preserve">, 2007. WHO, </w:t>
      </w:r>
      <w:proofErr w:type="spellStart"/>
      <w:r>
        <w:rPr>
          <w:rFonts w:cstheme="minorHAnsi"/>
        </w:rPr>
        <w:t>Copenhagen</w:t>
      </w:r>
      <w:proofErr w:type="spellEnd"/>
      <w:r>
        <w:rPr>
          <w:rFonts w:cstheme="minorHAnsi"/>
        </w:rPr>
        <w:t xml:space="preserve">, 2008 </w:t>
      </w:r>
      <w:hyperlink r:id="rId147" w:history="1">
        <w:r>
          <w:rPr>
            <w:rStyle w:val="Hiperpovezava"/>
            <w:lang w:val="en-US" w:eastAsia="sl-SI"/>
          </w:rPr>
          <w:t>https://www.euro.who.int/__data/assets/pdf_file/0018/112473/E91350.pdf</w:t>
        </w:r>
      </w:hyperlink>
      <w:r>
        <w:rPr>
          <w:lang w:val="en-US" w:eastAsia="sl-SI"/>
        </w:rPr>
        <w:t>.</w:t>
      </w:r>
    </w:p>
    <w:p w14:paraId="492F2BB2" w14:textId="0A46E077" w:rsidR="0053259D" w:rsidRDefault="0053259D" w:rsidP="0053259D">
      <w:pPr>
        <w:rPr>
          <w:rStyle w:val="Hiperpovezava"/>
          <w:rFonts w:eastAsiaTheme="majorEastAsia"/>
          <w:lang w:val="es-ES"/>
        </w:rPr>
      </w:pPr>
      <w:r>
        <w:rPr>
          <w:lang w:val="en-GB"/>
        </w:rPr>
        <w:lastRenderedPageBreak/>
        <w:t xml:space="preserve">WHO </w:t>
      </w:r>
      <w:proofErr w:type="gramStart"/>
      <w:r>
        <w:rPr>
          <w:lang w:val="en-GB"/>
        </w:rPr>
        <w:t>2008.</w:t>
      </w:r>
      <w:proofErr w:type="gramEnd"/>
      <w:r>
        <w:rPr>
          <w:lang w:val="en-GB"/>
        </w:rPr>
        <w:t xml:space="preserve"> Joint WHO/Convention Task Force on the Health Aspects of Air Pollution. Health risks of ozone from long-range transboundary air pollution. Copenhagen, WHO Regional Office for Europe, 2008.</w:t>
      </w:r>
      <w:r>
        <w:rPr>
          <w:lang w:val="es-ES"/>
        </w:rPr>
        <w:t xml:space="preserve"> </w:t>
      </w:r>
      <w:hyperlink r:id="rId148" w:history="1">
        <w:r>
          <w:rPr>
            <w:rStyle w:val="Hiperpovezava"/>
            <w:rFonts w:eastAsia="MinionPro-Regular"/>
            <w:lang w:val="es-ES"/>
          </w:rPr>
          <w:t>www.euro.who.int/__data/assets/pdf_file/0005/78647/E91843.pdf</w:t>
        </w:r>
      </w:hyperlink>
      <w:r>
        <w:rPr>
          <w:rStyle w:val="Hiperpovezava"/>
          <w:rFonts w:eastAsia="MinionPro-Regular"/>
          <w:lang w:val="es-ES"/>
        </w:rPr>
        <w:t xml:space="preserve"> </w:t>
      </w:r>
    </w:p>
    <w:p w14:paraId="31AC3936" w14:textId="77777777" w:rsidR="0053259D" w:rsidRDefault="0053259D" w:rsidP="0053259D">
      <w:pPr>
        <w:rPr>
          <w:lang w:val="en-GB"/>
        </w:rPr>
      </w:pPr>
      <w:r>
        <w:rPr>
          <w:lang w:val="en-GB"/>
        </w:rPr>
        <w:t xml:space="preserve">WHO </w:t>
      </w:r>
      <w:proofErr w:type="gramStart"/>
      <w:r>
        <w:rPr>
          <w:lang w:val="en-GB"/>
        </w:rPr>
        <w:t>2013.</w:t>
      </w:r>
      <w:proofErr w:type="gramEnd"/>
      <w:r>
        <w:rPr>
          <w:lang w:val="en-GB"/>
        </w:rPr>
        <w:t xml:space="preserve"> Health risks of air pollution in Europe-HRAPIE project. Recommendations for concentration-response functions for cost-benefit analysis of </w:t>
      </w:r>
      <w:proofErr w:type="spellStart"/>
      <w:r>
        <w:rPr>
          <w:lang w:val="en-GB"/>
        </w:rPr>
        <w:t>pariculate</w:t>
      </w:r>
      <w:proofErr w:type="spellEnd"/>
      <w:r>
        <w:rPr>
          <w:lang w:val="en-GB"/>
        </w:rPr>
        <w:t xml:space="preserve"> matter, ozone and nitrogen dioxide. Regional Office for Europe, Copenhagen, Denmark.</w:t>
      </w:r>
    </w:p>
    <w:p w14:paraId="371B9586" w14:textId="77777777" w:rsidR="0053259D" w:rsidRDefault="0053259D" w:rsidP="0053259D">
      <w:proofErr w:type="spellStart"/>
      <w:r>
        <w:t>Zhao</w:t>
      </w:r>
      <w:proofErr w:type="spellEnd"/>
      <w:r>
        <w:t xml:space="preserve"> Q, Li S, </w:t>
      </w:r>
      <w:proofErr w:type="spellStart"/>
      <w:r>
        <w:t>Coelho</w:t>
      </w:r>
      <w:proofErr w:type="spellEnd"/>
      <w:r>
        <w:t xml:space="preserve"> MSZS, et </w:t>
      </w:r>
      <w:proofErr w:type="spellStart"/>
      <w:r>
        <w:t>al</w:t>
      </w:r>
      <w:proofErr w:type="spellEnd"/>
      <w:r>
        <w:t xml:space="preserve">. </w:t>
      </w:r>
      <w:proofErr w:type="spellStart"/>
      <w:r>
        <w:t>The</w:t>
      </w:r>
      <w:proofErr w:type="spellEnd"/>
      <w:r>
        <w:t xml:space="preserve"> </w:t>
      </w:r>
      <w:proofErr w:type="spellStart"/>
      <w:r>
        <w:t>association</w:t>
      </w:r>
      <w:proofErr w:type="spellEnd"/>
      <w:r>
        <w:t xml:space="preserve"> </w:t>
      </w:r>
      <w:proofErr w:type="spellStart"/>
      <w:r>
        <w:t>between</w:t>
      </w:r>
      <w:proofErr w:type="spellEnd"/>
      <w:r>
        <w:t xml:space="preserve"> </w:t>
      </w:r>
      <w:proofErr w:type="spellStart"/>
      <w:r>
        <w:t>heatwaves</w:t>
      </w:r>
      <w:proofErr w:type="spellEnd"/>
      <w:r>
        <w:t xml:space="preserve"> </w:t>
      </w:r>
      <w:proofErr w:type="spellStart"/>
      <w:r>
        <w:t>and</w:t>
      </w:r>
      <w:proofErr w:type="spellEnd"/>
      <w:r>
        <w:t xml:space="preserve"> </w:t>
      </w:r>
      <w:proofErr w:type="spellStart"/>
      <w:r>
        <w:t>risk</w:t>
      </w:r>
      <w:proofErr w:type="spellEnd"/>
      <w:r>
        <w:t xml:space="preserve"> of </w:t>
      </w:r>
      <w:proofErr w:type="spellStart"/>
      <w:r>
        <w:t>hospitalization</w:t>
      </w:r>
      <w:proofErr w:type="spellEnd"/>
      <w:r>
        <w:t xml:space="preserve"> in </w:t>
      </w:r>
      <w:proofErr w:type="spellStart"/>
      <w:r>
        <w:t>Brazil</w:t>
      </w:r>
      <w:proofErr w:type="spellEnd"/>
      <w:r>
        <w:t xml:space="preserve">: A </w:t>
      </w:r>
      <w:proofErr w:type="spellStart"/>
      <w:r>
        <w:t>nationwide</w:t>
      </w:r>
      <w:proofErr w:type="spellEnd"/>
      <w:r>
        <w:t xml:space="preserve"> time </w:t>
      </w:r>
      <w:proofErr w:type="spellStart"/>
      <w:r>
        <w:t>series</w:t>
      </w:r>
      <w:proofErr w:type="spellEnd"/>
      <w:r>
        <w:t xml:space="preserve"> </w:t>
      </w:r>
      <w:proofErr w:type="spellStart"/>
      <w:r>
        <w:t>study</w:t>
      </w:r>
      <w:proofErr w:type="spellEnd"/>
      <w:r>
        <w:t xml:space="preserve"> </w:t>
      </w:r>
      <w:proofErr w:type="spellStart"/>
      <w:r>
        <w:t>between</w:t>
      </w:r>
      <w:proofErr w:type="spellEnd"/>
      <w:r>
        <w:t xml:space="preserve"> 2000 </w:t>
      </w:r>
      <w:proofErr w:type="spellStart"/>
      <w:r>
        <w:t>and</w:t>
      </w:r>
      <w:proofErr w:type="spellEnd"/>
      <w:r>
        <w:t xml:space="preserve"> 2015. </w:t>
      </w:r>
      <w:proofErr w:type="spellStart"/>
      <w:r>
        <w:rPr>
          <w:i/>
        </w:rPr>
        <w:t>PLoS</w:t>
      </w:r>
      <w:proofErr w:type="spellEnd"/>
      <w:r>
        <w:rPr>
          <w:i/>
        </w:rPr>
        <w:t xml:space="preserve"> Med</w:t>
      </w:r>
      <w:r>
        <w:t xml:space="preserve">. 2019;16(2):e1002753. </w:t>
      </w:r>
      <w:proofErr w:type="spellStart"/>
      <w:r>
        <w:t>Published</w:t>
      </w:r>
      <w:proofErr w:type="spellEnd"/>
      <w:r>
        <w:t xml:space="preserve"> 2019 Feb 22. doi:10.1371/journal.pmed.1002753</w:t>
      </w:r>
    </w:p>
    <w:p w14:paraId="64A086EB" w14:textId="541CDC18" w:rsidR="006B7E34" w:rsidRPr="00B14994" w:rsidRDefault="006B7E34" w:rsidP="00C32FCE">
      <w:pPr>
        <w:rPr>
          <w:rFonts w:eastAsia="Calibri" w:cstheme="majorBidi"/>
          <w:b/>
          <w:bCs/>
          <w:color w:val="2F5496" w:themeColor="accent1" w:themeShade="BF"/>
          <w:sz w:val="28"/>
          <w:szCs w:val="28"/>
          <w:lang w:eastAsia="sl-SI"/>
        </w:rPr>
      </w:pPr>
      <w:r w:rsidRPr="00B14994">
        <w:rPr>
          <w:rFonts w:eastAsia="Calibri"/>
          <w:lang w:eastAsia="sl-SI"/>
        </w:rPr>
        <w:br w:type="page"/>
      </w:r>
    </w:p>
    <w:p w14:paraId="20CC326E" w14:textId="3832009F" w:rsidR="00FC7B8E" w:rsidRDefault="00A43187" w:rsidP="00CE43D7">
      <w:pPr>
        <w:pStyle w:val="Naslov2"/>
        <w:rPr>
          <w:rFonts w:eastAsia="Calibri"/>
          <w:lang w:eastAsia="sl-SI"/>
        </w:rPr>
      </w:pPr>
      <w:bookmarkStart w:id="305" w:name="_Toc97026777"/>
      <w:r>
        <w:rPr>
          <w:rFonts w:eastAsia="Calibri"/>
          <w:lang w:eastAsia="sl-SI"/>
        </w:rPr>
        <w:lastRenderedPageBreak/>
        <w:t>Sektor t</w:t>
      </w:r>
      <w:r w:rsidR="00FC7B8E" w:rsidRPr="00B14994">
        <w:rPr>
          <w:rFonts w:eastAsia="Calibri"/>
          <w:lang w:eastAsia="sl-SI"/>
        </w:rPr>
        <w:t>urizem</w:t>
      </w:r>
      <w:bookmarkEnd w:id="305"/>
    </w:p>
    <w:p w14:paraId="7BE7BC0A" w14:textId="24672EE6" w:rsidR="00EB37F9" w:rsidRPr="00FA4F7C" w:rsidRDefault="005E7A42" w:rsidP="00EB37F9">
      <w:pPr>
        <w:rPr>
          <w:shd w:val="clear" w:color="auto" w:fill="FFFFFF"/>
        </w:rPr>
      </w:pPr>
      <w:bookmarkStart w:id="306" w:name="_Hlk42446119"/>
      <w:r>
        <w:rPr>
          <w:shd w:val="clear" w:color="auto" w:fill="FFFFFF"/>
        </w:rPr>
        <w:t>Mestna o</w:t>
      </w:r>
      <w:r w:rsidR="00EB37F9" w:rsidRPr="00FA4F7C">
        <w:rPr>
          <w:shd w:val="clear" w:color="auto" w:fill="FFFFFF"/>
        </w:rPr>
        <w:t xml:space="preserve">bčina Nova Gorica je uveljavljena turistična destinacije z dolgo tradicijo igralniškega turizma. V zadnjih letih pa pospešeno razvija tudi športni turizem, gastronomsko ponudbo in turizem na podeželju in se na turističnem trgu </w:t>
      </w:r>
      <w:r w:rsidR="00EB37F9" w:rsidRPr="00EF5C73">
        <w:rPr>
          <w:shd w:val="clear" w:color="auto" w:fill="FFFFFF"/>
        </w:rPr>
        <w:t>kot del destinacije Nova Gorica in Vipavska dolina</w:t>
      </w:r>
      <w:r w:rsidR="00EB37F9" w:rsidRPr="00FA4F7C">
        <w:rPr>
          <w:shd w:val="clear" w:color="auto" w:fill="FFFFFF"/>
        </w:rPr>
        <w:t xml:space="preserve"> predstavlja </w:t>
      </w:r>
      <w:r w:rsidR="00EB37F9">
        <w:rPr>
          <w:shd w:val="clear" w:color="auto" w:fill="FFFFFF"/>
        </w:rPr>
        <w:t>pod sloganom</w:t>
      </w:r>
      <w:r w:rsidR="00EB37F9" w:rsidRPr="00FA4F7C">
        <w:rPr>
          <w:shd w:val="clear" w:color="auto" w:fill="FFFFFF"/>
        </w:rPr>
        <w:t xml:space="preserve"> »</w:t>
      </w:r>
      <w:r w:rsidR="00EB37F9">
        <w:rPr>
          <w:shd w:val="clear" w:color="auto" w:fill="FFFFFF"/>
        </w:rPr>
        <w:t>Vse drugače. Vse leto</w:t>
      </w:r>
      <w:r w:rsidR="00EB37F9" w:rsidRPr="00FA4F7C">
        <w:rPr>
          <w:shd w:val="clear" w:color="auto" w:fill="FFFFFF"/>
        </w:rPr>
        <w:t xml:space="preserve">«. Prijetno submediteransko podnebje, ki omogoča prostočasne aktivnosti na prostem v vseh letnih časih, pestrost rastlinskih in živalskih vrst ter gojenje različnih vrst sadja, poljščin in vrtnin ter vinske trte, je pri tem eden njenih največjih adutov. </w:t>
      </w:r>
    </w:p>
    <w:p w14:paraId="5A0B9FD2" w14:textId="77777777" w:rsidR="006B46A0" w:rsidRPr="003279BD" w:rsidRDefault="006B46A0" w:rsidP="00BE4D70">
      <w:pPr>
        <w:rPr>
          <w:shd w:val="clear" w:color="auto" w:fill="FFFFFF"/>
        </w:rPr>
      </w:pPr>
    </w:p>
    <w:p w14:paraId="59621C4A" w14:textId="77777777" w:rsidR="00BE4D70" w:rsidRDefault="00BE4D70" w:rsidP="00BE4D70">
      <w:pPr>
        <w:pStyle w:val="Naslov3"/>
        <w:rPr>
          <w:rFonts w:eastAsia="Calibri"/>
          <w:lang w:eastAsia="sl-SI"/>
        </w:rPr>
      </w:pPr>
      <w:bookmarkStart w:id="307" w:name="_Toc34130191"/>
      <w:bookmarkStart w:id="308" w:name="_Toc44656967"/>
      <w:bookmarkStart w:id="309" w:name="_Toc97026778"/>
      <w:bookmarkEnd w:id="306"/>
      <w:r w:rsidRPr="001D38AC">
        <w:rPr>
          <w:rFonts w:eastAsia="Calibri"/>
          <w:lang w:eastAsia="sl-SI"/>
        </w:rPr>
        <w:t>Metodologija</w:t>
      </w:r>
      <w:r>
        <w:rPr>
          <w:rFonts w:eastAsia="Calibri"/>
          <w:lang w:eastAsia="sl-SI"/>
        </w:rPr>
        <w:t xml:space="preserve"> sektorja</w:t>
      </w:r>
      <w:bookmarkEnd w:id="307"/>
      <w:r>
        <w:rPr>
          <w:rFonts w:eastAsia="Calibri"/>
          <w:lang w:eastAsia="sl-SI"/>
        </w:rPr>
        <w:t xml:space="preserve"> turizem</w:t>
      </w:r>
      <w:bookmarkEnd w:id="308"/>
      <w:bookmarkEnd w:id="309"/>
    </w:p>
    <w:p w14:paraId="15FD7CF2" w14:textId="77777777" w:rsidR="00EB37F9" w:rsidRDefault="00EB37F9" w:rsidP="00EB37F9">
      <w:pPr>
        <w:rPr>
          <w:rFonts w:asciiTheme="minorHAnsi" w:hAnsiTheme="minorHAnsi"/>
          <w:shd w:val="clear" w:color="auto" w:fill="FFFFFF"/>
        </w:rPr>
      </w:pPr>
      <w:r w:rsidRPr="00FA4F7C">
        <w:rPr>
          <w:shd w:val="clear" w:color="auto" w:fill="FFFFFF"/>
        </w:rPr>
        <w:t>Za pripravo ocene ranljivosti turizma v občini Nova</w:t>
      </w:r>
      <w:r>
        <w:rPr>
          <w:shd w:val="clear" w:color="auto" w:fill="FFFFFF"/>
        </w:rPr>
        <w:t xml:space="preserve"> Gorica zaradi podnebnih sprememb smo uporabili metodologijo na osnovi kazalnikov (angl. </w:t>
      </w:r>
      <w:proofErr w:type="spellStart"/>
      <w:r>
        <w:rPr>
          <w:i/>
          <w:shd w:val="clear" w:color="auto" w:fill="FFFFFF"/>
        </w:rPr>
        <w:t>Indicator-Based</w:t>
      </w:r>
      <w:proofErr w:type="spellEnd"/>
      <w:r>
        <w:rPr>
          <w:i/>
          <w:shd w:val="clear" w:color="auto" w:fill="FFFFFF"/>
        </w:rPr>
        <w:t xml:space="preserve"> </w:t>
      </w:r>
      <w:proofErr w:type="spellStart"/>
      <w:r>
        <w:rPr>
          <w:i/>
          <w:shd w:val="clear" w:color="auto" w:fill="FFFFFF"/>
        </w:rPr>
        <w:t>Vulnerability</w:t>
      </w:r>
      <w:proofErr w:type="spellEnd"/>
      <w:r>
        <w:rPr>
          <w:i/>
          <w:shd w:val="clear" w:color="auto" w:fill="FFFFFF"/>
        </w:rPr>
        <w:t xml:space="preserve"> </w:t>
      </w:r>
      <w:proofErr w:type="spellStart"/>
      <w:r>
        <w:rPr>
          <w:i/>
          <w:shd w:val="clear" w:color="auto" w:fill="FFFFFF"/>
        </w:rPr>
        <w:t>Assessment</w:t>
      </w:r>
      <w:proofErr w:type="spellEnd"/>
      <w:r>
        <w:rPr>
          <w:i/>
          <w:shd w:val="clear" w:color="auto" w:fill="FFFFFF"/>
        </w:rPr>
        <w:t xml:space="preserve"> - IBVA</w:t>
      </w:r>
      <w:r>
        <w:rPr>
          <w:shd w:val="clear" w:color="auto" w:fill="FFFFFF"/>
        </w:rPr>
        <w:t>)</w:t>
      </w:r>
      <w:r>
        <w:rPr>
          <w:i/>
          <w:shd w:val="clear" w:color="auto" w:fill="FFFFFF"/>
        </w:rPr>
        <w:t xml:space="preserve"> </w:t>
      </w:r>
      <w:r>
        <w:rPr>
          <w:shd w:val="clear" w:color="auto" w:fill="FFFFFF"/>
        </w:rPr>
        <w:t xml:space="preserve">na podlagi metodologije v okviru Konvencije županov za podnebne spremembe in energijo. Ranljivost je bila določena z ekspertno oceno izpostavljenosti turizma v destinaciji podnebnim spremembam in njegove občutljivosti ter sposobnosti prilagajanja. </w:t>
      </w:r>
      <w:bookmarkStart w:id="310" w:name="_Hlk42457001"/>
      <w:r>
        <w:rPr>
          <w:shd w:val="clear" w:color="auto" w:fill="FFFFFF"/>
        </w:rPr>
        <w:t>Velika izpostavljenost in občutljivost ob majhni sposobnosti prilagajanja podnebnim spremembam pomeni veliko ranljivost sektorja. Nasprotno pa majhna izpostavljenost in občutljivost ter dobre možnosti prilagajanja naredijo sektor manj ranljiv.</w:t>
      </w:r>
      <w:bookmarkEnd w:id="310"/>
      <w:r>
        <w:rPr>
          <w:shd w:val="clear" w:color="auto" w:fill="FFFFFF"/>
        </w:rPr>
        <w:t xml:space="preserve"> Z upoštevanjem ranljivosti lokalnega turizma in projekcij podnebnih sprememb za občino Nova Gorica smo določili stopnja tveganja, </w:t>
      </w:r>
      <w:r w:rsidRPr="0021382C">
        <w:rPr>
          <w:shd w:val="clear" w:color="auto" w:fill="FFFFFF"/>
        </w:rPr>
        <w:t>da bo ranljivost destinacije</w:t>
      </w:r>
      <w:r>
        <w:rPr>
          <w:rStyle w:val="Sprotnaopomba-sklic"/>
          <w:shd w:val="clear" w:color="auto" w:fill="FFFFFF"/>
        </w:rPr>
        <w:footnoteReference w:id="3"/>
      </w:r>
      <w:r w:rsidRPr="0021382C">
        <w:rPr>
          <w:shd w:val="clear" w:color="auto" w:fill="FFFFFF"/>
        </w:rPr>
        <w:t xml:space="preserve"> v prihodnosti zaradi podnebnih sprememb (znatno) večja kot v referenčnem obdobju oz. da bo velika.</w:t>
      </w:r>
    </w:p>
    <w:p w14:paraId="38AF1659" w14:textId="77777777" w:rsidR="00EB37F9" w:rsidRDefault="00EB37F9" w:rsidP="00EB37F9">
      <w:pPr>
        <w:rPr>
          <w:shd w:val="clear" w:color="auto" w:fill="FFFFFF"/>
        </w:rPr>
      </w:pPr>
      <w:r>
        <w:rPr>
          <w:shd w:val="clear" w:color="auto" w:fill="FFFFFF"/>
        </w:rPr>
        <w:t xml:space="preserve">Ocena tveganja temelji na projekcijah prihodnjega podnebja (oz. odmiku od referenčnega obdobja </w:t>
      </w:r>
      <w:bookmarkStart w:id="311" w:name="_Hlk35348181"/>
      <w:r>
        <w:rPr>
          <w:shd w:val="clear" w:color="auto" w:fill="FFFFFF"/>
        </w:rPr>
        <w:t>1981</w:t>
      </w:r>
      <w:r w:rsidRPr="00B14994">
        <w:t>—</w:t>
      </w:r>
      <w:r>
        <w:rPr>
          <w:shd w:val="clear" w:color="auto" w:fill="FFFFFF"/>
        </w:rPr>
        <w:t>2010</w:t>
      </w:r>
      <w:bookmarkEnd w:id="311"/>
      <w:r>
        <w:rPr>
          <w:shd w:val="clear" w:color="auto" w:fill="FFFFFF"/>
        </w:rPr>
        <w:t>) za mesto Nova Gorica in za območje občine Nova Gorica za dva scenarija značilnih potekov vsebnosti toplogrednih plinov: RCP4.5 (stabilizacijski scenarij) in RCP8.5 (pesimistični scenarij), in sicer za dve prihodnji tridesetletni obdobji: bližnjo prihodnost (2011</w:t>
      </w:r>
      <w:r w:rsidRPr="00B14994">
        <w:t>—</w:t>
      </w:r>
      <w:r>
        <w:rPr>
          <w:shd w:val="clear" w:color="auto" w:fill="FFFFFF"/>
        </w:rPr>
        <w:t>2040) ter sredino 21. stoletja (2041</w:t>
      </w:r>
      <w:r w:rsidRPr="00B14994">
        <w:t>—</w:t>
      </w:r>
      <w:r>
        <w:rPr>
          <w:shd w:val="clear" w:color="auto" w:fill="FFFFFF"/>
        </w:rPr>
        <w:t>2070). V nadaljevanju sta ti obdobji imenovani tudi prvo obdobje in drugo obdobje. Projekcije so pripravljene po sezonah oz. meteoroloških letnih časih.</w:t>
      </w:r>
    </w:p>
    <w:p w14:paraId="2FF92448" w14:textId="77777777" w:rsidR="00EB37F9" w:rsidRDefault="00EB37F9" w:rsidP="00EB37F9">
      <w:pPr>
        <w:rPr>
          <w:shd w:val="clear" w:color="auto" w:fill="FFFFFF"/>
        </w:rPr>
      </w:pPr>
      <w:r>
        <w:rPr>
          <w:shd w:val="clear" w:color="auto" w:fill="FFFFFF"/>
        </w:rPr>
        <w:t>Podnebne podatke so pripravili na Agenciji RS za okolje.</w:t>
      </w:r>
    </w:p>
    <w:p w14:paraId="28143AFF" w14:textId="77777777" w:rsidR="00BE4D70" w:rsidRDefault="00BE4D70" w:rsidP="00CE43D7">
      <w:pPr>
        <w:pStyle w:val="Naslov4"/>
        <w:rPr>
          <w:shd w:val="clear" w:color="auto" w:fill="FFFFFF"/>
        </w:rPr>
      </w:pPr>
      <w:r>
        <w:rPr>
          <w:shd w:val="clear" w:color="auto" w:fill="FFFFFF"/>
        </w:rPr>
        <w:t>Kazalniki izpostavljenosti</w:t>
      </w:r>
    </w:p>
    <w:p w14:paraId="4A328D19" w14:textId="48138A53" w:rsidR="00EB37F9" w:rsidRDefault="00EB37F9" w:rsidP="00EB37F9">
      <w:pPr>
        <w:rPr>
          <w:rFonts w:cstheme="minorHAnsi"/>
          <w:shd w:val="clear" w:color="auto" w:fill="FFFFFF"/>
        </w:rPr>
      </w:pPr>
      <w:bookmarkStart w:id="312" w:name="_Toc44657119"/>
      <w:bookmarkStart w:id="313" w:name="_Toc34130192"/>
      <w:bookmarkStart w:id="314" w:name="_Toc44656968"/>
      <w:r>
        <w:rPr>
          <w:shd w:val="clear" w:color="auto" w:fill="FFFFFF"/>
        </w:rPr>
        <w:t xml:space="preserve">Kazalniki izpostavljenosti odražajo vpliv različnih podnebnih dejavnikov na turizem v destinaciji Nova Gorica. Določeni so na podlagi pregleda stanja turizma v destinaciji ter pregleda obstoječe znanstvene literature na področju vpliva podnebja in podnebnih sprememb na turizem. </w:t>
      </w:r>
      <w:r>
        <w:rPr>
          <w:rFonts w:cstheme="minorHAnsi"/>
          <w:shd w:val="clear" w:color="auto" w:fill="FFFFFF"/>
        </w:rPr>
        <w:t>Temperatura in padavine se v Sloveniji sicer nista izkazala kot odločujoča dejavnika za turistično povpraševanje, vendarle pa so bile podnebne razmere in ugodno vreme v preteklosti pomemben motiv za prihod turistov v Slovenijo (Rakar, 2010).</w:t>
      </w:r>
    </w:p>
    <w:p w14:paraId="105BCD94" w14:textId="77777777" w:rsidR="00EB37F9" w:rsidRDefault="00EB37F9" w:rsidP="00EB37F9">
      <w:pPr>
        <w:rPr>
          <w:rFonts w:cstheme="minorHAnsi"/>
          <w:shd w:val="clear" w:color="auto" w:fill="FFFFFF"/>
        </w:rPr>
      </w:pPr>
      <w:r>
        <w:rPr>
          <w:rFonts w:cstheme="minorHAnsi"/>
          <w:shd w:val="clear" w:color="auto" w:fill="FFFFFF"/>
        </w:rPr>
        <w:t xml:space="preserve">Kot podnebni dejavniki, ki vplivajo na turistične aktivnosti na prostem, so v analizi upoštevani kazalniki povprečna temperatura zraka, povprečna dnevna najnižja temperatura, povprečna </w:t>
      </w:r>
      <w:r>
        <w:rPr>
          <w:rFonts w:cstheme="minorHAnsi"/>
          <w:shd w:val="clear" w:color="auto" w:fill="FFFFFF"/>
        </w:rPr>
        <w:lastRenderedPageBreak/>
        <w:t>dnevna najvišja temperatura, količina padavin in število dni s padavinami (nad 0,1 mm), število vročih dni (</w:t>
      </w:r>
      <w:r>
        <w:t>ko dnevna najvišja temperatura preseže 30 °C)</w:t>
      </w:r>
      <w:r>
        <w:rPr>
          <w:rFonts w:cstheme="minorHAnsi"/>
          <w:shd w:val="clear" w:color="auto" w:fill="FFFFFF"/>
        </w:rPr>
        <w:t xml:space="preserve">, število vročinskih valov ter njihovo trajanje (povprečna dolžina) in jakost (magnituda po definiciji </w:t>
      </w:r>
      <w:proofErr w:type="spellStart"/>
      <w:r w:rsidRPr="00144D3D">
        <w:rPr>
          <w:rFonts w:cstheme="minorHAnsi"/>
          <w:shd w:val="clear" w:color="auto" w:fill="FFFFFF"/>
        </w:rPr>
        <w:t>HWMId</w:t>
      </w:r>
      <w:proofErr w:type="spellEnd"/>
      <w:r>
        <w:rPr>
          <w:rFonts w:cstheme="minorHAnsi"/>
          <w:shd w:val="clear" w:color="auto" w:fill="FFFFFF"/>
        </w:rPr>
        <w:t xml:space="preserve">), število dni, ko je </w:t>
      </w:r>
      <w:r w:rsidRPr="00D67E55">
        <w:rPr>
          <w:rFonts w:cstheme="minorHAnsi"/>
          <w:shd w:val="clear" w:color="auto" w:fill="FFFFFF"/>
        </w:rPr>
        <w:t>kazalnik vročine EHF</w:t>
      </w:r>
      <w:r>
        <w:t xml:space="preserve"> </w:t>
      </w:r>
      <w:r w:rsidRPr="00D67E55">
        <w:rPr>
          <w:rFonts w:cstheme="minorHAnsi"/>
          <w:shd w:val="clear" w:color="auto" w:fill="FFFFFF"/>
        </w:rPr>
        <w:t>pozitiven</w:t>
      </w:r>
      <w:r>
        <w:rPr>
          <w:rFonts w:cstheme="minorHAnsi"/>
          <w:shd w:val="clear" w:color="auto" w:fill="FFFFFF"/>
        </w:rPr>
        <w:t xml:space="preserve"> </w:t>
      </w:r>
      <w:r>
        <w:t>(</w:t>
      </w:r>
      <w:r w:rsidRPr="00F7023C">
        <w:t>izkazuje toplotno obremenitev v dneh, ko je vroče tako čez dan, kot tudi nadpovprečno toplo ponoči</w:t>
      </w:r>
      <w:r>
        <w:t>)</w:t>
      </w:r>
      <w:r w:rsidRPr="00D67E55">
        <w:rPr>
          <w:rFonts w:cstheme="minorHAnsi"/>
          <w:shd w:val="clear" w:color="auto" w:fill="FFFFFF"/>
        </w:rPr>
        <w:t>,</w:t>
      </w:r>
      <w:r>
        <w:rPr>
          <w:rFonts w:cstheme="minorHAnsi"/>
          <w:shd w:val="clear" w:color="auto" w:fill="FFFFFF"/>
        </w:rPr>
        <w:t xml:space="preserve"> število dni s snežno odejo in število dni z obilnimi padavinami (z dnevno višino padavin 50 mm ali več)</w:t>
      </w:r>
      <w:r w:rsidRPr="00F7023C">
        <w:t>, ki označujejo zelo intenzivne padavinske dogodke</w:t>
      </w:r>
      <w:r>
        <w:t>.</w:t>
      </w:r>
    </w:p>
    <w:p w14:paraId="2CEA63E9" w14:textId="77777777" w:rsidR="00EB37F9" w:rsidRDefault="00EB37F9" w:rsidP="00EB37F9">
      <w:pPr>
        <w:rPr>
          <w:rFonts w:cstheme="minorHAnsi"/>
          <w:shd w:val="clear" w:color="auto" w:fill="FFFFFF"/>
        </w:rPr>
      </w:pPr>
      <w:r>
        <w:rPr>
          <w:rFonts w:cstheme="minorHAnsi"/>
          <w:shd w:val="clear" w:color="auto" w:fill="FFFFFF"/>
        </w:rPr>
        <w:t xml:space="preserve">Kot dejavniki, ki prikazujejo vpliv podnebja na zdravje in varnost turistov pri aktivnostih na prostem ter delovne pogoje turističnih ponudnikov, so bile vključeni podnebni kazalniki v zvezi z ekstremnimi vremenskimi dogodki: število vročih dni, število, trajanje in jakost vročinskih valov, število dni, ko je </w:t>
      </w:r>
      <w:r w:rsidRPr="00D67E55">
        <w:rPr>
          <w:rFonts w:cstheme="minorHAnsi"/>
          <w:shd w:val="clear" w:color="auto" w:fill="FFFFFF"/>
        </w:rPr>
        <w:t>kazalnik vročine EHF pozitiven</w:t>
      </w:r>
      <w:r>
        <w:rPr>
          <w:rFonts w:cstheme="minorHAnsi"/>
          <w:shd w:val="clear" w:color="auto" w:fill="FFFFFF"/>
        </w:rPr>
        <w:t xml:space="preserve"> in število dni s padavinami nad 50 mm. Z vročino so povezani slabo počutje in zmanjšana delovna storilnost, z vročinskimi valovi pa povečanje obolevnosti in celo umrljivosti. Vročina vpliva tudi na kakovost in varnost hrane in potencialno na bolezni, ki se prenašajo s hrano in vodo. Poletna vročina je posebej neprijetna v mestih, kjer učinek toplotnega otoka dodatno povečuje toplotno obremenitev ljudi (Cegnar, 2017). Velika količina padavin pomeni možnost poplav in proženja plazov, ki lahko poškodujejo (turistično) infrastrukturo in ogrozijo prometno varnost ter posredno vplivajo na varnost ljudi. </w:t>
      </w:r>
    </w:p>
    <w:p w14:paraId="37079D83" w14:textId="7BD29001" w:rsidR="00EB37F9" w:rsidRDefault="00EB37F9" w:rsidP="00EB37F9">
      <w:pPr>
        <w:rPr>
          <w:rFonts w:cstheme="minorHAnsi"/>
          <w:shd w:val="clear" w:color="auto" w:fill="FFFFFF"/>
        </w:rPr>
      </w:pPr>
      <w:r>
        <w:rPr>
          <w:rFonts w:cstheme="minorHAnsi"/>
          <w:shd w:val="clear" w:color="auto" w:fill="FFFFFF"/>
        </w:rPr>
        <w:t>Kot dejavniki, ki vplivajo na pogoje za zimske aktivnosti prostem, so bile vključeni kazalniki število dni s snežno odejo, povprečna temperatura zraka pozimi in povprečna dnevna najnižja temperatura zraka pozimi.</w:t>
      </w:r>
    </w:p>
    <w:p w14:paraId="3A328973" w14:textId="77777777" w:rsidR="00EB37F9" w:rsidRDefault="00EB37F9" w:rsidP="00EB37F9">
      <w:pPr>
        <w:rPr>
          <w:rFonts w:cstheme="minorHAnsi"/>
          <w:shd w:val="clear" w:color="auto" w:fill="FFFFFF"/>
        </w:rPr>
      </w:pPr>
      <w:r>
        <w:rPr>
          <w:rFonts w:cstheme="minorHAnsi"/>
          <w:shd w:val="clear" w:color="auto" w:fill="FFFFFF"/>
        </w:rPr>
        <w:t xml:space="preserve">Pri analizi vpliva podnebnih sprememb v destinaciji na potrebo po umetnem zagotavljanju ugodnih bivalnih pogojev v stavbah (turističnih namestitvah, muzejih, gostinskih obratih ipd.) in s tem povezane stroške turističnih ponudnikov so bile uporabljeni kazalniki povprečna poletna temperatura, število vročih dni, število, trajanje in jakost vročinskih valov, število dni, ko je </w:t>
      </w:r>
      <w:r w:rsidRPr="00D67E55">
        <w:rPr>
          <w:rFonts w:cstheme="minorHAnsi"/>
          <w:shd w:val="clear" w:color="auto" w:fill="FFFFFF"/>
        </w:rPr>
        <w:t>kazalnik vročine EHF pozitiven</w:t>
      </w:r>
      <w:r>
        <w:rPr>
          <w:rFonts w:cstheme="minorHAnsi"/>
          <w:shd w:val="clear" w:color="auto" w:fill="FFFFFF"/>
        </w:rPr>
        <w:t xml:space="preserve">, povprečna poletna dnevna najvišja temperatura in število tropskih noči, </w:t>
      </w:r>
      <w:r w:rsidRPr="00F7023C">
        <w:t>ko je dnevna najnižja temperatura nad 20 °C</w:t>
      </w:r>
      <w:r>
        <w:rPr>
          <w:rFonts w:cstheme="minorHAnsi"/>
          <w:shd w:val="clear" w:color="auto" w:fill="FFFFFF"/>
        </w:rPr>
        <w:t xml:space="preserve"> (odražajo potrebe po hlajenju prostorov) in povprečna zimska temperatura, povprečna dnevna najnižja temperatura pozimi ter trajanje kurilne sezone.</w:t>
      </w:r>
    </w:p>
    <w:p w14:paraId="3FCFD8F8" w14:textId="48AD5099" w:rsidR="00EB37F9" w:rsidRDefault="00EB37F9" w:rsidP="00EB37F9">
      <w:pPr>
        <w:rPr>
          <w:rFonts w:cstheme="minorHAnsi"/>
          <w:shd w:val="clear" w:color="auto" w:fill="FFFFFF"/>
        </w:rPr>
      </w:pPr>
      <w:r>
        <w:rPr>
          <w:rFonts w:cstheme="minorHAnsi"/>
          <w:shd w:val="clear" w:color="auto" w:fill="FFFFFF"/>
        </w:rPr>
        <w:t>Naravni viri (voda, biotska raznovrstnost, gozdovi, ekosistemi) in gastronomska ponudba na osnovi lokalnih kmetijskih pridelkov predstavljajo v destinaciji Nova Gorica pomemben del turistične ponudbe, hkrati pa so zaradi podnebnih sprememb ranljivi. Zato sta bila v obravnavo vključena kazalnika povprečna letna temperatura zraka in količina padavin.</w:t>
      </w:r>
    </w:p>
    <w:p w14:paraId="23C373EB" w14:textId="27E93152" w:rsidR="00EB37F9" w:rsidRDefault="00EB37F9" w:rsidP="00EB37F9">
      <w:pPr>
        <w:pStyle w:val="Napis"/>
        <w:keepNext/>
      </w:pPr>
      <w:bookmarkStart w:id="315" w:name="_Toc97026977"/>
      <w:r>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24</w:t>
      </w:r>
      <w:r w:rsidR="00976D80">
        <w:fldChar w:fldCharType="end"/>
      </w:r>
      <w:r>
        <w:t xml:space="preserve">: </w:t>
      </w:r>
      <w:r>
        <w:rPr>
          <w:shd w:val="clear" w:color="auto" w:fill="FFFFFF"/>
        </w:rPr>
        <w:t xml:space="preserve">Pregled kazalnikov izpostavljenosti in podnebnih </w:t>
      </w:r>
      <w:bookmarkEnd w:id="312"/>
      <w:r>
        <w:rPr>
          <w:shd w:val="clear" w:color="auto" w:fill="FFFFFF"/>
        </w:rPr>
        <w:t>kazalnikov</w:t>
      </w:r>
      <w:bookmarkEnd w:id="315"/>
    </w:p>
    <w:tbl>
      <w:tblPr>
        <w:tblW w:w="5000" w:type="pct"/>
        <w:tblLook w:val="04A0" w:firstRow="1" w:lastRow="0" w:firstColumn="1" w:lastColumn="0" w:noHBand="0" w:noVBand="1"/>
      </w:tblPr>
      <w:tblGrid>
        <w:gridCol w:w="3911"/>
        <w:gridCol w:w="5717"/>
      </w:tblGrid>
      <w:tr w:rsidR="00EB37F9" w:rsidRPr="00E4780D" w14:paraId="3AE8D993" w14:textId="77777777" w:rsidTr="00FF0031">
        <w:tc>
          <w:tcPr>
            <w:tcW w:w="2031" w:type="pct"/>
            <w:tcBorders>
              <w:top w:val="single" w:sz="4" w:space="0" w:color="auto"/>
              <w:left w:val="single" w:sz="4" w:space="0" w:color="auto"/>
              <w:bottom w:val="single" w:sz="4" w:space="0" w:color="auto"/>
              <w:right w:val="single" w:sz="4" w:space="0" w:color="auto"/>
            </w:tcBorders>
            <w:vAlign w:val="bottom"/>
            <w:hideMark/>
          </w:tcPr>
          <w:p w14:paraId="1C42BF56" w14:textId="77777777" w:rsidR="00EB37F9" w:rsidRPr="00E4780D" w:rsidRDefault="00EB37F9" w:rsidP="00FF0031">
            <w:pPr>
              <w:spacing w:before="60"/>
              <w:rPr>
                <w:rFonts w:cstheme="minorHAnsi"/>
                <w:b/>
                <w:bCs/>
                <w:shd w:val="clear" w:color="auto" w:fill="FFFFFF"/>
              </w:rPr>
            </w:pPr>
            <w:r w:rsidRPr="00E4780D">
              <w:rPr>
                <w:rFonts w:cstheme="minorHAnsi"/>
                <w:b/>
                <w:bCs/>
                <w:shd w:val="clear" w:color="auto" w:fill="FFFFFF"/>
              </w:rPr>
              <w:t>Kazalnik izpostavljenosti</w:t>
            </w:r>
          </w:p>
        </w:tc>
        <w:tc>
          <w:tcPr>
            <w:tcW w:w="2969" w:type="pct"/>
            <w:tcBorders>
              <w:top w:val="single" w:sz="4" w:space="0" w:color="auto"/>
              <w:left w:val="single" w:sz="4" w:space="0" w:color="auto"/>
              <w:bottom w:val="single" w:sz="4" w:space="0" w:color="auto"/>
              <w:right w:val="single" w:sz="4" w:space="0" w:color="auto"/>
            </w:tcBorders>
            <w:vAlign w:val="bottom"/>
            <w:hideMark/>
          </w:tcPr>
          <w:p w14:paraId="47B30C3A" w14:textId="77777777" w:rsidR="00EB37F9" w:rsidRPr="00E4780D" w:rsidRDefault="00EB37F9" w:rsidP="00FF0031">
            <w:pPr>
              <w:spacing w:before="60"/>
              <w:rPr>
                <w:rFonts w:cstheme="minorHAnsi"/>
                <w:b/>
                <w:bCs/>
                <w:shd w:val="clear" w:color="auto" w:fill="FFFFFF"/>
              </w:rPr>
            </w:pPr>
            <w:r w:rsidRPr="00E4780D">
              <w:rPr>
                <w:rFonts w:cstheme="minorHAnsi"/>
                <w:b/>
                <w:bCs/>
                <w:shd w:val="clear" w:color="auto" w:fill="FFFFFF"/>
              </w:rPr>
              <w:t>Podnebni kazalniki</w:t>
            </w:r>
          </w:p>
        </w:tc>
      </w:tr>
      <w:tr w:rsidR="00EB37F9" w:rsidRPr="00E4780D" w14:paraId="34D0515E" w14:textId="77777777" w:rsidTr="00FF0031">
        <w:tc>
          <w:tcPr>
            <w:tcW w:w="2031" w:type="pct"/>
            <w:tcBorders>
              <w:top w:val="single" w:sz="4" w:space="0" w:color="auto"/>
              <w:left w:val="single" w:sz="4" w:space="0" w:color="auto"/>
              <w:bottom w:val="single" w:sz="4" w:space="0" w:color="auto"/>
              <w:right w:val="single" w:sz="4" w:space="0" w:color="auto"/>
            </w:tcBorders>
            <w:hideMark/>
          </w:tcPr>
          <w:p w14:paraId="11EFA157" w14:textId="77777777" w:rsidR="00EB37F9" w:rsidRPr="00E4780D" w:rsidRDefault="00EB37F9" w:rsidP="00FF0031">
            <w:pPr>
              <w:spacing w:before="60"/>
              <w:rPr>
                <w:rFonts w:cstheme="minorHAnsi"/>
                <w:shd w:val="clear" w:color="auto" w:fill="FFFFFF"/>
              </w:rPr>
            </w:pPr>
            <w:r w:rsidRPr="00E4780D">
              <w:rPr>
                <w:rFonts w:cstheme="minorHAnsi"/>
                <w:shd w:val="clear" w:color="auto" w:fill="FFFFFF"/>
              </w:rPr>
              <w:t>Povišanje temperature zraka v vseh letnih časih ter spremenjeni padavinski vzorci</w:t>
            </w:r>
          </w:p>
        </w:tc>
        <w:tc>
          <w:tcPr>
            <w:tcW w:w="2969" w:type="pct"/>
            <w:tcBorders>
              <w:top w:val="single" w:sz="4" w:space="0" w:color="auto"/>
              <w:left w:val="single" w:sz="4" w:space="0" w:color="auto"/>
              <w:bottom w:val="single" w:sz="4" w:space="0" w:color="auto"/>
              <w:right w:val="single" w:sz="4" w:space="0" w:color="auto"/>
            </w:tcBorders>
            <w:hideMark/>
          </w:tcPr>
          <w:p w14:paraId="310D3E47" w14:textId="77777777" w:rsidR="00EB37F9" w:rsidRPr="00E4780D" w:rsidRDefault="00EB37F9" w:rsidP="00F90C17">
            <w:pPr>
              <w:pStyle w:val="Odstavekseznama"/>
              <w:numPr>
                <w:ilvl w:val="0"/>
                <w:numId w:val="19"/>
              </w:numPr>
              <w:spacing w:before="60" w:after="100" w:line="276" w:lineRule="auto"/>
              <w:ind w:left="340" w:hanging="170"/>
              <w:jc w:val="left"/>
              <w:rPr>
                <w:rFonts w:ascii="Trebuchet MS" w:hAnsi="Trebuchet MS" w:cstheme="minorHAnsi"/>
                <w:color w:val="auto"/>
                <w:szCs w:val="22"/>
                <w:shd w:val="clear" w:color="auto" w:fill="FFFFFF"/>
              </w:rPr>
            </w:pPr>
            <w:r w:rsidRPr="00E4780D">
              <w:rPr>
                <w:rFonts w:ascii="Trebuchet MS" w:hAnsi="Trebuchet MS" w:cstheme="minorHAnsi"/>
                <w:szCs w:val="22"/>
                <w:shd w:val="clear" w:color="auto" w:fill="FFFFFF"/>
              </w:rPr>
              <w:t>povprečna temperatura zraka po sezonah</w:t>
            </w:r>
          </w:p>
          <w:p w14:paraId="641B020E" w14:textId="77777777" w:rsidR="00EB37F9" w:rsidRPr="00E4780D" w:rsidRDefault="00EB37F9" w:rsidP="00F90C17">
            <w:pPr>
              <w:pStyle w:val="Odstavekseznama"/>
              <w:numPr>
                <w:ilvl w:val="0"/>
                <w:numId w:val="19"/>
              </w:numPr>
              <w:spacing w:before="60" w:after="100" w:line="276" w:lineRule="auto"/>
              <w:ind w:left="340" w:hanging="170"/>
              <w:jc w:val="left"/>
              <w:rPr>
                <w:rFonts w:ascii="Trebuchet MS" w:hAnsi="Trebuchet MS" w:cstheme="minorHAnsi"/>
                <w:color w:val="auto"/>
                <w:szCs w:val="22"/>
                <w:shd w:val="clear" w:color="auto" w:fill="FFFFFF"/>
              </w:rPr>
            </w:pPr>
            <w:r w:rsidRPr="00E4780D">
              <w:rPr>
                <w:rFonts w:ascii="Trebuchet MS" w:hAnsi="Trebuchet MS" w:cstheme="minorHAnsi"/>
                <w:szCs w:val="22"/>
                <w:shd w:val="clear" w:color="auto" w:fill="FFFFFF"/>
              </w:rPr>
              <w:t>število dni s padavinami nad 0,1 mm po sezonah</w:t>
            </w:r>
          </w:p>
          <w:p w14:paraId="7B2AD23C" w14:textId="77777777" w:rsidR="00EB37F9" w:rsidRPr="00E4780D" w:rsidRDefault="00EB37F9" w:rsidP="00F90C17">
            <w:pPr>
              <w:pStyle w:val="Odstavekseznama"/>
              <w:numPr>
                <w:ilvl w:val="0"/>
                <w:numId w:val="19"/>
              </w:numPr>
              <w:spacing w:before="60" w:after="100" w:line="276" w:lineRule="auto"/>
              <w:ind w:left="340" w:hanging="170"/>
              <w:jc w:val="left"/>
              <w:rPr>
                <w:rFonts w:ascii="Trebuchet MS" w:hAnsi="Trebuchet MS" w:cstheme="minorHAnsi"/>
                <w:color w:val="auto"/>
                <w:szCs w:val="22"/>
                <w:shd w:val="clear" w:color="auto" w:fill="FFFFFF"/>
              </w:rPr>
            </w:pPr>
            <w:r w:rsidRPr="00E4780D">
              <w:rPr>
                <w:rFonts w:ascii="Trebuchet MS" w:hAnsi="Trebuchet MS" w:cstheme="minorHAnsi"/>
                <w:szCs w:val="22"/>
                <w:shd w:val="clear" w:color="auto" w:fill="FFFFFF"/>
              </w:rPr>
              <w:t>vsota padavin po sezonah</w:t>
            </w:r>
          </w:p>
        </w:tc>
      </w:tr>
      <w:tr w:rsidR="00EB37F9" w:rsidRPr="00E4780D" w14:paraId="3E9D9040" w14:textId="77777777" w:rsidTr="00FF0031">
        <w:tc>
          <w:tcPr>
            <w:tcW w:w="2031" w:type="pct"/>
            <w:tcBorders>
              <w:top w:val="single" w:sz="4" w:space="0" w:color="auto"/>
              <w:left w:val="single" w:sz="4" w:space="0" w:color="auto"/>
              <w:bottom w:val="single" w:sz="4" w:space="0" w:color="auto"/>
              <w:right w:val="single" w:sz="4" w:space="0" w:color="auto"/>
            </w:tcBorders>
            <w:hideMark/>
          </w:tcPr>
          <w:p w14:paraId="36CE4982" w14:textId="77777777" w:rsidR="00EB37F9" w:rsidRPr="00E4780D" w:rsidRDefault="00EB37F9" w:rsidP="00FF0031">
            <w:pPr>
              <w:spacing w:before="60"/>
              <w:rPr>
                <w:rFonts w:cstheme="minorHAnsi"/>
                <w:shd w:val="clear" w:color="auto" w:fill="FFFFFF"/>
              </w:rPr>
            </w:pPr>
            <w:r w:rsidRPr="00E4780D">
              <w:rPr>
                <w:rFonts w:cstheme="minorHAnsi"/>
                <w:shd w:val="clear" w:color="auto" w:fill="FFFFFF"/>
              </w:rPr>
              <w:t>Visoke poletne temperature</w:t>
            </w:r>
          </w:p>
        </w:tc>
        <w:tc>
          <w:tcPr>
            <w:tcW w:w="2969" w:type="pct"/>
            <w:tcBorders>
              <w:top w:val="single" w:sz="4" w:space="0" w:color="auto"/>
              <w:left w:val="single" w:sz="4" w:space="0" w:color="auto"/>
              <w:bottom w:val="single" w:sz="4" w:space="0" w:color="auto"/>
              <w:right w:val="single" w:sz="4" w:space="0" w:color="auto"/>
            </w:tcBorders>
            <w:hideMark/>
          </w:tcPr>
          <w:p w14:paraId="22E6C935" w14:textId="77777777" w:rsidR="00EB37F9" w:rsidRPr="00E4780D" w:rsidRDefault="00EB37F9" w:rsidP="00F90C17">
            <w:pPr>
              <w:pStyle w:val="Odstavekseznama"/>
              <w:numPr>
                <w:ilvl w:val="0"/>
                <w:numId w:val="20"/>
              </w:numPr>
              <w:spacing w:before="60" w:after="100" w:line="276" w:lineRule="auto"/>
              <w:ind w:left="340" w:hanging="170"/>
              <w:jc w:val="left"/>
              <w:rPr>
                <w:rFonts w:ascii="Trebuchet MS" w:hAnsi="Trebuchet MS" w:cstheme="minorHAnsi"/>
                <w:color w:val="auto"/>
                <w:szCs w:val="22"/>
                <w:shd w:val="clear" w:color="auto" w:fill="FFFFFF"/>
              </w:rPr>
            </w:pPr>
            <w:r w:rsidRPr="00E4780D">
              <w:rPr>
                <w:rFonts w:ascii="Trebuchet MS" w:hAnsi="Trebuchet MS" w:cstheme="minorHAnsi"/>
                <w:szCs w:val="22"/>
                <w:shd w:val="clear" w:color="auto" w:fill="FFFFFF"/>
              </w:rPr>
              <w:t>število vročih dni,</w:t>
            </w:r>
          </w:p>
          <w:p w14:paraId="0AC1CCF3" w14:textId="77777777" w:rsidR="00EB37F9" w:rsidRPr="00E4780D" w:rsidRDefault="00EB37F9" w:rsidP="00F90C17">
            <w:pPr>
              <w:pStyle w:val="Odstavekseznama"/>
              <w:numPr>
                <w:ilvl w:val="0"/>
                <w:numId w:val="20"/>
              </w:numPr>
              <w:spacing w:before="60" w:after="100" w:line="276" w:lineRule="auto"/>
              <w:ind w:left="340" w:hanging="170"/>
              <w:jc w:val="left"/>
              <w:rPr>
                <w:rFonts w:ascii="Trebuchet MS" w:hAnsi="Trebuchet MS" w:cstheme="minorHAnsi"/>
                <w:color w:val="auto"/>
                <w:szCs w:val="22"/>
                <w:shd w:val="clear" w:color="auto" w:fill="FFFFFF"/>
              </w:rPr>
            </w:pPr>
            <w:r w:rsidRPr="00E4780D">
              <w:rPr>
                <w:rFonts w:ascii="Trebuchet MS" w:hAnsi="Trebuchet MS" w:cstheme="minorHAnsi"/>
                <w:szCs w:val="22"/>
                <w:shd w:val="clear" w:color="auto" w:fill="FFFFFF"/>
              </w:rPr>
              <w:t>povprečna dnevna najvišja temperatura poleti,</w:t>
            </w:r>
          </w:p>
          <w:p w14:paraId="47E03FD2" w14:textId="77777777" w:rsidR="00EB37F9" w:rsidRPr="00E4780D" w:rsidRDefault="00EB37F9" w:rsidP="00F90C17">
            <w:pPr>
              <w:pStyle w:val="Odstavekseznama"/>
              <w:numPr>
                <w:ilvl w:val="0"/>
                <w:numId w:val="20"/>
              </w:numPr>
              <w:spacing w:before="60" w:after="100" w:line="276" w:lineRule="auto"/>
              <w:ind w:left="340" w:hanging="170"/>
              <w:jc w:val="left"/>
              <w:rPr>
                <w:rFonts w:ascii="Trebuchet MS" w:hAnsi="Trebuchet MS" w:cstheme="minorHAnsi"/>
                <w:color w:val="auto"/>
                <w:szCs w:val="22"/>
                <w:shd w:val="clear" w:color="auto" w:fill="FFFFFF"/>
              </w:rPr>
            </w:pPr>
            <w:r w:rsidRPr="00E4780D">
              <w:rPr>
                <w:rFonts w:ascii="Trebuchet MS" w:hAnsi="Trebuchet MS" w:cstheme="minorHAnsi"/>
                <w:szCs w:val="22"/>
                <w:shd w:val="clear" w:color="auto" w:fill="FFFFFF"/>
              </w:rPr>
              <w:t>število vročinskih valov,</w:t>
            </w:r>
          </w:p>
          <w:p w14:paraId="00FD4850" w14:textId="77777777" w:rsidR="00EB37F9" w:rsidRPr="00E4780D" w:rsidRDefault="00EB37F9" w:rsidP="00F90C17">
            <w:pPr>
              <w:pStyle w:val="Odstavekseznama"/>
              <w:numPr>
                <w:ilvl w:val="0"/>
                <w:numId w:val="20"/>
              </w:numPr>
              <w:spacing w:before="60" w:after="100" w:line="276" w:lineRule="auto"/>
              <w:ind w:left="340" w:hanging="170"/>
              <w:jc w:val="left"/>
              <w:rPr>
                <w:rFonts w:ascii="Trebuchet MS" w:hAnsi="Trebuchet MS" w:cstheme="minorHAnsi"/>
                <w:color w:val="auto"/>
                <w:szCs w:val="22"/>
                <w:shd w:val="clear" w:color="auto" w:fill="FFFFFF"/>
              </w:rPr>
            </w:pPr>
            <w:r w:rsidRPr="00E4780D">
              <w:rPr>
                <w:rFonts w:ascii="Trebuchet MS" w:hAnsi="Trebuchet MS" w:cstheme="minorHAnsi"/>
                <w:szCs w:val="22"/>
                <w:shd w:val="clear" w:color="auto" w:fill="FFFFFF"/>
              </w:rPr>
              <w:t>povprečna dolžina vročinskih valov,</w:t>
            </w:r>
          </w:p>
          <w:p w14:paraId="0FCBE38E" w14:textId="77777777" w:rsidR="00EB37F9" w:rsidRPr="00E4780D" w:rsidRDefault="00EB37F9" w:rsidP="00F90C17">
            <w:pPr>
              <w:pStyle w:val="Odstavekseznama"/>
              <w:numPr>
                <w:ilvl w:val="0"/>
                <w:numId w:val="20"/>
              </w:numPr>
              <w:spacing w:before="60" w:after="100" w:line="276" w:lineRule="auto"/>
              <w:ind w:left="340" w:hanging="170"/>
              <w:jc w:val="left"/>
              <w:rPr>
                <w:rFonts w:ascii="Trebuchet MS" w:hAnsi="Trebuchet MS" w:cstheme="minorHAnsi"/>
                <w:color w:val="auto"/>
                <w:szCs w:val="22"/>
                <w:shd w:val="clear" w:color="auto" w:fill="FFFFFF"/>
              </w:rPr>
            </w:pPr>
            <w:r w:rsidRPr="00E4780D">
              <w:rPr>
                <w:rFonts w:ascii="Trebuchet MS" w:hAnsi="Trebuchet MS" w:cstheme="minorHAnsi"/>
                <w:szCs w:val="22"/>
                <w:shd w:val="clear" w:color="auto" w:fill="FFFFFF"/>
              </w:rPr>
              <w:lastRenderedPageBreak/>
              <w:t>maksimalna magnituda vročinskega vala,</w:t>
            </w:r>
          </w:p>
          <w:p w14:paraId="1BE584CC" w14:textId="77777777" w:rsidR="00EB37F9" w:rsidRPr="00E4780D" w:rsidRDefault="00EB37F9" w:rsidP="00F90C17">
            <w:pPr>
              <w:pStyle w:val="Odstavekseznama"/>
              <w:numPr>
                <w:ilvl w:val="0"/>
                <w:numId w:val="20"/>
              </w:numPr>
              <w:spacing w:before="60" w:after="100" w:line="276" w:lineRule="auto"/>
              <w:ind w:left="340" w:hanging="170"/>
              <w:jc w:val="left"/>
              <w:rPr>
                <w:rFonts w:ascii="Trebuchet MS" w:hAnsi="Trebuchet MS" w:cstheme="minorHAnsi"/>
                <w:szCs w:val="22"/>
                <w:shd w:val="clear" w:color="auto" w:fill="FFFFFF"/>
              </w:rPr>
            </w:pPr>
            <w:r w:rsidRPr="00E4780D">
              <w:rPr>
                <w:rFonts w:ascii="Trebuchet MS" w:hAnsi="Trebuchet MS" w:cstheme="minorHAnsi"/>
                <w:szCs w:val="22"/>
                <w:shd w:val="clear" w:color="auto" w:fill="FFFFFF"/>
              </w:rPr>
              <w:t>število dni, ko je kazalnik vročine EHF pozitiven</w:t>
            </w:r>
          </w:p>
          <w:p w14:paraId="4F244CA7" w14:textId="77777777" w:rsidR="00EB37F9" w:rsidRPr="00E4780D" w:rsidRDefault="00EB37F9" w:rsidP="00F90C17">
            <w:pPr>
              <w:pStyle w:val="Odstavekseznama"/>
              <w:numPr>
                <w:ilvl w:val="0"/>
                <w:numId w:val="21"/>
              </w:numPr>
              <w:spacing w:before="60" w:after="100" w:line="276" w:lineRule="auto"/>
              <w:ind w:left="340" w:hanging="170"/>
              <w:jc w:val="left"/>
              <w:rPr>
                <w:rFonts w:ascii="Trebuchet MS" w:hAnsi="Trebuchet MS" w:cstheme="minorHAnsi"/>
                <w:color w:val="auto"/>
                <w:szCs w:val="22"/>
                <w:shd w:val="clear" w:color="auto" w:fill="FFFFFF"/>
              </w:rPr>
            </w:pPr>
            <w:r w:rsidRPr="00E4780D">
              <w:rPr>
                <w:rFonts w:ascii="Trebuchet MS" w:hAnsi="Trebuchet MS" w:cstheme="minorHAnsi"/>
                <w:szCs w:val="22"/>
                <w:shd w:val="clear" w:color="auto" w:fill="FFFFFF"/>
              </w:rPr>
              <w:t>število tropskih noči</w:t>
            </w:r>
          </w:p>
        </w:tc>
      </w:tr>
      <w:tr w:rsidR="00EB37F9" w:rsidRPr="00E4780D" w14:paraId="69745F62" w14:textId="77777777" w:rsidTr="00FF0031">
        <w:tc>
          <w:tcPr>
            <w:tcW w:w="2031" w:type="pct"/>
            <w:tcBorders>
              <w:top w:val="single" w:sz="4" w:space="0" w:color="auto"/>
              <w:left w:val="single" w:sz="4" w:space="0" w:color="auto"/>
              <w:bottom w:val="single" w:sz="4" w:space="0" w:color="auto"/>
              <w:right w:val="single" w:sz="4" w:space="0" w:color="auto"/>
            </w:tcBorders>
            <w:hideMark/>
          </w:tcPr>
          <w:p w14:paraId="3DB3C6DC" w14:textId="77777777" w:rsidR="00EB37F9" w:rsidRPr="00E4780D" w:rsidRDefault="00EB37F9" w:rsidP="00FF0031">
            <w:pPr>
              <w:spacing w:before="60"/>
              <w:rPr>
                <w:rFonts w:cstheme="minorHAnsi"/>
                <w:shd w:val="clear" w:color="auto" w:fill="FFFFFF"/>
              </w:rPr>
            </w:pPr>
            <w:r w:rsidRPr="00E4780D">
              <w:rPr>
                <w:rFonts w:cstheme="minorHAnsi"/>
                <w:shd w:val="clear" w:color="auto" w:fill="FFFFFF"/>
              </w:rPr>
              <w:lastRenderedPageBreak/>
              <w:t>Toplejše zime, manj snega, več dežnih padavin</w:t>
            </w:r>
          </w:p>
        </w:tc>
        <w:tc>
          <w:tcPr>
            <w:tcW w:w="2969" w:type="pct"/>
            <w:tcBorders>
              <w:top w:val="single" w:sz="4" w:space="0" w:color="auto"/>
              <w:left w:val="single" w:sz="4" w:space="0" w:color="auto"/>
              <w:bottom w:val="single" w:sz="4" w:space="0" w:color="auto"/>
              <w:right w:val="single" w:sz="4" w:space="0" w:color="auto"/>
            </w:tcBorders>
            <w:hideMark/>
          </w:tcPr>
          <w:p w14:paraId="34E0B712" w14:textId="77777777" w:rsidR="00EB37F9" w:rsidRPr="00E4780D" w:rsidRDefault="00EB37F9" w:rsidP="00F90C17">
            <w:pPr>
              <w:pStyle w:val="Odstavekseznama"/>
              <w:numPr>
                <w:ilvl w:val="0"/>
                <w:numId w:val="21"/>
              </w:numPr>
              <w:spacing w:before="60" w:after="100" w:line="276" w:lineRule="auto"/>
              <w:ind w:left="340" w:hanging="170"/>
              <w:jc w:val="left"/>
              <w:rPr>
                <w:rFonts w:ascii="Trebuchet MS" w:hAnsi="Trebuchet MS" w:cstheme="minorHAnsi"/>
                <w:color w:val="auto"/>
                <w:szCs w:val="22"/>
                <w:shd w:val="clear" w:color="auto" w:fill="FFFFFF"/>
              </w:rPr>
            </w:pPr>
            <w:r w:rsidRPr="00E4780D">
              <w:rPr>
                <w:rFonts w:ascii="Trebuchet MS" w:hAnsi="Trebuchet MS" w:cstheme="minorHAnsi"/>
                <w:szCs w:val="22"/>
                <w:shd w:val="clear" w:color="auto" w:fill="FFFFFF"/>
              </w:rPr>
              <w:t>povprečna temperatura zraka pozimi</w:t>
            </w:r>
          </w:p>
          <w:p w14:paraId="2BDBFC84" w14:textId="77777777" w:rsidR="00EB37F9" w:rsidRPr="00E4780D" w:rsidRDefault="00EB37F9" w:rsidP="00F90C17">
            <w:pPr>
              <w:pStyle w:val="Odstavekseznama"/>
              <w:numPr>
                <w:ilvl w:val="0"/>
                <w:numId w:val="21"/>
              </w:numPr>
              <w:spacing w:before="60" w:after="100" w:line="276" w:lineRule="auto"/>
              <w:ind w:left="340" w:hanging="170"/>
              <w:jc w:val="left"/>
              <w:rPr>
                <w:rFonts w:ascii="Trebuchet MS" w:hAnsi="Trebuchet MS" w:cstheme="minorHAnsi"/>
                <w:color w:val="auto"/>
                <w:szCs w:val="22"/>
                <w:shd w:val="clear" w:color="auto" w:fill="FFFFFF"/>
              </w:rPr>
            </w:pPr>
            <w:r w:rsidRPr="00E4780D">
              <w:rPr>
                <w:rFonts w:ascii="Trebuchet MS" w:hAnsi="Trebuchet MS" w:cstheme="minorHAnsi"/>
                <w:szCs w:val="22"/>
                <w:shd w:val="clear" w:color="auto" w:fill="FFFFFF"/>
              </w:rPr>
              <w:t>število dni s snežno odejo,</w:t>
            </w:r>
          </w:p>
          <w:p w14:paraId="317318AA" w14:textId="77777777" w:rsidR="00EB37F9" w:rsidRPr="00E4780D" w:rsidRDefault="00EB37F9" w:rsidP="00F90C17">
            <w:pPr>
              <w:pStyle w:val="Odstavekseznama"/>
              <w:numPr>
                <w:ilvl w:val="0"/>
                <w:numId w:val="22"/>
              </w:numPr>
              <w:spacing w:before="60" w:after="100" w:line="276" w:lineRule="auto"/>
              <w:ind w:left="340" w:hanging="170"/>
              <w:jc w:val="left"/>
              <w:rPr>
                <w:rFonts w:ascii="Trebuchet MS" w:hAnsi="Trebuchet MS" w:cstheme="minorHAnsi"/>
                <w:color w:val="auto"/>
                <w:szCs w:val="22"/>
                <w:shd w:val="clear" w:color="auto" w:fill="FFFFFF"/>
              </w:rPr>
            </w:pPr>
            <w:r w:rsidRPr="00E4780D">
              <w:rPr>
                <w:rFonts w:ascii="Trebuchet MS" w:hAnsi="Trebuchet MS" w:cstheme="minorHAnsi"/>
                <w:szCs w:val="22"/>
                <w:shd w:val="clear" w:color="auto" w:fill="FFFFFF"/>
              </w:rPr>
              <w:t>povprečna dnevna najnižja temperatura zraka pozimi</w:t>
            </w:r>
          </w:p>
          <w:p w14:paraId="2785FAE4" w14:textId="77777777" w:rsidR="00EB37F9" w:rsidRPr="00E4780D" w:rsidRDefault="00EB37F9" w:rsidP="00F90C17">
            <w:pPr>
              <w:pStyle w:val="Odstavekseznama"/>
              <w:numPr>
                <w:ilvl w:val="0"/>
                <w:numId w:val="22"/>
              </w:numPr>
              <w:spacing w:before="60" w:after="100" w:line="276" w:lineRule="auto"/>
              <w:ind w:left="340" w:hanging="170"/>
              <w:jc w:val="left"/>
              <w:rPr>
                <w:rFonts w:ascii="Trebuchet MS" w:hAnsi="Trebuchet MS" w:cstheme="minorHAnsi"/>
                <w:color w:val="auto"/>
                <w:szCs w:val="22"/>
                <w:shd w:val="clear" w:color="auto" w:fill="FFFFFF"/>
              </w:rPr>
            </w:pPr>
            <w:r w:rsidRPr="00E4780D">
              <w:rPr>
                <w:rFonts w:ascii="Trebuchet MS" w:hAnsi="Trebuchet MS" w:cstheme="minorHAnsi"/>
                <w:szCs w:val="22"/>
                <w:shd w:val="clear" w:color="auto" w:fill="FFFFFF"/>
              </w:rPr>
              <w:t>trajanje kurilne sezone</w:t>
            </w:r>
          </w:p>
          <w:p w14:paraId="59F6BB18" w14:textId="77777777" w:rsidR="00EB37F9" w:rsidRPr="00E4780D" w:rsidRDefault="00EB37F9" w:rsidP="00F90C17">
            <w:pPr>
              <w:pStyle w:val="Odstavekseznama"/>
              <w:numPr>
                <w:ilvl w:val="0"/>
                <w:numId w:val="22"/>
              </w:numPr>
              <w:spacing w:before="60" w:after="100" w:line="276" w:lineRule="auto"/>
              <w:ind w:left="340" w:hanging="170"/>
              <w:jc w:val="left"/>
              <w:rPr>
                <w:rFonts w:ascii="Trebuchet MS" w:hAnsi="Trebuchet MS" w:cstheme="minorHAnsi"/>
                <w:color w:val="auto"/>
                <w:szCs w:val="22"/>
                <w:shd w:val="clear" w:color="auto" w:fill="FFFFFF"/>
              </w:rPr>
            </w:pPr>
            <w:r w:rsidRPr="00E4780D">
              <w:rPr>
                <w:rFonts w:ascii="Trebuchet MS" w:hAnsi="Trebuchet MS" w:cstheme="minorHAnsi"/>
                <w:szCs w:val="22"/>
                <w:shd w:val="clear" w:color="auto" w:fill="FFFFFF"/>
              </w:rPr>
              <w:t>vsota padavin pozimi</w:t>
            </w:r>
          </w:p>
        </w:tc>
      </w:tr>
      <w:tr w:rsidR="00EB37F9" w:rsidRPr="00E4780D" w14:paraId="0EE2C584" w14:textId="77777777" w:rsidTr="00FF0031">
        <w:trPr>
          <w:trHeight w:val="387"/>
        </w:trPr>
        <w:tc>
          <w:tcPr>
            <w:tcW w:w="2031" w:type="pct"/>
            <w:tcBorders>
              <w:top w:val="single" w:sz="4" w:space="0" w:color="auto"/>
              <w:left w:val="single" w:sz="4" w:space="0" w:color="auto"/>
              <w:bottom w:val="single" w:sz="4" w:space="0" w:color="auto"/>
              <w:right w:val="single" w:sz="4" w:space="0" w:color="auto"/>
            </w:tcBorders>
            <w:hideMark/>
          </w:tcPr>
          <w:p w14:paraId="307C205F" w14:textId="77777777" w:rsidR="00EB37F9" w:rsidRPr="00E4780D" w:rsidRDefault="00EB37F9" w:rsidP="00FF0031">
            <w:pPr>
              <w:spacing w:line="240" w:lineRule="auto"/>
              <w:rPr>
                <w:rFonts w:cstheme="minorHAnsi"/>
                <w:shd w:val="clear" w:color="auto" w:fill="FFFFFF"/>
              </w:rPr>
            </w:pPr>
            <w:r w:rsidRPr="00E4780D">
              <w:rPr>
                <w:rFonts w:cstheme="minorHAnsi"/>
                <w:shd w:val="clear" w:color="auto" w:fill="FFFFFF"/>
              </w:rPr>
              <w:t>Izjemne padavine</w:t>
            </w:r>
          </w:p>
        </w:tc>
        <w:tc>
          <w:tcPr>
            <w:tcW w:w="2969" w:type="pct"/>
            <w:tcBorders>
              <w:top w:val="single" w:sz="4" w:space="0" w:color="auto"/>
              <w:left w:val="single" w:sz="4" w:space="0" w:color="auto"/>
              <w:bottom w:val="single" w:sz="4" w:space="0" w:color="auto"/>
              <w:right w:val="single" w:sz="4" w:space="0" w:color="auto"/>
            </w:tcBorders>
            <w:hideMark/>
          </w:tcPr>
          <w:p w14:paraId="24F2BA53" w14:textId="77777777" w:rsidR="00EB37F9" w:rsidRPr="00E4780D" w:rsidRDefault="00EB37F9" w:rsidP="00F90C17">
            <w:pPr>
              <w:pStyle w:val="Odstavekseznama"/>
              <w:numPr>
                <w:ilvl w:val="0"/>
                <w:numId w:val="21"/>
              </w:numPr>
              <w:spacing w:line="240" w:lineRule="auto"/>
              <w:ind w:left="340" w:hanging="170"/>
              <w:jc w:val="left"/>
              <w:rPr>
                <w:rFonts w:ascii="Trebuchet MS" w:hAnsi="Trebuchet MS" w:cstheme="minorHAnsi"/>
                <w:color w:val="auto"/>
                <w:szCs w:val="22"/>
                <w:shd w:val="clear" w:color="auto" w:fill="FFFFFF"/>
              </w:rPr>
            </w:pPr>
            <w:r w:rsidRPr="00E4780D">
              <w:rPr>
                <w:rFonts w:ascii="Trebuchet MS" w:hAnsi="Trebuchet MS" w:cstheme="minorHAnsi"/>
                <w:szCs w:val="22"/>
                <w:shd w:val="clear" w:color="auto" w:fill="FFFFFF"/>
              </w:rPr>
              <w:t>število dni s padavinami nad 50 mm</w:t>
            </w:r>
          </w:p>
        </w:tc>
      </w:tr>
    </w:tbl>
    <w:p w14:paraId="2CC017BF" w14:textId="77777777" w:rsidR="00EB37F9" w:rsidRDefault="00EB37F9" w:rsidP="00EB37F9">
      <w:pPr>
        <w:rPr>
          <w:shd w:val="clear" w:color="auto" w:fill="FFFFFF"/>
        </w:rPr>
      </w:pPr>
    </w:p>
    <w:p w14:paraId="605BB61A" w14:textId="16EF53DA" w:rsidR="00EB37F9" w:rsidRDefault="00EB37F9" w:rsidP="00EB37F9">
      <w:pPr>
        <w:rPr>
          <w:shd w:val="clear" w:color="auto" w:fill="FFFFFF"/>
        </w:rPr>
      </w:pPr>
      <w:r>
        <w:rPr>
          <w:shd w:val="clear" w:color="auto" w:fill="FFFFFF"/>
        </w:rPr>
        <w:t xml:space="preserve">Podatki o turističnih produktih, infrastrukturi in ponudnikih so bili pridobljeni iz spletnih virov. </w:t>
      </w:r>
    </w:p>
    <w:p w14:paraId="76708E0F" w14:textId="77777777" w:rsidR="008334B2" w:rsidRDefault="008334B2" w:rsidP="00EB37F9">
      <w:pPr>
        <w:rPr>
          <w:shd w:val="clear" w:color="auto" w:fill="FFFFFF"/>
        </w:rPr>
      </w:pPr>
    </w:p>
    <w:p w14:paraId="0A890132" w14:textId="77777777" w:rsidR="00BE4D70" w:rsidRDefault="00BE4D70" w:rsidP="002F0D6E">
      <w:pPr>
        <w:pStyle w:val="Naslov3"/>
        <w:rPr>
          <w:rFonts w:eastAsia="Calibri"/>
          <w:lang w:eastAsia="sl-SI"/>
        </w:rPr>
      </w:pPr>
      <w:bookmarkStart w:id="316" w:name="_Toc97026779"/>
      <w:r w:rsidRPr="001D38AC">
        <w:rPr>
          <w:rFonts w:eastAsia="Calibri"/>
          <w:lang w:eastAsia="sl-SI"/>
        </w:rPr>
        <w:t>Zakonodajni okvir</w:t>
      </w:r>
      <w:r>
        <w:rPr>
          <w:rFonts w:eastAsia="Calibri"/>
          <w:lang w:eastAsia="sl-SI"/>
        </w:rPr>
        <w:t xml:space="preserve"> za</w:t>
      </w:r>
      <w:r w:rsidRPr="001D38AC">
        <w:rPr>
          <w:rFonts w:eastAsia="Calibri"/>
          <w:lang w:eastAsia="sl-SI"/>
        </w:rPr>
        <w:t xml:space="preserve"> sektor</w:t>
      </w:r>
      <w:bookmarkEnd w:id="313"/>
      <w:r>
        <w:rPr>
          <w:rFonts w:eastAsia="Calibri"/>
          <w:lang w:eastAsia="sl-SI"/>
        </w:rPr>
        <w:t xml:space="preserve"> turizem</w:t>
      </w:r>
      <w:bookmarkEnd w:id="314"/>
      <w:bookmarkEnd w:id="316"/>
    </w:p>
    <w:p w14:paraId="1E44A5A2" w14:textId="77777777" w:rsidR="00EB37F9" w:rsidRDefault="00EB37F9" w:rsidP="00EB37F9">
      <w:pPr>
        <w:rPr>
          <w:shd w:val="clear" w:color="auto" w:fill="FFFFFF"/>
        </w:rPr>
      </w:pPr>
      <w:r>
        <w:rPr>
          <w:shd w:val="clear" w:color="auto" w:fill="FFFFFF"/>
        </w:rPr>
        <w:t>Skladno z Zakonom o spodbujanju razvoja turizma (Zakon o spodbujanju…, 2018) je temeljni dokument načrtovanja razvoja turizma na državni ravni Strategija razvoja turizma Republike Slovenije. Aktualna strategija (Strategija trajnostne rasti slovenskega turizma 2017</w:t>
      </w:r>
      <w:bookmarkStart w:id="317" w:name="_Hlk46216540"/>
      <w:r w:rsidRPr="00B14994">
        <w:t>—</w:t>
      </w:r>
      <w:bookmarkEnd w:id="317"/>
      <w:r>
        <w:rPr>
          <w:shd w:val="clear" w:color="auto" w:fill="FFFFFF"/>
        </w:rPr>
        <w:t xml:space="preserve">2021, 2017) je za leto 2019 predvidela izdelavo analize vplivov podnebnih sprememb na razvoj slovenske turistične ponudbe, ki pa ni bila realizirana. </w:t>
      </w:r>
    </w:p>
    <w:p w14:paraId="4A93058D" w14:textId="77777777" w:rsidR="00EB37F9" w:rsidRDefault="00EB37F9" w:rsidP="00EB37F9">
      <w:pPr>
        <w:autoSpaceDE w:val="0"/>
        <w:autoSpaceDN w:val="0"/>
        <w:adjustRightInd w:val="0"/>
        <w:rPr>
          <w:shd w:val="clear" w:color="auto" w:fill="FFFFFF"/>
        </w:rPr>
      </w:pPr>
      <w:r>
        <w:rPr>
          <w:shd w:val="clear" w:color="auto" w:fill="FFFFFF"/>
        </w:rPr>
        <w:t>Mestna občina Nova Gorica je v svoji trajnostni urbani strategiji leta 2016 turizem prepoznala kot razvojno perspektivno dejavnost s potencialom diverzifikacije gospodarstva in krepitve malih in srednjih podjetij ter rasti d</w:t>
      </w:r>
      <w:r w:rsidRPr="00CB78EC">
        <w:rPr>
          <w:shd w:val="clear" w:color="auto" w:fill="FFFFFF"/>
        </w:rPr>
        <w:t>odane vrednost</w:t>
      </w:r>
      <w:r>
        <w:rPr>
          <w:shd w:val="clear" w:color="auto" w:fill="FFFFFF"/>
        </w:rPr>
        <w:t xml:space="preserve">i na </w:t>
      </w:r>
      <w:r w:rsidRPr="00CB78EC">
        <w:rPr>
          <w:shd w:val="clear" w:color="auto" w:fill="FFFFFF"/>
        </w:rPr>
        <w:t>zaposlenega</w:t>
      </w:r>
      <w:r>
        <w:rPr>
          <w:shd w:val="clear" w:color="auto" w:fill="FFFFFF"/>
        </w:rPr>
        <w:t xml:space="preserve">, vendar tudi s potrebo po </w:t>
      </w:r>
      <w:r w:rsidRPr="00CB78EC">
        <w:rPr>
          <w:shd w:val="clear" w:color="auto" w:fill="FFFFFF"/>
        </w:rPr>
        <w:t>diverzifikaciji turistične ponudbe</w:t>
      </w:r>
      <w:r>
        <w:rPr>
          <w:shd w:val="clear" w:color="auto" w:fill="FFFFFF"/>
        </w:rPr>
        <w:t>, ki bi</w:t>
      </w:r>
      <w:r w:rsidRPr="00CB78EC">
        <w:rPr>
          <w:shd w:val="clear" w:color="auto" w:fill="FFFFFF"/>
        </w:rPr>
        <w:t xml:space="preserve"> pritegni</w:t>
      </w:r>
      <w:r>
        <w:rPr>
          <w:shd w:val="clear" w:color="auto" w:fill="FFFFFF"/>
        </w:rPr>
        <w:t>la</w:t>
      </w:r>
      <w:r w:rsidRPr="00CB78EC">
        <w:rPr>
          <w:shd w:val="clear" w:color="auto" w:fill="FFFFFF"/>
        </w:rPr>
        <w:t xml:space="preserve"> drug</w:t>
      </w:r>
      <w:r>
        <w:rPr>
          <w:shd w:val="clear" w:color="auto" w:fill="FFFFFF"/>
        </w:rPr>
        <w:t>e</w:t>
      </w:r>
      <w:r w:rsidRPr="00CB78EC">
        <w:rPr>
          <w:shd w:val="clear" w:color="auto" w:fill="FFFFFF"/>
        </w:rPr>
        <w:t xml:space="preserve"> (</w:t>
      </w:r>
      <w:proofErr w:type="spellStart"/>
      <w:r w:rsidRPr="00CB78EC">
        <w:rPr>
          <w:shd w:val="clear" w:color="auto" w:fill="FFFFFF"/>
        </w:rPr>
        <w:t>neigralnišk</w:t>
      </w:r>
      <w:r>
        <w:rPr>
          <w:shd w:val="clear" w:color="auto" w:fill="FFFFFF"/>
        </w:rPr>
        <w:t>e</w:t>
      </w:r>
      <w:proofErr w:type="spellEnd"/>
      <w:r w:rsidRPr="00CB78EC">
        <w:rPr>
          <w:shd w:val="clear" w:color="auto" w:fill="FFFFFF"/>
        </w:rPr>
        <w:t>) ciljn</w:t>
      </w:r>
      <w:r>
        <w:rPr>
          <w:shd w:val="clear" w:color="auto" w:fill="FFFFFF"/>
        </w:rPr>
        <w:t>e</w:t>
      </w:r>
      <w:r w:rsidRPr="00CB78EC">
        <w:rPr>
          <w:shd w:val="clear" w:color="auto" w:fill="FFFFFF"/>
        </w:rPr>
        <w:t xml:space="preserve"> skupin</w:t>
      </w:r>
      <w:r>
        <w:rPr>
          <w:shd w:val="clear" w:color="auto" w:fill="FFFFFF"/>
        </w:rPr>
        <w:t>e</w:t>
      </w:r>
      <w:r w:rsidRPr="00CB78EC">
        <w:rPr>
          <w:shd w:val="clear" w:color="auto" w:fill="FFFFFF"/>
        </w:rPr>
        <w:t xml:space="preserve"> turistov in obiskovalcev</w:t>
      </w:r>
      <w:r>
        <w:rPr>
          <w:shd w:val="clear" w:color="auto" w:fill="FFFFFF"/>
        </w:rPr>
        <w:t xml:space="preserve">. To naj bi bilo doseženo z </w:t>
      </w:r>
      <w:r w:rsidRPr="00866381">
        <w:rPr>
          <w:shd w:val="clear" w:color="auto" w:fill="FFFFFF"/>
        </w:rPr>
        <w:t xml:space="preserve">nadgradnjo </w:t>
      </w:r>
      <w:r>
        <w:rPr>
          <w:shd w:val="clear" w:color="auto" w:fill="FFFFFF"/>
        </w:rPr>
        <w:t xml:space="preserve">kulturnega, </w:t>
      </w:r>
      <w:r w:rsidRPr="00866381">
        <w:rPr>
          <w:shd w:val="clear" w:color="auto" w:fill="FFFFFF"/>
        </w:rPr>
        <w:t>športnega, vinskega in kulinaričnega turizma ter razvojem turizma na podeželju.</w:t>
      </w:r>
      <w:r>
        <w:rPr>
          <w:rFonts w:ascii="MyriadPro-Regular" w:hAnsi="MyriadPro-Regular" w:cs="MyriadPro-Regular"/>
          <w:color w:val="000000"/>
        </w:rPr>
        <w:t xml:space="preserve"> </w:t>
      </w:r>
      <w:r w:rsidRPr="00CB78EC">
        <w:rPr>
          <w:shd w:val="clear" w:color="auto" w:fill="FFFFFF"/>
        </w:rPr>
        <w:t>(Trajnostna</w:t>
      </w:r>
      <w:r>
        <w:rPr>
          <w:shd w:val="clear" w:color="auto" w:fill="FFFFFF"/>
        </w:rPr>
        <w:t xml:space="preserve"> urbana strategija</w:t>
      </w:r>
      <w:r w:rsidRPr="00CB78EC">
        <w:rPr>
          <w:shd w:val="clear" w:color="auto" w:fill="FFFFFF"/>
        </w:rPr>
        <w:t>…, 2016)</w:t>
      </w:r>
      <w:r>
        <w:rPr>
          <w:shd w:val="clear" w:color="auto" w:fill="FFFFFF"/>
        </w:rPr>
        <w:t xml:space="preserve"> </w:t>
      </w:r>
      <w:r>
        <w:t xml:space="preserve">Vremenski pogoji oz. podnebje so eden od številnih dejavnikov, ki vplivajo na doseganje ciljev sektorja turizma v občini. </w:t>
      </w:r>
      <w:r w:rsidRPr="00CB78EC">
        <w:rPr>
          <w:shd w:val="clear" w:color="auto" w:fill="FFFFFF"/>
        </w:rPr>
        <w:t xml:space="preserve"> </w:t>
      </w:r>
    </w:p>
    <w:p w14:paraId="0548D9ED" w14:textId="77777777" w:rsidR="00EB37F9" w:rsidRDefault="00EB37F9" w:rsidP="00EB37F9">
      <w:pPr>
        <w:rPr>
          <w:shd w:val="clear" w:color="auto" w:fill="FFFFFF"/>
        </w:rPr>
      </w:pPr>
      <w:r>
        <w:rPr>
          <w:shd w:val="clear" w:color="auto" w:fill="FFFFFF"/>
        </w:rPr>
        <w:t xml:space="preserve">Ohranjena narava je za turizem v občini Nova Gorica pomemben razvojni vir, zato je za turistični sektor pomembna tudi naravovarstvena zakonodaja. </w:t>
      </w:r>
      <w:r w:rsidRPr="00A21677">
        <w:t>Na območju občine se nahaja 56 točk naravnih vrednot in 34 območij naravnih vrednot</w:t>
      </w:r>
      <w:r>
        <w:rPr>
          <w:rStyle w:val="Sprotnaopomba-sklic"/>
        </w:rPr>
        <w:footnoteReference w:id="4"/>
      </w:r>
      <w:r w:rsidRPr="00A21677">
        <w:t>, 11 ekološko pomembnih območij</w:t>
      </w:r>
      <w:r>
        <w:rPr>
          <w:rStyle w:val="Sprotnaopomba-sklic"/>
        </w:rPr>
        <w:footnoteReference w:id="5"/>
      </w:r>
      <w:r w:rsidRPr="00A21677">
        <w:t>, 10 varstvenih območij iz omrežja Natura 2000 ter 15 zavarovanih območij narave</w:t>
      </w:r>
      <w:r>
        <w:rPr>
          <w:rStyle w:val="Sprotnaopomba-sklic"/>
        </w:rPr>
        <w:footnoteReference w:id="6"/>
      </w:r>
      <w:r w:rsidRPr="00A21677">
        <w:t>. (</w:t>
      </w:r>
      <w:proofErr w:type="spellStart"/>
      <w:r w:rsidRPr="00A21677">
        <w:t>Okoljsko</w:t>
      </w:r>
      <w:proofErr w:type="spellEnd"/>
      <w:r w:rsidRPr="00A21677">
        <w:t xml:space="preserve"> poročilo…, 2010) </w:t>
      </w:r>
      <w:r w:rsidRPr="00A21677">
        <w:rPr>
          <w:shd w:val="clear" w:color="auto" w:fill="FFFFFF"/>
        </w:rPr>
        <w:t>Po podatkih Zavoda RS za varstvo narave je 53 %</w:t>
      </w:r>
      <w:r w:rsidRPr="00A21677">
        <w:t xml:space="preserve"> </w:t>
      </w:r>
      <w:r w:rsidRPr="00A21677">
        <w:rPr>
          <w:shd w:val="clear" w:color="auto" w:fill="FFFFFF"/>
        </w:rPr>
        <w:t xml:space="preserve">površine občine </w:t>
      </w:r>
      <w:r w:rsidRPr="00127BC7">
        <w:rPr>
          <w:shd w:val="clear" w:color="auto" w:fill="FFFFFF"/>
        </w:rPr>
        <w:t>vključene v omrežje Natura 2000 zaradi zaščite</w:t>
      </w:r>
      <w:r w:rsidRPr="00A32177">
        <w:rPr>
          <w:shd w:val="clear" w:color="auto" w:fill="FFFFFF"/>
        </w:rPr>
        <w:t xml:space="preserve"> naravnih habitatov ogroženih živalskih in rastlinskih vrst (Petkovšek, 2017)</w:t>
      </w:r>
      <w:r>
        <w:rPr>
          <w:shd w:val="clear" w:color="auto" w:fill="FFFFFF"/>
        </w:rPr>
        <w:t xml:space="preserve">. </w:t>
      </w:r>
      <w:r w:rsidRPr="00B73D25">
        <w:t xml:space="preserve">Večina varovanih območij v občini </w:t>
      </w:r>
      <w:r>
        <w:rPr>
          <w:shd w:val="clear" w:color="auto" w:fill="FFFFFF"/>
        </w:rPr>
        <w:t xml:space="preserve">Nova Gorica </w:t>
      </w:r>
      <w:r w:rsidRPr="00B73D25">
        <w:t>je vpetih v turistično ponudbo</w:t>
      </w:r>
      <w:r>
        <w:t>.</w:t>
      </w:r>
    </w:p>
    <w:p w14:paraId="7CBD8C6D" w14:textId="77777777" w:rsidR="00EB37F9" w:rsidRDefault="00EB37F9" w:rsidP="00EB37F9">
      <w:pPr>
        <w:keepNext/>
        <w:jc w:val="center"/>
      </w:pPr>
      <w:r w:rsidRPr="004C5C22">
        <w:rPr>
          <w:noProof/>
          <w:color w:val="4472C4" w:themeColor="accent1"/>
          <w:lang w:eastAsia="sl-SI"/>
        </w:rPr>
        <w:lastRenderedPageBreak/>
        <w:drawing>
          <wp:inline distT="0" distB="0" distL="0" distR="0" wp14:anchorId="198221B3" wp14:editId="6602F36A">
            <wp:extent cx="3831360" cy="2744470"/>
            <wp:effectExtent l="0" t="0" r="0" b="0"/>
            <wp:docPr id="1802182988"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840408" cy="2750951"/>
                    </a:xfrm>
                    <a:prstGeom prst="rect">
                      <a:avLst/>
                    </a:prstGeom>
                  </pic:spPr>
                </pic:pic>
              </a:graphicData>
            </a:graphic>
          </wp:inline>
        </w:drawing>
      </w:r>
    </w:p>
    <w:p w14:paraId="56DD1B8F" w14:textId="1083AA99" w:rsidR="00EB37F9" w:rsidRPr="002D03BC" w:rsidRDefault="00EB37F9" w:rsidP="00EB37F9">
      <w:pPr>
        <w:pStyle w:val="Napis"/>
        <w:rPr>
          <w:color w:val="4472C4" w:themeColor="accent1"/>
        </w:rPr>
      </w:pPr>
      <w:bookmarkStart w:id="318" w:name="_Toc97026874"/>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23</w:t>
      </w:r>
      <w:r w:rsidR="008334B2">
        <w:fldChar w:fldCharType="end"/>
      </w:r>
      <w:r w:rsidRPr="003A41FD">
        <w:t xml:space="preserve">: Območja Natura 2000 v Mestni občini Nova Gorica (vir slike: </w:t>
      </w:r>
      <w:proofErr w:type="spellStart"/>
      <w:r w:rsidRPr="003A41FD">
        <w:t>Okoljsko</w:t>
      </w:r>
      <w:proofErr w:type="spellEnd"/>
      <w:r w:rsidRPr="003A41FD">
        <w:t xml:space="preserve"> poročilo…, 2010)</w:t>
      </w:r>
      <w:bookmarkEnd w:id="318"/>
    </w:p>
    <w:p w14:paraId="7B771B35" w14:textId="77777777" w:rsidR="00EB37F9" w:rsidRDefault="00EB37F9" w:rsidP="00EB37F9">
      <w:r>
        <w:rPr>
          <w:shd w:val="clear" w:color="auto" w:fill="FFFFFF"/>
        </w:rPr>
        <w:t xml:space="preserve">Na območju občine se nahaja del krajinskega parka Južni obronki </w:t>
      </w:r>
      <w:r w:rsidRPr="001D3BD3">
        <w:rPr>
          <w:shd w:val="clear" w:color="auto" w:fill="FFFFFF"/>
        </w:rPr>
        <w:t>Trnovskega gozda (</w:t>
      </w:r>
      <w:r>
        <w:t>1041</w:t>
      </w:r>
      <w:r w:rsidRPr="001D3BD3">
        <w:t xml:space="preserve"> hektarjev</w:t>
      </w:r>
      <w:r>
        <w:rPr>
          <w:shd w:val="clear" w:color="auto" w:fill="FFFFFF"/>
        </w:rPr>
        <w:t xml:space="preserve"> oz. 3 % površine občine), ki je zavarovan od leta 1985. Z njim </w:t>
      </w:r>
      <w:r>
        <w:t xml:space="preserve">uradno upravljajo Zavod Republike Slovenije za varstvo narave in občini Nova Gorica in Ajdovščina, vendar pa za to območje ni določenega upravljavca. Krajinski park je </w:t>
      </w:r>
      <w:r w:rsidRPr="003C26D6">
        <w:t>pomembna botanična in zoološka lokaliteta, kjer prevladuje gozd, odvijajo pa se tudi različne športno - rekreativne dejavnosti (jadralno padalstvo, zmajarstvo, športno plezanje, gorsko kolesarjenje, pohodništvo…), ki obremenjujejo floro in favno in ogrožajo ugodno stanje ogroženih živalskih in rastlinskih vrst</w:t>
      </w:r>
      <w:r>
        <w:t xml:space="preserve">. (Mirt, 2016) </w:t>
      </w:r>
    </w:p>
    <w:p w14:paraId="235BAD6D" w14:textId="3EB1FC98" w:rsidR="00EB37F9" w:rsidRPr="00EB37F9" w:rsidRDefault="00EB37F9" w:rsidP="00EB37F9">
      <w:r w:rsidRPr="000C4C2E">
        <w:t>Mestna občina Nova Gorica v sodelovanju s sosednjimi občinami na tem območju načrtuje regijski krajinski park Trnovski gozd, vendar do njegove vzpostavitve še ni prišlo. (</w:t>
      </w:r>
      <w:proofErr w:type="spellStart"/>
      <w:r w:rsidRPr="000C4C2E">
        <w:t>Okoljsko</w:t>
      </w:r>
      <w:proofErr w:type="spellEnd"/>
      <w:r w:rsidRPr="000C4C2E">
        <w:t xml:space="preserve"> poročilo…, </w:t>
      </w:r>
      <w:r w:rsidRPr="00EB37F9">
        <w:t>2010)</w:t>
      </w:r>
      <w:r>
        <w:t>.</w:t>
      </w:r>
    </w:p>
    <w:p w14:paraId="0F18FB1A" w14:textId="77777777" w:rsidR="00EB37F9" w:rsidRPr="00FA4F7C" w:rsidRDefault="00EB37F9" w:rsidP="00EB37F9">
      <w:pPr>
        <w:rPr>
          <w:shd w:val="clear" w:color="auto" w:fill="FFFFFF"/>
        </w:rPr>
      </w:pPr>
      <w:r>
        <w:t xml:space="preserve">Mestna občina Nova Gorica je leta 2016 vstopila v </w:t>
      </w:r>
      <w:r w:rsidRPr="00002E94">
        <w:t>Zeleno shemo slovenskega turizma</w:t>
      </w:r>
      <w:r>
        <w:t xml:space="preserve"> (ZSST), pri ponovni presoji </w:t>
      </w:r>
      <w:r w:rsidRPr="00021ADF">
        <w:rPr>
          <w:shd w:val="clear" w:color="auto" w:fill="FFFFFF"/>
        </w:rPr>
        <w:t xml:space="preserve">o trajnostnem poslovanju po standardu </w:t>
      </w:r>
      <w:proofErr w:type="spellStart"/>
      <w:r w:rsidRPr="00021ADF">
        <w:rPr>
          <w:shd w:val="clear" w:color="auto" w:fill="FFFFFF"/>
        </w:rPr>
        <w:t>Slovenia</w:t>
      </w:r>
      <w:proofErr w:type="spellEnd"/>
      <w:r w:rsidRPr="00021ADF">
        <w:rPr>
          <w:shd w:val="clear" w:color="auto" w:fill="FFFFFF"/>
        </w:rPr>
        <w:t xml:space="preserve"> </w:t>
      </w:r>
      <w:proofErr w:type="spellStart"/>
      <w:r w:rsidRPr="00021ADF">
        <w:rPr>
          <w:shd w:val="clear" w:color="auto" w:fill="FFFFFF"/>
        </w:rPr>
        <w:t>Green</w:t>
      </w:r>
      <w:proofErr w:type="spellEnd"/>
      <w:r>
        <w:t xml:space="preserve"> je leta 2019 prejela zlati znak </w:t>
      </w:r>
      <w:proofErr w:type="spellStart"/>
      <w:r>
        <w:t>Slovenia</w:t>
      </w:r>
      <w:proofErr w:type="spellEnd"/>
      <w:r>
        <w:t xml:space="preserve"> </w:t>
      </w:r>
      <w:proofErr w:type="spellStart"/>
      <w:r>
        <w:t>Green</w:t>
      </w:r>
      <w:proofErr w:type="spellEnd"/>
      <w:r>
        <w:t xml:space="preserve"> </w:t>
      </w:r>
      <w:proofErr w:type="spellStart"/>
      <w:r>
        <w:t>Destination</w:t>
      </w:r>
      <w:proofErr w:type="spellEnd"/>
      <w:r>
        <w:t xml:space="preserve">. </w:t>
      </w:r>
      <w:r>
        <w:rPr>
          <w:shd w:val="clear" w:color="auto" w:fill="FFFFFF"/>
        </w:rPr>
        <w:t xml:space="preserve">Za pridobitev znaka je vzpostavila sistem </w:t>
      </w:r>
      <w:r w:rsidRPr="00FA4F7C">
        <w:rPr>
          <w:shd w:val="clear" w:color="auto" w:fill="FFFFFF"/>
        </w:rPr>
        <w:t xml:space="preserve">upravljanja z vplivi turizma na okolje, rednega poročanja in presojanja. </w:t>
      </w:r>
    </w:p>
    <w:p w14:paraId="3707A508" w14:textId="77777777" w:rsidR="00372680" w:rsidRDefault="00372680" w:rsidP="00BE4D70">
      <w:pPr>
        <w:rPr>
          <w:shd w:val="clear" w:color="auto" w:fill="FFFFFF"/>
        </w:rPr>
      </w:pPr>
    </w:p>
    <w:p w14:paraId="619C8EFB" w14:textId="77777777" w:rsidR="00BE4D70" w:rsidRDefault="00BE4D70" w:rsidP="002F0D6E">
      <w:pPr>
        <w:pStyle w:val="Naslov3"/>
        <w:rPr>
          <w:rFonts w:eastAsia="Calibri"/>
          <w:lang w:eastAsia="sl-SI"/>
        </w:rPr>
      </w:pPr>
      <w:bookmarkStart w:id="319" w:name="_Toc34130193"/>
      <w:bookmarkStart w:id="320" w:name="_Toc44656969"/>
      <w:bookmarkStart w:id="321" w:name="_Toc97026780"/>
      <w:r w:rsidRPr="001D38AC">
        <w:rPr>
          <w:rFonts w:eastAsia="Calibri"/>
          <w:lang w:eastAsia="sl-SI"/>
        </w:rPr>
        <w:t>Obstoječe stanje sektorja</w:t>
      </w:r>
      <w:bookmarkEnd w:id="319"/>
      <w:r>
        <w:rPr>
          <w:rFonts w:eastAsia="Calibri"/>
          <w:lang w:eastAsia="sl-SI"/>
        </w:rPr>
        <w:t xml:space="preserve"> turizem</w:t>
      </w:r>
      <w:bookmarkEnd w:id="320"/>
      <w:bookmarkEnd w:id="321"/>
    </w:p>
    <w:p w14:paraId="4D6767E2" w14:textId="77777777" w:rsidR="00EB37F9" w:rsidRDefault="00EB37F9" w:rsidP="00EB37F9">
      <w:pPr>
        <w:pStyle w:val="Naslov5"/>
        <w:rPr>
          <w:shd w:val="clear" w:color="auto" w:fill="FFFFFF"/>
        </w:rPr>
      </w:pPr>
      <w:r w:rsidRPr="00FA4F7C">
        <w:rPr>
          <w:shd w:val="clear" w:color="auto" w:fill="FFFFFF"/>
        </w:rPr>
        <w:t>Turistična ponudba</w:t>
      </w:r>
    </w:p>
    <w:p w14:paraId="13092FAE" w14:textId="77777777" w:rsidR="00EB37F9" w:rsidRPr="00D7499C" w:rsidRDefault="00EB37F9" w:rsidP="002805DC">
      <w:pPr>
        <w:autoSpaceDE w:val="0"/>
        <w:autoSpaceDN w:val="0"/>
        <w:adjustRightInd w:val="0"/>
        <w:rPr>
          <w:rFonts w:cs="Cambria"/>
        </w:rPr>
      </w:pPr>
      <w:r w:rsidRPr="00D7499C">
        <w:rPr>
          <w:rFonts w:cs="Cambria"/>
        </w:rPr>
        <w:t>Igralništvo je v Mestni občini Nova Gorica prevladujoč turistični proizvod in glavni motiv prihoda gostov v Novo Gorico. (Analiza stanja…, 2019)</w:t>
      </w:r>
    </w:p>
    <w:p w14:paraId="6276F33C" w14:textId="77777777" w:rsidR="00EB37F9" w:rsidRPr="00D7499C" w:rsidRDefault="00EB37F9" w:rsidP="002805DC">
      <w:pPr>
        <w:autoSpaceDE w:val="0"/>
        <w:autoSpaceDN w:val="0"/>
        <w:adjustRightInd w:val="0"/>
        <w:rPr>
          <w:rFonts w:cs="Cambria"/>
        </w:rPr>
      </w:pPr>
      <w:r w:rsidRPr="00DA6A90">
        <w:rPr>
          <w:rFonts w:cs="Cambria"/>
        </w:rPr>
        <w:t xml:space="preserve">Destinacija v zadnjih letih pospešeno razvija ponudbo butičnega turizma z vizijo: Turistična destinacija Nova Gorica in Vipavska dolina je butična, zelena, zdrava ter trajnostno naravnana turistična destinacija, z jasnim </w:t>
      </w:r>
      <w:proofErr w:type="spellStart"/>
      <w:r w:rsidRPr="00DA6A90">
        <w:rPr>
          <w:rFonts w:cs="Cambria"/>
        </w:rPr>
        <w:t>pozicioniranjem</w:t>
      </w:r>
      <w:proofErr w:type="spellEnd"/>
      <w:r w:rsidRPr="00DA6A90">
        <w:rPr>
          <w:rFonts w:cs="Cambria"/>
        </w:rPr>
        <w:t xml:space="preserve"> in celostnimi turističnimi produkti, ki privabljajo zahtevnejše goste, željne uživanja življenja in sprostitve skozi vse leto. Mednarodno prepoznavna destinacija je znana po sončnih vinorodnih gričih, izjemni vinski tradiciji, izvrstni kulinariki ter </w:t>
      </w:r>
      <w:r w:rsidRPr="00DA6A90">
        <w:rPr>
          <w:rFonts w:cs="Cambria"/>
        </w:rPr>
        <w:lastRenderedPageBreak/>
        <w:t>bogati naravni in kulturni dediščini. Na vseh teh področjih se pri oblikovanju turistične ponudbe povezuje s ponudniki čezmejnega prostora.«</w:t>
      </w:r>
      <w:r>
        <w:rPr>
          <w:rFonts w:cs="Cambria"/>
        </w:rPr>
        <w:t xml:space="preserve"> </w:t>
      </w:r>
      <w:r w:rsidRPr="00BF2FFD">
        <w:rPr>
          <w:rFonts w:cs="Cambria"/>
        </w:rPr>
        <w:t>(</w:t>
      </w:r>
      <w:r w:rsidRPr="00477236">
        <w:t>Program dela</w:t>
      </w:r>
      <w:r>
        <w:t>…, 2021)</w:t>
      </w:r>
    </w:p>
    <w:p w14:paraId="085E3A83" w14:textId="77777777" w:rsidR="00EB37F9" w:rsidRPr="00DA6A90" w:rsidRDefault="00EB37F9" w:rsidP="00EB37F9">
      <w:pPr>
        <w:spacing w:after="120" w:line="280" w:lineRule="exact"/>
        <w:rPr>
          <w:shd w:val="clear" w:color="auto" w:fill="FFFFFF"/>
        </w:rPr>
      </w:pPr>
      <w:r w:rsidRPr="00DA6A90">
        <w:rPr>
          <w:shd w:val="clear" w:color="auto" w:fill="FFFFFF"/>
        </w:rPr>
        <w:t xml:space="preserve">Kot podlaga za doseganje vizije so prepoznani štirje stebri razvoja turizma:  </w:t>
      </w:r>
    </w:p>
    <w:p w14:paraId="21F774C8" w14:textId="77777777" w:rsidR="00EB37F9" w:rsidRPr="00DA6A90" w:rsidRDefault="00EB37F9" w:rsidP="00900691">
      <w:pPr>
        <w:pStyle w:val="Default"/>
        <w:numPr>
          <w:ilvl w:val="0"/>
          <w:numId w:val="42"/>
        </w:numPr>
        <w:rPr>
          <w:rFonts w:ascii="Trebuchet MS" w:hAnsi="Trebuchet MS"/>
          <w:color w:val="auto"/>
          <w:sz w:val="22"/>
          <w:szCs w:val="22"/>
          <w:shd w:val="clear" w:color="auto" w:fill="FFFFFF"/>
        </w:rPr>
      </w:pPr>
      <w:r w:rsidRPr="00DA6A90">
        <w:rPr>
          <w:rFonts w:ascii="Trebuchet MS" w:hAnsi="Trebuchet MS"/>
          <w:color w:val="auto"/>
          <w:sz w:val="22"/>
          <w:szCs w:val="22"/>
          <w:shd w:val="clear" w:color="auto" w:fill="FFFFFF"/>
        </w:rPr>
        <w:t>AKTIVNO (športni turizem, rekreacija)</w:t>
      </w:r>
    </w:p>
    <w:p w14:paraId="2D47D12F" w14:textId="77777777" w:rsidR="00EB37F9" w:rsidRPr="00DA6A90" w:rsidRDefault="00EB37F9" w:rsidP="00900691">
      <w:pPr>
        <w:pStyle w:val="Odstavekseznama"/>
        <w:numPr>
          <w:ilvl w:val="0"/>
          <w:numId w:val="42"/>
        </w:numPr>
        <w:spacing w:after="160" w:line="280" w:lineRule="exact"/>
        <w:rPr>
          <w:rFonts w:ascii="Trebuchet MS" w:hAnsi="Trebuchet MS"/>
          <w:color w:val="auto"/>
          <w:szCs w:val="22"/>
          <w:shd w:val="clear" w:color="auto" w:fill="FFFFFF"/>
        </w:rPr>
      </w:pPr>
      <w:r w:rsidRPr="00DA6A90">
        <w:rPr>
          <w:rFonts w:ascii="Trebuchet MS" w:hAnsi="Trebuchet MS"/>
          <w:color w:val="auto"/>
          <w:szCs w:val="22"/>
          <w:shd w:val="clear" w:color="auto" w:fill="FFFFFF"/>
        </w:rPr>
        <w:t>OKUŠAJ (gastronomski turizem, ki sloni na lokalnih kmetijskih pridelkih in kulinariki)</w:t>
      </w:r>
    </w:p>
    <w:p w14:paraId="3730B837" w14:textId="77777777" w:rsidR="00EB37F9" w:rsidRPr="00DA6A90" w:rsidRDefault="00EB37F9" w:rsidP="00900691">
      <w:pPr>
        <w:pStyle w:val="Odstavekseznama"/>
        <w:numPr>
          <w:ilvl w:val="0"/>
          <w:numId w:val="42"/>
        </w:numPr>
        <w:spacing w:after="160" w:line="280" w:lineRule="exact"/>
        <w:rPr>
          <w:rFonts w:ascii="Trebuchet MS" w:hAnsi="Trebuchet MS"/>
          <w:color w:val="auto"/>
          <w:szCs w:val="22"/>
          <w:shd w:val="clear" w:color="auto" w:fill="FFFFFF"/>
        </w:rPr>
      </w:pPr>
      <w:r w:rsidRPr="00DA6A90">
        <w:rPr>
          <w:rFonts w:ascii="Trebuchet MS" w:hAnsi="Trebuchet MS"/>
          <w:color w:val="auto"/>
          <w:szCs w:val="22"/>
          <w:shd w:val="clear" w:color="auto" w:fill="FFFFFF"/>
        </w:rPr>
        <w:t xml:space="preserve">ODKRIVAJ (naravna in kulturna dediščina) </w:t>
      </w:r>
    </w:p>
    <w:p w14:paraId="6317DC09" w14:textId="77777777" w:rsidR="00EB37F9" w:rsidRPr="00DA6A90" w:rsidRDefault="00EB37F9" w:rsidP="00900691">
      <w:pPr>
        <w:pStyle w:val="Odstavekseznama"/>
        <w:numPr>
          <w:ilvl w:val="0"/>
          <w:numId w:val="42"/>
        </w:numPr>
        <w:spacing w:after="160" w:line="280" w:lineRule="exact"/>
        <w:rPr>
          <w:rFonts w:ascii="Trebuchet MS" w:hAnsi="Trebuchet MS"/>
          <w:color w:val="auto"/>
          <w:szCs w:val="22"/>
          <w:shd w:val="clear" w:color="auto" w:fill="FFFFFF"/>
        </w:rPr>
      </w:pPr>
      <w:r w:rsidRPr="00DA6A90">
        <w:rPr>
          <w:rFonts w:ascii="Trebuchet MS" w:hAnsi="Trebuchet MS"/>
          <w:color w:val="auto"/>
          <w:szCs w:val="22"/>
          <w:shd w:val="clear" w:color="auto" w:fill="FFFFFF"/>
        </w:rPr>
        <w:t>OSTANI (nastanitve, agencije).</w:t>
      </w:r>
    </w:p>
    <w:p w14:paraId="25613F1B" w14:textId="77777777" w:rsidR="00EB37F9" w:rsidRDefault="00EB37F9" w:rsidP="00EB37F9">
      <w:pPr>
        <w:rPr>
          <w:shd w:val="clear" w:color="auto" w:fill="FFFFFF"/>
        </w:rPr>
      </w:pPr>
      <w:r>
        <w:rPr>
          <w:shd w:val="clear" w:color="auto" w:fill="FFFFFF"/>
        </w:rPr>
        <w:t xml:space="preserve">Kot glavni potencial za razvoj produktov na področju aktivnega turizma so prepoznani: </w:t>
      </w:r>
      <w:r w:rsidRPr="00DA6A90">
        <w:rPr>
          <w:shd w:val="clear" w:color="auto" w:fill="FFFFFF"/>
        </w:rPr>
        <w:t>pohodništvo, kolesarjenje, padalstvo in letenje, plezanje, ribolov, jahanje, adrenalinska doživetja in vodni športi.</w:t>
      </w:r>
      <w:r>
        <w:rPr>
          <w:shd w:val="clear" w:color="auto" w:fill="FFFFFF"/>
        </w:rPr>
        <w:t xml:space="preserve"> </w:t>
      </w:r>
    </w:p>
    <w:p w14:paraId="1EBEAFA0" w14:textId="77777777" w:rsidR="00EB37F9" w:rsidRDefault="00EB37F9" w:rsidP="00EB37F9">
      <w:pPr>
        <w:rPr>
          <w:shd w:val="clear" w:color="auto" w:fill="FFFFFF"/>
        </w:rPr>
      </w:pPr>
      <w:r>
        <w:rPr>
          <w:shd w:val="clear" w:color="auto" w:fill="FFFFFF"/>
        </w:rPr>
        <w:t xml:space="preserve">V destinaciji so označene številne pohodniške poti in več kolesarskih poti. Reka Soča je pod jezom hidroelektrarne namenjena rekreacijskim dejavnostim kot je kajakaštvo na divjih vodah. </w:t>
      </w:r>
    </w:p>
    <w:p w14:paraId="65BE7DBA" w14:textId="77777777" w:rsidR="00EB37F9" w:rsidRDefault="00EB37F9" w:rsidP="00EB37F9">
      <w:pPr>
        <w:rPr>
          <w:shd w:val="clear" w:color="auto" w:fill="FFFFFF"/>
        </w:rPr>
      </w:pPr>
      <w:r>
        <w:rPr>
          <w:shd w:val="clear" w:color="auto" w:fill="FFFFFF"/>
        </w:rPr>
        <w:t xml:space="preserve">Kadar snežne razmere dopuščajo, v destinaciji še deluje manjše smučišče Lokve. Kopalno območje Soča pri Solkanu </w:t>
      </w:r>
      <w:r w:rsidRPr="00450984">
        <w:rPr>
          <w:shd w:val="clear" w:color="auto" w:fill="FFFFFF"/>
        </w:rPr>
        <w:t>je priljubljeno naravno kopališče med domačini.</w:t>
      </w:r>
    </w:p>
    <w:p w14:paraId="57EA331E" w14:textId="77777777" w:rsidR="00EB37F9" w:rsidRPr="00DA6A90" w:rsidRDefault="00EB37F9" w:rsidP="00EB37F9">
      <w:pPr>
        <w:rPr>
          <w:shd w:val="clear" w:color="auto" w:fill="FFFFFF"/>
        </w:rPr>
      </w:pPr>
      <w:r w:rsidRPr="00DA6A90">
        <w:rPr>
          <w:shd w:val="clear" w:color="auto" w:fill="FFFFFF"/>
        </w:rPr>
        <w:t xml:space="preserve">V destinaciji se vsako leto odvijajo tradicionalne prireditve, številne od njih potekajo na prostem. Takšne so npr. Festival vrtnic v Novi Gorici (maj), </w:t>
      </w:r>
      <w:proofErr w:type="spellStart"/>
      <w:r w:rsidRPr="00DA6A90">
        <w:rPr>
          <w:shd w:val="clear" w:color="auto" w:fill="FFFFFF"/>
        </w:rPr>
        <w:t>Furenga</w:t>
      </w:r>
      <w:proofErr w:type="spellEnd"/>
      <w:r w:rsidRPr="00DA6A90">
        <w:rPr>
          <w:shd w:val="clear" w:color="auto" w:fill="FFFFFF"/>
        </w:rPr>
        <w:t xml:space="preserve"> (april), Soška regata – spust po Soči s kanuji, kajaki in rafti od Solkanske elektrarne do Podgore v Italiji (september), praznik Mohorjevo v Šempasu (julij), Praznik polente v Ozeljanu (julij), Praznik breskev v Prvačini (julij), Praznik košnje na Banjšicah (julij), </w:t>
      </w:r>
      <w:proofErr w:type="spellStart"/>
      <w:r w:rsidRPr="00DA6A90">
        <w:rPr>
          <w:shd w:val="clear" w:color="auto" w:fill="FFFFFF"/>
        </w:rPr>
        <w:t>Bndimska</w:t>
      </w:r>
      <w:proofErr w:type="spellEnd"/>
      <w:r w:rsidRPr="00DA6A90">
        <w:rPr>
          <w:shd w:val="clear" w:color="auto" w:fill="FFFFFF"/>
        </w:rPr>
        <w:t xml:space="preserve"> </w:t>
      </w:r>
      <w:proofErr w:type="spellStart"/>
      <w:r w:rsidRPr="00DA6A90">
        <w:rPr>
          <w:shd w:val="clear" w:color="auto" w:fill="FFFFFF"/>
        </w:rPr>
        <w:t>kvatrnica</w:t>
      </w:r>
      <w:proofErr w:type="spellEnd"/>
      <w:r w:rsidRPr="00DA6A90">
        <w:rPr>
          <w:shd w:val="clear" w:color="auto" w:fill="FFFFFF"/>
        </w:rPr>
        <w:t xml:space="preserve"> v Braniku (avgust), Praznik kostanja v Vitovljah (oktober), dobrodelna kolesarska prireditev </w:t>
      </w:r>
      <w:proofErr w:type="spellStart"/>
      <w:r w:rsidRPr="00DA6A90">
        <w:rPr>
          <w:shd w:val="clear" w:color="auto" w:fill="FFFFFF"/>
        </w:rPr>
        <w:t>Goricatlon</w:t>
      </w:r>
      <w:proofErr w:type="spellEnd"/>
      <w:r w:rsidRPr="00DA6A90">
        <w:rPr>
          <w:shd w:val="clear" w:color="auto" w:fill="FFFFFF"/>
        </w:rPr>
        <w:t xml:space="preserve"> (december),  </w:t>
      </w:r>
      <w:proofErr w:type="spellStart"/>
      <w:r w:rsidRPr="00DA6A90">
        <w:rPr>
          <w:shd w:val="clear" w:color="auto" w:fill="FFFFFF"/>
        </w:rPr>
        <w:t>SaxGo</w:t>
      </w:r>
      <w:proofErr w:type="spellEnd"/>
      <w:r w:rsidRPr="00DA6A90">
        <w:rPr>
          <w:shd w:val="clear" w:color="auto" w:fill="FFFFFF"/>
        </w:rPr>
        <w:t xml:space="preserve"> festival v Novi Gorici (junij-julij), </w:t>
      </w:r>
      <w:proofErr w:type="spellStart"/>
      <w:r w:rsidRPr="00DA6A90">
        <w:rPr>
          <w:shd w:val="clear" w:color="auto" w:fill="FFFFFF"/>
        </w:rPr>
        <w:t>Pixxelpoint</w:t>
      </w:r>
      <w:proofErr w:type="spellEnd"/>
      <w:r w:rsidRPr="00DA6A90">
        <w:rPr>
          <w:shd w:val="clear" w:color="auto" w:fill="FFFFFF"/>
        </w:rPr>
        <w:t xml:space="preserve"> v Novi Gorici (december), mednarodna razstava jaslic na Sveti Gori (december) itd.</w:t>
      </w:r>
    </w:p>
    <w:p w14:paraId="4EB7EAFA" w14:textId="77777777" w:rsidR="00EB37F9" w:rsidRPr="00EA0506" w:rsidRDefault="00EB37F9" w:rsidP="00EB37F9">
      <w:pPr>
        <w:rPr>
          <w:shd w:val="clear" w:color="auto" w:fill="FFFFFF"/>
        </w:rPr>
      </w:pPr>
      <w:r>
        <w:rPr>
          <w:shd w:val="clear" w:color="auto" w:fill="FFFFFF"/>
        </w:rPr>
        <w:t xml:space="preserve">V destinaciji je v razvoju avtohtona gastronomska ponudba. </w:t>
      </w:r>
      <w:r w:rsidRPr="00DA6A90">
        <w:rPr>
          <w:shd w:val="clear" w:color="auto" w:fill="FFFFFF"/>
        </w:rPr>
        <w:t xml:space="preserve">Na območju občine deluje ponudnik z </w:t>
      </w:r>
      <w:proofErr w:type="spellStart"/>
      <w:r w:rsidRPr="00DA6A90">
        <w:rPr>
          <w:shd w:val="clear" w:color="auto" w:fill="FFFFFF"/>
        </w:rPr>
        <w:t>Michelinovo</w:t>
      </w:r>
      <w:proofErr w:type="spellEnd"/>
      <w:r w:rsidRPr="00DA6A90">
        <w:rPr>
          <w:shd w:val="clear" w:color="auto" w:fill="FFFFFF"/>
        </w:rPr>
        <w:t xml:space="preserve"> zvezdico in številni drugi priznani gostinci.</w:t>
      </w:r>
      <w:r>
        <w:rPr>
          <w:shd w:val="clear" w:color="auto" w:fill="FFFFFF"/>
        </w:rPr>
        <w:t xml:space="preserve"> Goriška </w:t>
      </w:r>
      <w:r w:rsidRPr="00EA0506">
        <w:rPr>
          <w:shd w:val="clear" w:color="auto" w:fill="FFFFFF"/>
        </w:rPr>
        <w:t xml:space="preserve">je predvsem dežela vinogradov in sadovnjakov. Na območju </w:t>
      </w:r>
      <w:r>
        <w:rPr>
          <w:shd w:val="clear" w:color="auto" w:fill="FFFFFF"/>
        </w:rPr>
        <w:t>destinacije</w:t>
      </w:r>
      <w:r w:rsidRPr="00EA0506">
        <w:rPr>
          <w:shd w:val="clear" w:color="auto" w:fill="FFFFFF"/>
        </w:rPr>
        <w:t xml:space="preserve"> je prisotnih </w:t>
      </w:r>
      <w:r>
        <w:rPr>
          <w:shd w:val="clear" w:color="auto" w:fill="FFFFFF"/>
        </w:rPr>
        <w:t>več</w:t>
      </w:r>
      <w:r w:rsidRPr="00EA0506">
        <w:rPr>
          <w:shd w:val="clear" w:color="auto" w:fill="FFFFFF"/>
        </w:rPr>
        <w:t xml:space="preserve"> </w:t>
      </w:r>
      <w:r>
        <w:rPr>
          <w:shd w:val="clear" w:color="auto" w:fill="FFFFFF"/>
        </w:rPr>
        <w:t xml:space="preserve">vrhunskih </w:t>
      </w:r>
      <w:r w:rsidRPr="00EA0506">
        <w:rPr>
          <w:shd w:val="clear" w:color="auto" w:fill="FFFFFF"/>
        </w:rPr>
        <w:t xml:space="preserve">vinarjev, ki ponujajo tudi stare in </w:t>
      </w:r>
      <w:r>
        <w:rPr>
          <w:shd w:val="clear" w:color="auto" w:fill="FFFFFF"/>
        </w:rPr>
        <w:t>avtohtone</w:t>
      </w:r>
      <w:r w:rsidRPr="00EA0506">
        <w:rPr>
          <w:shd w:val="clear" w:color="auto" w:fill="FFFFFF"/>
        </w:rPr>
        <w:t xml:space="preserve"> vinske sorte</w:t>
      </w:r>
      <w:r>
        <w:rPr>
          <w:shd w:val="clear" w:color="auto" w:fill="FFFFFF"/>
        </w:rPr>
        <w:t xml:space="preserve"> </w:t>
      </w:r>
      <w:r w:rsidRPr="008A3D2B">
        <w:rPr>
          <w:shd w:val="clear" w:color="auto" w:fill="FFFFFF"/>
        </w:rPr>
        <w:t xml:space="preserve">(npr. zelen, </w:t>
      </w:r>
      <w:proofErr w:type="spellStart"/>
      <w:r w:rsidRPr="008A3D2B">
        <w:rPr>
          <w:shd w:val="clear" w:color="auto" w:fill="FFFFFF"/>
        </w:rPr>
        <w:t>pinela</w:t>
      </w:r>
      <w:proofErr w:type="spellEnd"/>
      <w:r w:rsidRPr="008A3D2B">
        <w:rPr>
          <w:shd w:val="clear" w:color="auto" w:fill="FFFFFF"/>
        </w:rPr>
        <w:t xml:space="preserve"> in </w:t>
      </w:r>
      <w:proofErr w:type="spellStart"/>
      <w:r w:rsidRPr="008A3D2B">
        <w:rPr>
          <w:shd w:val="clear" w:color="auto" w:fill="FFFFFF"/>
        </w:rPr>
        <w:t>klarnica</w:t>
      </w:r>
      <w:proofErr w:type="spellEnd"/>
      <w:r w:rsidRPr="008A3D2B">
        <w:rPr>
          <w:shd w:val="clear" w:color="auto" w:fill="FFFFFF"/>
        </w:rPr>
        <w:t>)</w:t>
      </w:r>
      <w:r w:rsidRPr="00EA0506">
        <w:rPr>
          <w:shd w:val="clear" w:color="auto" w:fill="FFFFFF"/>
        </w:rPr>
        <w:t xml:space="preserve">. </w:t>
      </w:r>
      <w:r>
        <w:rPr>
          <w:shd w:val="clear" w:color="auto" w:fill="FFFFFF"/>
        </w:rPr>
        <w:t>Poleg vina so p</w:t>
      </w:r>
      <w:r w:rsidRPr="00EA0506">
        <w:rPr>
          <w:shd w:val="clear" w:color="auto" w:fill="FFFFFF"/>
        </w:rPr>
        <w:t>omemben del turistične ponudbe mesnine</w:t>
      </w:r>
      <w:r>
        <w:rPr>
          <w:shd w:val="clear" w:color="auto" w:fill="FFFFFF"/>
        </w:rPr>
        <w:t xml:space="preserve"> (pršut) in drugi kmetijski pridelki ter samonikle rastline</w:t>
      </w:r>
      <w:r w:rsidRPr="00EA0506">
        <w:rPr>
          <w:shd w:val="clear" w:color="auto" w:fill="FFFFFF"/>
        </w:rPr>
        <w:t xml:space="preserve">. </w:t>
      </w:r>
    </w:p>
    <w:p w14:paraId="00BE53F0" w14:textId="77777777" w:rsidR="00EB37F9" w:rsidRPr="00B73D25" w:rsidRDefault="00EB37F9" w:rsidP="00EB37F9">
      <w:pPr>
        <w:pStyle w:val="Naslov5"/>
        <w:rPr>
          <w:shd w:val="clear" w:color="auto" w:fill="FFFFFF"/>
        </w:rPr>
      </w:pPr>
      <w:r w:rsidRPr="00B73D25">
        <w:rPr>
          <w:shd w:val="clear" w:color="auto" w:fill="FFFFFF"/>
        </w:rPr>
        <w:t>Turistični obisk, namestitvene kapacitete</w:t>
      </w:r>
      <w:r>
        <w:rPr>
          <w:shd w:val="clear" w:color="auto" w:fill="FFFFFF"/>
        </w:rPr>
        <w:t>, delovna mesta</w:t>
      </w:r>
      <w:r w:rsidRPr="00B73D25">
        <w:rPr>
          <w:shd w:val="clear" w:color="auto" w:fill="FFFFFF"/>
        </w:rPr>
        <w:t xml:space="preserve"> </w:t>
      </w:r>
    </w:p>
    <w:p w14:paraId="20A6CCDF" w14:textId="77777777" w:rsidR="00EB37F9" w:rsidRDefault="00EB37F9" w:rsidP="00EB37F9">
      <w:pPr>
        <w:rPr>
          <w:shd w:val="clear" w:color="auto" w:fill="FFFFFF"/>
        </w:rPr>
      </w:pPr>
      <w:r>
        <w:rPr>
          <w:shd w:val="clear" w:color="auto" w:fill="FFFFFF"/>
        </w:rPr>
        <w:t>Število prihodov in prenočitev turistov v destinaciji Nova Gorica je v obdobju 2015―2019 naraščalo.</w:t>
      </w:r>
    </w:p>
    <w:p w14:paraId="077DF9BE" w14:textId="77777777" w:rsidR="00EB37F9" w:rsidRDefault="00EB37F9" w:rsidP="00EB37F9">
      <w:pPr>
        <w:keepNext/>
      </w:pPr>
      <w:r w:rsidRPr="00C4505A">
        <w:rPr>
          <w:noProof/>
          <w:shd w:val="clear" w:color="auto" w:fill="FFFFFF"/>
          <w:lang w:eastAsia="sl-SI"/>
        </w:rPr>
        <w:drawing>
          <wp:inline distT="0" distB="0" distL="0" distR="0" wp14:anchorId="734205E1" wp14:editId="1A411735">
            <wp:extent cx="2790825" cy="1656341"/>
            <wp:effectExtent l="0" t="0" r="0" b="127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835186" cy="1682669"/>
                    </a:xfrm>
                    <a:prstGeom prst="rect">
                      <a:avLst/>
                    </a:prstGeom>
                    <a:ln w="6350">
                      <a:noFill/>
                    </a:ln>
                  </pic:spPr>
                </pic:pic>
              </a:graphicData>
            </a:graphic>
          </wp:inline>
        </w:drawing>
      </w:r>
      <w:r>
        <w:rPr>
          <w:shd w:val="clear" w:color="auto" w:fill="FFFFFF"/>
        </w:rPr>
        <w:t xml:space="preserve">   </w:t>
      </w:r>
      <w:r w:rsidRPr="00C4505A">
        <w:rPr>
          <w:noProof/>
          <w:shd w:val="clear" w:color="auto" w:fill="FFFFFF"/>
          <w:lang w:eastAsia="sl-SI"/>
        </w:rPr>
        <w:drawing>
          <wp:inline distT="0" distB="0" distL="0" distR="0" wp14:anchorId="5E763E5A" wp14:editId="4E23FCBB">
            <wp:extent cx="2778400" cy="1654175"/>
            <wp:effectExtent l="0" t="0" r="3175" b="3175"/>
            <wp:docPr id="1802182990"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796781" cy="1665118"/>
                    </a:xfrm>
                    <a:prstGeom prst="rect">
                      <a:avLst/>
                    </a:prstGeom>
                    <a:ln w="6350">
                      <a:noFill/>
                    </a:ln>
                  </pic:spPr>
                </pic:pic>
              </a:graphicData>
            </a:graphic>
          </wp:inline>
        </w:drawing>
      </w:r>
    </w:p>
    <w:p w14:paraId="3A0E40B5" w14:textId="35C5E711" w:rsidR="00EB37F9" w:rsidRDefault="00EB37F9" w:rsidP="00EB37F9">
      <w:pPr>
        <w:pStyle w:val="Napis"/>
        <w:rPr>
          <w:shd w:val="clear" w:color="auto" w:fill="FFFFFF"/>
        </w:rPr>
      </w:pPr>
      <w:bookmarkStart w:id="322" w:name="_Toc97026875"/>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24</w:t>
      </w:r>
      <w:r w:rsidR="008334B2">
        <w:fldChar w:fldCharType="end"/>
      </w:r>
      <w:r w:rsidRPr="005746DB">
        <w:t>: Število prihodov turistov (levo) in prenočitve turistov (desno) v destinaciji Nova Gorica v obdobju 2015 - 2019 (vir podatkov: SURS)</w:t>
      </w:r>
      <w:bookmarkEnd w:id="322"/>
    </w:p>
    <w:p w14:paraId="4FD53FD9" w14:textId="77777777" w:rsidR="00EB37F9" w:rsidRDefault="00EB37F9" w:rsidP="00EB37F9">
      <w:pPr>
        <w:rPr>
          <w:rFonts w:ascii="OpenSansR" w:eastAsia="Times New Roman" w:hAnsi="OpenSansR" w:cs="SSFranklinGothic-BookOblique"/>
          <w:iCs/>
          <w:sz w:val="21"/>
          <w:szCs w:val="21"/>
          <w:shd w:val="clear" w:color="auto" w:fill="FFFFFF"/>
        </w:rPr>
      </w:pPr>
      <w:r>
        <w:rPr>
          <w:shd w:val="clear" w:color="auto" w:fill="FFFFFF"/>
        </w:rPr>
        <w:lastRenderedPageBreak/>
        <w:t>Za destinacijo je značilna precej enakomerna sezonska razporeditev turističnega obiska in nočitev, z vrhom poleti in najmanj turisti pozimi.</w:t>
      </w:r>
    </w:p>
    <w:p w14:paraId="42FF5321" w14:textId="1DD3B6D3" w:rsidR="00EB37F9" w:rsidRDefault="00EB37F9" w:rsidP="00EB37F9">
      <w:pPr>
        <w:pStyle w:val="Napis"/>
        <w:keepNext/>
      </w:pPr>
      <w:bookmarkStart w:id="323" w:name="_Toc97026978"/>
      <w:r>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25</w:t>
      </w:r>
      <w:r w:rsidR="00976D80">
        <w:fldChar w:fldCharType="end"/>
      </w:r>
      <w:r>
        <w:t xml:space="preserve">: </w:t>
      </w:r>
      <w:r w:rsidRPr="005279D7">
        <w:t xml:space="preserve">Razporeditev turističnih nočitev </w:t>
      </w:r>
      <w:r>
        <w:t xml:space="preserve">v občini Nova Gorica </w:t>
      </w:r>
      <w:r w:rsidRPr="005279D7">
        <w:t xml:space="preserve">po sezonah (vir podatkov: </w:t>
      </w:r>
      <w:r>
        <w:t>SURS</w:t>
      </w:r>
      <w:r w:rsidRPr="005279D7">
        <w:t>)</w:t>
      </w:r>
      <w:bookmarkEnd w:id="3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009"/>
        <w:gridCol w:w="1585"/>
        <w:gridCol w:w="1581"/>
        <w:gridCol w:w="1581"/>
        <w:gridCol w:w="1436"/>
        <w:gridCol w:w="1436"/>
      </w:tblGrid>
      <w:tr w:rsidR="00DB3725" w:rsidRPr="006F070B" w14:paraId="505B1608" w14:textId="471F82B9" w:rsidTr="00DB3725">
        <w:trPr>
          <w:trHeight w:val="344"/>
        </w:trPr>
        <w:tc>
          <w:tcPr>
            <w:tcW w:w="1043" w:type="pct"/>
            <w:vAlign w:val="bottom"/>
            <w:hideMark/>
          </w:tcPr>
          <w:p w14:paraId="5824F706" w14:textId="0BA2A597" w:rsidR="00DB3725" w:rsidRPr="001E0BFC" w:rsidRDefault="00DB3725" w:rsidP="00DB3725">
            <w:pPr>
              <w:spacing w:after="120" w:line="240" w:lineRule="auto"/>
              <w:jc w:val="left"/>
              <w:rPr>
                <w:rFonts w:cstheme="minorHAnsi"/>
                <w:iCs/>
                <w:color w:val="FFFFFF"/>
                <w:sz w:val="20"/>
                <w:szCs w:val="20"/>
                <w:lang w:eastAsia="sl-SI"/>
              </w:rPr>
            </w:pPr>
            <w:r>
              <w:rPr>
                <w:rFonts w:cstheme="minorHAnsi"/>
                <w:iCs/>
                <w:sz w:val="20"/>
                <w:szCs w:val="20"/>
                <w:lang w:eastAsia="sl-SI"/>
              </w:rPr>
              <w:t>P</w:t>
            </w:r>
            <w:r w:rsidRPr="00E56FD6">
              <w:rPr>
                <w:rFonts w:cstheme="minorHAnsi"/>
                <w:iCs/>
                <w:sz w:val="20"/>
                <w:szCs w:val="20"/>
                <w:lang w:eastAsia="sl-SI"/>
              </w:rPr>
              <w:t>re</w:t>
            </w:r>
            <w:r w:rsidRPr="001E0BFC">
              <w:rPr>
                <w:rFonts w:cstheme="minorHAnsi"/>
                <w:iCs/>
                <w:sz w:val="20"/>
                <w:szCs w:val="20"/>
                <w:lang w:eastAsia="sl-SI"/>
              </w:rPr>
              <w:t>nočitve po letnih časih</w:t>
            </w:r>
          </w:p>
        </w:tc>
        <w:tc>
          <w:tcPr>
            <w:tcW w:w="823" w:type="pct"/>
            <w:shd w:val="clear" w:color="auto" w:fill="E7E6E6" w:themeFill="background2"/>
            <w:noWrap/>
            <w:vAlign w:val="center"/>
            <w:hideMark/>
          </w:tcPr>
          <w:p w14:paraId="1D257973" w14:textId="284B024C" w:rsidR="00DB3725" w:rsidRPr="001E0BFC" w:rsidRDefault="00DB3725" w:rsidP="00DB3725">
            <w:pPr>
              <w:spacing w:after="120" w:line="240" w:lineRule="auto"/>
              <w:jc w:val="center"/>
              <w:rPr>
                <w:rFonts w:cstheme="minorHAnsi"/>
                <w:iCs/>
                <w:color w:val="000000"/>
                <w:sz w:val="20"/>
                <w:szCs w:val="20"/>
                <w:lang w:eastAsia="sl-SI"/>
              </w:rPr>
            </w:pPr>
            <w:r w:rsidRPr="001E0BFC">
              <w:rPr>
                <w:rFonts w:cstheme="minorHAnsi"/>
                <w:iCs/>
                <w:sz w:val="20"/>
                <w:szCs w:val="20"/>
                <w:lang w:eastAsia="sl-SI"/>
              </w:rPr>
              <w:t>zima</w:t>
            </w:r>
          </w:p>
        </w:tc>
        <w:tc>
          <w:tcPr>
            <w:tcW w:w="821" w:type="pct"/>
            <w:shd w:val="clear" w:color="auto" w:fill="C5E0B3" w:themeFill="accent6" w:themeFillTint="66"/>
            <w:noWrap/>
            <w:vAlign w:val="center"/>
            <w:hideMark/>
          </w:tcPr>
          <w:p w14:paraId="41B0E334" w14:textId="0A3C8C47" w:rsidR="00DB3725" w:rsidRPr="001E0BFC" w:rsidRDefault="00DB3725" w:rsidP="00DB3725">
            <w:pPr>
              <w:spacing w:after="120" w:line="240" w:lineRule="auto"/>
              <w:jc w:val="center"/>
              <w:rPr>
                <w:rFonts w:cstheme="minorHAnsi"/>
                <w:iCs/>
                <w:sz w:val="20"/>
                <w:szCs w:val="20"/>
                <w:lang w:eastAsia="sl-SI"/>
              </w:rPr>
            </w:pPr>
            <w:r w:rsidRPr="001E0BFC">
              <w:rPr>
                <w:rFonts w:cstheme="minorHAnsi"/>
                <w:iCs/>
                <w:sz w:val="20"/>
                <w:szCs w:val="20"/>
                <w:lang w:eastAsia="sl-SI"/>
              </w:rPr>
              <w:t>pomlad</w:t>
            </w:r>
          </w:p>
        </w:tc>
        <w:tc>
          <w:tcPr>
            <w:tcW w:w="821" w:type="pct"/>
            <w:shd w:val="clear" w:color="auto" w:fill="F4B083" w:themeFill="accent2" w:themeFillTint="99"/>
            <w:noWrap/>
            <w:vAlign w:val="center"/>
            <w:hideMark/>
          </w:tcPr>
          <w:p w14:paraId="3A092519" w14:textId="18E920AF" w:rsidR="00DB3725" w:rsidRPr="001E0BFC" w:rsidRDefault="00DB3725" w:rsidP="00DB3725">
            <w:pPr>
              <w:spacing w:after="120" w:line="240" w:lineRule="auto"/>
              <w:jc w:val="center"/>
              <w:rPr>
                <w:rFonts w:cstheme="minorHAnsi"/>
                <w:iCs/>
                <w:sz w:val="20"/>
                <w:szCs w:val="20"/>
                <w:lang w:eastAsia="sl-SI"/>
              </w:rPr>
            </w:pPr>
            <w:r w:rsidRPr="001E0BFC">
              <w:rPr>
                <w:rFonts w:cstheme="minorHAnsi"/>
                <w:iCs/>
                <w:sz w:val="20"/>
                <w:szCs w:val="20"/>
                <w:lang w:eastAsia="sl-SI"/>
              </w:rPr>
              <w:t>poletje</w:t>
            </w:r>
          </w:p>
        </w:tc>
        <w:tc>
          <w:tcPr>
            <w:tcW w:w="746" w:type="pct"/>
            <w:shd w:val="clear" w:color="auto" w:fill="BF8F00" w:themeFill="accent4" w:themeFillShade="BF"/>
            <w:noWrap/>
            <w:vAlign w:val="center"/>
            <w:hideMark/>
          </w:tcPr>
          <w:p w14:paraId="0BE0F671" w14:textId="4B641963" w:rsidR="00DB3725" w:rsidRPr="001E0BFC" w:rsidRDefault="00DB3725" w:rsidP="00DB3725">
            <w:pPr>
              <w:spacing w:after="120" w:line="240" w:lineRule="auto"/>
              <w:jc w:val="center"/>
              <w:rPr>
                <w:rFonts w:cstheme="minorHAnsi"/>
                <w:iCs/>
                <w:sz w:val="20"/>
                <w:szCs w:val="20"/>
                <w:lang w:eastAsia="sl-SI"/>
              </w:rPr>
            </w:pPr>
            <w:r w:rsidRPr="001E0BFC">
              <w:rPr>
                <w:rFonts w:cstheme="minorHAnsi"/>
                <w:iCs/>
                <w:sz w:val="20"/>
                <w:szCs w:val="20"/>
                <w:lang w:eastAsia="sl-SI"/>
              </w:rPr>
              <w:t>jesen</w:t>
            </w:r>
          </w:p>
        </w:tc>
        <w:tc>
          <w:tcPr>
            <w:tcW w:w="746" w:type="pct"/>
            <w:shd w:val="clear" w:color="auto" w:fill="DEEAF6" w:themeFill="accent5" w:themeFillTint="33"/>
            <w:vAlign w:val="center"/>
          </w:tcPr>
          <w:p w14:paraId="1EE6D25E" w14:textId="23623BC7" w:rsidR="00DB3725" w:rsidRPr="001E0BFC" w:rsidRDefault="00DB3725" w:rsidP="00DB3725">
            <w:pPr>
              <w:spacing w:after="120" w:line="240" w:lineRule="auto"/>
              <w:jc w:val="center"/>
              <w:rPr>
                <w:rFonts w:cstheme="minorHAnsi"/>
                <w:iCs/>
                <w:sz w:val="20"/>
                <w:szCs w:val="20"/>
                <w:lang w:eastAsia="sl-SI"/>
              </w:rPr>
            </w:pPr>
            <w:bookmarkStart w:id="324" w:name="_Hlk87965073"/>
            <w:r>
              <w:rPr>
                <w:rFonts w:cstheme="minorHAnsi"/>
                <w:iCs/>
                <w:sz w:val="20"/>
                <w:szCs w:val="20"/>
                <w:lang w:eastAsia="sl-SI"/>
              </w:rPr>
              <w:t>skupaj prenočitev v letu</w:t>
            </w:r>
            <w:bookmarkEnd w:id="324"/>
            <w:r w:rsidR="00612713">
              <w:rPr>
                <w:rFonts w:cstheme="minorHAnsi"/>
                <w:iCs/>
                <w:sz w:val="20"/>
                <w:szCs w:val="20"/>
                <w:lang w:eastAsia="sl-SI"/>
              </w:rPr>
              <w:t>*</w:t>
            </w:r>
          </w:p>
        </w:tc>
      </w:tr>
      <w:tr w:rsidR="00DB3725" w:rsidRPr="006F070B" w14:paraId="6EB3C740" w14:textId="18212DDA" w:rsidTr="00F70884">
        <w:trPr>
          <w:trHeight w:val="288"/>
        </w:trPr>
        <w:tc>
          <w:tcPr>
            <w:tcW w:w="1043" w:type="pct"/>
            <w:noWrap/>
            <w:vAlign w:val="center"/>
            <w:hideMark/>
          </w:tcPr>
          <w:p w14:paraId="51690799" w14:textId="3F773024" w:rsidR="00DB3725" w:rsidRPr="001E0BFC" w:rsidRDefault="00DB3725" w:rsidP="00DB3725">
            <w:pPr>
              <w:spacing w:after="120" w:line="240" w:lineRule="auto"/>
              <w:jc w:val="left"/>
              <w:rPr>
                <w:rFonts w:cstheme="minorHAnsi"/>
                <w:iCs/>
                <w:sz w:val="20"/>
                <w:szCs w:val="20"/>
                <w:lang w:eastAsia="sl-SI"/>
              </w:rPr>
            </w:pPr>
            <w:r w:rsidRPr="001E0BFC">
              <w:rPr>
                <w:rFonts w:cstheme="minorHAnsi"/>
                <w:iCs/>
                <w:sz w:val="20"/>
                <w:szCs w:val="20"/>
                <w:lang w:eastAsia="sl-SI"/>
              </w:rPr>
              <w:t>2017</w:t>
            </w:r>
          </w:p>
        </w:tc>
        <w:tc>
          <w:tcPr>
            <w:tcW w:w="823" w:type="pct"/>
            <w:shd w:val="clear" w:color="auto" w:fill="E7E6E6" w:themeFill="background2"/>
            <w:noWrap/>
            <w:vAlign w:val="center"/>
            <w:hideMark/>
          </w:tcPr>
          <w:p w14:paraId="474BB317" w14:textId="77777777" w:rsidR="00DB3725" w:rsidRDefault="00DB3725" w:rsidP="00F70884">
            <w:pPr>
              <w:spacing w:after="120" w:line="240" w:lineRule="auto"/>
              <w:jc w:val="center"/>
              <w:rPr>
                <w:rFonts w:cstheme="minorHAnsi"/>
                <w:iCs/>
                <w:sz w:val="20"/>
                <w:szCs w:val="20"/>
                <w:lang w:eastAsia="sl-SI"/>
              </w:rPr>
            </w:pPr>
            <w:r>
              <w:rPr>
                <w:rFonts w:cstheme="minorHAnsi"/>
                <w:iCs/>
                <w:sz w:val="20"/>
                <w:szCs w:val="20"/>
                <w:lang w:eastAsia="sl-SI"/>
              </w:rPr>
              <w:t>35.314</w:t>
            </w:r>
          </w:p>
          <w:p w14:paraId="7630A06E" w14:textId="3E224555" w:rsidR="00DB3725" w:rsidRPr="001E0BFC" w:rsidRDefault="00DB3725" w:rsidP="00F70884">
            <w:pPr>
              <w:spacing w:after="120" w:line="240" w:lineRule="auto"/>
              <w:jc w:val="center"/>
              <w:rPr>
                <w:rFonts w:cstheme="minorHAnsi"/>
                <w:iCs/>
                <w:sz w:val="20"/>
                <w:szCs w:val="20"/>
                <w:lang w:eastAsia="sl-SI"/>
              </w:rPr>
            </w:pPr>
            <w:r>
              <w:rPr>
                <w:rFonts w:cstheme="minorHAnsi"/>
                <w:iCs/>
                <w:sz w:val="20"/>
                <w:szCs w:val="20"/>
                <w:lang w:eastAsia="sl-SI"/>
              </w:rPr>
              <w:t>(20 %)</w:t>
            </w:r>
          </w:p>
        </w:tc>
        <w:tc>
          <w:tcPr>
            <w:tcW w:w="821" w:type="pct"/>
            <w:shd w:val="clear" w:color="auto" w:fill="C5E0B3" w:themeFill="accent6" w:themeFillTint="66"/>
            <w:noWrap/>
            <w:vAlign w:val="center"/>
            <w:hideMark/>
          </w:tcPr>
          <w:p w14:paraId="519F435C" w14:textId="77777777" w:rsidR="00DB3725" w:rsidRDefault="00DB3725" w:rsidP="00F70884">
            <w:pPr>
              <w:spacing w:after="120" w:line="240" w:lineRule="auto"/>
              <w:jc w:val="center"/>
              <w:rPr>
                <w:rFonts w:cstheme="minorHAnsi"/>
                <w:iCs/>
                <w:sz w:val="20"/>
                <w:szCs w:val="20"/>
                <w:lang w:eastAsia="sl-SI"/>
              </w:rPr>
            </w:pPr>
            <w:r>
              <w:rPr>
                <w:rFonts w:cstheme="minorHAnsi"/>
                <w:iCs/>
                <w:sz w:val="20"/>
                <w:szCs w:val="20"/>
                <w:lang w:eastAsia="sl-SI"/>
              </w:rPr>
              <w:t>40.101</w:t>
            </w:r>
          </w:p>
          <w:p w14:paraId="4B8FF180" w14:textId="65E7F610" w:rsidR="00DB3725" w:rsidRPr="001E0BFC" w:rsidRDefault="00DB3725" w:rsidP="00F70884">
            <w:pPr>
              <w:spacing w:after="120" w:line="240" w:lineRule="auto"/>
              <w:jc w:val="center"/>
              <w:rPr>
                <w:rFonts w:cstheme="minorHAnsi"/>
                <w:iCs/>
                <w:sz w:val="20"/>
                <w:szCs w:val="20"/>
                <w:lang w:eastAsia="sl-SI"/>
              </w:rPr>
            </w:pPr>
            <w:r>
              <w:rPr>
                <w:rFonts w:cstheme="minorHAnsi"/>
                <w:iCs/>
                <w:sz w:val="20"/>
                <w:szCs w:val="20"/>
                <w:lang w:eastAsia="sl-SI"/>
              </w:rPr>
              <w:t>(23 %)</w:t>
            </w:r>
          </w:p>
        </w:tc>
        <w:tc>
          <w:tcPr>
            <w:tcW w:w="821" w:type="pct"/>
            <w:shd w:val="clear" w:color="auto" w:fill="F4B083" w:themeFill="accent2" w:themeFillTint="99"/>
            <w:noWrap/>
            <w:vAlign w:val="center"/>
            <w:hideMark/>
          </w:tcPr>
          <w:p w14:paraId="0451589B" w14:textId="77777777" w:rsidR="00DB3725" w:rsidRDefault="00DB3725" w:rsidP="00F70884">
            <w:pPr>
              <w:spacing w:after="120" w:line="240" w:lineRule="auto"/>
              <w:jc w:val="center"/>
              <w:rPr>
                <w:rFonts w:cstheme="minorHAnsi"/>
                <w:iCs/>
                <w:sz w:val="20"/>
                <w:szCs w:val="20"/>
                <w:lang w:eastAsia="sl-SI"/>
              </w:rPr>
            </w:pPr>
            <w:r>
              <w:rPr>
                <w:rFonts w:cstheme="minorHAnsi"/>
                <w:iCs/>
                <w:sz w:val="20"/>
                <w:szCs w:val="20"/>
                <w:lang w:eastAsia="sl-SI"/>
              </w:rPr>
              <w:t>54.906</w:t>
            </w:r>
          </w:p>
          <w:p w14:paraId="2D96A9C7" w14:textId="3FC0EB8E" w:rsidR="00DB3725" w:rsidRPr="001E0BFC" w:rsidRDefault="00DB3725" w:rsidP="00F70884">
            <w:pPr>
              <w:spacing w:after="120" w:line="240" w:lineRule="auto"/>
              <w:jc w:val="center"/>
              <w:rPr>
                <w:rFonts w:cstheme="minorHAnsi"/>
                <w:iCs/>
                <w:sz w:val="20"/>
                <w:szCs w:val="20"/>
                <w:lang w:eastAsia="sl-SI"/>
              </w:rPr>
            </w:pPr>
            <w:r>
              <w:rPr>
                <w:rFonts w:cstheme="minorHAnsi"/>
                <w:iCs/>
                <w:sz w:val="20"/>
                <w:szCs w:val="20"/>
                <w:lang w:eastAsia="sl-SI"/>
              </w:rPr>
              <w:t>(31 %)</w:t>
            </w:r>
          </w:p>
        </w:tc>
        <w:tc>
          <w:tcPr>
            <w:tcW w:w="746" w:type="pct"/>
            <w:shd w:val="clear" w:color="auto" w:fill="BF8F00" w:themeFill="accent4" w:themeFillShade="BF"/>
            <w:noWrap/>
            <w:vAlign w:val="center"/>
            <w:hideMark/>
          </w:tcPr>
          <w:p w14:paraId="57133645" w14:textId="77777777" w:rsidR="00DB3725" w:rsidRDefault="00DB3725" w:rsidP="00F70884">
            <w:pPr>
              <w:spacing w:after="120" w:line="240" w:lineRule="auto"/>
              <w:jc w:val="center"/>
              <w:rPr>
                <w:rFonts w:cstheme="minorHAnsi"/>
                <w:iCs/>
                <w:sz w:val="20"/>
                <w:szCs w:val="20"/>
                <w:lang w:eastAsia="sl-SI"/>
              </w:rPr>
            </w:pPr>
            <w:r>
              <w:rPr>
                <w:rFonts w:cstheme="minorHAnsi"/>
                <w:iCs/>
                <w:sz w:val="20"/>
                <w:szCs w:val="20"/>
                <w:lang w:eastAsia="sl-SI"/>
              </w:rPr>
              <w:t>44.169</w:t>
            </w:r>
          </w:p>
          <w:p w14:paraId="6B5D207A" w14:textId="1715E024" w:rsidR="00DB3725" w:rsidRPr="001E0BFC" w:rsidRDefault="00DB3725" w:rsidP="00F70884">
            <w:pPr>
              <w:spacing w:after="120" w:line="240" w:lineRule="auto"/>
              <w:jc w:val="center"/>
              <w:rPr>
                <w:rFonts w:cstheme="minorHAnsi"/>
                <w:iCs/>
                <w:sz w:val="20"/>
                <w:szCs w:val="20"/>
                <w:lang w:eastAsia="sl-SI"/>
              </w:rPr>
            </w:pPr>
            <w:r>
              <w:rPr>
                <w:rFonts w:cstheme="minorHAnsi"/>
                <w:iCs/>
                <w:sz w:val="20"/>
                <w:szCs w:val="20"/>
                <w:lang w:eastAsia="sl-SI"/>
              </w:rPr>
              <w:t>(25 %)</w:t>
            </w:r>
          </w:p>
        </w:tc>
        <w:tc>
          <w:tcPr>
            <w:tcW w:w="746" w:type="pct"/>
            <w:shd w:val="clear" w:color="auto" w:fill="DEEAF6" w:themeFill="accent5" w:themeFillTint="33"/>
            <w:vAlign w:val="center"/>
          </w:tcPr>
          <w:p w14:paraId="4BE8C588" w14:textId="0A106BE3" w:rsidR="00DB3725" w:rsidRDefault="00DB3725" w:rsidP="00F70884">
            <w:pPr>
              <w:spacing w:after="120" w:line="240" w:lineRule="auto"/>
              <w:jc w:val="center"/>
              <w:rPr>
                <w:rFonts w:cstheme="minorHAnsi"/>
                <w:iCs/>
                <w:sz w:val="20"/>
                <w:szCs w:val="20"/>
                <w:lang w:eastAsia="sl-SI"/>
              </w:rPr>
            </w:pPr>
            <w:r>
              <w:rPr>
                <w:rFonts w:cstheme="minorHAnsi"/>
                <w:iCs/>
                <w:sz w:val="20"/>
                <w:szCs w:val="20"/>
                <w:lang w:eastAsia="sl-SI"/>
              </w:rPr>
              <w:t>176.902</w:t>
            </w:r>
          </w:p>
        </w:tc>
      </w:tr>
      <w:tr w:rsidR="00DB3725" w:rsidRPr="006F070B" w14:paraId="37D65EEB" w14:textId="3BEEDB3B" w:rsidTr="00F70884">
        <w:trPr>
          <w:trHeight w:val="288"/>
        </w:trPr>
        <w:tc>
          <w:tcPr>
            <w:tcW w:w="1043" w:type="pct"/>
            <w:noWrap/>
            <w:vAlign w:val="center"/>
          </w:tcPr>
          <w:p w14:paraId="01EFE7DA" w14:textId="44E310F9" w:rsidR="00DB3725" w:rsidRPr="001E0BFC" w:rsidRDefault="00DB3725" w:rsidP="00DB3725">
            <w:pPr>
              <w:spacing w:after="120" w:line="240" w:lineRule="auto"/>
              <w:jc w:val="left"/>
              <w:rPr>
                <w:rFonts w:cstheme="minorHAnsi"/>
                <w:iCs/>
                <w:sz w:val="20"/>
                <w:szCs w:val="20"/>
                <w:lang w:eastAsia="sl-SI"/>
              </w:rPr>
            </w:pPr>
            <w:r w:rsidRPr="001E0BFC">
              <w:rPr>
                <w:rFonts w:cstheme="minorHAnsi"/>
                <w:iCs/>
                <w:sz w:val="20"/>
                <w:szCs w:val="20"/>
                <w:lang w:eastAsia="sl-SI"/>
              </w:rPr>
              <w:t>2018</w:t>
            </w:r>
          </w:p>
        </w:tc>
        <w:tc>
          <w:tcPr>
            <w:tcW w:w="823" w:type="pct"/>
            <w:shd w:val="clear" w:color="auto" w:fill="E7E6E6" w:themeFill="background2"/>
            <w:noWrap/>
            <w:vAlign w:val="center"/>
          </w:tcPr>
          <w:p w14:paraId="183D606E" w14:textId="77777777" w:rsidR="00DB3725" w:rsidRPr="001E0BFC" w:rsidRDefault="00DB3725" w:rsidP="00F70884">
            <w:pPr>
              <w:spacing w:after="120" w:line="240" w:lineRule="auto"/>
              <w:jc w:val="center"/>
              <w:rPr>
                <w:rFonts w:cstheme="minorHAnsi"/>
                <w:iCs/>
                <w:sz w:val="20"/>
                <w:szCs w:val="20"/>
                <w:lang w:eastAsia="sl-SI"/>
              </w:rPr>
            </w:pPr>
            <w:r>
              <w:rPr>
                <w:rFonts w:cstheme="minorHAnsi"/>
                <w:iCs/>
                <w:sz w:val="20"/>
                <w:szCs w:val="20"/>
                <w:lang w:eastAsia="sl-SI"/>
              </w:rPr>
              <w:t>39.806</w:t>
            </w:r>
          </w:p>
          <w:p w14:paraId="31B9A5F4" w14:textId="05A91AC1" w:rsidR="00DB3725" w:rsidRPr="001E0BFC" w:rsidRDefault="00DB3725" w:rsidP="00F70884">
            <w:pPr>
              <w:spacing w:after="120" w:line="240" w:lineRule="auto"/>
              <w:jc w:val="center"/>
              <w:rPr>
                <w:rFonts w:cstheme="minorHAnsi"/>
                <w:iCs/>
                <w:sz w:val="20"/>
                <w:szCs w:val="20"/>
                <w:lang w:eastAsia="sl-SI"/>
              </w:rPr>
            </w:pPr>
            <w:r w:rsidRPr="001E0BFC">
              <w:rPr>
                <w:rFonts w:cstheme="minorHAnsi"/>
                <w:iCs/>
                <w:sz w:val="20"/>
                <w:szCs w:val="20"/>
                <w:lang w:eastAsia="sl-SI"/>
              </w:rPr>
              <w:t>(1</w:t>
            </w:r>
            <w:r>
              <w:rPr>
                <w:rFonts w:cstheme="minorHAnsi"/>
                <w:iCs/>
                <w:sz w:val="20"/>
                <w:szCs w:val="20"/>
                <w:lang w:eastAsia="sl-SI"/>
              </w:rPr>
              <w:t>9</w:t>
            </w:r>
            <w:r w:rsidRPr="001E0BFC">
              <w:rPr>
                <w:rFonts w:cstheme="minorHAnsi"/>
                <w:iCs/>
                <w:sz w:val="20"/>
                <w:szCs w:val="20"/>
                <w:lang w:eastAsia="sl-SI"/>
              </w:rPr>
              <w:t xml:space="preserve"> %)</w:t>
            </w:r>
          </w:p>
        </w:tc>
        <w:tc>
          <w:tcPr>
            <w:tcW w:w="821" w:type="pct"/>
            <w:shd w:val="clear" w:color="auto" w:fill="C5E0B3" w:themeFill="accent6" w:themeFillTint="66"/>
            <w:noWrap/>
            <w:vAlign w:val="center"/>
          </w:tcPr>
          <w:p w14:paraId="580FD14D" w14:textId="77777777" w:rsidR="00DB3725" w:rsidRPr="001E0BFC" w:rsidRDefault="00DB3725" w:rsidP="00F70884">
            <w:pPr>
              <w:spacing w:after="120" w:line="240" w:lineRule="auto"/>
              <w:jc w:val="center"/>
              <w:rPr>
                <w:rFonts w:cstheme="minorHAnsi"/>
                <w:iCs/>
                <w:sz w:val="20"/>
                <w:szCs w:val="20"/>
                <w:lang w:eastAsia="sl-SI"/>
              </w:rPr>
            </w:pPr>
            <w:r>
              <w:rPr>
                <w:rFonts w:cstheme="minorHAnsi"/>
                <w:iCs/>
                <w:sz w:val="20"/>
                <w:szCs w:val="20"/>
                <w:lang w:eastAsia="sl-SI"/>
              </w:rPr>
              <w:t>52.472</w:t>
            </w:r>
          </w:p>
          <w:p w14:paraId="05C71658" w14:textId="71DD5767" w:rsidR="00DB3725" w:rsidRPr="001E0BFC" w:rsidRDefault="00DB3725" w:rsidP="00F70884">
            <w:pPr>
              <w:spacing w:after="120" w:line="240" w:lineRule="auto"/>
              <w:jc w:val="center"/>
              <w:rPr>
                <w:rFonts w:cstheme="minorHAnsi"/>
                <w:iCs/>
                <w:sz w:val="20"/>
                <w:szCs w:val="20"/>
                <w:lang w:eastAsia="sl-SI"/>
              </w:rPr>
            </w:pPr>
            <w:r w:rsidRPr="001E0BFC">
              <w:rPr>
                <w:rFonts w:cstheme="minorHAnsi"/>
                <w:iCs/>
                <w:sz w:val="20"/>
                <w:szCs w:val="20"/>
                <w:lang w:eastAsia="sl-SI"/>
              </w:rPr>
              <w:t>(25 %)</w:t>
            </w:r>
          </w:p>
        </w:tc>
        <w:tc>
          <w:tcPr>
            <w:tcW w:w="821" w:type="pct"/>
            <w:shd w:val="clear" w:color="auto" w:fill="F4B083" w:themeFill="accent2" w:themeFillTint="99"/>
            <w:noWrap/>
            <w:vAlign w:val="center"/>
          </w:tcPr>
          <w:p w14:paraId="64A6F6B6" w14:textId="77777777" w:rsidR="00DB3725" w:rsidRPr="001E0BFC" w:rsidRDefault="00DB3725" w:rsidP="00F70884">
            <w:pPr>
              <w:spacing w:after="120" w:line="240" w:lineRule="auto"/>
              <w:jc w:val="center"/>
              <w:rPr>
                <w:rFonts w:cstheme="minorHAnsi"/>
                <w:iCs/>
                <w:sz w:val="20"/>
                <w:szCs w:val="20"/>
                <w:lang w:eastAsia="sl-SI"/>
              </w:rPr>
            </w:pPr>
            <w:r>
              <w:rPr>
                <w:rFonts w:cstheme="minorHAnsi"/>
                <w:iCs/>
                <w:sz w:val="20"/>
                <w:szCs w:val="20"/>
                <w:lang w:eastAsia="sl-SI"/>
              </w:rPr>
              <w:t>68.498</w:t>
            </w:r>
          </w:p>
          <w:p w14:paraId="388F320E" w14:textId="7453A13F" w:rsidR="00DB3725" w:rsidRPr="001E0BFC" w:rsidRDefault="00DB3725" w:rsidP="00F70884">
            <w:pPr>
              <w:spacing w:after="120" w:line="240" w:lineRule="auto"/>
              <w:jc w:val="center"/>
              <w:rPr>
                <w:rFonts w:cstheme="minorHAnsi"/>
                <w:iCs/>
                <w:sz w:val="20"/>
                <w:szCs w:val="20"/>
                <w:lang w:eastAsia="sl-SI"/>
              </w:rPr>
            </w:pPr>
            <w:r w:rsidRPr="001E0BFC">
              <w:rPr>
                <w:rFonts w:cstheme="minorHAnsi"/>
                <w:iCs/>
                <w:sz w:val="20"/>
                <w:szCs w:val="20"/>
                <w:lang w:eastAsia="sl-SI"/>
              </w:rPr>
              <w:t>(3</w:t>
            </w:r>
            <w:r>
              <w:rPr>
                <w:rFonts w:cstheme="minorHAnsi"/>
                <w:iCs/>
                <w:sz w:val="20"/>
                <w:szCs w:val="20"/>
                <w:lang w:eastAsia="sl-SI"/>
              </w:rPr>
              <w:t>2</w:t>
            </w:r>
            <w:r w:rsidRPr="001E0BFC">
              <w:rPr>
                <w:rFonts w:cstheme="minorHAnsi"/>
                <w:iCs/>
                <w:sz w:val="20"/>
                <w:szCs w:val="20"/>
                <w:lang w:eastAsia="sl-SI"/>
              </w:rPr>
              <w:t xml:space="preserve"> %)</w:t>
            </w:r>
          </w:p>
        </w:tc>
        <w:tc>
          <w:tcPr>
            <w:tcW w:w="746" w:type="pct"/>
            <w:shd w:val="clear" w:color="auto" w:fill="BF8F00" w:themeFill="accent4" w:themeFillShade="BF"/>
            <w:noWrap/>
            <w:vAlign w:val="center"/>
          </w:tcPr>
          <w:p w14:paraId="75B825D0" w14:textId="77777777" w:rsidR="00DB3725" w:rsidRPr="001E0BFC" w:rsidRDefault="00DB3725" w:rsidP="00F70884">
            <w:pPr>
              <w:spacing w:after="120" w:line="240" w:lineRule="auto"/>
              <w:jc w:val="center"/>
              <w:rPr>
                <w:rFonts w:cstheme="minorHAnsi"/>
                <w:iCs/>
                <w:sz w:val="20"/>
                <w:szCs w:val="20"/>
                <w:lang w:eastAsia="sl-SI"/>
              </w:rPr>
            </w:pPr>
            <w:r>
              <w:rPr>
                <w:rFonts w:cstheme="minorHAnsi"/>
                <w:iCs/>
                <w:sz w:val="20"/>
                <w:szCs w:val="20"/>
                <w:lang w:eastAsia="sl-SI"/>
              </w:rPr>
              <w:t>52.992</w:t>
            </w:r>
          </w:p>
          <w:p w14:paraId="1386DCEE" w14:textId="348F88C3" w:rsidR="00DB3725" w:rsidRPr="001E0BFC" w:rsidRDefault="00DB3725" w:rsidP="00F70884">
            <w:pPr>
              <w:spacing w:after="120" w:line="240" w:lineRule="auto"/>
              <w:jc w:val="center"/>
              <w:rPr>
                <w:rFonts w:cstheme="minorHAnsi"/>
                <w:iCs/>
                <w:sz w:val="20"/>
                <w:szCs w:val="20"/>
                <w:lang w:eastAsia="sl-SI"/>
              </w:rPr>
            </w:pPr>
            <w:r w:rsidRPr="001E0BFC">
              <w:rPr>
                <w:rFonts w:cstheme="minorHAnsi"/>
                <w:iCs/>
                <w:sz w:val="20"/>
                <w:szCs w:val="20"/>
                <w:lang w:eastAsia="sl-SI"/>
              </w:rPr>
              <w:t>(2</w:t>
            </w:r>
            <w:r>
              <w:rPr>
                <w:rFonts w:cstheme="minorHAnsi"/>
                <w:iCs/>
                <w:sz w:val="20"/>
                <w:szCs w:val="20"/>
                <w:lang w:eastAsia="sl-SI"/>
              </w:rPr>
              <w:t>5</w:t>
            </w:r>
            <w:r w:rsidRPr="001E0BFC">
              <w:rPr>
                <w:rFonts w:cstheme="minorHAnsi"/>
                <w:iCs/>
                <w:sz w:val="20"/>
                <w:szCs w:val="20"/>
                <w:lang w:eastAsia="sl-SI"/>
              </w:rPr>
              <w:t xml:space="preserve"> %)</w:t>
            </w:r>
          </w:p>
        </w:tc>
        <w:tc>
          <w:tcPr>
            <w:tcW w:w="746" w:type="pct"/>
            <w:shd w:val="clear" w:color="auto" w:fill="DEEAF6" w:themeFill="accent5" w:themeFillTint="33"/>
            <w:vAlign w:val="center"/>
          </w:tcPr>
          <w:p w14:paraId="555D44B1" w14:textId="681EE5F5" w:rsidR="00DB3725" w:rsidRDefault="00DB3725" w:rsidP="00F70884">
            <w:pPr>
              <w:spacing w:after="120" w:line="240" w:lineRule="auto"/>
              <w:jc w:val="center"/>
              <w:rPr>
                <w:rFonts w:cstheme="minorHAnsi"/>
                <w:iCs/>
                <w:sz w:val="20"/>
                <w:szCs w:val="20"/>
                <w:lang w:eastAsia="sl-SI"/>
              </w:rPr>
            </w:pPr>
            <w:r>
              <w:rPr>
                <w:rFonts w:cstheme="minorHAnsi"/>
                <w:iCs/>
                <w:sz w:val="20"/>
                <w:szCs w:val="20"/>
                <w:lang w:eastAsia="sl-SI"/>
              </w:rPr>
              <w:t>214.181</w:t>
            </w:r>
          </w:p>
        </w:tc>
      </w:tr>
      <w:tr w:rsidR="00DB3725" w:rsidRPr="006F070B" w14:paraId="025FC7FF" w14:textId="76212778" w:rsidTr="00F70884">
        <w:trPr>
          <w:trHeight w:val="288"/>
        </w:trPr>
        <w:tc>
          <w:tcPr>
            <w:tcW w:w="1043" w:type="pct"/>
            <w:noWrap/>
            <w:vAlign w:val="center"/>
          </w:tcPr>
          <w:p w14:paraId="360429A6" w14:textId="426592A8" w:rsidR="00DB3725" w:rsidRPr="001E0BFC" w:rsidRDefault="00DB3725" w:rsidP="00DB3725">
            <w:pPr>
              <w:spacing w:after="120" w:line="240" w:lineRule="auto"/>
              <w:jc w:val="left"/>
              <w:rPr>
                <w:rFonts w:cstheme="minorHAnsi"/>
                <w:iCs/>
                <w:sz w:val="20"/>
                <w:szCs w:val="20"/>
                <w:lang w:eastAsia="sl-SI"/>
              </w:rPr>
            </w:pPr>
            <w:r w:rsidRPr="001E0BFC">
              <w:rPr>
                <w:rFonts w:cstheme="minorHAnsi"/>
                <w:iCs/>
                <w:sz w:val="20"/>
                <w:szCs w:val="20"/>
                <w:lang w:eastAsia="sl-SI"/>
              </w:rPr>
              <w:t>2019</w:t>
            </w:r>
          </w:p>
        </w:tc>
        <w:tc>
          <w:tcPr>
            <w:tcW w:w="823" w:type="pct"/>
            <w:shd w:val="clear" w:color="auto" w:fill="E7E6E6" w:themeFill="background2"/>
            <w:noWrap/>
            <w:vAlign w:val="center"/>
          </w:tcPr>
          <w:p w14:paraId="287D776B" w14:textId="77777777" w:rsidR="00DB3725" w:rsidRPr="001E0BFC" w:rsidRDefault="00DB3725" w:rsidP="00F70884">
            <w:pPr>
              <w:spacing w:after="120" w:line="240" w:lineRule="auto"/>
              <w:jc w:val="center"/>
              <w:rPr>
                <w:rFonts w:cstheme="minorHAnsi"/>
                <w:iCs/>
                <w:sz w:val="20"/>
                <w:szCs w:val="20"/>
                <w:lang w:eastAsia="sl-SI"/>
              </w:rPr>
            </w:pPr>
            <w:r>
              <w:rPr>
                <w:rFonts w:cstheme="minorHAnsi"/>
                <w:iCs/>
                <w:sz w:val="20"/>
                <w:szCs w:val="20"/>
                <w:lang w:eastAsia="sl-SI"/>
              </w:rPr>
              <w:t>41.225</w:t>
            </w:r>
          </w:p>
          <w:p w14:paraId="2367E610" w14:textId="705B1A09" w:rsidR="00DB3725" w:rsidRPr="001E0BFC" w:rsidRDefault="00DB3725" w:rsidP="00F70884">
            <w:pPr>
              <w:spacing w:after="120" w:line="240" w:lineRule="auto"/>
              <w:jc w:val="center"/>
              <w:rPr>
                <w:rFonts w:cstheme="minorHAnsi"/>
                <w:iCs/>
                <w:sz w:val="20"/>
                <w:szCs w:val="20"/>
                <w:lang w:eastAsia="sl-SI"/>
              </w:rPr>
            </w:pPr>
            <w:r w:rsidRPr="001E0BFC">
              <w:rPr>
                <w:rFonts w:cstheme="minorHAnsi"/>
                <w:iCs/>
                <w:sz w:val="20"/>
                <w:szCs w:val="20"/>
                <w:lang w:eastAsia="sl-SI"/>
              </w:rPr>
              <w:t>(</w:t>
            </w:r>
            <w:r>
              <w:rPr>
                <w:rFonts w:cstheme="minorHAnsi"/>
                <w:iCs/>
                <w:sz w:val="20"/>
                <w:szCs w:val="20"/>
                <w:lang w:eastAsia="sl-SI"/>
              </w:rPr>
              <w:t>21</w:t>
            </w:r>
            <w:r w:rsidRPr="001E0BFC">
              <w:rPr>
                <w:rFonts w:cstheme="minorHAnsi"/>
                <w:iCs/>
                <w:sz w:val="20"/>
                <w:szCs w:val="20"/>
                <w:lang w:eastAsia="sl-SI"/>
              </w:rPr>
              <w:t xml:space="preserve"> %)</w:t>
            </w:r>
          </w:p>
        </w:tc>
        <w:tc>
          <w:tcPr>
            <w:tcW w:w="821" w:type="pct"/>
            <w:shd w:val="clear" w:color="auto" w:fill="C5E0B3" w:themeFill="accent6" w:themeFillTint="66"/>
            <w:noWrap/>
            <w:vAlign w:val="center"/>
          </w:tcPr>
          <w:p w14:paraId="6F9DFA34" w14:textId="77777777" w:rsidR="00DB3725" w:rsidRPr="001E0BFC" w:rsidRDefault="00DB3725" w:rsidP="00F70884">
            <w:pPr>
              <w:spacing w:after="120" w:line="240" w:lineRule="auto"/>
              <w:jc w:val="center"/>
              <w:rPr>
                <w:rFonts w:cstheme="minorHAnsi"/>
                <w:iCs/>
                <w:sz w:val="20"/>
                <w:szCs w:val="20"/>
                <w:lang w:eastAsia="sl-SI"/>
              </w:rPr>
            </w:pPr>
            <w:r>
              <w:rPr>
                <w:rFonts w:cstheme="minorHAnsi"/>
                <w:iCs/>
                <w:sz w:val="20"/>
                <w:szCs w:val="20"/>
                <w:lang w:eastAsia="sl-SI"/>
              </w:rPr>
              <w:t>42.614</w:t>
            </w:r>
          </w:p>
          <w:p w14:paraId="4E03D5FF" w14:textId="1A94862B" w:rsidR="00DB3725" w:rsidRPr="001E0BFC" w:rsidRDefault="00DB3725" w:rsidP="00F70884">
            <w:pPr>
              <w:spacing w:after="120" w:line="240" w:lineRule="auto"/>
              <w:jc w:val="center"/>
              <w:rPr>
                <w:rFonts w:cstheme="minorHAnsi"/>
                <w:iCs/>
                <w:sz w:val="20"/>
                <w:szCs w:val="20"/>
                <w:lang w:eastAsia="sl-SI"/>
              </w:rPr>
            </w:pPr>
            <w:r w:rsidRPr="001E0BFC">
              <w:rPr>
                <w:rFonts w:cstheme="minorHAnsi"/>
                <w:iCs/>
                <w:sz w:val="20"/>
                <w:szCs w:val="20"/>
                <w:lang w:eastAsia="sl-SI"/>
              </w:rPr>
              <w:t>(2</w:t>
            </w:r>
            <w:r>
              <w:rPr>
                <w:rFonts w:cstheme="minorHAnsi"/>
                <w:iCs/>
                <w:sz w:val="20"/>
                <w:szCs w:val="20"/>
                <w:lang w:eastAsia="sl-SI"/>
              </w:rPr>
              <w:t>2</w:t>
            </w:r>
            <w:r w:rsidRPr="001E0BFC">
              <w:rPr>
                <w:rFonts w:cstheme="minorHAnsi"/>
                <w:iCs/>
                <w:sz w:val="20"/>
                <w:szCs w:val="20"/>
                <w:lang w:eastAsia="sl-SI"/>
              </w:rPr>
              <w:t xml:space="preserve"> %)</w:t>
            </w:r>
          </w:p>
        </w:tc>
        <w:tc>
          <w:tcPr>
            <w:tcW w:w="821" w:type="pct"/>
            <w:shd w:val="clear" w:color="auto" w:fill="F4B083" w:themeFill="accent2" w:themeFillTint="99"/>
            <w:noWrap/>
            <w:vAlign w:val="center"/>
          </w:tcPr>
          <w:p w14:paraId="493EEA0C" w14:textId="77777777" w:rsidR="00DB3725" w:rsidRPr="001E0BFC" w:rsidRDefault="00DB3725" w:rsidP="00F70884">
            <w:pPr>
              <w:spacing w:after="120" w:line="240" w:lineRule="auto"/>
              <w:jc w:val="center"/>
              <w:rPr>
                <w:rFonts w:cstheme="minorHAnsi"/>
                <w:iCs/>
                <w:sz w:val="20"/>
                <w:szCs w:val="20"/>
                <w:lang w:eastAsia="sl-SI"/>
              </w:rPr>
            </w:pPr>
            <w:r>
              <w:rPr>
                <w:rFonts w:cstheme="minorHAnsi"/>
                <w:iCs/>
                <w:sz w:val="20"/>
                <w:szCs w:val="20"/>
                <w:lang w:eastAsia="sl-SI"/>
              </w:rPr>
              <w:t>64.594</w:t>
            </w:r>
          </w:p>
          <w:p w14:paraId="107A7091" w14:textId="0DA598EB" w:rsidR="00DB3725" w:rsidRPr="001E0BFC" w:rsidRDefault="00DB3725" w:rsidP="00F70884">
            <w:pPr>
              <w:spacing w:after="120" w:line="240" w:lineRule="auto"/>
              <w:jc w:val="center"/>
              <w:rPr>
                <w:rFonts w:cstheme="minorHAnsi"/>
                <w:iCs/>
                <w:sz w:val="20"/>
                <w:szCs w:val="20"/>
                <w:lang w:eastAsia="sl-SI"/>
              </w:rPr>
            </w:pPr>
            <w:r w:rsidRPr="001E0BFC">
              <w:rPr>
                <w:rFonts w:cstheme="minorHAnsi"/>
                <w:iCs/>
                <w:sz w:val="20"/>
                <w:szCs w:val="20"/>
                <w:lang w:eastAsia="sl-SI"/>
              </w:rPr>
              <w:t>(</w:t>
            </w:r>
            <w:r>
              <w:rPr>
                <w:rFonts w:cstheme="minorHAnsi"/>
                <w:iCs/>
                <w:sz w:val="20"/>
                <w:szCs w:val="20"/>
                <w:lang w:eastAsia="sl-SI"/>
              </w:rPr>
              <w:t>33</w:t>
            </w:r>
            <w:r w:rsidRPr="001E0BFC">
              <w:rPr>
                <w:rFonts w:cstheme="minorHAnsi"/>
                <w:iCs/>
                <w:sz w:val="20"/>
                <w:szCs w:val="20"/>
                <w:lang w:eastAsia="sl-SI"/>
              </w:rPr>
              <w:t xml:space="preserve"> %)</w:t>
            </w:r>
          </w:p>
        </w:tc>
        <w:tc>
          <w:tcPr>
            <w:tcW w:w="746" w:type="pct"/>
            <w:shd w:val="clear" w:color="auto" w:fill="BF8F00" w:themeFill="accent4" w:themeFillShade="BF"/>
            <w:noWrap/>
            <w:vAlign w:val="center"/>
          </w:tcPr>
          <w:p w14:paraId="7703E238" w14:textId="77777777" w:rsidR="00DB3725" w:rsidRPr="001E0BFC" w:rsidRDefault="00DB3725" w:rsidP="00F70884">
            <w:pPr>
              <w:spacing w:after="120" w:line="240" w:lineRule="auto"/>
              <w:jc w:val="center"/>
              <w:rPr>
                <w:rFonts w:cstheme="minorHAnsi"/>
                <w:iCs/>
                <w:sz w:val="20"/>
                <w:szCs w:val="20"/>
                <w:lang w:eastAsia="sl-SI"/>
              </w:rPr>
            </w:pPr>
            <w:r>
              <w:rPr>
                <w:rFonts w:cstheme="minorHAnsi"/>
                <w:iCs/>
                <w:sz w:val="20"/>
                <w:szCs w:val="20"/>
                <w:lang w:eastAsia="sl-SI"/>
              </w:rPr>
              <w:t>46.226</w:t>
            </w:r>
          </w:p>
          <w:p w14:paraId="775E93FA" w14:textId="6B0A733B" w:rsidR="00DB3725" w:rsidRPr="001E0BFC" w:rsidRDefault="00DB3725" w:rsidP="00F70884">
            <w:pPr>
              <w:spacing w:after="120" w:line="240" w:lineRule="auto"/>
              <w:jc w:val="center"/>
              <w:rPr>
                <w:rFonts w:cstheme="minorHAnsi"/>
                <w:iCs/>
                <w:sz w:val="20"/>
                <w:szCs w:val="20"/>
                <w:lang w:eastAsia="sl-SI"/>
              </w:rPr>
            </w:pPr>
            <w:r w:rsidRPr="001E0BFC">
              <w:rPr>
                <w:rFonts w:cstheme="minorHAnsi"/>
                <w:iCs/>
                <w:sz w:val="20"/>
                <w:szCs w:val="20"/>
                <w:lang w:eastAsia="sl-SI"/>
              </w:rPr>
              <w:t>(</w:t>
            </w:r>
            <w:r>
              <w:rPr>
                <w:rFonts w:cstheme="minorHAnsi"/>
                <w:iCs/>
                <w:sz w:val="20"/>
                <w:szCs w:val="20"/>
                <w:lang w:eastAsia="sl-SI"/>
              </w:rPr>
              <w:t>24</w:t>
            </w:r>
            <w:r w:rsidRPr="001E0BFC">
              <w:rPr>
                <w:rFonts w:cstheme="minorHAnsi"/>
                <w:iCs/>
                <w:sz w:val="20"/>
                <w:szCs w:val="20"/>
                <w:lang w:eastAsia="sl-SI"/>
              </w:rPr>
              <w:t xml:space="preserve"> %)</w:t>
            </w:r>
          </w:p>
        </w:tc>
        <w:tc>
          <w:tcPr>
            <w:tcW w:w="746" w:type="pct"/>
            <w:shd w:val="clear" w:color="auto" w:fill="DEEAF6" w:themeFill="accent5" w:themeFillTint="33"/>
            <w:vAlign w:val="center"/>
          </w:tcPr>
          <w:p w14:paraId="70F41962" w14:textId="3B6ACF62" w:rsidR="00DB3725" w:rsidRDefault="00DB3725" w:rsidP="00F70884">
            <w:pPr>
              <w:spacing w:after="120" w:line="240" w:lineRule="auto"/>
              <w:jc w:val="center"/>
              <w:rPr>
                <w:rFonts w:cstheme="minorHAnsi"/>
                <w:iCs/>
                <w:sz w:val="20"/>
                <w:szCs w:val="20"/>
                <w:lang w:eastAsia="sl-SI"/>
              </w:rPr>
            </w:pPr>
            <w:r>
              <w:rPr>
                <w:rFonts w:cstheme="minorHAnsi"/>
                <w:iCs/>
                <w:sz w:val="20"/>
                <w:szCs w:val="20"/>
                <w:lang w:eastAsia="sl-SI"/>
              </w:rPr>
              <w:t>193.824</w:t>
            </w:r>
          </w:p>
        </w:tc>
      </w:tr>
    </w:tbl>
    <w:p w14:paraId="2F8843F3" w14:textId="03C024E4" w:rsidR="00EB37F9" w:rsidRPr="00612713" w:rsidRDefault="00612713" w:rsidP="00612713">
      <w:pPr>
        <w:rPr>
          <w:sz w:val="18"/>
          <w:szCs w:val="18"/>
          <w:shd w:val="clear" w:color="auto" w:fill="FFFFFF"/>
        </w:rPr>
      </w:pPr>
      <w:bookmarkStart w:id="325" w:name="_Hlk87965116"/>
      <w:r w:rsidRPr="00612713">
        <w:rPr>
          <w:sz w:val="18"/>
          <w:szCs w:val="18"/>
          <w:shd w:val="clear" w:color="auto" w:fill="FFFFFF"/>
        </w:rPr>
        <w:t xml:space="preserve">*podatek o prenočitvah v (koledarskem) letu </w:t>
      </w:r>
      <w:r>
        <w:rPr>
          <w:sz w:val="18"/>
          <w:szCs w:val="18"/>
          <w:shd w:val="clear" w:color="auto" w:fill="FFFFFF"/>
        </w:rPr>
        <w:t xml:space="preserve">je </w:t>
      </w:r>
      <w:r w:rsidRPr="00612713">
        <w:rPr>
          <w:sz w:val="18"/>
          <w:szCs w:val="18"/>
          <w:shd w:val="clear" w:color="auto" w:fill="FFFFFF"/>
        </w:rPr>
        <w:t>nekoliko različen od seštevka prenočitev v letnih časih zato, ker se v zimo šteje december iz prejšnjega leta</w:t>
      </w:r>
    </w:p>
    <w:bookmarkEnd w:id="325"/>
    <w:p w14:paraId="19A3919B" w14:textId="77777777" w:rsidR="00EB37F9" w:rsidRDefault="00EB37F9" w:rsidP="00EB37F9">
      <w:r w:rsidRPr="00AF101D">
        <w:rPr>
          <w:shd w:val="clear" w:color="auto" w:fill="FFFFFF"/>
        </w:rPr>
        <w:t xml:space="preserve">Prenočišča ponujajo hoteli, </w:t>
      </w:r>
      <w:r>
        <w:rPr>
          <w:shd w:val="clear" w:color="auto" w:fill="FFFFFF"/>
        </w:rPr>
        <w:t xml:space="preserve">penzioni, </w:t>
      </w:r>
      <w:r w:rsidRPr="00AF101D">
        <w:rPr>
          <w:shd w:val="clear" w:color="auto" w:fill="FFFFFF"/>
        </w:rPr>
        <w:t>turistične kmetije</w:t>
      </w:r>
      <w:r>
        <w:rPr>
          <w:shd w:val="clear" w:color="auto" w:fill="FFFFFF"/>
        </w:rPr>
        <w:t xml:space="preserve">, </w:t>
      </w:r>
      <w:r w:rsidRPr="00AF101D">
        <w:rPr>
          <w:shd w:val="clear" w:color="auto" w:fill="FFFFFF"/>
        </w:rPr>
        <w:t>kamp</w:t>
      </w:r>
      <w:r>
        <w:rPr>
          <w:shd w:val="clear" w:color="auto" w:fill="FFFFFF"/>
        </w:rPr>
        <w:t>i in sobodajalci, n</w:t>
      </w:r>
      <w:r w:rsidRPr="00AF101D">
        <w:rPr>
          <w:shd w:val="clear" w:color="auto" w:fill="FFFFFF"/>
        </w:rPr>
        <w:t>osilci gastronomske ponudbe pa so r</w:t>
      </w:r>
      <w:r w:rsidRPr="004D5CB4">
        <w:rPr>
          <w:shd w:val="clear" w:color="auto" w:fill="FFFFFF"/>
        </w:rPr>
        <w:t>estavracije, gostilne</w:t>
      </w:r>
      <w:r w:rsidRPr="00AF101D">
        <w:rPr>
          <w:shd w:val="clear" w:color="auto" w:fill="FFFFFF"/>
        </w:rPr>
        <w:t xml:space="preserve"> </w:t>
      </w:r>
      <w:r>
        <w:rPr>
          <w:shd w:val="clear" w:color="auto" w:fill="FFFFFF"/>
        </w:rPr>
        <w:t>ter</w:t>
      </w:r>
      <w:r w:rsidRPr="004D5CB4">
        <w:rPr>
          <w:shd w:val="clear" w:color="auto" w:fill="FFFFFF"/>
        </w:rPr>
        <w:t xml:space="preserve"> turistične kmetije</w:t>
      </w:r>
      <w:r>
        <w:rPr>
          <w:shd w:val="clear" w:color="auto" w:fill="FFFFFF"/>
        </w:rPr>
        <w:t xml:space="preserve"> in vinarji</w:t>
      </w:r>
      <w:r w:rsidRPr="00AF101D">
        <w:rPr>
          <w:shd w:val="clear" w:color="auto" w:fill="FFFFFF"/>
        </w:rPr>
        <w:t>.</w:t>
      </w:r>
    </w:p>
    <w:p w14:paraId="3315A700" w14:textId="77777777" w:rsidR="00EB37F9" w:rsidRDefault="00EB37F9" w:rsidP="00EB37F9">
      <w:pPr>
        <w:rPr>
          <w:shd w:val="clear" w:color="auto" w:fill="FFFFFF"/>
        </w:rPr>
      </w:pPr>
      <w:r w:rsidRPr="00586A5F">
        <w:rPr>
          <w:shd w:val="clear" w:color="auto" w:fill="FFFFFF"/>
        </w:rPr>
        <w:t>S turistično dejavnostjo se v Mestni občini Nova Gorica ukvarja 41 podjetij in 92 samostojnih podjetnikov.</w:t>
      </w:r>
      <w:r w:rsidRPr="00021ADF">
        <w:rPr>
          <w:shd w:val="clear" w:color="auto" w:fill="FFFFFF"/>
        </w:rPr>
        <w:t xml:space="preserve"> </w:t>
      </w:r>
      <w:r w:rsidRPr="00586A5F">
        <w:rPr>
          <w:shd w:val="clear" w:color="auto" w:fill="FFFFFF"/>
        </w:rPr>
        <w:t xml:space="preserve">Edino veliko podjetje je Hit, </w:t>
      </w:r>
      <w:proofErr w:type="spellStart"/>
      <w:r w:rsidRPr="00586A5F">
        <w:rPr>
          <w:shd w:val="clear" w:color="auto" w:fill="FFFFFF"/>
        </w:rPr>
        <w:t>d.d</w:t>
      </w:r>
      <w:proofErr w:type="spellEnd"/>
      <w:r w:rsidRPr="00586A5F">
        <w:rPr>
          <w:shd w:val="clear" w:color="auto" w:fill="FFFFFF"/>
        </w:rPr>
        <w:t xml:space="preserve">., ki je specializirano na področju igralniško zabaviščne ponudbe. Večina majhnih gospodarskih družb se ukvarja z gostinstvom, </w:t>
      </w:r>
      <w:proofErr w:type="spellStart"/>
      <w:r w:rsidRPr="00586A5F">
        <w:rPr>
          <w:shd w:val="clear" w:color="auto" w:fill="FFFFFF"/>
        </w:rPr>
        <w:t>sobodajalstvom</w:t>
      </w:r>
      <w:proofErr w:type="spellEnd"/>
      <w:r w:rsidRPr="00586A5F">
        <w:rPr>
          <w:shd w:val="clear" w:color="auto" w:fill="FFFFFF"/>
        </w:rPr>
        <w:t xml:space="preserve"> in kampi.</w:t>
      </w:r>
      <w:r>
        <w:rPr>
          <w:shd w:val="clear" w:color="auto" w:fill="FFFFFF"/>
        </w:rPr>
        <w:t xml:space="preserve"> Turistična dejavnost v občini zaposluje okrog 1.200 ljudi. </w:t>
      </w:r>
      <w:r w:rsidRPr="00586A5F">
        <w:rPr>
          <w:shd w:val="clear" w:color="auto" w:fill="FFFFFF"/>
        </w:rPr>
        <w:t>(Analiza stanja…, 2019)</w:t>
      </w:r>
    </w:p>
    <w:p w14:paraId="60B46D9C" w14:textId="77777777" w:rsidR="00EB37F9" w:rsidRDefault="00EB37F9" w:rsidP="00EB37F9">
      <w:pPr>
        <w:pStyle w:val="Naslov5"/>
        <w:rPr>
          <w:shd w:val="clear" w:color="auto" w:fill="FFFFFF"/>
        </w:rPr>
      </w:pPr>
      <w:r w:rsidRPr="00CB0772">
        <w:rPr>
          <w:shd w:val="clear" w:color="auto" w:fill="FFFFFF"/>
        </w:rPr>
        <w:t>Organiziranost</w:t>
      </w:r>
    </w:p>
    <w:p w14:paraId="04DDE5DF" w14:textId="77777777" w:rsidR="00EB37F9" w:rsidRDefault="00EB37F9" w:rsidP="00EB37F9">
      <w:r>
        <w:t xml:space="preserve">Mestna občina Nova Gorica je leta 1997 za namene opravljanja nalog lokalne </w:t>
      </w:r>
      <w:proofErr w:type="spellStart"/>
      <w:r>
        <w:t>turističe</w:t>
      </w:r>
      <w:proofErr w:type="spellEnd"/>
      <w:r>
        <w:t xml:space="preserve"> </w:t>
      </w:r>
      <w:r w:rsidRPr="00DA6A90">
        <w:t>organizacije in turistično-informacijskega centra ustanovila društvo Turistična zveza TIC Nova Gorica. Ta je v destinaciji vodila projekt Zelena shema slovenskega turizma</w:t>
      </w:r>
      <w:r w:rsidRPr="00DA6A90">
        <w:rPr>
          <w:shd w:val="clear" w:color="auto" w:fill="FFFFFF"/>
        </w:rPr>
        <w:t xml:space="preserve"> in skrbela za komunikacijo z lokalnimi deležniki turizma</w:t>
      </w:r>
      <w:r w:rsidRPr="00DA6A90">
        <w:t xml:space="preserve"> do leta 2020, ko je začel z delovanjem Javni zavod za turizem Nova Gorica in Vipavska dolina. </w:t>
      </w:r>
    </w:p>
    <w:p w14:paraId="4FC85A94" w14:textId="77777777" w:rsidR="00EB37F9" w:rsidRDefault="00EB37F9" w:rsidP="00EB37F9">
      <w:r>
        <w:t>Junija 2018 so Občina Ajdovščina, Mestna občina Nova Gorica in Občina Renče-Vogrsko sprejele Odlok o ustanovitvi javnega zavoda Javni zavod za turizem Nova Gorica in Vipavska dolina (Odlok…, 2018), katerega namen je skupno načrtovanje, organiziranje, promocija in izvajanje dejavnosti turizma na osnovi naravnih danosti in etnoloških, kulturnih ter ostalih posebnosti območja.</w:t>
      </w:r>
    </w:p>
    <w:p w14:paraId="5447ACF1" w14:textId="77777777" w:rsidR="00EB37F9" w:rsidRPr="00DA6A90" w:rsidRDefault="00EB37F9" w:rsidP="00EB37F9">
      <w:r w:rsidRPr="00DA6A90">
        <w:t xml:space="preserve">Od junija 2020 je skrb za Zeleno shemo slovenskega turizma prešla na Mestno občino Nova Gorica. </w:t>
      </w:r>
    </w:p>
    <w:p w14:paraId="5CC276D6" w14:textId="77777777" w:rsidR="00EB37F9" w:rsidRDefault="00EB37F9" w:rsidP="00EB37F9">
      <w:pPr>
        <w:rPr>
          <w:shd w:val="clear" w:color="auto" w:fill="FFFFFF"/>
        </w:rPr>
      </w:pPr>
      <w:r>
        <w:t>Nekatere naloge na področju usposabljanja turističnih ponudnikov v destinaciji prevzema tudi Regijska razvojna agencija Severne Primorske.</w:t>
      </w:r>
    </w:p>
    <w:p w14:paraId="2AFAD92C" w14:textId="0664B13B" w:rsidR="008334B2" w:rsidRDefault="008334B2">
      <w:pPr>
        <w:jc w:val="left"/>
        <w:rPr>
          <w:shd w:val="clear" w:color="auto" w:fill="FFFFFF"/>
        </w:rPr>
      </w:pPr>
      <w:r>
        <w:rPr>
          <w:shd w:val="clear" w:color="auto" w:fill="FFFFFF"/>
        </w:rPr>
        <w:br w:type="page"/>
      </w:r>
    </w:p>
    <w:p w14:paraId="7DFC0D2F" w14:textId="77777777" w:rsidR="00BE4D70" w:rsidRPr="00214A87" w:rsidRDefault="00BE4D70" w:rsidP="002F0D6E">
      <w:pPr>
        <w:pStyle w:val="Naslov3"/>
      </w:pPr>
      <w:bookmarkStart w:id="326" w:name="_Toc34130194"/>
      <w:bookmarkStart w:id="327" w:name="_Toc44656970"/>
      <w:bookmarkStart w:id="328" w:name="_Toc97026781"/>
      <w:r w:rsidRPr="002F0D6E">
        <w:rPr>
          <w:rFonts w:eastAsia="Calibri"/>
          <w:lang w:eastAsia="sl-SI"/>
        </w:rPr>
        <w:lastRenderedPageBreak/>
        <w:t>Ocena potencialnih vplivov podnebnih sprememb po kazalnikih</w:t>
      </w:r>
      <w:bookmarkEnd w:id="326"/>
      <w:bookmarkEnd w:id="327"/>
      <w:r w:rsidRPr="002F0D6E">
        <w:rPr>
          <w:rFonts w:eastAsia="Calibri"/>
          <w:lang w:eastAsia="sl-SI"/>
        </w:rPr>
        <w:t xml:space="preserve"> za sektor turizem</w:t>
      </w:r>
      <w:bookmarkEnd w:id="328"/>
      <w:r w:rsidRPr="002F0D6E">
        <w:rPr>
          <w:rFonts w:eastAsia="Calibri"/>
          <w:lang w:eastAsia="sl-SI"/>
        </w:rPr>
        <w:t xml:space="preserve"> </w:t>
      </w:r>
    </w:p>
    <w:p w14:paraId="59941820" w14:textId="77777777" w:rsidR="00EB37F9" w:rsidRPr="00FA4F7C" w:rsidRDefault="00EB37F9" w:rsidP="00EB37F9">
      <w:pPr>
        <w:rPr>
          <w:shd w:val="clear" w:color="auto" w:fill="FFFFFF"/>
        </w:rPr>
      </w:pPr>
      <w:r w:rsidRPr="00FA4F7C">
        <w:rPr>
          <w:shd w:val="clear" w:color="auto" w:fill="FFFFFF"/>
        </w:rPr>
        <w:t>Podnebje je ključn</w:t>
      </w:r>
      <w:r>
        <w:rPr>
          <w:shd w:val="clear" w:color="auto" w:fill="FFFFFF"/>
        </w:rPr>
        <w:t>i</w:t>
      </w:r>
      <w:r w:rsidRPr="00FA4F7C">
        <w:rPr>
          <w:shd w:val="clear" w:color="auto" w:fill="FFFFFF"/>
        </w:rPr>
        <w:t xml:space="preserve"> element ponudbe vsake turistične destinacije. To še posebej velja za destinacije kot je Nova Gorica, </w:t>
      </w:r>
      <w:bookmarkStart w:id="329" w:name="_Hlk70964685"/>
      <w:r w:rsidRPr="00FA4F7C">
        <w:rPr>
          <w:shd w:val="clear" w:color="auto" w:fill="FFFFFF"/>
        </w:rPr>
        <w:t xml:space="preserve">ki v svojo turistično ponudbo vključujejo aktivnosti na prostem, gastronomsko ponudbo na osnovi lokalnih pridelkov ter naravne vrednote. </w:t>
      </w:r>
      <w:bookmarkEnd w:id="329"/>
      <w:r w:rsidRPr="00FA4F7C">
        <w:rPr>
          <w:shd w:val="clear" w:color="auto" w:fill="FFFFFF"/>
        </w:rPr>
        <w:t xml:space="preserve">Zato je turizem v občini Nova Gorica izpostavljen podnebnim spremembam. </w:t>
      </w:r>
    </w:p>
    <w:p w14:paraId="78C835AB" w14:textId="11CECA25" w:rsidR="00747809" w:rsidRPr="00543C2E" w:rsidRDefault="00747809" w:rsidP="00747809">
      <w:pPr>
        <w:pStyle w:val="Naslov4"/>
        <w:jc w:val="left"/>
        <w:rPr>
          <w:shd w:val="clear" w:color="auto" w:fill="FFFFFF"/>
        </w:rPr>
      </w:pPr>
      <w:bookmarkStart w:id="330" w:name="_Hlk42446651"/>
      <w:r w:rsidRPr="00FA4F7C">
        <w:rPr>
          <w:shd w:val="clear" w:color="auto" w:fill="FFFFFF"/>
        </w:rPr>
        <w:t>Podnebje v občini Nova Gorica v referenčnem obdobju 1981―2010 in trendi</w:t>
      </w:r>
      <w:r>
        <w:rPr>
          <w:shd w:val="clear" w:color="auto" w:fill="FFFFFF"/>
        </w:rPr>
        <w:t xml:space="preserve"> v obdobju 1961―2011</w:t>
      </w:r>
    </w:p>
    <w:bookmarkEnd w:id="330"/>
    <w:p w14:paraId="69835CA7" w14:textId="77777777" w:rsidR="00747809" w:rsidRDefault="00747809" w:rsidP="00747809">
      <w:pPr>
        <w:rPr>
          <w:shd w:val="clear" w:color="auto" w:fill="FFFFFF"/>
        </w:rPr>
      </w:pPr>
      <w:r w:rsidRPr="00FA4F7C">
        <w:rPr>
          <w:shd w:val="clear" w:color="auto" w:fill="FFFFFF"/>
        </w:rPr>
        <w:t xml:space="preserve">Podnebne razmere v občini Nova Gorica so bile v referenčnem </w:t>
      </w:r>
      <w:r w:rsidRPr="00FA4F7C">
        <w:t xml:space="preserve">obdobju 1981—2010 </w:t>
      </w:r>
      <w:r w:rsidRPr="00FA4F7C">
        <w:rPr>
          <w:shd w:val="clear" w:color="auto" w:fill="FFFFFF"/>
        </w:rPr>
        <w:t>ugodne za razvoj raznolike turistične ponudbe v vseh letnih časih.</w:t>
      </w:r>
      <w:r>
        <w:rPr>
          <w:shd w:val="clear" w:color="auto" w:fill="FFFFFF"/>
        </w:rPr>
        <w:t xml:space="preserve"> </w:t>
      </w:r>
      <w:r w:rsidRPr="006406EA">
        <w:rPr>
          <w:shd w:val="clear" w:color="auto" w:fill="FFFFFF"/>
        </w:rPr>
        <w:t xml:space="preserve">Za destinacijo </w:t>
      </w:r>
      <w:r>
        <w:rPr>
          <w:shd w:val="clear" w:color="auto" w:fill="FFFFFF"/>
        </w:rPr>
        <w:t xml:space="preserve">je </w:t>
      </w:r>
      <w:r w:rsidRPr="006406EA">
        <w:rPr>
          <w:shd w:val="clear" w:color="auto" w:fill="FFFFFF"/>
        </w:rPr>
        <w:t xml:space="preserve"> značiln</w:t>
      </w:r>
      <w:r>
        <w:rPr>
          <w:shd w:val="clear" w:color="auto" w:fill="FFFFFF"/>
        </w:rPr>
        <w:t xml:space="preserve">o zaledno submediteransko podnebje z zmerno vročimi poletji in zmerno hladnimi zimami, povprečno namočenostjo in pojavom burje, </w:t>
      </w:r>
      <w:r>
        <w:t>ki je zlasti močna in pogosta v hladni polovici leta, ko ozračje znatno ohladi</w:t>
      </w:r>
      <w:r>
        <w:rPr>
          <w:shd w:val="clear" w:color="auto" w:fill="FFFFFF"/>
        </w:rPr>
        <w:t>. (</w:t>
      </w:r>
      <w:proofErr w:type="spellStart"/>
      <w:r>
        <w:rPr>
          <w:shd w:val="clear" w:color="auto" w:fill="FFFFFF"/>
        </w:rPr>
        <w:t>Okoljsko</w:t>
      </w:r>
      <w:proofErr w:type="spellEnd"/>
      <w:r>
        <w:rPr>
          <w:shd w:val="clear" w:color="auto" w:fill="FFFFFF"/>
        </w:rPr>
        <w:t xml:space="preserve"> poročilo…, 2010) </w:t>
      </w:r>
    </w:p>
    <w:p w14:paraId="6F865233" w14:textId="77777777" w:rsidR="00747809" w:rsidRPr="00747809" w:rsidRDefault="00747809" w:rsidP="00747809">
      <w:r>
        <w:rPr>
          <w:rFonts w:cstheme="minorHAnsi"/>
          <w:shd w:val="clear" w:color="auto" w:fill="FFFFFF"/>
        </w:rPr>
        <w:t xml:space="preserve">V referenčnem obdobju so bili temperaturni pogoji poleti še prijetni za aktivnosti na prostem. </w:t>
      </w:r>
      <w:r w:rsidRPr="00076C2F">
        <w:rPr>
          <w:rFonts w:cstheme="minorHAnsi"/>
          <w:shd w:val="clear" w:color="auto" w:fill="FFFFFF"/>
        </w:rPr>
        <w:t>Povprečna p</w:t>
      </w:r>
      <w:r w:rsidRPr="00076C2F">
        <w:rPr>
          <w:shd w:val="clear" w:color="auto" w:fill="FFFFFF"/>
        </w:rPr>
        <w:t xml:space="preserve">oletna temperatura v občini je bila 19,1 °C, pri čemer je bilo mesto Nova Gorica v povprečju nekoliko toplejše od povprečja celotne občine. </w:t>
      </w:r>
      <w:r>
        <w:rPr>
          <w:rFonts w:cstheme="minorHAnsi"/>
          <w:shd w:val="clear" w:color="auto" w:fill="FFFFFF"/>
        </w:rPr>
        <w:t xml:space="preserve">Povprečna poletna temperatura in tudi povprečna dnevna najvišja temperatura </w:t>
      </w:r>
      <w:r w:rsidRPr="00076C2F">
        <w:rPr>
          <w:rFonts w:cstheme="minorHAnsi"/>
          <w:shd w:val="clear" w:color="auto" w:fill="FFFFFF"/>
        </w:rPr>
        <w:t xml:space="preserve">poleti </w:t>
      </w:r>
      <w:r w:rsidRPr="00076C2F">
        <w:rPr>
          <w:shd w:val="clear" w:color="auto" w:fill="FFFFFF"/>
        </w:rPr>
        <w:t>(27 °C)</w:t>
      </w:r>
      <w:r w:rsidRPr="00076C2F">
        <w:rPr>
          <w:rFonts w:cstheme="minorHAnsi"/>
          <w:shd w:val="clear" w:color="auto" w:fill="FFFFFF"/>
        </w:rPr>
        <w:t xml:space="preserve"> </w:t>
      </w:r>
      <w:r>
        <w:rPr>
          <w:rFonts w:cstheme="minorHAnsi"/>
          <w:shd w:val="clear" w:color="auto" w:fill="FFFFFF"/>
        </w:rPr>
        <w:t xml:space="preserve">sta bili v območju, ki za človeka predstavlja šibko toplotno obremenitev, termični občutek pa je prijeten do rahlo topel, vendar pa so poletja v referenčnem obdobju zaznamovali tudi vročinski valovi, ko (predvsem športno-rekreativne) dejavnosti na prostem niso prijetne in lahko tudi ogrožajo zdravje </w:t>
      </w:r>
      <w:r w:rsidRPr="00076C2F">
        <w:rPr>
          <w:shd w:val="clear" w:color="auto" w:fill="FFFFFF"/>
        </w:rPr>
        <w:t xml:space="preserve">(povprečno 8 </w:t>
      </w:r>
      <w:r>
        <w:rPr>
          <w:shd w:val="clear" w:color="auto" w:fill="FFFFFF"/>
        </w:rPr>
        <w:t xml:space="preserve">valov </w:t>
      </w:r>
      <w:r w:rsidRPr="00076C2F">
        <w:rPr>
          <w:shd w:val="clear" w:color="auto" w:fill="FFFFFF"/>
        </w:rPr>
        <w:t>na leto)</w:t>
      </w:r>
      <w:r w:rsidRPr="00076C2F">
        <w:rPr>
          <w:rFonts w:cstheme="minorHAnsi"/>
          <w:shd w:val="clear" w:color="auto" w:fill="FFFFFF"/>
        </w:rPr>
        <w:t xml:space="preserve">. </w:t>
      </w:r>
      <w:r>
        <w:rPr>
          <w:rFonts w:cstheme="minorHAnsi"/>
          <w:shd w:val="clear" w:color="auto" w:fill="FFFFFF"/>
        </w:rPr>
        <w:t xml:space="preserve">Hkrati je bilo na območju občine v referenčnem obdobju povprečno 16 dni na leto vroče tako čez dan, kot tudi nadpovprečno toplo ponoči, kar je že otežkočalo </w:t>
      </w:r>
      <w:r>
        <w:rPr>
          <w:shd w:val="clear" w:color="auto" w:fill="FFFFFF"/>
        </w:rPr>
        <w:t xml:space="preserve">zagotavljanje ugodnih bivalnih </w:t>
      </w:r>
      <w:r w:rsidRPr="00747809">
        <w:t>pogojev v stavbah ob naravnem prezračevanju. Poletja se v destinaciji od vseh letnih časov najhitreje segrevajo, v obdobju 1961―2011 se je povprečna poletna temperatura povišala že za 2,2 °C.</w:t>
      </w:r>
    </w:p>
    <w:p w14:paraId="0F0C5F13" w14:textId="77777777" w:rsidR="00747809" w:rsidRPr="00DF05CD" w:rsidRDefault="00747809" w:rsidP="00747809">
      <w:r>
        <w:rPr>
          <w:shd w:val="clear" w:color="auto" w:fill="FFFFFF"/>
        </w:rPr>
        <w:t xml:space="preserve">Povprečni spomladanska in jesenska temperatura sta bili v destinaciji v območju, ki za človekovo telo predstavlja zmerno obremenitev zaradi mraza. Spomladanske in jesenske povprečne dnevne najvišje temperature pa so se gibale v območju, ki za ljudi predstavlja </w:t>
      </w:r>
      <w:r w:rsidRPr="00076C2F">
        <w:rPr>
          <w:shd w:val="clear" w:color="auto" w:fill="FFFFFF"/>
        </w:rPr>
        <w:t xml:space="preserve">samo še šibko obremenitev zaradi mraza in je termični občutek »rahlo hladno«. Tudi pomladi so se v destinaciji v obdobju 1961―2011 nadpovprečno segrele (za 1,9 °C), medtem ko se jeseni niso </w:t>
      </w:r>
      <w:r w:rsidRPr="00DF05CD">
        <w:t>segrele.</w:t>
      </w:r>
    </w:p>
    <w:p w14:paraId="68A808C8" w14:textId="72AEC95B" w:rsidR="00747809" w:rsidRPr="007D0F59" w:rsidRDefault="005E7A42" w:rsidP="00747809">
      <w:pPr>
        <w:rPr>
          <w:color w:val="808080" w:themeColor="background1" w:themeShade="80"/>
          <w:shd w:val="clear" w:color="auto" w:fill="FFFFFF"/>
        </w:rPr>
      </w:pPr>
      <w:r>
        <w:rPr>
          <w:shd w:val="clear" w:color="auto" w:fill="FFFFFF"/>
        </w:rPr>
        <w:t>Mestna o</w:t>
      </w:r>
      <w:r w:rsidR="00747809">
        <w:rPr>
          <w:shd w:val="clear" w:color="auto" w:fill="FFFFFF"/>
        </w:rPr>
        <w:t xml:space="preserve">bčina Nova Gorica spada znotraj Slovenije med območja z večjim trajanjem sončnega obsevanja. </w:t>
      </w:r>
    </w:p>
    <w:p w14:paraId="1165D94B" w14:textId="77777777" w:rsidR="00747809" w:rsidRPr="00F06B4E" w:rsidRDefault="00747809" w:rsidP="00747809">
      <w:pPr>
        <w:rPr>
          <w:shd w:val="clear" w:color="auto" w:fill="FFFFFF"/>
        </w:rPr>
      </w:pPr>
      <w:r>
        <w:rPr>
          <w:shd w:val="clear" w:color="auto" w:fill="FFFFFF"/>
        </w:rPr>
        <w:t xml:space="preserve">Zime so bile v referenčnem obdobju mile, s povprečno temperaturo nekoliko nad lediščem, višina novozapadlega snega se je zmanjševala. </w:t>
      </w:r>
      <w:r w:rsidRPr="00F06B4E">
        <w:rPr>
          <w:shd w:val="clear" w:color="auto" w:fill="FFFFFF"/>
        </w:rPr>
        <w:t xml:space="preserve">Na najnižjih legah v občini je bilo v tem obdobju v povprečju samo 9 dni s snežno odejo na leto, na najvišjih legah pa povprečno 123. </w:t>
      </w:r>
      <w:r>
        <w:rPr>
          <w:shd w:val="clear" w:color="auto" w:fill="FFFFFF"/>
        </w:rPr>
        <w:t>Količina</w:t>
      </w:r>
      <w:r w:rsidRPr="00F06B4E">
        <w:rPr>
          <w:shd w:val="clear" w:color="auto" w:fill="FFFFFF"/>
        </w:rPr>
        <w:t xml:space="preserve"> novozapadlega snega se je v destinaciji v obdobju 1961―2011 </w:t>
      </w:r>
      <w:r>
        <w:rPr>
          <w:shd w:val="clear" w:color="auto" w:fill="FFFFFF"/>
        </w:rPr>
        <w:t>zmanjšala za 35 %</w:t>
      </w:r>
      <w:r w:rsidRPr="00F06B4E">
        <w:rPr>
          <w:shd w:val="clear" w:color="auto" w:fill="FFFFFF"/>
        </w:rPr>
        <w:t xml:space="preserve">. </w:t>
      </w:r>
    </w:p>
    <w:p w14:paraId="0B4DD6A9" w14:textId="0E77171D" w:rsidR="00747809" w:rsidRDefault="005E7A42" w:rsidP="00747809">
      <w:pPr>
        <w:rPr>
          <w:shd w:val="clear" w:color="auto" w:fill="FFFFFF"/>
        </w:rPr>
      </w:pPr>
      <w:r>
        <w:rPr>
          <w:shd w:val="clear" w:color="auto" w:fill="FFFFFF"/>
        </w:rPr>
        <w:t>Mestna o</w:t>
      </w:r>
      <w:r w:rsidR="00747809">
        <w:rPr>
          <w:shd w:val="clear" w:color="auto" w:fill="FFFFFF"/>
        </w:rPr>
        <w:t xml:space="preserve">bčina Nova Gorica spada med povprečno namočena območja Slovenije. Letna količina padavin se je v obdobju 1961―2011 sicer zmanjšala za 15 %, kar pa ni ogrozilo oskrbe ljudi z vodo. </w:t>
      </w:r>
      <w:r w:rsidR="00747809" w:rsidRPr="00BB7A28">
        <w:rPr>
          <w:shd w:val="clear" w:color="auto" w:fill="FFFFFF"/>
        </w:rPr>
        <w:t xml:space="preserve">Količina padavin se je zmanjšala v vseh letnih časih. </w:t>
      </w:r>
      <w:r w:rsidR="00747809">
        <w:rPr>
          <w:shd w:val="clear" w:color="auto" w:fill="FFFFFF"/>
        </w:rPr>
        <w:t>Najmanj padavin in dni s padavinami je bilo v referenčnem obdobju pozimi. Največ padavin je bilo v jesenskem času, največ dni s padavinami pa poleti.</w:t>
      </w:r>
    </w:p>
    <w:p w14:paraId="4430BEA7" w14:textId="77777777" w:rsidR="00747809" w:rsidRDefault="00747809" w:rsidP="00747809">
      <w:pPr>
        <w:rPr>
          <w:shd w:val="clear" w:color="auto" w:fill="FFFFFF"/>
        </w:rPr>
      </w:pPr>
      <w:r>
        <w:rPr>
          <w:shd w:val="clear" w:color="auto" w:fill="FFFFFF"/>
        </w:rPr>
        <w:lastRenderedPageBreak/>
        <w:t>Š</w:t>
      </w:r>
      <w:r w:rsidRPr="00BB7A28">
        <w:rPr>
          <w:shd w:val="clear" w:color="auto" w:fill="FFFFFF"/>
        </w:rPr>
        <w:t xml:space="preserve">tevilo dni z </w:t>
      </w:r>
      <w:r>
        <w:rPr>
          <w:shd w:val="clear" w:color="auto" w:fill="FFFFFF"/>
        </w:rPr>
        <w:t>obilnimi</w:t>
      </w:r>
      <w:r w:rsidRPr="00BB7A28">
        <w:rPr>
          <w:shd w:val="clear" w:color="auto" w:fill="FFFFFF"/>
        </w:rPr>
        <w:t xml:space="preserve"> padavinami je bilo v referenčnem obdobju v občini majhno (6 dni na leto</w:t>
      </w:r>
      <w:r>
        <w:rPr>
          <w:shd w:val="clear" w:color="auto" w:fill="FFFFFF"/>
        </w:rPr>
        <w:t>)</w:t>
      </w:r>
      <w:r w:rsidRPr="00BB7A28">
        <w:rPr>
          <w:shd w:val="clear" w:color="auto" w:fill="FFFFFF"/>
        </w:rPr>
        <w:t xml:space="preserve">, največ </w:t>
      </w:r>
      <w:r>
        <w:rPr>
          <w:shd w:val="clear" w:color="auto" w:fill="FFFFFF"/>
        </w:rPr>
        <w:t xml:space="preserve">jih je bilo </w:t>
      </w:r>
      <w:r w:rsidRPr="00BB7A28">
        <w:rPr>
          <w:shd w:val="clear" w:color="auto" w:fill="FFFFFF"/>
        </w:rPr>
        <w:t>jeseni</w:t>
      </w:r>
      <w:r>
        <w:rPr>
          <w:shd w:val="clear" w:color="auto" w:fill="FFFFFF"/>
        </w:rPr>
        <w:t xml:space="preserve">. </w:t>
      </w:r>
      <w:r w:rsidRPr="00BB7A28">
        <w:rPr>
          <w:shd w:val="clear" w:color="auto" w:fill="FFFFFF"/>
        </w:rPr>
        <w:t xml:space="preserve">Zaradi majhne pogostosti ekstremnih padavinskih dogodkov ti niso pomembneje vplivali na turizem v destinaciji. </w:t>
      </w:r>
    </w:p>
    <w:p w14:paraId="3894EE21" w14:textId="77777777" w:rsidR="00747809" w:rsidRPr="00747809" w:rsidRDefault="00747809" w:rsidP="00766F25">
      <w:pPr>
        <w:pStyle w:val="Naslov4"/>
        <w:rPr>
          <w:shd w:val="clear" w:color="auto" w:fill="FFFFFF"/>
        </w:rPr>
      </w:pPr>
      <w:bookmarkStart w:id="331" w:name="_Hlk41474286"/>
      <w:r w:rsidRPr="00747809">
        <w:rPr>
          <w:shd w:val="clear" w:color="auto" w:fill="FFFFFF"/>
        </w:rPr>
        <w:t xml:space="preserve">Izpostavljenost in občutljivost turizma v občini Nova Gorica na podnebne spremembe </w:t>
      </w:r>
    </w:p>
    <w:bookmarkEnd w:id="331"/>
    <w:p w14:paraId="213280FB" w14:textId="77777777" w:rsidR="00747809" w:rsidRDefault="00747809" w:rsidP="00747809">
      <w:pPr>
        <w:rPr>
          <w:shd w:val="clear" w:color="auto" w:fill="FFFFFF"/>
        </w:rPr>
      </w:pPr>
      <w:r w:rsidRPr="00662105">
        <w:rPr>
          <w:shd w:val="clear" w:color="auto" w:fill="FFFFFF"/>
        </w:rPr>
        <w:t xml:space="preserve">Ker vremenski pogoji vplivajo na človekovo ugodje, bodo pričakovano povišanje temperatur in spremenjeni padavinski vzorci v prihodnosti </w:t>
      </w:r>
      <w:r>
        <w:rPr>
          <w:shd w:val="clear" w:color="auto" w:fill="FFFFFF"/>
        </w:rPr>
        <w:t xml:space="preserve">neposredno </w:t>
      </w:r>
      <w:r w:rsidRPr="00662105">
        <w:rPr>
          <w:shd w:val="clear" w:color="auto" w:fill="FFFFFF"/>
        </w:rPr>
        <w:t>vplivali na turiz</w:t>
      </w:r>
      <w:r>
        <w:rPr>
          <w:shd w:val="clear" w:color="auto" w:fill="FFFFFF"/>
        </w:rPr>
        <w:t>e</w:t>
      </w:r>
      <w:r w:rsidRPr="00662105">
        <w:rPr>
          <w:shd w:val="clear" w:color="auto" w:fill="FFFFFF"/>
        </w:rPr>
        <w:t xml:space="preserve">m v </w:t>
      </w:r>
      <w:r>
        <w:rPr>
          <w:shd w:val="clear" w:color="auto" w:fill="FFFFFF"/>
        </w:rPr>
        <w:t>občini Nova Gorica</w:t>
      </w:r>
      <w:r w:rsidRPr="00662105">
        <w:rPr>
          <w:shd w:val="clear" w:color="auto" w:fill="FFFFFF"/>
        </w:rPr>
        <w:t xml:space="preserve"> v vseh letnih časih. </w:t>
      </w:r>
      <w:bookmarkStart w:id="332" w:name="_Hlk42450698"/>
      <w:r>
        <w:rPr>
          <w:rFonts w:eastAsia="Calibri"/>
          <w:lang w:eastAsia="sl-SI"/>
        </w:rPr>
        <w:t>Ogrevanje destinacije lahko v splošnem ugodno vpliva na število obiskovalcev</w:t>
      </w:r>
      <w:bookmarkEnd w:id="332"/>
      <w:r>
        <w:rPr>
          <w:rFonts w:eastAsia="Calibri"/>
          <w:lang w:eastAsia="sl-SI"/>
        </w:rPr>
        <w:t xml:space="preserve">, saj je to pozitivno korelirano z višanjem fiziološkega ekvivalenta temperature, razen ko toplotna obremenitev postane velika oz. ekstremna, ko se število obiskovalcev zopet začne zmanjševati (Vrtačnik </w:t>
      </w:r>
      <w:proofErr w:type="spellStart"/>
      <w:r>
        <w:rPr>
          <w:rFonts w:eastAsia="Calibri"/>
          <w:lang w:eastAsia="sl-SI"/>
        </w:rPr>
        <w:t>Garbas</w:t>
      </w:r>
      <w:proofErr w:type="spellEnd"/>
      <w:r>
        <w:rPr>
          <w:rFonts w:eastAsia="Calibri"/>
          <w:lang w:eastAsia="sl-SI"/>
        </w:rPr>
        <w:t xml:space="preserve">, 2006). </w:t>
      </w:r>
      <w:r w:rsidRPr="00FE3350">
        <w:rPr>
          <w:shd w:val="clear" w:color="auto" w:fill="FFFFFF"/>
        </w:rPr>
        <w:t>Podnebnim spremembam so v največji meri neposredno izpostavljene turistične dejavnosti na prostem (prireditve, športno-rekreativne aktivnosti, spoznavanje kulturne in naravne dediščine na prostem) in infrastruktura na prostem, v veliki meri tudi turizem na podeželju.</w:t>
      </w:r>
      <w:r>
        <w:rPr>
          <w:shd w:val="clear" w:color="auto" w:fill="FFFFFF"/>
        </w:rPr>
        <w:t xml:space="preserve"> Podnebne spremembe bodo vplivale na turizem v destinaciji tudi preko spremenjenih pogojev za kmetijstvo in vpliva na ekosisteme. </w:t>
      </w:r>
    </w:p>
    <w:p w14:paraId="298ADA8D" w14:textId="77777777" w:rsidR="00747809" w:rsidRDefault="00747809" w:rsidP="00747809">
      <w:pPr>
        <w:rPr>
          <w:shd w:val="clear" w:color="auto" w:fill="FFFFFF"/>
        </w:rPr>
      </w:pPr>
      <w:r>
        <w:rPr>
          <w:shd w:val="clear" w:color="auto" w:fill="FFFFFF"/>
        </w:rPr>
        <w:t>Poleg tega se p</w:t>
      </w:r>
      <w:r w:rsidRPr="00662105">
        <w:rPr>
          <w:shd w:val="clear" w:color="auto" w:fill="FFFFFF"/>
        </w:rPr>
        <w:t>redvideva, da bodo podnebne spremembe povsod po svetu vplivale na konkurenčnost destinacij in povzročile pomembne spremembe turističnih tokov</w:t>
      </w:r>
      <w:r>
        <w:rPr>
          <w:b/>
          <w:bCs/>
          <w:shd w:val="clear" w:color="auto" w:fill="FFFFFF"/>
        </w:rPr>
        <w:t xml:space="preserve"> </w:t>
      </w:r>
      <w:r>
        <w:rPr>
          <w:shd w:val="clear" w:color="auto" w:fill="FFFFFF"/>
        </w:rPr>
        <w:t>(</w:t>
      </w:r>
      <w:proofErr w:type="spellStart"/>
      <w:r>
        <w:t>Climate</w:t>
      </w:r>
      <w:proofErr w:type="spellEnd"/>
      <w:r>
        <w:t xml:space="preserve"> </w:t>
      </w:r>
      <w:proofErr w:type="spellStart"/>
      <w:r>
        <w:t>Change</w:t>
      </w:r>
      <w:proofErr w:type="spellEnd"/>
      <w:r>
        <w:t xml:space="preserve">: </w:t>
      </w:r>
      <w:proofErr w:type="spellStart"/>
      <w:r>
        <w:t>Implications</w:t>
      </w:r>
      <w:proofErr w:type="spellEnd"/>
      <w:r>
        <w:t xml:space="preserve"> </w:t>
      </w:r>
      <w:proofErr w:type="spellStart"/>
      <w:r>
        <w:t>for</w:t>
      </w:r>
      <w:proofErr w:type="spellEnd"/>
      <w:r>
        <w:t xml:space="preserve"> </w:t>
      </w:r>
      <w:proofErr w:type="spellStart"/>
      <w:r>
        <w:t>Tourism</w:t>
      </w:r>
      <w:proofErr w:type="spellEnd"/>
      <w:r>
        <w:t>…</w:t>
      </w:r>
      <w:r>
        <w:rPr>
          <w:shd w:val="clear" w:color="auto" w:fill="FFFFFF"/>
        </w:rPr>
        <w:t xml:space="preserve">, 2014). Temu posrednemu vplivu bo izpostavljen tudi </w:t>
      </w:r>
      <w:r w:rsidRPr="00662105">
        <w:rPr>
          <w:shd w:val="clear" w:color="auto" w:fill="FFFFFF"/>
        </w:rPr>
        <w:t xml:space="preserve">turizem </w:t>
      </w:r>
      <w:r>
        <w:rPr>
          <w:shd w:val="clear" w:color="auto" w:fill="FFFFFF"/>
        </w:rPr>
        <w:t>v občini Nova Gorica.</w:t>
      </w:r>
    </w:p>
    <w:p w14:paraId="4EEF23FF" w14:textId="77777777" w:rsidR="00747809" w:rsidRPr="008A6826" w:rsidRDefault="00747809" w:rsidP="00747809">
      <w:pPr>
        <w:pStyle w:val="Naslov5"/>
        <w:rPr>
          <w:shd w:val="clear" w:color="auto" w:fill="FFFFFF"/>
        </w:rPr>
      </w:pPr>
      <w:bookmarkStart w:id="333" w:name="_Toc70554544"/>
      <w:bookmarkStart w:id="334" w:name="_Hlk42450611"/>
      <w:r w:rsidRPr="008A6826">
        <w:t>Dvig temperature zraka v vseh letnih časih in spremembe padavin</w:t>
      </w:r>
      <w:bookmarkEnd w:id="333"/>
    </w:p>
    <w:p w14:paraId="4744C022" w14:textId="77777777" w:rsidR="00747809" w:rsidRDefault="00747809" w:rsidP="00747809">
      <w:pPr>
        <w:rPr>
          <w:shd w:val="clear" w:color="auto" w:fill="FFFFFF"/>
        </w:rPr>
      </w:pPr>
      <w:r>
        <w:rPr>
          <w:shd w:val="clear" w:color="auto" w:fill="FFFFFF"/>
        </w:rPr>
        <w:t xml:space="preserve">V občini Nova Gorica se bo dvig temperature zraka v 21. stoletju nadaljeval v vseh letnih časih ne glede na scenarij izpustov toplogrednih plinov, ki se bo uresničil. </w:t>
      </w:r>
      <w:bookmarkEnd w:id="334"/>
      <w:r>
        <w:rPr>
          <w:shd w:val="clear" w:color="auto" w:fill="FFFFFF"/>
        </w:rPr>
        <w:t>Povprečna temperatura zraka v občini lahko v obdobju 2011―2040 zraste za nadaljnjih 0,8 °C, v naslednjem tridesetletnem obdobju pa bo lahko za 1,9 °C višja kot v referenčnem obdobju 1981</w:t>
      </w:r>
      <w:r w:rsidRPr="00B14994">
        <w:t>—</w:t>
      </w:r>
      <w:r>
        <w:rPr>
          <w:shd w:val="clear" w:color="auto" w:fill="FFFFFF"/>
        </w:rPr>
        <w:t xml:space="preserve">2010. Letna količina padavin se bo v destinaciji rahlo povečala, kar pa ne bo bistveno neposredno vplivalo na turizem, saj se tudi število dni s padavinami ne bo bistveno spremenilo. </w:t>
      </w:r>
    </w:p>
    <w:p w14:paraId="338BB1AB" w14:textId="77777777" w:rsidR="00747809" w:rsidRDefault="00747809" w:rsidP="00747809">
      <w:pPr>
        <w:rPr>
          <w:lang w:eastAsia="sl-SI"/>
        </w:rPr>
      </w:pPr>
      <w:bookmarkStart w:id="335" w:name="_Hlk42450654"/>
      <w:r w:rsidRPr="00A943BC">
        <w:rPr>
          <w:lang w:eastAsia="sl-SI"/>
        </w:rPr>
        <w:t>Zvišanje temperatur in predvidena sprememba padavinskega režima bo</w:t>
      </w:r>
      <w:r>
        <w:rPr>
          <w:lang w:eastAsia="sl-SI"/>
        </w:rPr>
        <w:t>sta</w:t>
      </w:r>
      <w:r w:rsidRPr="00A943BC">
        <w:rPr>
          <w:lang w:eastAsia="sl-SI"/>
        </w:rPr>
        <w:t xml:space="preserve"> vplival</w:t>
      </w:r>
      <w:r>
        <w:rPr>
          <w:lang w:eastAsia="sl-SI"/>
        </w:rPr>
        <w:t>i</w:t>
      </w:r>
      <w:r w:rsidRPr="00A943BC">
        <w:rPr>
          <w:lang w:eastAsia="sl-SI"/>
        </w:rPr>
        <w:t xml:space="preserve"> na kmetijsk</w:t>
      </w:r>
      <w:r>
        <w:rPr>
          <w:lang w:eastAsia="sl-SI"/>
        </w:rPr>
        <w:t>o</w:t>
      </w:r>
      <w:r w:rsidRPr="00A943BC">
        <w:rPr>
          <w:lang w:eastAsia="sl-SI"/>
        </w:rPr>
        <w:t xml:space="preserve"> </w:t>
      </w:r>
      <w:r>
        <w:rPr>
          <w:lang w:eastAsia="sl-SI"/>
        </w:rPr>
        <w:t>pridelavo</w:t>
      </w:r>
      <w:r w:rsidRPr="00A943BC">
        <w:rPr>
          <w:lang w:eastAsia="sl-SI"/>
        </w:rPr>
        <w:t xml:space="preserve"> in rastlinske posebnosti </w:t>
      </w:r>
      <w:r>
        <w:rPr>
          <w:lang w:eastAsia="sl-SI"/>
        </w:rPr>
        <w:t>v destinaciji</w:t>
      </w:r>
      <w:r w:rsidRPr="00A943BC">
        <w:rPr>
          <w:lang w:eastAsia="sl-SI"/>
        </w:rPr>
        <w:t xml:space="preserve">. </w:t>
      </w:r>
      <w:r>
        <w:rPr>
          <w:lang w:eastAsia="sl-SI"/>
        </w:rPr>
        <w:t>P</w:t>
      </w:r>
      <w:r w:rsidRPr="00A943BC">
        <w:rPr>
          <w:lang w:eastAsia="sl-SI"/>
        </w:rPr>
        <w:t xml:space="preserve">odnebnim spremembam </w:t>
      </w:r>
      <w:r>
        <w:rPr>
          <w:lang w:eastAsia="sl-SI"/>
        </w:rPr>
        <w:t>je zato močno</w:t>
      </w:r>
      <w:r w:rsidRPr="00A943BC">
        <w:rPr>
          <w:lang w:eastAsia="sl-SI"/>
        </w:rPr>
        <w:t xml:space="preserve"> izpostavljen </w:t>
      </w:r>
      <w:r>
        <w:rPr>
          <w:lang w:eastAsia="sl-SI"/>
        </w:rPr>
        <w:t>vinski turizem in kulinarična ponudba v celoti</w:t>
      </w:r>
      <w:r w:rsidRPr="00A943BC">
        <w:rPr>
          <w:lang w:eastAsia="sl-SI"/>
        </w:rPr>
        <w:t xml:space="preserve">. </w:t>
      </w:r>
      <w:r w:rsidRPr="008A6826">
        <w:rPr>
          <w:lang w:eastAsia="sl-SI"/>
        </w:rPr>
        <w:t xml:space="preserve">Spremenjeni klimatski pogoji lahko ogrozijo pridelavo oz. kakovost starih in redkih domačih vinskih sort ter </w:t>
      </w:r>
      <w:r w:rsidRPr="008A6826">
        <w:rPr>
          <w:shd w:val="clear" w:color="auto" w:fill="FFFFFF"/>
        </w:rPr>
        <w:t>sadja.</w:t>
      </w:r>
    </w:p>
    <w:p w14:paraId="112BB462" w14:textId="77777777" w:rsidR="00747809" w:rsidRPr="00C30235" w:rsidRDefault="00747809" w:rsidP="00747809">
      <w:pPr>
        <w:rPr>
          <w:shd w:val="clear" w:color="auto" w:fill="FFFFFF"/>
        </w:rPr>
      </w:pPr>
      <w:r w:rsidRPr="00C30235">
        <w:rPr>
          <w:shd w:val="clear" w:color="auto" w:fill="FFFFFF"/>
        </w:rPr>
        <w:t>Vino spada med najobčutljivejše kmetijske pridelke na podnebne spremembe. Že danes v nekaterih območji Evrope podnebne spremembe spreminjajo več stoletij stare tradicije in prakse. Na to, ali bo vpliv naraščajočih temperatur na proizvodnjo vina pozitiven ali negativen, bo pomembno vplival geografski položaj. Zaradi regionalnega segrevanja se bodo toplotne razmere za pridelavo grozdja in vina v višjih severnih širinah izboljševale. Nekatere vinorodne regije (npr. v južni Evropi) pa so optimalne toplotne razmere za trenutno gojene sorte že dosegle ali celo presegle (</w:t>
      </w:r>
      <w:proofErr w:type="spellStart"/>
      <w:r w:rsidRPr="00C30235">
        <w:rPr>
          <w:shd w:val="clear" w:color="auto" w:fill="FFFFFF"/>
        </w:rPr>
        <w:t>Neethling</w:t>
      </w:r>
      <w:proofErr w:type="spellEnd"/>
      <w:r w:rsidRPr="00C30235">
        <w:rPr>
          <w:shd w:val="clear" w:color="auto" w:fill="FFFFFF"/>
        </w:rPr>
        <w:t xml:space="preserve"> </w:t>
      </w:r>
      <w:r>
        <w:rPr>
          <w:shd w:val="clear" w:color="auto" w:fill="FFFFFF"/>
        </w:rPr>
        <w:t>in sod</w:t>
      </w:r>
      <w:r w:rsidRPr="00C30235">
        <w:rPr>
          <w:shd w:val="clear" w:color="auto" w:fill="FFFFFF"/>
        </w:rPr>
        <w:t xml:space="preserve">., 2016). Na podlagi teh trendov zaključimo, da </w:t>
      </w:r>
      <w:r w:rsidRPr="0053244C">
        <w:rPr>
          <w:shd w:val="clear" w:color="auto" w:fill="FFFFFF"/>
        </w:rPr>
        <w:t>se bodo nekatera območja s stoletno tradicijo vinogradništva, kot je npr. Vipavska dolina, lahko znašla v zaostreni konkurenci z novoustanovljenim vinogradniškimi industrijami.</w:t>
      </w:r>
      <w:r w:rsidRPr="00C30235">
        <w:rPr>
          <w:shd w:val="clear" w:color="auto" w:fill="FFFFFF"/>
        </w:rPr>
        <w:t xml:space="preserve"> </w:t>
      </w:r>
    </w:p>
    <w:p w14:paraId="54B3BD1C" w14:textId="77777777" w:rsidR="00747809" w:rsidRDefault="00747809" w:rsidP="00747809">
      <w:pPr>
        <w:rPr>
          <w:b/>
          <w:bCs/>
          <w:shd w:val="clear" w:color="auto" w:fill="FFFFFF"/>
        </w:rPr>
      </w:pPr>
      <w:r>
        <w:rPr>
          <w:shd w:val="clear" w:color="auto" w:fill="FFFFFF"/>
        </w:rPr>
        <w:t xml:space="preserve">Biotska raznovrstnost in značilni ekosistemi so del turistične ponudbe v destinaciji Nova Gorica, ki pa je izpostavljen prihodnjim podnebnim spremembam – dvigu temperature zraka, spremenjenim </w:t>
      </w:r>
      <w:r>
        <w:rPr>
          <w:shd w:val="clear" w:color="auto" w:fill="FFFFFF"/>
        </w:rPr>
        <w:lastRenderedPageBreak/>
        <w:t xml:space="preserve">padavinskim vzorcem in pogostejšim ekstremnim vremenskim dogodkom. </w:t>
      </w:r>
      <w:r w:rsidRPr="00694C00">
        <w:rPr>
          <w:shd w:val="clear" w:color="auto" w:fill="FFFFFF"/>
        </w:rPr>
        <w:t>S podnebnimi spremembami pogojeno poslabšanje stanja gozdov</w:t>
      </w:r>
      <w:r>
        <w:rPr>
          <w:shd w:val="clear" w:color="auto" w:fill="FFFFFF"/>
        </w:rPr>
        <w:t>, ki pokrivajo 70 % površine občine Nova Gorica (Stopnja gozdnatosti…, 2020),</w:t>
      </w:r>
      <w:r w:rsidRPr="00694C00">
        <w:rPr>
          <w:shd w:val="clear" w:color="auto" w:fill="FFFFFF"/>
        </w:rPr>
        <w:t xml:space="preserve"> in zmanjšanje biotske raznovrstnosti v destinaciji bi v prihodnosti lahko z zmanjšanjem ekosistemskih storitev kot so estetska, hidrološka, rekreacijska, varovanje pred erozijo ipd. poslabšalo pogoje za razvoj turizma.</w:t>
      </w:r>
      <w:r>
        <w:rPr>
          <w:b/>
          <w:bCs/>
          <w:shd w:val="clear" w:color="auto" w:fill="FFFFFF"/>
        </w:rPr>
        <w:t xml:space="preserve"> </w:t>
      </w:r>
    </w:p>
    <w:p w14:paraId="0E6ACD24" w14:textId="77777777" w:rsidR="00747809" w:rsidRPr="00694C00" w:rsidRDefault="00747809" w:rsidP="00747809">
      <w:pPr>
        <w:pStyle w:val="Naslov5"/>
        <w:rPr>
          <w:shd w:val="clear" w:color="auto" w:fill="FFFFFF"/>
        </w:rPr>
      </w:pPr>
      <w:r w:rsidRPr="00694C00">
        <w:rPr>
          <w:shd w:val="clear" w:color="auto" w:fill="FFFFFF"/>
        </w:rPr>
        <w:t>Vroča poletja</w:t>
      </w:r>
    </w:p>
    <w:p w14:paraId="324C9C1F" w14:textId="77777777" w:rsidR="00747809" w:rsidRDefault="00747809" w:rsidP="00747809">
      <w:pPr>
        <w:rPr>
          <w:rFonts w:cstheme="minorHAnsi"/>
          <w:shd w:val="clear" w:color="auto" w:fill="FFFFFF"/>
        </w:rPr>
      </w:pPr>
      <w:r w:rsidRPr="00F65296">
        <w:rPr>
          <w:rFonts w:cstheme="minorHAnsi"/>
          <w:shd w:val="clear" w:color="auto" w:fill="FFFFFF"/>
        </w:rPr>
        <w:t xml:space="preserve">Destinacija </w:t>
      </w:r>
      <w:r>
        <w:rPr>
          <w:rFonts w:cstheme="minorHAnsi"/>
          <w:shd w:val="clear" w:color="auto" w:fill="FFFFFF"/>
        </w:rPr>
        <w:t xml:space="preserve">Nova Gorica </w:t>
      </w:r>
      <w:r w:rsidRPr="00F65296">
        <w:rPr>
          <w:rFonts w:cstheme="minorHAnsi"/>
          <w:shd w:val="clear" w:color="auto" w:fill="FFFFFF"/>
        </w:rPr>
        <w:t xml:space="preserve">je izpostavljena ekstremnim poletnim temperaturam, saj v tem letnem času beleži največji turistični obisk, poleti se na prostem odvijajo prireditve in športno-rekreativne aktivnosti, kjer je ugodje obiskovalcev odvisno od temperature. </w:t>
      </w:r>
    </w:p>
    <w:p w14:paraId="400E1406" w14:textId="77777777" w:rsidR="00747809" w:rsidRDefault="00747809" w:rsidP="00747809">
      <w:pPr>
        <w:rPr>
          <w:rFonts w:cs="Calibri"/>
          <w:lang w:eastAsia="sl-SI"/>
        </w:rPr>
      </w:pPr>
      <w:bookmarkStart w:id="336" w:name="_Hlk41474772"/>
      <w:bookmarkStart w:id="337" w:name="_Hlk42450894"/>
      <w:r w:rsidRPr="00F65296">
        <w:rPr>
          <w:rFonts w:cs="Calibri"/>
          <w:lang w:eastAsia="sl-SI"/>
        </w:rPr>
        <w:t xml:space="preserve">Poletna povprečna dnevna najvišja temperatura </w:t>
      </w:r>
      <w:bookmarkEnd w:id="336"/>
      <w:r w:rsidRPr="00F65296">
        <w:rPr>
          <w:rFonts w:cs="Calibri"/>
          <w:lang w:eastAsia="sl-SI"/>
        </w:rPr>
        <w:t xml:space="preserve">v destinaciji </w:t>
      </w:r>
      <w:r>
        <w:rPr>
          <w:rFonts w:cs="Calibri"/>
          <w:lang w:eastAsia="sl-SI"/>
        </w:rPr>
        <w:t>Nova Gorica</w:t>
      </w:r>
      <w:r w:rsidRPr="00F65296">
        <w:rPr>
          <w:rFonts w:cs="Calibri"/>
          <w:lang w:eastAsia="sl-SI"/>
        </w:rPr>
        <w:t xml:space="preserve"> se bo v prihodnosti dvignila (v obdobju 2041</w:t>
      </w:r>
      <w:r>
        <w:rPr>
          <w:rFonts w:cs="Calibri"/>
          <w:lang w:eastAsia="sl-SI"/>
        </w:rPr>
        <w:t>―</w:t>
      </w:r>
      <w:r w:rsidRPr="00F65296">
        <w:rPr>
          <w:rFonts w:cs="Calibri"/>
          <w:lang w:eastAsia="sl-SI"/>
        </w:rPr>
        <w:t xml:space="preserve">2070 bo v primeru pesimističnega scenarija za </w:t>
      </w:r>
      <w:r>
        <w:rPr>
          <w:rFonts w:cs="Calibri"/>
          <w:lang w:eastAsia="sl-SI"/>
        </w:rPr>
        <w:t>2</w:t>
      </w:r>
      <w:r w:rsidRPr="00F65296">
        <w:rPr>
          <w:rFonts w:cs="Calibri"/>
          <w:lang w:eastAsia="sl-SI"/>
        </w:rPr>
        <w:t xml:space="preserve"> </w:t>
      </w:r>
      <w:bookmarkStart w:id="338" w:name="_Hlk70876011"/>
      <w:r w:rsidRPr="00F65296">
        <w:rPr>
          <w:rFonts w:cs="Calibri"/>
          <w:lang w:eastAsia="sl-SI"/>
        </w:rPr>
        <w:sym w:font="Symbol" w:char="F0B0"/>
      </w:r>
      <w:r w:rsidRPr="00F65296">
        <w:rPr>
          <w:rFonts w:cs="Calibri"/>
          <w:lang w:eastAsia="sl-SI"/>
        </w:rPr>
        <w:t>C</w:t>
      </w:r>
      <w:bookmarkEnd w:id="338"/>
      <w:r w:rsidRPr="00F65296">
        <w:rPr>
          <w:rFonts w:cs="Calibri"/>
          <w:lang w:eastAsia="sl-SI"/>
        </w:rPr>
        <w:t xml:space="preserve"> višja kot v referenčnem obdobju)</w:t>
      </w:r>
      <w:r>
        <w:rPr>
          <w:rFonts w:cs="Calibri"/>
          <w:lang w:eastAsia="sl-SI"/>
        </w:rPr>
        <w:t xml:space="preserve"> in</w:t>
      </w:r>
      <w:r w:rsidRPr="00F65296">
        <w:rPr>
          <w:rFonts w:cs="Calibri"/>
          <w:lang w:eastAsia="sl-SI"/>
        </w:rPr>
        <w:t xml:space="preserve"> </w:t>
      </w:r>
      <w:bookmarkStart w:id="339" w:name="_Hlk41474809"/>
      <w:r>
        <w:rPr>
          <w:rFonts w:cs="Calibri"/>
          <w:lang w:eastAsia="sl-SI"/>
        </w:rPr>
        <w:t>bo</w:t>
      </w:r>
      <w:r w:rsidRPr="00F65296">
        <w:rPr>
          <w:rFonts w:cs="Calibri"/>
          <w:lang w:eastAsia="sl-SI"/>
        </w:rPr>
        <w:t xml:space="preserve"> v območju </w:t>
      </w:r>
      <w:r>
        <w:rPr>
          <w:rFonts w:cs="Calibri"/>
          <w:lang w:eastAsia="sl-SI"/>
        </w:rPr>
        <w:t>zmerne</w:t>
      </w:r>
      <w:r w:rsidRPr="00F65296">
        <w:rPr>
          <w:rFonts w:cs="Calibri"/>
          <w:lang w:eastAsia="sl-SI"/>
        </w:rPr>
        <w:t xml:space="preserve"> toplotne obremenitve za ljudi</w:t>
      </w:r>
      <w:r w:rsidRPr="003378AA">
        <w:rPr>
          <w:rFonts w:cs="Calibri"/>
          <w:lang w:eastAsia="sl-SI"/>
        </w:rPr>
        <w:t xml:space="preserve"> </w:t>
      </w:r>
      <w:bookmarkEnd w:id="339"/>
      <w:r w:rsidRPr="003378AA">
        <w:rPr>
          <w:rFonts w:cs="Calibri"/>
          <w:lang w:eastAsia="sl-SI"/>
        </w:rPr>
        <w:t>(okrog 2</w:t>
      </w:r>
      <w:r>
        <w:rPr>
          <w:rFonts w:cs="Calibri"/>
          <w:lang w:eastAsia="sl-SI"/>
        </w:rPr>
        <w:t>7</w:t>
      </w:r>
      <w:r w:rsidRPr="003378AA">
        <w:rPr>
          <w:rFonts w:cs="Calibri"/>
          <w:lang w:eastAsia="sl-SI"/>
        </w:rPr>
        <w:t xml:space="preserve"> </w:t>
      </w:r>
      <w:r w:rsidRPr="00F65296">
        <w:rPr>
          <w:rFonts w:cs="Calibri"/>
          <w:lang w:eastAsia="sl-SI"/>
        </w:rPr>
        <w:sym w:font="Symbol" w:char="F0B0"/>
      </w:r>
      <w:r w:rsidRPr="00F65296">
        <w:rPr>
          <w:rFonts w:cs="Calibri"/>
          <w:lang w:eastAsia="sl-SI"/>
        </w:rPr>
        <w:t>C</w:t>
      </w:r>
      <w:r w:rsidRPr="003378AA">
        <w:rPr>
          <w:rFonts w:cs="Calibri"/>
          <w:lang w:eastAsia="sl-SI"/>
        </w:rPr>
        <w:t>).</w:t>
      </w:r>
      <w:bookmarkEnd w:id="337"/>
      <w:r w:rsidRPr="003378AA">
        <w:rPr>
          <w:rFonts w:cs="Calibri"/>
          <w:lang w:eastAsia="sl-SI"/>
        </w:rPr>
        <w:t xml:space="preserve"> Število vročinskih valov bo v prihodnosti večje (v obdobju 2041</w:t>
      </w:r>
      <w:r>
        <w:rPr>
          <w:rFonts w:cs="Calibri"/>
          <w:lang w:eastAsia="sl-SI"/>
        </w:rPr>
        <w:t>―</w:t>
      </w:r>
      <w:r w:rsidRPr="003378AA">
        <w:rPr>
          <w:rFonts w:cs="Calibri"/>
          <w:lang w:eastAsia="sl-SI"/>
        </w:rPr>
        <w:t xml:space="preserve">2070 povprečno </w:t>
      </w:r>
      <w:r>
        <w:rPr>
          <w:rFonts w:cs="Calibri"/>
          <w:lang w:eastAsia="sl-SI"/>
        </w:rPr>
        <w:t>7</w:t>
      </w:r>
      <w:r w:rsidRPr="003378AA">
        <w:rPr>
          <w:rFonts w:cs="Calibri"/>
          <w:lang w:eastAsia="sl-SI"/>
        </w:rPr>
        <w:t xml:space="preserve"> vročinskih valov na poletje), vendar bodo še vedno </w:t>
      </w:r>
      <w:r>
        <w:rPr>
          <w:rFonts w:cs="Calibri"/>
          <w:lang w:eastAsia="sl-SI"/>
        </w:rPr>
        <w:t xml:space="preserve">relativno </w:t>
      </w:r>
      <w:r w:rsidRPr="003378AA">
        <w:rPr>
          <w:rFonts w:cs="Calibri"/>
          <w:lang w:eastAsia="sl-SI"/>
        </w:rPr>
        <w:t>kratki (</w:t>
      </w:r>
      <w:r>
        <w:rPr>
          <w:rFonts w:cs="Calibri"/>
          <w:lang w:eastAsia="sl-SI"/>
        </w:rPr>
        <w:t>5</w:t>
      </w:r>
      <w:r w:rsidRPr="003378AA">
        <w:rPr>
          <w:rFonts w:cs="Calibri"/>
          <w:lang w:eastAsia="sl-SI"/>
        </w:rPr>
        <w:t xml:space="preserve"> dni). </w:t>
      </w:r>
      <w:r>
        <w:rPr>
          <w:rFonts w:cs="Calibri"/>
          <w:lang w:eastAsia="sl-SI"/>
        </w:rPr>
        <w:t xml:space="preserve">Število vročih dni, ko temperatura preseže 30 </w:t>
      </w:r>
      <w:r w:rsidRPr="003378AA">
        <w:rPr>
          <w:rFonts w:cs="Calibri"/>
          <w:lang w:eastAsia="sl-SI"/>
        </w:rPr>
        <w:sym w:font="Symbol" w:char="F0B0"/>
      </w:r>
      <w:r w:rsidRPr="003378AA">
        <w:rPr>
          <w:rFonts w:cs="Calibri"/>
          <w:lang w:eastAsia="sl-SI"/>
        </w:rPr>
        <w:t>C</w:t>
      </w:r>
      <w:r>
        <w:rPr>
          <w:rFonts w:cs="Calibri"/>
          <w:lang w:eastAsia="sl-SI"/>
        </w:rPr>
        <w:t xml:space="preserve">, se bo povečevalo (sredi stoletja jih bo lahko 30 na poletje). </w:t>
      </w:r>
      <w:r w:rsidRPr="003378AA">
        <w:rPr>
          <w:rFonts w:cs="Calibri"/>
          <w:lang w:eastAsia="sl-SI"/>
        </w:rPr>
        <w:t xml:space="preserve">Število tropskih noči, ko temperatura ponoči ne pade pod 20 °C, se bo sredi stoletja </w:t>
      </w:r>
      <w:r>
        <w:rPr>
          <w:rFonts w:cs="Calibri"/>
          <w:lang w:eastAsia="sl-SI"/>
        </w:rPr>
        <w:t xml:space="preserve">močno </w:t>
      </w:r>
      <w:r w:rsidRPr="003378AA">
        <w:rPr>
          <w:rFonts w:cs="Calibri"/>
          <w:lang w:eastAsia="sl-SI"/>
        </w:rPr>
        <w:t>povečalo</w:t>
      </w:r>
      <w:r>
        <w:rPr>
          <w:rFonts w:cs="Calibri"/>
          <w:lang w:eastAsia="sl-SI"/>
        </w:rPr>
        <w:t xml:space="preserve"> </w:t>
      </w:r>
      <w:r w:rsidRPr="003378AA">
        <w:rPr>
          <w:rFonts w:cs="Calibri"/>
          <w:lang w:eastAsia="sl-SI"/>
        </w:rPr>
        <w:t xml:space="preserve">(do </w:t>
      </w:r>
      <w:r>
        <w:rPr>
          <w:rFonts w:cs="Calibri"/>
          <w:lang w:eastAsia="sl-SI"/>
        </w:rPr>
        <w:t>13</w:t>
      </w:r>
      <w:r w:rsidRPr="003378AA">
        <w:rPr>
          <w:rFonts w:cs="Calibri"/>
          <w:lang w:eastAsia="sl-SI"/>
        </w:rPr>
        <w:t xml:space="preserve"> noči na poletje). </w:t>
      </w:r>
      <w:r>
        <w:rPr>
          <w:rFonts w:cs="Calibri"/>
          <w:lang w:eastAsia="sl-SI"/>
        </w:rPr>
        <w:t>Število dni, ko je kazalnik vročine EHF pozitiven, se bo prav tako močno povečalo in bo v obdobju 2041―2070 lahko doseglo 44, kar je 28 dni več kot v referenčnem obdobju.</w:t>
      </w:r>
    </w:p>
    <w:p w14:paraId="7722FDF2" w14:textId="77777777" w:rsidR="00747809" w:rsidRDefault="00747809" w:rsidP="00747809">
      <w:pPr>
        <w:rPr>
          <w:shd w:val="clear" w:color="auto" w:fill="FFFFFF"/>
        </w:rPr>
      </w:pPr>
      <w:r>
        <w:rPr>
          <w:rFonts w:cstheme="minorHAnsi"/>
          <w:shd w:val="clear" w:color="auto" w:fill="FFFFFF"/>
        </w:rPr>
        <w:t>Poletni vročini je posebej izpostavljen turizem v mestu Nova Gorica, saj učinek toplotnega otoka v urbanem okolju dodatno povečuje toplotno obremenitev ljudi.</w:t>
      </w:r>
      <w:r w:rsidRPr="001B46FC">
        <w:rPr>
          <w:shd w:val="clear" w:color="auto" w:fill="FFFFFF"/>
        </w:rPr>
        <w:t xml:space="preserve"> </w:t>
      </w:r>
      <w:r>
        <w:rPr>
          <w:shd w:val="clear" w:color="auto" w:fill="FFFFFF"/>
        </w:rPr>
        <w:t xml:space="preserve">Poletja v mestu Nova Gorica so bila že v referenčnem obdobju za skoraj 2 </w:t>
      </w:r>
      <w:r w:rsidRPr="003378AA">
        <w:rPr>
          <w:rFonts w:cs="Calibri"/>
          <w:lang w:eastAsia="sl-SI"/>
        </w:rPr>
        <w:sym w:font="Symbol" w:char="F0B0"/>
      </w:r>
      <w:r w:rsidRPr="003378AA">
        <w:rPr>
          <w:rFonts w:cs="Calibri"/>
          <w:lang w:eastAsia="sl-SI"/>
        </w:rPr>
        <w:t>C</w:t>
      </w:r>
      <w:r>
        <w:rPr>
          <w:shd w:val="clear" w:color="auto" w:fill="FFFFFF"/>
        </w:rPr>
        <w:t xml:space="preserve">  toplejša od povprečja občine. </w:t>
      </w:r>
    </w:p>
    <w:p w14:paraId="14752FF7" w14:textId="77777777" w:rsidR="00747809" w:rsidRDefault="00747809" w:rsidP="00747809">
      <w:pPr>
        <w:rPr>
          <w:shd w:val="clear" w:color="auto" w:fill="FFFFFF"/>
        </w:rPr>
      </w:pPr>
      <w:r>
        <w:rPr>
          <w:shd w:val="clear" w:color="auto" w:fill="FFFFFF"/>
        </w:rPr>
        <w:t>Z</w:t>
      </w:r>
      <w:r w:rsidRPr="00E517AC">
        <w:rPr>
          <w:shd w:val="clear" w:color="auto" w:fill="FFFFFF"/>
        </w:rPr>
        <w:t xml:space="preserve"> naraščajočimi temperaturami </w:t>
      </w:r>
      <w:r w:rsidRPr="00694C00">
        <w:rPr>
          <w:shd w:val="clear" w:color="auto" w:fill="FFFFFF"/>
        </w:rPr>
        <w:t>se bodo stopnjevali tudi negativni vplivi vročinskega stresa na delovnem mestu na zdravje in produktivnost turističnih delavcev.</w:t>
      </w:r>
      <w:r w:rsidRPr="00406F92">
        <w:rPr>
          <w:sz w:val="20"/>
          <w:szCs w:val="20"/>
        </w:rPr>
        <w:t xml:space="preserve">  </w:t>
      </w:r>
    </w:p>
    <w:p w14:paraId="6EBDE4BA" w14:textId="77777777" w:rsidR="00747809" w:rsidRPr="00C544B5" w:rsidRDefault="00747809" w:rsidP="00747809">
      <w:r w:rsidRPr="00C544B5">
        <w:rPr>
          <w:shd w:val="clear" w:color="auto" w:fill="FFFFFF"/>
        </w:rPr>
        <w:t>Višje</w:t>
      </w:r>
      <w:r>
        <w:rPr>
          <w:b/>
          <w:bCs/>
          <w:shd w:val="clear" w:color="auto" w:fill="FFFFFF"/>
        </w:rPr>
        <w:t xml:space="preserve"> </w:t>
      </w:r>
      <w:r w:rsidRPr="00C544B5">
        <w:rPr>
          <w:shd w:val="clear" w:color="auto" w:fill="FFFFFF"/>
        </w:rPr>
        <w:t xml:space="preserve">temperature </w:t>
      </w:r>
      <w:r>
        <w:rPr>
          <w:shd w:val="clear" w:color="auto" w:fill="FFFFFF"/>
        </w:rPr>
        <w:t>bodo</w:t>
      </w:r>
      <w:r w:rsidRPr="00C544B5">
        <w:rPr>
          <w:shd w:val="clear" w:color="auto" w:fill="FFFFFF"/>
        </w:rPr>
        <w:t xml:space="preserve"> tudi </w:t>
      </w:r>
      <w:r>
        <w:rPr>
          <w:shd w:val="clear" w:color="auto" w:fill="FFFFFF"/>
        </w:rPr>
        <w:t xml:space="preserve">povečale </w:t>
      </w:r>
      <w:r w:rsidRPr="00694C00">
        <w:rPr>
          <w:shd w:val="clear" w:color="auto" w:fill="FFFFFF"/>
        </w:rPr>
        <w:t>potrebe po hlajenju v stavbah</w:t>
      </w:r>
      <w:r w:rsidRPr="00C544B5">
        <w:rPr>
          <w:shd w:val="clear" w:color="auto" w:fill="FFFFFF"/>
        </w:rPr>
        <w:t xml:space="preserve">, kot so turistične namestitve, gostinski obrati, muzeji ipd. in </w:t>
      </w:r>
      <w:r>
        <w:rPr>
          <w:shd w:val="clear" w:color="auto" w:fill="FFFFFF"/>
        </w:rPr>
        <w:t>s tem</w:t>
      </w:r>
      <w:r w:rsidRPr="00C544B5">
        <w:rPr>
          <w:shd w:val="clear" w:color="auto" w:fill="FFFFFF"/>
        </w:rPr>
        <w:t xml:space="preserve"> stroške turističnih ponudnikov.</w:t>
      </w:r>
      <w:r>
        <w:rPr>
          <w:shd w:val="clear" w:color="auto" w:fill="FFFFFF"/>
        </w:rPr>
        <w:t xml:space="preserve"> </w:t>
      </w:r>
    </w:p>
    <w:bookmarkEnd w:id="335"/>
    <w:p w14:paraId="05FCB726" w14:textId="77777777" w:rsidR="00747809" w:rsidRDefault="00747809" w:rsidP="00747809">
      <w:pPr>
        <w:rPr>
          <w:rFonts w:cstheme="minorHAnsi"/>
          <w:shd w:val="clear" w:color="auto" w:fill="FFFFFF"/>
        </w:rPr>
      </w:pPr>
      <w:r>
        <w:rPr>
          <w:rFonts w:cstheme="minorHAnsi"/>
          <w:shd w:val="clear" w:color="auto" w:fill="FFFFFF"/>
        </w:rPr>
        <w:t xml:space="preserve">Z višanjem temperature se v prihodnosti (tudi zaradi razvoja turizma) lahko povečajo potrebe po oskrbi z vodo in s tem vodni stres na vire pitne vode. </w:t>
      </w:r>
      <w:r>
        <w:t>Poletna vročina tudi povečuje nevarnost pojavljanja požarov v naravnem okolju.</w:t>
      </w:r>
    </w:p>
    <w:p w14:paraId="4B0ADEC8" w14:textId="77777777" w:rsidR="00747809" w:rsidRPr="004717B1" w:rsidRDefault="00747809" w:rsidP="00747809">
      <w:pPr>
        <w:rPr>
          <w:rFonts w:asciiTheme="minorHAnsi" w:hAnsiTheme="minorHAnsi" w:cs="SSFranklinGothic-BookOblique"/>
          <w:sz w:val="18"/>
          <w:szCs w:val="18"/>
        </w:rPr>
      </w:pPr>
      <w:r>
        <w:rPr>
          <w:shd w:val="clear" w:color="auto" w:fill="FFFFFF"/>
        </w:rPr>
        <w:t xml:space="preserve">Z naraščajočimi poletnimi temperaturami se v naslednjih desetletjih pričakujejo pomembne spremembe turističnih tokov v Evropi. Vremenski pogoji za obalni turizem se bodo izboljšali v številnih severnejših delih Evrope in konkurenca med destinacijami se bo povečala. Nekatere sredozemske destinacije bodo poleti postale prevroče, da bi bile še prijetne za turizem in </w:t>
      </w:r>
      <w:r w:rsidRPr="00694C00">
        <w:rPr>
          <w:shd w:val="clear" w:color="auto" w:fill="FFFFFF"/>
        </w:rPr>
        <w:t>bodo izpad poletnega turističnega obiska poskušale kompenzirati s podaljšanjem sezone v pomlad in jesen.</w:t>
      </w:r>
      <w:r>
        <w:rPr>
          <w:shd w:val="clear" w:color="auto" w:fill="FFFFFF"/>
        </w:rPr>
        <w:t xml:space="preserve"> (</w:t>
      </w:r>
      <w:proofErr w:type="spellStart"/>
      <w:r w:rsidRPr="00547347">
        <w:rPr>
          <w:rFonts w:cstheme="minorHAnsi"/>
          <w:iCs/>
        </w:rPr>
        <w:t>Grillakis</w:t>
      </w:r>
      <w:proofErr w:type="spellEnd"/>
      <w:r>
        <w:rPr>
          <w:rFonts w:cstheme="minorHAnsi"/>
          <w:iCs/>
        </w:rPr>
        <w:t xml:space="preserve"> in sod., 2016</w:t>
      </w:r>
      <w:r>
        <w:t>)</w:t>
      </w:r>
    </w:p>
    <w:p w14:paraId="7B117E69" w14:textId="77777777" w:rsidR="00747809" w:rsidRDefault="00747809" w:rsidP="00747809">
      <w:pPr>
        <w:rPr>
          <w:shd w:val="clear" w:color="auto" w:fill="FFFFFF"/>
        </w:rPr>
      </w:pPr>
      <w:bookmarkStart w:id="340" w:name="_Hlk42450768"/>
      <w:r w:rsidRPr="00296178">
        <w:rPr>
          <w:shd w:val="clear" w:color="auto" w:fill="FFFFFF"/>
        </w:rPr>
        <w:t xml:space="preserve">V povečani konkurenci zaradi novih poletnih turističnih destinacij </w:t>
      </w:r>
      <w:r w:rsidRPr="0030050A">
        <w:rPr>
          <w:shd w:val="clear" w:color="auto" w:fill="FFFFFF"/>
        </w:rPr>
        <w:t>se predvideva povečanje števila gostov in nočitev v poletnem času v območjih z zmernimi temperaturami, ob vodnih virih in kopališčih</w:t>
      </w:r>
      <w:r>
        <w:rPr>
          <w:shd w:val="clear" w:color="auto" w:fill="FFFFFF"/>
        </w:rPr>
        <w:t xml:space="preserve">. </w:t>
      </w:r>
      <w:r>
        <w:rPr>
          <w:rFonts w:eastAsia="Calibri" w:cstheme="minorHAnsi"/>
          <w:lang w:eastAsia="sl-SI"/>
        </w:rPr>
        <w:t xml:space="preserve">Poletja v občini Nova Gorica so bila že v referenčnem obdobju glede na povprečje Slovenije precej vroča. Poletna vročina se bo v prihodnosti še stopnjevala, kar bi </w:t>
      </w:r>
      <w:r>
        <w:rPr>
          <w:shd w:val="clear" w:color="auto" w:fill="FFFFFF"/>
        </w:rPr>
        <w:t xml:space="preserve">lahko zmanjšajo privlačnost destinacije za aktivnosti na prostem v mestu in v naravi. </w:t>
      </w:r>
      <w:r>
        <w:rPr>
          <w:rFonts w:eastAsia="Calibri" w:cstheme="minorHAnsi"/>
          <w:lang w:eastAsia="sl-SI"/>
        </w:rPr>
        <w:t>N</w:t>
      </w:r>
      <w:r w:rsidRPr="000719E7">
        <w:rPr>
          <w:shd w:val="clear" w:color="auto" w:fill="FFFFFF"/>
        </w:rPr>
        <w:t xml:space="preserve">araščala </w:t>
      </w:r>
      <w:r>
        <w:rPr>
          <w:shd w:val="clear" w:color="auto" w:fill="FFFFFF"/>
        </w:rPr>
        <w:t xml:space="preserve">bo potreba po razvoju prilagojene poletne turistične ponudbe </w:t>
      </w:r>
      <w:r w:rsidRPr="00EA4E25">
        <w:rPr>
          <w:shd w:val="clear" w:color="auto" w:fill="FFFFFF"/>
        </w:rPr>
        <w:t xml:space="preserve">npr. </w:t>
      </w:r>
      <w:r>
        <w:rPr>
          <w:shd w:val="clear" w:color="auto" w:fill="FFFFFF"/>
        </w:rPr>
        <w:t xml:space="preserve">ob vodnih virih </w:t>
      </w:r>
      <w:r w:rsidRPr="00EA4E25">
        <w:rPr>
          <w:shd w:val="clear" w:color="auto" w:fill="FFFFFF"/>
        </w:rPr>
        <w:t xml:space="preserve">in </w:t>
      </w:r>
      <w:r>
        <w:rPr>
          <w:shd w:val="clear" w:color="auto" w:fill="FFFFFF"/>
        </w:rPr>
        <w:t xml:space="preserve">nadaljnji razvoj od vremena neodvisne ponudbe npr. </w:t>
      </w:r>
      <w:r w:rsidRPr="00EA4E25">
        <w:rPr>
          <w:shd w:val="clear" w:color="auto" w:fill="FFFFFF"/>
        </w:rPr>
        <w:t xml:space="preserve">v zaprtih </w:t>
      </w:r>
      <w:r>
        <w:rPr>
          <w:shd w:val="clear" w:color="auto" w:fill="FFFFFF"/>
        </w:rPr>
        <w:t xml:space="preserve">(klimatiziranih) </w:t>
      </w:r>
      <w:r w:rsidRPr="00EA4E25">
        <w:rPr>
          <w:shd w:val="clear" w:color="auto" w:fill="FFFFFF"/>
        </w:rPr>
        <w:t>prostorih.</w:t>
      </w:r>
      <w:r>
        <w:rPr>
          <w:shd w:val="clear" w:color="auto" w:fill="FFFFFF"/>
        </w:rPr>
        <w:t xml:space="preserve"> Lahko se tudi </w:t>
      </w:r>
      <w:r w:rsidRPr="00694C00">
        <w:rPr>
          <w:shd w:val="clear" w:color="auto" w:fill="FFFFFF"/>
        </w:rPr>
        <w:t xml:space="preserve">poveča pritisk na </w:t>
      </w:r>
      <w:r w:rsidRPr="00694C00">
        <w:rPr>
          <w:shd w:val="clear" w:color="auto" w:fill="FFFFFF"/>
        </w:rPr>
        <w:lastRenderedPageBreak/>
        <w:t>hladnejša višje ležeča območja, k</w:t>
      </w:r>
      <w:r>
        <w:rPr>
          <w:shd w:val="clear" w:color="auto" w:fill="FFFFFF"/>
        </w:rPr>
        <w:t>jer</w:t>
      </w:r>
      <w:r w:rsidRPr="00694C00">
        <w:rPr>
          <w:shd w:val="clear" w:color="auto" w:fill="FFFFFF"/>
        </w:rPr>
        <w:t xml:space="preserve"> so v občini </w:t>
      </w:r>
      <w:r>
        <w:rPr>
          <w:shd w:val="clear" w:color="auto" w:fill="FFFFFF"/>
        </w:rPr>
        <w:t>Nova Gorica nekatera</w:t>
      </w:r>
      <w:r w:rsidRPr="00694C00">
        <w:rPr>
          <w:shd w:val="clear" w:color="auto" w:fill="FFFFFF"/>
        </w:rPr>
        <w:t xml:space="preserve"> občutljiva območja varovane narave</w:t>
      </w:r>
      <w:r>
        <w:rPr>
          <w:shd w:val="clear" w:color="auto" w:fill="FFFFFF"/>
        </w:rPr>
        <w:t>.</w:t>
      </w:r>
      <w:bookmarkEnd w:id="340"/>
    </w:p>
    <w:p w14:paraId="692B8797" w14:textId="77777777" w:rsidR="00747809" w:rsidRPr="0030050A" w:rsidRDefault="00747809" w:rsidP="00747809">
      <w:pPr>
        <w:pStyle w:val="Naslov5"/>
        <w:rPr>
          <w:shd w:val="clear" w:color="auto" w:fill="FFFFFF"/>
        </w:rPr>
      </w:pPr>
      <w:r>
        <w:rPr>
          <w:shd w:val="clear" w:color="auto" w:fill="FFFFFF"/>
        </w:rPr>
        <w:t>Toplejše pomladi in jeseni</w:t>
      </w:r>
    </w:p>
    <w:p w14:paraId="45FD9907" w14:textId="77777777" w:rsidR="00747809" w:rsidRPr="0046276D" w:rsidRDefault="00747809" w:rsidP="00747809">
      <w:pPr>
        <w:rPr>
          <w:color w:val="000000"/>
          <w:szCs w:val="24"/>
          <w:lang w:eastAsia="sl-SI"/>
        </w:rPr>
      </w:pPr>
      <w:r w:rsidRPr="0046276D">
        <w:rPr>
          <w:lang w:eastAsia="sl-SI"/>
        </w:rPr>
        <w:t xml:space="preserve">Pomladi </w:t>
      </w:r>
      <w:r>
        <w:rPr>
          <w:lang w:eastAsia="sl-SI"/>
        </w:rPr>
        <w:t xml:space="preserve">v destinaciji </w:t>
      </w:r>
      <w:r w:rsidRPr="0046276D">
        <w:rPr>
          <w:lang w:eastAsia="sl-SI"/>
        </w:rPr>
        <w:t xml:space="preserve">bodo v bližnji prihodnosti lahko toplejše v povprečju za </w:t>
      </w:r>
      <w:r>
        <w:rPr>
          <w:lang w:eastAsia="sl-SI"/>
        </w:rPr>
        <w:t>0,6</w:t>
      </w:r>
      <w:r w:rsidRPr="0046276D">
        <w:rPr>
          <w:lang w:eastAsia="sl-SI"/>
        </w:rPr>
        <w:t xml:space="preserve"> </w:t>
      </w:r>
      <w:r w:rsidRPr="0046276D">
        <w:rPr>
          <w:lang w:eastAsia="sl-SI"/>
        </w:rPr>
        <w:sym w:font="Symbol" w:char="F0B0"/>
      </w:r>
      <w:r w:rsidRPr="0046276D">
        <w:rPr>
          <w:lang w:eastAsia="sl-SI"/>
        </w:rPr>
        <w:t xml:space="preserve">C, sredi stoletja pa </w:t>
      </w:r>
      <w:r>
        <w:rPr>
          <w:lang w:eastAsia="sl-SI"/>
        </w:rPr>
        <w:t>za</w:t>
      </w:r>
      <w:r w:rsidRPr="0046276D">
        <w:rPr>
          <w:lang w:eastAsia="sl-SI"/>
        </w:rPr>
        <w:t xml:space="preserve"> 1,</w:t>
      </w:r>
      <w:r>
        <w:rPr>
          <w:lang w:eastAsia="sl-SI"/>
        </w:rPr>
        <w:t>6 </w:t>
      </w:r>
      <w:r w:rsidRPr="0046276D">
        <w:rPr>
          <w:lang w:eastAsia="sl-SI"/>
        </w:rPr>
        <w:sym w:font="Symbol" w:char="F0B0"/>
      </w:r>
      <w:r w:rsidRPr="0046276D">
        <w:rPr>
          <w:lang w:eastAsia="sl-SI"/>
        </w:rPr>
        <w:t>C glede na referenčno obdobje. Količina spomladanskih padavin se bo v prihodnosti lahko nekoliko povečala (sredi stoletja je lahko za 1</w:t>
      </w:r>
      <w:r>
        <w:rPr>
          <w:lang w:eastAsia="sl-SI"/>
        </w:rPr>
        <w:t>3</w:t>
      </w:r>
      <w:r w:rsidRPr="0046276D">
        <w:rPr>
          <w:lang w:eastAsia="sl-SI"/>
        </w:rPr>
        <w:t xml:space="preserve"> % večja kot v referenčnem obdobju)</w:t>
      </w:r>
      <w:r>
        <w:rPr>
          <w:lang w:eastAsia="sl-SI"/>
        </w:rPr>
        <w:t>, število dni s padavinami pa se ne bo spremenilo</w:t>
      </w:r>
      <w:r w:rsidRPr="0046276D">
        <w:rPr>
          <w:lang w:eastAsia="sl-SI"/>
        </w:rPr>
        <w:t xml:space="preserve">. Še bolj se bodo ogrele jeseni, ko bo povprečna temperatura v bližnji prihodnosti lahko višja za </w:t>
      </w:r>
      <w:r>
        <w:rPr>
          <w:lang w:eastAsia="sl-SI"/>
        </w:rPr>
        <w:t>0,8</w:t>
      </w:r>
      <w:r w:rsidRPr="0046276D">
        <w:rPr>
          <w:lang w:eastAsia="sl-SI"/>
        </w:rPr>
        <w:t xml:space="preserve"> </w:t>
      </w:r>
      <w:r w:rsidRPr="0046276D">
        <w:rPr>
          <w:lang w:eastAsia="sl-SI"/>
        </w:rPr>
        <w:sym w:font="Symbol" w:char="F0B0"/>
      </w:r>
      <w:r w:rsidRPr="0046276D">
        <w:rPr>
          <w:lang w:eastAsia="sl-SI"/>
        </w:rPr>
        <w:t>C, sredi stoletja pa za 2</w:t>
      </w:r>
      <w:r>
        <w:rPr>
          <w:lang w:eastAsia="sl-SI"/>
        </w:rPr>
        <w:t>,2</w:t>
      </w:r>
      <w:r w:rsidRPr="0046276D">
        <w:rPr>
          <w:lang w:eastAsia="sl-SI"/>
        </w:rPr>
        <w:t xml:space="preserve"> </w:t>
      </w:r>
      <w:r w:rsidRPr="0046276D">
        <w:rPr>
          <w:lang w:eastAsia="sl-SI"/>
        </w:rPr>
        <w:sym w:font="Symbol" w:char="F0B0"/>
      </w:r>
      <w:r w:rsidRPr="0046276D">
        <w:rPr>
          <w:lang w:eastAsia="sl-SI"/>
        </w:rPr>
        <w:t xml:space="preserve">C glede na referenčno obdobje. Količina jesenskih padavin se ne bo bistveno spremenila. Jeseni bodo ostale letni čas z največ padavinami, vendar ne z največ padavinskimi dnevi. </w:t>
      </w:r>
    </w:p>
    <w:p w14:paraId="2CE46DF9" w14:textId="77777777" w:rsidR="00747809" w:rsidRDefault="00747809" w:rsidP="00747809">
      <w:pPr>
        <w:rPr>
          <w:lang w:eastAsia="sl-SI"/>
        </w:rPr>
      </w:pPr>
      <w:r>
        <w:rPr>
          <w:lang w:eastAsia="sl-SI"/>
        </w:rPr>
        <w:t>Spomladanska p</w:t>
      </w:r>
      <w:r w:rsidRPr="0046276D">
        <w:rPr>
          <w:lang w:eastAsia="sl-SI"/>
        </w:rPr>
        <w:t>ovprečn</w:t>
      </w:r>
      <w:r>
        <w:rPr>
          <w:lang w:eastAsia="sl-SI"/>
        </w:rPr>
        <w:t>a</w:t>
      </w:r>
      <w:r w:rsidRPr="0046276D">
        <w:rPr>
          <w:lang w:eastAsia="sl-SI"/>
        </w:rPr>
        <w:t xml:space="preserve"> dnevn</w:t>
      </w:r>
      <w:r>
        <w:rPr>
          <w:lang w:eastAsia="sl-SI"/>
        </w:rPr>
        <w:t>a</w:t>
      </w:r>
      <w:r w:rsidRPr="0046276D">
        <w:rPr>
          <w:lang w:eastAsia="sl-SI"/>
        </w:rPr>
        <w:t xml:space="preserve"> najvišj</w:t>
      </w:r>
      <w:r>
        <w:rPr>
          <w:lang w:eastAsia="sl-SI"/>
        </w:rPr>
        <w:t>a</w:t>
      </w:r>
      <w:r w:rsidRPr="0046276D">
        <w:rPr>
          <w:lang w:eastAsia="sl-SI"/>
        </w:rPr>
        <w:t xml:space="preserve"> temperatur</w:t>
      </w:r>
      <w:r>
        <w:rPr>
          <w:lang w:eastAsia="sl-SI"/>
        </w:rPr>
        <w:t>a</w:t>
      </w:r>
      <w:r w:rsidRPr="0046276D">
        <w:rPr>
          <w:lang w:eastAsia="sl-SI"/>
        </w:rPr>
        <w:t xml:space="preserve"> bo </w:t>
      </w:r>
      <w:r>
        <w:rPr>
          <w:lang w:eastAsia="sl-SI"/>
        </w:rPr>
        <w:t xml:space="preserve">sredi stoletja </w:t>
      </w:r>
      <w:r w:rsidRPr="00592C0E">
        <w:rPr>
          <w:lang w:eastAsia="sl-SI"/>
        </w:rPr>
        <w:t>v pri</w:t>
      </w:r>
      <w:r>
        <w:rPr>
          <w:lang w:eastAsia="sl-SI"/>
        </w:rPr>
        <w:t>m</w:t>
      </w:r>
      <w:r w:rsidRPr="00592C0E">
        <w:rPr>
          <w:lang w:eastAsia="sl-SI"/>
        </w:rPr>
        <w:t xml:space="preserve">eru </w:t>
      </w:r>
      <w:r>
        <w:rPr>
          <w:lang w:eastAsia="sl-SI"/>
        </w:rPr>
        <w:t>pesimističnega scenarija izpustov</w:t>
      </w:r>
      <w:r w:rsidRPr="00592C0E">
        <w:rPr>
          <w:lang w:eastAsia="sl-SI"/>
        </w:rPr>
        <w:t xml:space="preserve"> v občini okrog 17 </w:t>
      </w:r>
      <w:r w:rsidRPr="004F1ECE">
        <w:rPr>
          <w:lang w:eastAsia="sl-SI"/>
        </w:rPr>
        <w:sym w:font="Symbol" w:char="F0B0"/>
      </w:r>
      <w:r w:rsidRPr="004F1ECE">
        <w:rPr>
          <w:lang w:eastAsia="sl-SI"/>
        </w:rPr>
        <w:t>C</w:t>
      </w:r>
      <w:r w:rsidRPr="00592C0E">
        <w:rPr>
          <w:lang w:eastAsia="sl-SI"/>
        </w:rPr>
        <w:t xml:space="preserve">, v mestu </w:t>
      </w:r>
      <w:r>
        <w:rPr>
          <w:lang w:eastAsia="sl-SI"/>
        </w:rPr>
        <w:t xml:space="preserve">Nova Gorica </w:t>
      </w:r>
      <w:r w:rsidRPr="00592C0E">
        <w:rPr>
          <w:lang w:eastAsia="sl-SI"/>
        </w:rPr>
        <w:t xml:space="preserve">pa celo 18,5 </w:t>
      </w:r>
      <w:r w:rsidRPr="004F1ECE">
        <w:rPr>
          <w:lang w:eastAsia="sl-SI"/>
        </w:rPr>
        <w:sym w:font="Symbol" w:char="F0B0"/>
      </w:r>
      <w:r w:rsidRPr="004F1ECE">
        <w:rPr>
          <w:lang w:eastAsia="sl-SI"/>
        </w:rPr>
        <w:t>C</w:t>
      </w:r>
      <w:r>
        <w:rPr>
          <w:lang w:eastAsia="sl-SI"/>
        </w:rPr>
        <w:t>.</w:t>
      </w:r>
      <w:r w:rsidRPr="0046276D">
        <w:rPr>
          <w:lang w:eastAsia="sl-SI"/>
        </w:rPr>
        <w:t xml:space="preserve"> </w:t>
      </w:r>
      <w:r>
        <w:rPr>
          <w:lang w:eastAsia="sl-SI"/>
        </w:rPr>
        <w:t>J</w:t>
      </w:r>
      <w:r w:rsidRPr="0046276D">
        <w:rPr>
          <w:lang w:eastAsia="sl-SI"/>
        </w:rPr>
        <w:t>eseni pa bo sredi stoletja povprečn</w:t>
      </w:r>
      <w:r>
        <w:rPr>
          <w:lang w:eastAsia="sl-SI"/>
        </w:rPr>
        <w:t>a</w:t>
      </w:r>
      <w:r w:rsidRPr="0046276D">
        <w:rPr>
          <w:lang w:eastAsia="sl-SI"/>
        </w:rPr>
        <w:t xml:space="preserve"> dnevn</w:t>
      </w:r>
      <w:r>
        <w:rPr>
          <w:lang w:eastAsia="sl-SI"/>
        </w:rPr>
        <w:t>a</w:t>
      </w:r>
      <w:r w:rsidRPr="0046276D">
        <w:rPr>
          <w:lang w:eastAsia="sl-SI"/>
        </w:rPr>
        <w:t xml:space="preserve"> najvišj</w:t>
      </w:r>
      <w:r>
        <w:rPr>
          <w:lang w:eastAsia="sl-SI"/>
        </w:rPr>
        <w:t>a</w:t>
      </w:r>
      <w:r w:rsidRPr="0046276D">
        <w:rPr>
          <w:lang w:eastAsia="sl-SI"/>
        </w:rPr>
        <w:t xml:space="preserve"> temperatur</w:t>
      </w:r>
      <w:r>
        <w:rPr>
          <w:lang w:eastAsia="sl-SI"/>
        </w:rPr>
        <w:t>a</w:t>
      </w:r>
      <w:r w:rsidRPr="0046276D">
        <w:rPr>
          <w:lang w:eastAsia="sl-SI"/>
        </w:rPr>
        <w:t xml:space="preserve"> </w:t>
      </w:r>
      <w:r>
        <w:rPr>
          <w:lang w:eastAsia="sl-SI"/>
        </w:rPr>
        <w:t xml:space="preserve">v občini </w:t>
      </w:r>
      <w:r w:rsidRPr="0046276D">
        <w:rPr>
          <w:lang w:eastAsia="sl-SI"/>
        </w:rPr>
        <w:t xml:space="preserve">lahko </w:t>
      </w:r>
      <w:r>
        <w:rPr>
          <w:lang w:eastAsia="sl-SI"/>
        </w:rPr>
        <w:t>okrog</w:t>
      </w:r>
      <w:r w:rsidRPr="0046276D">
        <w:rPr>
          <w:lang w:eastAsia="sl-SI"/>
        </w:rPr>
        <w:t xml:space="preserve"> 1</w:t>
      </w:r>
      <w:r>
        <w:rPr>
          <w:lang w:eastAsia="sl-SI"/>
        </w:rPr>
        <w:t>8</w:t>
      </w:r>
      <w:r w:rsidRPr="0046276D">
        <w:rPr>
          <w:lang w:eastAsia="sl-SI"/>
        </w:rPr>
        <w:t xml:space="preserve"> </w:t>
      </w:r>
      <w:r w:rsidRPr="0046276D">
        <w:rPr>
          <w:lang w:eastAsia="sl-SI"/>
        </w:rPr>
        <w:sym w:font="Symbol" w:char="F0B0"/>
      </w:r>
      <w:r w:rsidRPr="0046276D">
        <w:rPr>
          <w:lang w:eastAsia="sl-SI"/>
        </w:rPr>
        <w:t>C</w:t>
      </w:r>
      <w:r>
        <w:rPr>
          <w:lang w:eastAsia="sl-SI"/>
        </w:rPr>
        <w:t xml:space="preserve">, v mestu pa celo 19,7 </w:t>
      </w:r>
      <w:r w:rsidRPr="004F1ECE">
        <w:rPr>
          <w:lang w:eastAsia="sl-SI"/>
        </w:rPr>
        <w:sym w:font="Symbol" w:char="F0B0"/>
      </w:r>
      <w:r w:rsidRPr="004F1ECE">
        <w:rPr>
          <w:lang w:eastAsia="sl-SI"/>
        </w:rPr>
        <w:t>C</w:t>
      </w:r>
      <w:r w:rsidRPr="0046276D">
        <w:rPr>
          <w:lang w:eastAsia="sl-SI"/>
        </w:rPr>
        <w:t xml:space="preserve">. </w:t>
      </w:r>
    </w:p>
    <w:p w14:paraId="525BA76C" w14:textId="77777777" w:rsidR="00747809" w:rsidRDefault="00747809" w:rsidP="00747809">
      <w:pPr>
        <w:rPr>
          <w:bCs/>
          <w:lang w:eastAsia="sl-SI"/>
        </w:rPr>
      </w:pPr>
      <w:r w:rsidRPr="0046276D">
        <w:rPr>
          <w:lang w:eastAsia="sl-SI"/>
        </w:rPr>
        <w:t>Tudi povprečn</w:t>
      </w:r>
      <w:r>
        <w:rPr>
          <w:lang w:eastAsia="sl-SI"/>
        </w:rPr>
        <w:t>a</w:t>
      </w:r>
      <w:r w:rsidRPr="0046276D">
        <w:rPr>
          <w:lang w:eastAsia="sl-SI"/>
        </w:rPr>
        <w:t xml:space="preserve"> dnevn</w:t>
      </w:r>
      <w:r>
        <w:rPr>
          <w:lang w:eastAsia="sl-SI"/>
        </w:rPr>
        <w:t>a</w:t>
      </w:r>
      <w:r w:rsidRPr="0046276D">
        <w:rPr>
          <w:lang w:eastAsia="sl-SI"/>
        </w:rPr>
        <w:t xml:space="preserve"> najnižj</w:t>
      </w:r>
      <w:r>
        <w:rPr>
          <w:lang w:eastAsia="sl-SI"/>
        </w:rPr>
        <w:t>a</w:t>
      </w:r>
      <w:r w:rsidRPr="0046276D">
        <w:rPr>
          <w:lang w:eastAsia="sl-SI"/>
        </w:rPr>
        <w:t xml:space="preserve"> temperatur</w:t>
      </w:r>
      <w:r>
        <w:rPr>
          <w:lang w:eastAsia="sl-SI"/>
        </w:rPr>
        <w:t>a</w:t>
      </w:r>
      <w:r w:rsidRPr="0046276D">
        <w:rPr>
          <w:lang w:eastAsia="sl-SI"/>
        </w:rPr>
        <w:t xml:space="preserve"> bo</w:t>
      </w:r>
      <w:r>
        <w:rPr>
          <w:lang w:eastAsia="sl-SI"/>
        </w:rPr>
        <w:t xml:space="preserve"> v prihodnosti</w:t>
      </w:r>
      <w:r w:rsidRPr="0046276D">
        <w:rPr>
          <w:lang w:eastAsia="sl-SI"/>
        </w:rPr>
        <w:t xml:space="preserve"> viš</w:t>
      </w:r>
      <w:r>
        <w:rPr>
          <w:lang w:eastAsia="sl-SI"/>
        </w:rPr>
        <w:t>ja</w:t>
      </w:r>
      <w:r w:rsidRPr="0046276D">
        <w:rPr>
          <w:lang w:eastAsia="sl-SI"/>
        </w:rPr>
        <w:t xml:space="preserve"> in bo sredi stoletja jeseni </w:t>
      </w:r>
      <w:r>
        <w:rPr>
          <w:lang w:eastAsia="sl-SI"/>
        </w:rPr>
        <w:t>lahko dosegla</w:t>
      </w:r>
      <w:r w:rsidRPr="0046276D">
        <w:rPr>
          <w:lang w:eastAsia="sl-SI"/>
        </w:rPr>
        <w:t xml:space="preserve"> </w:t>
      </w:r>
      <w:r>
        <w:rPr>
          <w:lang w:eastAsia="sl-SI"/>
        </w:rPr>
        <w:t>9</w:t>
      </w:r>
      <w:r w:rsidRPr="0046276D">
        <w:rPr>
          <w:lang w:eastAsia="sl-SI"/>
        </w:rPr>
        <w:t xml:space="preserve"> </w:t>
      </w:r>
      <w:r w:rsidRPr="004F1ECE">
        <w:rPr>
          <w:lang w:eastAsia="sl-SI"/>
        </w:rPr>
        <w:sym w:font="Symbol" w:char="F0B0"/>
      </w:r>
      <w:r w:rsidRPr="004F1ECE">
        <w:rPr>
          <w:lang w:eastAsia="sl-SI"/>
        </w:rPr>
        <w:t>C</w:t>
      </w:r>
      <w:r w:rsidRPr="0046276D">
        <w:rPr>
          <w:lang w:eastAsia="sl-SI"/>
        </w:rPr>
        <w:t xml:space="preserve">, spomladi pa </w:t>
      </w:r>
      <w:r>
        <w:rPr>
          <w:lang w:eastAsia="sl-SI"/>
        </w:rPr>
        <w:t>se bodo približevale</w:t>
      </w:r>
      <w:r w:rsidRPr="0046276D">
        <w:rPr>
          <w:lang w:eastAsia="sl-SI"/>
        </w:rPr>
        <w:t xml:space="preserve"> </w:t>
      </w:r>
      <w:r>
        <w:rPr>
          <w:lang w:eastAsia="sl-SI"/>
        </w:rPr>
        <w:t>7</w:t>
      </w:r>
      <w:r w:rsidRPr="0046276D">
        <w:rPr>
          <w:lang w:eastAsia="sl-SI"/>
        </w:rPr>
        <w:t xml:space="preserve"> </w:t>
      </w:r>
      <w:bookmarkStart w:id="341" w:name="_Hlk45264893"/>
      <w:r w:rsidRPr="0046276D">
        <w:rPr>
          <w:lang w:eastAsia="sl-SI"/>
        </w:rPr>
        <w:sym w:font="Symbol" w:char="F0B0"/>
      </w:r>
      <w:r w:rsidRPr="0046276D">
        <w:rPr>
          <w:lang w:eastAsia="sl-SI"/>
        </w:rPr>
        <w:t>C</w:t>
      </w:r>
      <w:bookmarkEnd w:id="341"/>
      <w:r w:rsidRPr="0046276D">
        <w:rPr>
          <w:lang w:eastAsia="sl-SI"/>
        </w:rPr>
        <w:t xml:space="preserve">. </w:t>
      </w:r>
      <w:bookmarkStart w:id="342" w:name="_Hlk41474591"/>
      <w:r w:rsidRPr="009F2153">
        <w:rPr>
          <w:bCs/>
          <w:lang w:eastAsia="sl-SI"/>
        </w:rPr>
        <w:t xml:space="preserve">V prihodnosti se bodo spomladi in jeseni zaradi povišanja temperature in s tem povezanega zmanjšanja fiziološke obremenitve za ljudi zaradi mraza pogoji za športno-rekreativne </w:t>
      </w:r>
      <w:r>
        <w:rPr>
          <w:bCs/>
          <w:lang w:eastAsia="sl-SI"/>
        </w:rPr>
        <w:t xml:space="preserve">aktivnosti, </w:t>
      </w:r>
      <w:r w:rsidRPr="009F2153">
        <w:rPr>
          <w:bCs/>
          <w:lang w:eastAsia="sl-SI"/>
        </w:rPr>
        <w:t xml:space="preserve">prireditve </w:t>
      </w:r>
      <w:r>
        <w:rPr>
          <w:bCs/>
          <w:lang w:eastAsia="sl-SI"/>
        </w:rPr>
        <w:t xml:space="preserve">in druge dejavnosti </w:t>
      </w:r>
      <w:r w:rsidRPr="009F2153">
        <w:rPr>
          <w:bCs/>
          <w:lang w:eastAsia="sl-SI"/>
        </w:rPr>
        <w:t>na prostem v destinaciji lahko še izboljšali.</w:t>
      </w:r>
      <w:bookmarkEnd w:id="342"/>
    </w:p>
    <w:p w14:paraId="2132BC65" w14:textId="77777777" w:rsidR="00747809" w:rsidRPr="00592C0E" w:rsidRDefault="00747809" w:rsidP="00747809">
      <w:pPr>
        <w:pStyle w:val="Naslov5"/>
      </w:pPr>
      <w:r>
        <w:t>Toplejše zime, manj snega</w:t>
      </w:r>
    </w:p>
    <w:p w14:paraId="32722038" w14:textId="77777777" w:rsidR="00747809" w:rsidRDefault="00747809" w:rsidP="00747809">
      <w:pPr>
        <w:rPr>
          <w:lang w:eastAsia="sl-SI"/>
        </w:rPr>
      </w:pPr>
      <w:r w:rsidRPr="0046276D">
        <w:rPr>
          <w:lang w:eastAsia="sl-SI"/>
        </w:rPr>
        <w:t xml:space="preserve">Zime v destinaciji so </w:t>
      </w:r>
      <w:r>
        <w:rPr>
          <w:lang w:eastAsia="sl-SI"/>
        </w:rPr>
        <w:t>s</w:t>
      </w:r>
      <w:r w:rsidRPr="0046276D">
        <w:rPr>
          <w:lang w:eastAsia="sl-SI"/>
        </w:rPr>
        <w:t xml:space="preserve"> povprečno temperaturo </w:t>
      </w:r>
      <w:r>
        <w:rPr>
          <w:lang w:eastAsia="sl-SI"/>
        </w:rPr>
        <w:t>nekoliko nad</w:t>
      </w:r>
      <w:r w:rsidRPr="0046276D">
        <w:rPr>
          <w:lang w:eastAsia="sl-SI"/>
        </w:rPr>
        <w:t xml:space="preserve"> ledišč</w:t>
      </w:r>
      <w:r>
        <w:rPr>
          <w:lang w:eastAsia="sl-SI"/>
        </w:rPr>
        <w:t>em</w:t>
      </w:r>
      <w:r w:rsidRPr="0046276D">
        <w:rPr>
          <w:lang w:eastAsia="sl-SI"/>
        </w:rPr>
        <w:t xml:space="preserve"> in povprečno dnevno najnižjo temperaturo -</w:t>
      </w:r>
      <w:r>
        <w:rPr>
          <w:lang w:eastAsia="sl-SI"/>
        </w:rPr>
        <w:t>1,7</w:t>
      </w:r>
      <w:r w:rsidRPr="0046276D">
        <w:rPr>
          <w:lang w:eastAsia="sl-SI"/>
        </w:rPr>
        <w:t xml:space="preserve"> </w:t>
      </w:r>
      <w:r w:rsidRPr="0046276D">
        <w:rPr>
          <w:lang w:eastAsia="sl-SI"/>
        </w:rPr>
        <w:sym w:font="Symbol" w:char="F0B0"/>
      </w:r>
      <w:r w:rsidRPr="0046276D">
        <w:rPr>
          <w:lang w:eastAsia="sl-SI"/>
        </w:rPr>
        <w:t xml:space="preserve">C že </w:t>
      </w:r>
      <w:r>
        <w:rPr>
          <w:lang w:eastAsia="sl-SI"/>
        </w:rPr>
        <w:t>v referenčnem obdobju</w:t>
      </w:r>
      <w:r w:rsidRPr="0046276D">
        <w:rPr>
          <w:lang w:eastAsia="sl-SI"/>
        </w:rPr>
        <w:t xml:space="preserve"> mile. </w:t>
      </w:r>
      <w:bookmarkStart w:id="343" w:name="_Hlk42450833"/>
      <w:r w:rsidRPr="0046276D">
        <w:rPr>
          <w:lang w:eastAsia="sl-SI"/>
        </w:rPr>
        <w:t>Povprečna zimska temperatura bo v obdobju 2041</w:t>
      </w:r>
      <w:r w:rsidRPr="00B14994">
        <w:t>—</w:t>
      </w:r>
      <w:r w:rsidRPr="0046276D">
        <w:rPr>
          <w:lang w:eastAsia="sl-SI"/>
        </w:rPr>
        <w:t xml:space="preserve">2070 v primeru pesimističnega scenarija izpustov za 2 </w:t>
      </w:r>
      <w:r w:rsidRPr="0046276D">
        <w:rPr>
          <w:lang w:eastAsia="sl-SI"/>
        </w:rPr>
        <w:sym w:font="Symbol" w:char="F0B0"/>
      </w:r>
      <w:r w:rsidRPr="0046276D">
        <w:rPr>
          <w:lang w:eastAsia="sl-SI"/>
        </w:rPr>
        <w:t xml:space="preserve">C višja od referenčnega obdobja, povprečna dnevna najnižja temperatura bo </w:t>
      </w:r>
      <w:r>
        <w:rPr>
          <w:lang w:eastAsia="sl-SI"/>
        </w:rPr>
        <w:t>prav tako nad</w:t>
      </w:r>
      <w:r w:rsidRPr="0046276D">
        <w:rPr>
          <w:lang w:eastAsia="sl-SI"/>
        </w:rPr>
        <w:t xml:space="preserve"> lediščem. Ta sprememba bo pomenila nekoliko manjšo fiziološko obremenitev za ljudi zaradi mraza, </w:t>
      </w:r>
      <w:r>
        <w:rPr>
          <w:lang w:eastAsia="sl-SI"/>
        </w:rPr>
        <w:t xml:space="preserve">zaradi česar </w:t>
      </w:r>
      <w:r w:rsidRPr="004433BC">
        <w:rPr>
          <w:lang w:eastAsia="sl-SI"/>
        </w:rPr>
        <w:t>se bodo temperaturni pogoji za zimske aktivnosti na prostem v destinaciji izboljšali.</w:t>
      </w:r>
    </w:p>
    <w:p w14:paraId="5F4AE0A7" w14:textId="77777777" w:rsidR="00747809" w:rsidRDefault="00747809" w:rsidP="00747809">
      <w:pPr>
        <w:rPr>
          <w:lang w:eastAsia="sl-SI"/>
        </w:rPr>
      </w:pPr>
      <w:r w:rsidRPr="00F8556B">
        <w:rPr>
          <w:shd w:val="clear" w:color="auto" w:fill="FFFFFF"/>
        </w:rPr>
        <w:t xml:space="preserve">Dvig zimske temperature pomeni </w:t>
      </w:r>
      <w:r>
        <w:rPr>
          <w:shd w:val="clear" w:color="auto" w:fill="FFFFFF"/>
        </w:rPr>
        <w:t xml:space="preserve">tudi </w:t>
      </w:r>
      <w:r w:rsidRPr="00F8556B">
        <w:rPr>
          <w:shd w:val="clear" w:color="auto" w:fill="FFFFFF"/>
        </w:rPr>
        <w:t>zmanjšanje potrebe po ogrevanju stavb</w:t>
      </w:r>
      <w:r>
        <w:rPr>
          <w:shd w:val="clear" w:color="auto" w:fill="FFFFFF"/>
        </w:rPr>
        <w:t xml:space="preserve"> (turističnih namestitev, muzejev, gostinskih lokalov ipd.) in s tem povezanih stroškov turističnih ponudnikov. </w:t>
      </w:r>
      <w:r w:rsidRPr="004433BC">
        <w:rPr>
          <w:shd w:val="clear" w:color="auto" w:fill="FFFFFF"/>
        </w:rPr>
        <w:t>Kurilna sezona se bo v destinaciji Nova Gorica v prihodnosti krajš</w:t>
      </w:r>
      <w:r>
        <w:rPr>
          <w:shd w:val="clear" w:color="auto" w:fill="FFFFFF"/>
        </w:rPr>
        <w:t>ala</w:t>
      </w:r>
      <w:r w:rsidRPr="004433BC">
        <w:rPr>
          <w:shd w:val="clear" w:color="auto" w:fill="FFFFFF"/>
        </w:rPr>
        <w:t>,</w:t>
      </w:r>
      <w:r>
        <w:rPr>
          <w:shd w:val="clear" w:color="auto" w:fill="FFFFFF"/>
        </w:rPr>
        <w:t xml:space="preserve"> v primeru pesimističnega scenarija izpustov bo sredi stoletja v povprečju za okrog 3 tedne krajša kot v referenčnem obdobju.</w:t>
      </w:r>
      <w:r w:rsidRPr="0046276D">
        <w:rPr>
          <w:lang w:eastAsia="sl-SI"/>
        </w:rPr>
        <w:t xml:space="preserve"> </w:t>
      </w:r>
    </w:p>
    <w:p w14:paraId="56995E7A" w14:textId="77777777" w:rsidR="00747809" w:rsidRDefault="00747809" w:rsidP="00747809">
      <w:pPr>
        <w:rPr>
          <w:shd w:val="clear" w:color="auto" w:fill="FFFFFF"/>
        </w:rPr>
      </w:pPr>
      <w:r w:rsidRPr="006777B9">
        <w:rPr>
          <w:rFonts w:cs="Calibri"/>
          <w:bCs/>
          <w:lang w:eastAsia="sl-SI"/>
        </w:rPr>
        <w:t xml:space="preserve">Zima je v destinaciji letni čas z najmanj padavinami, njihova količina se bo v prihodnosti rahlo povečala. </w:t>
      </w:r>
      <w:r>
        <w:rPr>
          <w:lang w:eastAsia="sl-SI"/>
        </w:rPr>
        <w:t>Sredi stoletja bo lahko do 16 % več zimskih padavin kot v referenčnem obdobju, število padavinskih dni pa se bo povečalo le za dan ali dva</w:t>
      </w:r>
      <w:r w:rsidRPr="0046276D">
        <w:rPr>
          <w:lang w:eastAsia="sl-SI"/>
        </w:rPr>
        <w:t xml:space="preserve">. </w:t>
      </w:r>
      <w:bookmarkEnd w:id="343"/>
      <w:r>
        <w:rPr>
          <w:lang w:eastAsia="sl-SI"/>
        </w:rPr>
        <w:t>Z</w:t>
      </w:r>
      <w:r w:rsidRPr="004433BC">
        <w:rPr>
          <w:lang w:eastAsia="sl-SI"/>
        </w:rPr>
        <w:t>aradi višje temperature bodo snežne padavine redkejše in pogosteje bo padal dež</w:t>
      </w:r>
      <w:r>
        <w:rPr>
          <w:lang w:eastAsia="sl-SI"/>
        </w:rPr>
        <w:t>.</w:t>
      </w:r>
      <w:r>
        <w:rPr>
          <w:shd w:val="clear" w:color="auto" w:fill="FFFFFF"/>
        </w:rPr>
        <w:t xml:space="preserve"> Š</w:t>
      </w:r>
      <w:r w:rsidRPr="009132E3">
        <w:rPr>
          <w:shd w:val="clear" w:color="auto" w:fill="FFFFFF"/>
        </w:rPr>
        <w:t xml:space="preserve">tevilo dni s snežno odejo se bo </w:t>
      </w:r>
      <w:r>
        <w:rPr>
          <w:shd w:val="clear" w:color="auto" w:fill="FFFFFF"/>
        </w:rPr>
        <w:t xml:space="preserve">v destinaciji </w:t>
      </w:r>
      <w:r w:rsidRPr="009132E3">
        <w:rPr>
          <w:shd w:val="clear" w:color="auto" w:fill="FFFFFF"/>
        </w:rPr>
        <w:t>še naprej zmanjševalo.</w:t>
      </w:r>
      <w:r>
        <w:rPr>
          <w:shd w:val="clear" w:color="auto" w:fill="FFFFFF"/>
        </w:rPr>
        <w:t xml:space="preserve"> P</w:t>
      </w:r>
      <w:r w:rsidRPr="004433BC">
        <w:rPr>
          <w:shd w:val="clear" w:color="auto" w:fill="FFFFFF"/>
        </w:rPr>
        <w:t>ogostejše zimske padavine v obliki dežja lahko povzročajo razmočenost poti in poslabšujejo pogoje za aktivnosti v naravi, kot so pohodništvo in gorsko kolesarjenje.</w:t>
      </w:r>
    </w:p>
    <w:p w14:paraId="54CA592B" w14:textId="77777777" w:rsidR="00747809" w:rsidRPr="00C5556F" w:rsidRDefault="00747809" w:rsidP="00747809">
      <w:pPr>
        <w:rPr>
          <w:rFonts w:cstheme="minorHAnsi"/>
          <w:b/>
          <w:bCs/>
          <w:shd w:val="clear" w:color="auto" w:fill="FFFFFF"/>
        </w:rPr>
      </w:pPr>
      <w:bookmarkStart w:id="344" w:name="_Hlk42451004"/>
      <w:r>
        <w:rPr>
          <w:rFonts w:cstheme="minorHAnsi"/>
          <w:shd w:val="clear" w:color="auto" w:fill="FFFFFF"/>
        </w:rPr>
        <w:t xml:space="preserve">V številnih evropskih zimsko športnih destinacijah so se </w:t>
      </w:r>
      <w:r w:rsidRPr="00851F4E">
        <w:rPr>
          <w:rFonts w:cstheme="minorHAnsi"/>
          <w:shd w:val="clear" w:color="auto" w:fill="FFFFFF"/>
        </w:rPr>
        <w:t>pogoj</w:t>
      </w:r>
      <w:r>
        <w:rPr>
          <w:rFonts w:cstheme="minorHAnsi"/>
          <w:shd w:val="clear" w:color="auto" w:fill="FFFFFF"/>
        </w:rPr>
        <w:t>i</w:t>
      </w:r>
      <w:r w:rsidRPr="00851F4E">
        <w:rPr>
          <w:rFonts w:cstheme="minorHAnsi"/>
          <w:shd w:val="clear" w:color="auto" w:fill="FFFFFF"/>
        </w:rPr>
        <w:t xml:space="preserve"> za aktivnosti na snegu </w:t>
      </w:r>
      <w:r>
        <w:rPr>
          <w:rFonts w:cstheme="minorHAnsi"/>
          <w:shd w:val="clear" w:color="auto" w:fill="FFFFFF"/>
        </w:rPr>
        <w:t>že močno poslabšali.</w:t>
      </w:r>
      <w:r w:rsidRPr="00C5556F">
        <w:t xml:space="preserve"> </w:t>
      </w:r>
      <w:r>
        <w:t>(</w:t>
      </w:r>
      <w:proofErr w:type="spellStart"/>
      <w:r>
        <w:t>Steiger</w:t>
      </w:r>
      <w:proofErr w:type="spellEnd"/>
      <w:r>
        <w:t xml:space="preserve"> in sod.</w:t>
      </w:r>
      <w:r w:rsidRPr="00543C2E">
        <w:t>, 201</w:t>
      </w:r>
      <w:r>
        <w:t xml:space="preserve">9) </w:t>
      </w:r>
      <w:r>
        <w:rPr>
          <w:rFonts w:cstheme="minorHAnsi"/>
          <w:shd w:val="clear" w:color="auto" w:fill="FFFFFF"/>
        </w:rPr>
        <w:t xml:space="preserve">Kljub temu </w:t>
      </w:r>
      <w:r w:rsidRPr="00851F4E">
        <w:rPr>
          <w:rFonts w:cstheme="minorHAnsi"/>
          <w:shd w:val="clear" w:color="auto" w:fill="FFFFFF"/>
        </w:rPr>
        <w:t>ljudje še vedno tudi pozimi odhajajo na dopust oz. počitnice in</w:t>
      </w:r>
      <w:r>
        <w:rPr>
          <w:rFonts w:cstheme="minorHAnsi"/>
          <w:b/>
          <w:bCs/>
          <w:shd w:val="clear" w:color="auto" w:fill="FFFFFF"/>
        </w:rPr>
        <w:t xml:space="preserve"> </w:t>
      </w:r>
      <w:r w:rsidRPr="00C5556F">
        <w:rPr>
          <w:rFonts w:cstheme="minorHAnsi"/>
          <w:shd w:val="clear" w:color="auto" w:fill="FFFFFF"/>
        </w:rPr>
        <w:t xml:space="preserve">so </w:t>
      </w:r>
      <w:bookmarkStart w:id="345" w:name="_Hlk41474935"/>
      <w:r w:rsidRPr="00C5556F">
        <w:rPr>
          <w:rFonts w:cstheme="minorHAnsi"/>
          <w:shd w:val="clear" w:color="auto" w:fill="FFFFFF"/>
        </w:rPr>
        <w:t>dejavnosti, kot so pohodništvo, ogledi kulturnih spomenikov, muzejev ali drugih znamenitosti, sprejemljiva alternativa dejavnostim na snegu</w:t>
      </w:r>
      <w:r>
        <w:rPr>
          <w:rFonts w:cstheme="minorHAnsi"/>
          <w:shd w:val="clear" w:color="auto" w:fill="FFFFFF"/>
        </w:rPr>
        <w:t>.</w:t>
      </w:r>
      <w:r w:rsidRPr="00C5556F">
        <w:rPr>
          <w:rFonts w:cstheme="minorHAnsi"/>
          <w:shd w:val="clear" w:color="auto" w:fill="FFFFFF"/>
        </w:rPr>
        <w:t xml:space="preserve"> </w:t>
      </w:r>
      <w:r>
        <w:rPr>
          <w:rFonts w:cstheme="minorHAnsi"/>
          <w:shd w:val="clear" w:color="auto" w:fill="FFFFFF"/>
        </w:rPr>
        <w:t>To</w:t>
      </w:r>
      <w:r w:rsidRPr="00C5556F">
        <w:rPr>
          <w:rFonts w:cstheme="minorHAnsi"/>
          <w:shd w:val="clear" w:color="auto" w:fill="FFFFFF"/>
        </w:rPr>
        <w:t xml:space="preserve"> je za destinacijo </w:t>
      </w:r>
      <w:r>
        <w:rPr>
          <w:rFonts w:cstheme="minorHAnsi"/>
          <w:shd w:val="clear" w:color="auto" w:fill="FFFFFF"/>
        </w:rPr>
        <w:t>Nova Gorica</w:t>
      </w:r>
      <w:r w:rsidRPr="00C5556F">
        <w:rPr>
          <w:rFonts w:cstheme="minorHAnsi"/>
          <w:shd w:val="clear" w:color="auto" w:fill="FFFFFF"/>
        </w:rPr>
        <w:t xml:space="preserve"> </w:t>
      </w:r>
      <w:r w:rsidRPr="00C5556F">
        <w:rPr>
          <w:rFonts w:cstheme="minorHAnsi"/>
          <w:shd w:val="clear" w:color="auto" w:fill="FFFFFF"/>
        </w:rPr>
        <w:lastRenderedPageBreak/>
        <w:t>dobra priložnost. Pri tem pa bo destinacija soočena z veliko konkurenco številnih nižje ležečih smučarskih središč v Evropi, kjer se sooča</w:t>
      </w:r>
      <w:r>
        <w:rPr>
          <w:rFonts w:cstheme="minorHAnsi"/>
          <w:shd w:val="clear" w:color="auto" w:fill="FFFFFF"/>
        </w:rPr>
        <w:t>jo</w:t>
      </w:r>
      <w:r w:rsidRPr="00C5556F">
        <w:rPr>
          <w:rFonts w:cstheme="minorHAnsi"/>
          <w:shd w:val="clear" w:color="auto" w:fill="FFFFFF"/>
        </w:rPr>
        <w:t xml:space="preserve"> s pomanjkanjem snega</w:t>
      </w:r>
      <w:r>
        <w:rPr>
          <w:rFonts w:cstheme="minorHAnsi"/>
          <w:shd w:val="clear" w:color="auto" w:fill="FFFFFF"/>
        </w:rPr>
        <w:t xml:space="preserve"> in pospešeno razvijajo </w:t>
      </w:r>
      <w:r w:rsidRPr="00A933D9">
        <w:rPr>
          <w:shd w:val="clear" w:color="auto" w:fill="FFFFFF"/>
        </w:rPr>
        <w:t>alternativno zimsko turistično ponudbo</w:t>
      </w:r>
      <w:r>
        <w:rPr>
          <w:shd w:val="clear" w:color="auto" w:fill="FFFFFF"/>
        </w:rPr>
        <w:t xml:space="preserve">, ki je največkrat usmerjena v pohodništvo in </w:t>
      </w:r>
      <w:proofErr w:type="spellStart"/>
      <w:r>
        <w:rPr>
          <w:shd w:val="clear" w:color="auto" w:fill="FFFFFF"/>
        </w:rPr>
        <w:t>wellness</w:t>
      </w:r>
      <w:proofErr w:type="spellEnd"/>
      <w:r w:rsidRPr="007354E1">
        <w:rPr>
          <w:b/>
          <w:bCs/>
          <w:shd w:val="clear" w:color="auto" w:fill="FFFFFF"/>
        </w:rPr>
        <w:t>.</w:t>
      </w:r>
      <w:r>
        <w:rPr>
          <w:b/>
          <w:bCs/>
          <w:shd w:val="clear" w:color="auto" w:fill="FFFFFF"/>
        </w:rPr>
        <w:t xml:space="preserve"> </w:t>
      </w:r>
      <w:r w:rsidRPr="00CC108B">
        <w:rPr>
          <w:shd w:val="clear" w:color="auto" w:fill="FFFFFF"/>
        </w:rPr>
        <w:t>Izpad zimskega turističnega obiska</w:t>
      </w:r>
      <w:r>
        <w:rPr>
          <w:noProof/>
          <w:lang w:eastAsia="sl-SI"/>
        </w:rPr>
        <w:t xml:space="preserve"> si bodo tradicionalne zimsko-športne destinacije prizadevale nadomestiti z razvojem celoletnega turizma, ki je lahko vsebinsko podoben ponudbi športno-rekreativnih aktivnosti na prostem destinacije Nova Gorica (kolesarjenje, pohodništvo itd.).</w:t>
      </w:r>
      <w:bookmarkEnd w:id="345"/>
    </w:p>
    <w:p w14:paraId="71CBA135" w14:textId="77777777" w:rsidR="00747809" w:rsidRDefault="00747809" w:rsidP="00747809">
      <w:pPr>
        <w:pStyle w:val="Naslov5"/>
        <w:rPr>
          <w:noProof/>
        </w:rPr>
      </w:pPr>
      <w:r>
        <w:rPr>
          <w:noProof/>
        </w:rPr>
        <w:t>Izjemne padavine</w:t>
      </w:r>
    </w:p>
    <w:p w14:paraId="2BF45F3F" w14:textId="77777777" w:rsidR="00747809" w:rsidRDefault="00747809" w:rsidP="00747809">
      <w:pPr>
        <w:rPr>
          <w:rFonts w:cstheme="minorHAnsi"/>
          <w:shd w:val="clear" w:color="auto" w:fill="FFFFFF"/>
        </w:rPr>
      </w:pPr>
      <w:r>
        <w:rPr>
          <w:rFonts w:cstheme="minorHAnsi"/>
          <w:shd w:val="clear" w:color="auto" w:fill="FFFFFF"/>
        </w:rPr>
        <w:t xml:space="preserve">Število dni z obilnimi padavinami (več kot 50 mm) se bo v destinaciji Nova Gorica v prihodnosti </w:t>
      </w:r>
      <w:r w:rsidRPr="003D184A">
        <w:t>poveč</w:t>
      </w:r>
      <w:r>
        <w:t>alo</w:t>
      </w:r>
      <w:r w:rsidRPr="003D184A">
        <w:t>, predvsem jeseni in pozimi</w:t>
      </w:r>
      <w:r>
        <w:t xml:space="preserve">. </w:t>
      </w:r>
      <w:r w:rsidRPr="00C5556F">
        <w:rPr>
          <w:rFonts w:cstheme="minorHAnsi"/>
          <w:shd w:val="clear" w:color="auto" w:fill="FFFFFF"/>
        </w:rPr>
        <w:t>Destinacija je izpostavljena pogostejšim izjemnim padavinam, saj te lahko vplivajo na vodostaje rek in povečajo nevarnost poplav ter hudourniških in pobočnih procesov. Predstavljajo dejavnik izpostavljenosti za kulturno dediščino na prostem in turistično infrastrukturo na poplavnih in plazovitih območjih, vplivajo tudi na privlačnost naravnega okolja zaradi erozije in lahko ogrozijo varnost turistov.</w:t>
      </w:r>
      <w:r>
        <w:rPr>
          <w:rFonts w:cstheme="minorHAnsi"/>
        </w:rPr>
        <w:t xml:space="preserve">  </w:t>
      </w:r>
    </w:p>
    <w:p w14:paraId="58F6CA6D" w14:textId="77777777" w:rsidR="00747809" w:rsidRPr="004F6288" w:rsidRDefault="00747809" w:rsidP="00747809">
      <w:pPr>
        <w:rPr>
          <w:rFonts w:cstheme="minorHAnsi"/>
          <w:shd w:val="clear" w:color="auto" w:fill="FFFFFF"/>
        </w:rPr>
      </w:pPr>
      <w:r w:rsidRPr="004F6288">
        <w:rPr>
          <w:rFonts w:cstheme="minorHAnsi"/>
          <w:shd w:val="clear" w:color="auto" w:fill="FFFFFF"/>
        </w:rPr>
        <w:t xml:space="preserve">Velik del občine Nova Gorica je izpostavljen nevarnosti zemeljskih plazov, ki se lahko aktivirajo ob močnem deževju. </w:t>
      </w:r>
      <w:r>
        <w:rPr>
          <w:rFonts w:cstheme="minorHAnsi"/>
          <w:shd w:val="clear" w:color="auto" w:fill="FFFFFF"/>
        </w:rPr>
        <w:t>V občini so tudi številna p</w:t>
      </w:r>
      <w:r w:rsidRPr="004F6288">
        <w:rPr>
          <w:rFonts w:cstheme="minorHAnsi"/>
          <w:shd w:val="clear" w:color="auto" w:fill="FFFFFF"/>
        </w:rPr>
        <w:t xml:space="preserve">oplavno ogrožena območja </w:t>
      </w:r>
      <w:r>
        <w:rPr>
          <w:rFonts w:cstheme="minorHAnsi"/>
          <w:shd w:val="clear" w:color="auto" w:fill="FFFFFF"/>
        </w:rPr>
        <w:t>(</w:t>
      </w:r>
      <w:r w:rsidRPr="004F6288">
        <w:rPr>
          <w:rFonts w:cstheme="minorHAnsi"/>
          <w:shd w:val="clear" w:color="auto" w:fill="FFFFFF"/>
        </w:rPr>
        <w:t xml:space="preserve">ob Vipavi, </w:t>
      </w:r>
      <w:proofErr w:type="spellStart"/>
      <w:r w:rsidRPr="004F6288">
        <w:rPr>
          <w:rFonts w:cstheme="minorHAnsi"/>
          <w:shd w:val="clear" w:color="auto" w:fill="FFFFFF"/>
        </w:rPr>
        <w:t>Vrtojbici</w:t>
      </w:r>
      <w:proofErr w:type="spellEnd"/>
      <w:r w:rsidRPr="004F6288">
        <w:rPr>
          <w:rFonts w:cstheme="minorHAnsi"/>
          <w:shd w:val="clear" w:color="auto" w:fill="FFFFFF"/>
        </w:rPr>
        <w:t xml:space="preserve">, </w:t>
      </w:r>
      <w:proofErr w:type="spellStart"/>
      <w:r w:rsidRPr="004F6288">
        <w:rPr>
          <w:rFonts w:cstheme="minorHAnsi"/>
          <w:shd w:val="clear" w:color="auto" w:fill="FFFFFF"/>
        </w:rPr>
        <w:t>Kornu</w:t>
      </w:r>
      <w:proofErr w:type="spellEnd"/>
      <w:r w:rsidRPr="004F6288">
        <w:rPr>
          <w:rFonts w:cstheme="minorHAnsi"/>
          <w:shd w:val="clear" w:color="auto" w:fill="FFFFFF"/>
        </w:rPr>
        <w:t>, Lijaku, Branici in Slatni na območju Grgarja</w:t>
      </w:r>
      <w:r>
        <w:rPr>
          <w:rFonts w:cstheme="minorHAnsi"/>
          <w:shd w:val="clear" w:color="auto" w:fill="FFFFFF"/>
        </w:rPr>
        <w:t>)</w:t>
      </w:r>
      <w:r w:rsidRPr="004F6288">
        <w:rPr>
          <w:rFonts w:cstheme="minorHAnsi"/>
          <w:shd w:val="clear" w:color="auto" w:fill="FFFFFF"/>
        </w:rPr>
        <w:t xml:space="preserve">. Največji problem predstavlja poplavna ogroženost urbaniziranih predelov v Novi Gorici, </w:t>
      </w:r>
      <w:r>
        <w:rPr>
          <w:rFonts w:cstheme="minorHAnsi"/>
          <w:shd w:val="clear" w:color="auto" w:fill="FFFFFF"/>
        </w:rPr>
        <w:t>ki jih</w:t>
      </w:r>
      <w:r w:rsidRPr="004F6288">
        <w:rPr>
          <w:rFonts w:cstheme="minorHAnsi"/>
          <w:shd w:val="clear" w:color="auto" w:fill="FFFFFF"/>
        </w:rPr>
        <w:t xml:space="preserve"> ogrožajo tako zaledne vode kot tudi meteorne vode kanalizacijskega sistema. (</w:t>
      </w:r>
      <w:proofErr w:type="spellStart"/>
      <w:r w:rsidRPr="004F6288">
        <w:rPr>
          <w:rFonts w:cstheme="minorHAnsi"/>
          <w:shd w:val="clear" w:color="auto" w:fill="FFFFFF"/>
        </w:rPr>
        <w:t>Okoljsko</w:t>
      </w:r>
      <w:proofErr w:type="spellEnd"/>
      <w:r w:rsidRPr="004F6288">
        <w:rPr>
          <w:rFonts w:cstheme="minorHAnsi"/>
          <w:shd w:val="clear" w:color="auto" w:fill="FFFFFF"/>
        </w:rPr>
        <w:t xml:space="preserve"> poročilo…, 2010)</w:t>
      </w:r>
      <w:r>
        <w:rPr>
          <w:rFonts w:cstheme="minorHAnsi"/>
          <w:shd w:val="clear" w:color="auto" w:fill="FFFFFF"/>
        </w:rPr>
        <w:t xml:space="preserve"> </w:t>
      </w:r>
      <w:r>
        <w:t>V primeru poplav lahko pride tudi do okužb zaradi uporabe oporečne vode na poplavljenem območju.</w:t>
      </w:r>
      <w:bookmarkEnd w:id="344"/>
    </w:p>
    <w:p w14:paraId="5AE0687A" w14:textId="19714712" w:rsidR="00BE4D70" w:rsidRPr="00543C2E" w:rsidRDefault="00BE4D70" w:rsidP="00CE43D7">
      <w:pPr>
        <w:pStyle w:val="Naslov4"/>
        <w:rPr>
          <w:shd w:val="clear" w:color="auto" w:fill="FFFFFF"/>
        </w:rPr>
      </w:pPr>
      <w:r>
        <w:rPr>
          <w:shd w:val="clear" w:color="auto" w:fill="FFFFFF"/>
        </w:rPr>
        <w:t xml:space="preserve">Potencialni vplivi podnebnih sprememb na turizem v občini </w:t>
      </w:r>
      <w:r w:rsidR="00747809">
        <w:rPr>
          <w:shd w:val="clear" w:color="auto" w:fill="FFFFFF"/>
        </w:rPr>
        <w:t>Nova Gorica</w:t>
      </w:r>
    </w:p>
    <w:p w14:paraId="1C11047D" w14:textId="77777777" w:rsidR="00747809" w:rsidRDefault="00747809" w:rsidP="00747809">
      <w:r>
        <w:rPr>
          <w:shd w:val="clear" w:color="auto" w:fill="FFFFFF"/>
        </w:rPr>
        <w:t xml:space="preserve">V spodnji preglednici so navedeni potencialni negativni in pozitivni vplivi podnebnih sprememb na turizem v občini Nova Gorica, ki izhajajo iz analize njegove izpostavljenosti in občutljivosti na podnebne spremembe. Pri izbiri relevantnih sprememb podnebja smo izhajali iz analize podnebja v destinaciji in pričakovanih podnebnih sprememb ter tako upoštevali naslednje vrste vremenskih dogodkov oziroma podnebnih sprememb in njihovih posledic: (1) povišanje temperature zraka v vseh letnih časih ter spremenjeni padavinski vzorci, (2) toplejša poletja (dvig povprečne in najvišje dnevne temperature, povečanje števila dni s pozitivnim kazalnikom vročine EHF, povečanje števila vročih dni in tropskih noči ter števila, trajanja in </w:t>
      </w:r>
      <w:r>
        <w:t xml:space="preserve">jakosti vročinskih valov), (3) toplejše pomladi in jeseni (povišanje povprečne ter najvišje in najnižje dnevne temperature), </w:t>
      </w:r>
      <w:r w:rsidRPr="00025176">
        <w:t>(4) toplejše zime, manj snega in več dežnih padavin</w:t>
      </w:r>
      <w:r>
        <w:t xml:space="preserve"> in (5) izjemne padavine - povečanje števila dni s padavinami nad 50 mm.</w:t>
      </w:r>
    </w:p>
    <w:p w14:paraId="53E6032E" w14:textId="77777777" w:rsidR="00747809" w:rsidRDefault="00747809" w:rsidP="00747809">
      <w:r>
        <w:rPr>
          <w:shd w:val="clear" w:color="auto" w:fill="FFFFFF"/>
        </w:rPr>
        <w:t>Za vsako vrsto spremembe so v preglednici določeni: občutljivost, izhodiščno stanje in pričakovane spremembe, vrsta potencialnega vpliva, območje, na katerem bo vpliv imel učinek, in ekspertna ocena stopnje vpliva v referenčnem obdobju 1981</w:t>
      </w:r>
      <w:r w:rsidRPr="00B14994">
        <w:t>—</w:t>
      </w:r>
      <w:r>
        <w:rPr>
          <w:shd w:val="clear" w:color="auto" w:fill="FFFFFF"/>
        </w:rPr>
        <w:t xml:space="preserve">2010 ter v obdobjih 2011―2040 in 2041―2070. </w:t>
      </w:r>
      <w:r w:rsidRPr="00961DA8">
        <w:rPr>
          <w:rFonts w:eastAsia="Calibri" w:cs="Arial"/>
          <w:lang w:eastAsia="sl-SI"/>
        </w:rPr>
        <w:t>Ker so razlike v vplivih prihodnjih podnebnih sprememb za scenarija izpustov toplogrednih plinov RCP4.5 in RCP8.5 majhne, je ranljivost v prihodnosti ocenjena samo po obdobjih.</w:t>
      </w:r>
      <w:r>
        <w:rPr>
          <w:rFonts w:eastAsia="Calibri" w:cs="Arial"/>
          <w:lang w:eastAsia="sl-SI"/>
        </w:rPr>
        <w:t xml:space="preserve"> </w:t>
      </w:r>
      <w:r>
        <w:t>Potencialni vplivi se nanašajo na različne vidike oz. dejavnike turizma, ki so izpostavljeni podnebnim spremembam: turistično ponudbo, konkurenčnost destinacije, turistični obisk, stroške, infrastrukturo, naravno okolje.</w:t>
      </w:r>
    </w:p>
    <w:p w14:paraId="3A14D866" w14:textId="77777777" w:rsidR="00747809" w:rsidRDefault="00747809" w:rsidP="00747809">
      <w:pPr>
        <w:jc w:val="left"/>
        <w:rPr>
          <w:shd w:val="clear" w:color="auto" w:fill="FFFFFF"/>
        </w:rPr>
      </w:pPr>
      <w:r>
        <w:rPr>
          <w:shd w:val="clear" w:color="auto" w:fill="FFFFFF"/>
        </w:rPr>
        <w:t>Stopnja vpliva podnebne spremembe v posameznih obdobjih je ocenjena s petstopenjsko lestvico.</w:t>
      </w:r>
    </w:p>
    <w:p w14:paraId="4580096D" w14:textId="77777777" w:rsidR="00747809" w:rsidRDefault="00747809" w:rsidP="00747809">
      <w:pPr>
        <w:jc w:val="left"/>
        <w:rPr>
          <w:shd w:val="clear" w:color="auto" w:fill="FFFFFF"/>
        </w:rPr>
      </w:pPr>
    </w:p>
    <w:p w14:paraId="194259D6" w14:textId="77777777" w:rsidR="00747809" w:rsidRDefault="00747809" w:rsidP="00747809">
      <w:pPr>
        <w:jc w:val="left"/>
        <w:rPr>
          <w:shd w:val="clear" w:color="auto" w:fill="FFFFFF"/>
        </w:rPr>
      </w:pPr>
      <w:r>
        <w:rPr>
          <w:noProof/>
          <w:lang w:eastAsia="sl-SI"/>
        </w:rPr>
        <w:lastRenderedPageBreak/>
        <mc:AlternateContent>
          <mc:Choice Requires="wps">
            <w:drawing>
              <wp:anchor distT="0" distB="0" distL="114300" distR="114300" simplePos="0" relativeHeight="252169216" behindDoc="0" locked="0" layoutInCell="1" allowOverlap="1" wp14:anchorId="5E3AEEE7" wp14:editId="55A37FC7">
                <wp:simplePos x="0" y="0"/>
                <wp:positionH relativeFrom="margin">
                  <wp:posOffset>0</wp:posOffset>
                </wp:positionH>
                <wp:positionV relativeFrom="paragraph">
                  <wp:posOffset>125095</wp:posOffset>
                </wp:positionV>
                <wp:extent cx="4477385" cy="180975"/>
                <wp:effectExtent l="0" t="0" r="0" b="9525"/>
                <wp:wrapTopAndBottom/>
                <wp:docPr id="1802182991" name="Text Box 238"/>
                <wp:cNvGraphicFramePr/>
                <a:graphic xmlns:a="http://schemas.openxmlformats.org/drawingml/2006/main">
                  <a:graphicData uri="http://schemas.microsoft.com/office/word/2010/wordprocessingShape">
                    <wps:wsp>
                      <wps:cNvSpPr txBox="1"/>
                      <wps:spPr>
                        <a:xfrm>
                          <a:off x="0" y="0"/>
                          <a:ext cx="4477385" cy="180975"/>
                        </a:xfrm>
                        <a:prstGeom prst="rect">
                          <a:avLst/>
                        </a:prstGeom>
                        <a:solidFill>
                          <a:prstClr val="white"/>
                        </a:solidFill>
                        <a:ln>
                          <a:noFill/>
                        </a:ln>
                      </wps:spPr>
                      <wps:txbx>
                        <w:txbxContent>
                          <w:p w14:paraId="384A7902" w14:textId="5B3C0A34" w:rsidR="00996D54" w:rsidRPr="00F83D0D" w:rsidRDefault="00996D54" w:rsidP="00747809">
                            <w:pPr>
                              <w:pStyle w:val="Napis"/>
                              <w:spacing w:after="240"/>
                              <w:rPr>
                                <w:rFonts w:ascii="Trebuchet MS" w:hAnsi="Trebuchet MS"/>
                              </w:rPr>
                            </w:pPr>
                            <w:bookmarkStart w:id="346" w:name="_Toc97026979"/>
                            <w:r>
                              <w:t xml:space="preserve">Preglednica </w:t>
                            </w:r>
                            <w:r>
                              <w:fldChar w:fldCharType="begin"/>
                            </w:r>
                            <w:r>
                              <w:instrText xml:space="preserve"> STYLEREF 1 \s </w:instrText>
                            </w:r>
                            <w:r>
                              <w:fldChar w:fldCharType="separate"/>
                            </w:r>
                            <w:r>
                              <w:rPr>
                                <w:noProof/>
                              </w:rPr>
                              <w:t>6</w:t>
                            </w:r>
                            <w:r>
                              <w:fldChar w:fldCharType="end"/>
                            </w:r>
                            <w:r>
                              <w:t>.</w:t>
                            </w:r>
                            <w:r>
                              <w:fldChar w:fldCharType="begin"/>
                            </w:r>
                            <w:r>
                              <w:instrText xml:space="preserve"> SEQ Preglednica \* ARABIC \s 1 </w:instrText>
                            </w:r>
                            <w:r>
                              <w:fldChar w:fldCharType="separate"/>
                            </w:r>
                            <w:r>
                              <w:rPr>
                                <w:noProof/>
                              </w:rPr>
                              <w:t>26</w:t>
                            </w:r>
                            <w:r>
                              <w:fldChar w:fldCharType="end"/>
                            </w:r>
                            <w:r>
                              <w:t xml:space="preserve">: </w:t>
                            </w:r>
                            <w:r w:rsidRPr="00234032">
                              <w:t xml:space="preserve">Potencialni vplivi podnebnih sprememb na turizem v destinaciji </w:t>
                            </w:r>
                            <w:r>
                              <w:t>Nova Gorica</w:t>
                            </w:r>
                            <w:bookmarkEnd w:id="3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3AEEE7" id="Text Box 238" o:spid="_x0000_s1030" type="#_x0000_t202" style="position:absolute;margin-left:0;margin-top:9.85pt;width:352.55pt;height:14.25pt;z-index:2521692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" stroked="f">
                <v:textbox inset="0,0,0,0">
                  <w:txbxContent>
                    <w:p w14:paraId="384A7902" w14:textId="5B3C0A34" w:rsidR="00996D54" w:rsidRPr="00F83D0D" w:rsidRDefault="00996D54" w:rsidP="00747809">
                      <w:pPr>
                        <w:pStyle w:val="Napis"/>
                        <w:spacing w:after="240"/>
                        <w:rPr>
                          <w:rFonts w:ascii="Trebuchet MS" w:hAnsi="Trebuchet MS"/>
                        </w:rPr>
                      </w:pPr>
                      <w:bookmarkStart w:id="347" w:name="_Toc97026979"/>
                      <w:r>
                        <w:t xml:space="preserve">Preglednica </w:t>
                      </w:r>
                      <w:r>
                        <w:fldChar w:fldCharType="begin"/>
                      </w:r>
                      <w:r>
                        <w:instrText xml:space="preserve"> STYLEREF 1 \s </w:instrText>
                      </w:r>
                      <w:r>
                        <w:fldChar w:fldCharType="separate"/>
                      </w:r>
                      <w:r>
                        <w:rPr>
                          <w:noProof/>
                        </w:rPr>
                        <w:t>6</w:t>
                      </w:r>
                      <w:r>
                        <w:fldChar w:fldCharType="end"/>
                      </w:r>
                      <w:r>
                        <w:t>.</w:t>
                      </w:r>
                      <w:r>
                        <w:fldChar w:fldCharType="begin"/>
                      </w:r>
                      <w:r>
                        <w:instrText xml:space="preserve"> SEQ Preglednica \* ARABIC \s 1 </w:instrText>
                      </w:r>
                      <w:r>
                        <w:fldChar w:fldCharType="separate"/>
                      </w:r>
                      <w:r>
                        <w:rPr>
                          <w:noProof/>
                        </w:rPr>
                        <w:t>26</w:t>
                      </w:r>
                      <w:r>
                        <w:fldChar w:fldCharType="end"/>
                      </w:r>
                      <w:r>
                        <w:t xml:space="preserve">: </w:t>
                      </w:r>
                      <w:r w:rsidRPr="00234032">
                        <w:t xml:space="preserve">Potencialni vplivi podnebnih sprememb na turizem v destinaciji </w:t>
                      </w:r>
                      <w:r>
                        <w:t>Nova Gorica</w:t>
                      </w:r>
                      <w:bookmarkEnd w:id="347"/>
                    </w:p>
                  </w:txbxContent>
                </v:textbox>
                <w10:wrap type="topAndBottom" anchorx="margin"/>
              </v:shape>
            </w:pict>
          </mc:Fallback>
        </mc:AlternateContent>
      </w:r>
      <w:r w:rsidRPr="00EE7909">
        <w:rPr>
          <w:noProof/>
          <w:shd w:val="clear" w:color="auto" w:fill="FFFFFF"/>
          <w:lang w:eastAsia="sl-SI"/>
        </w:rPr>
        <w:drawing>
          <wp:inline distT="0" distB="0" distL="0" distR="0" wp14:anchorId="167783E0" wp14:editId="7236A064">
            <wp:extent cx="7707369" cy="2869657"/>
            <wp:effectExtent l="0" t="635" r="7620" b="762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rot="16200000">
                      <a:off x="0" y="0"/>
                      <a:ext cx="7738687" cy="2881317"/>
                    </a:xfrm>
                    <a:prstGeom prst="rect">
                      <a:avLst/>
                    </a:prstGeom>
                  </pic:spPr>
                </pic:pic>
              </a:graphicData>
            </a:graphic>
          </wp:inline>
        </w:drawing>
      </w:r>
    </w:p>
    <w:p w14:paraId="217D22FD" w14:textId="77777777" w:rsidR="00747809" w:rsidRDefault="00747809" w:rsidP="00747809">
      <w:pPr>
        <w:jc w:val="left"/>
        <w:rPr>
          <w:shd w:val="clear" w:color="auto" w:fill="FFFFFF"/>
        </w:rPr>
      </w:pPr>
      <w:r w:rsidRPr="00EE7909">
        <w:rPr>
          <w:noProof/>
          <w:shd w:val="clear" w:color="auto" w:fill="FFFFFF"/>
          <w:lang w:eastAsia="sl-SI"/>
        </w:rPr>
        <w:lastRenderedPageBreak/>
        <w:drawing>
          <wp:inline distT="0" distB="0" distL="0" distR="0" wp14:anchorId="78EE25D8" wp14:editId="79FA28B3">
            <wp:extent cx="8074879" cy="5192138"/>
            <wp:effectExtent l="0" t="6350" r="0" b="0"/>
            <wp:docPr id="1802182993"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rot="16200000">
                      <a:off x="0" y="0"/>
                      <a:ext cx="8117280" cy="5219402"/>
                    </a:xfrm>
                    <a:prstGeom prst="rect">
                      <a:avLst/>
                    </a:prstGeom>
                  </pic:spPr>
                </pic:pic>
              </a:graphicData>
            </a:graphic>
          </wp:inline>
        </w:drawing>
      </w:r>
    </w:p>
    <w:p w14:paraId="58B3F8E2" w14:textId="77777777" w:rsidR="00747809" w:rsidRDefault="00747809" w:rsidP="00747809">
      <w:pPr>
        <w:jc w:val="left"/>
        <w:rPr>
          <w:shd w:val="clear" w:color="auto" w:fill="FFFFFF"/>
        </w:rPr>
      </w:pPr>
      <w:r w:rsidRPr="00EE7909">
        <w:rPr>
          <w:noProof/>
          <w:shd w:val="clear" w:color="auto" w:fill="FFFFFF"/>
          <w:lang w:eastAsia="sl-SI"/>
        </w:rPr>
        <w:lastRenderedPageBreak/>
        <w:drawing>
          <wp:inline distT="0" distB="0" distL="0" distR="0" wp14:anchorId="1278097A" wp14:editId="354CAC7B">
            <wp:extent cx="8081359" cy="2757641"/>
            <wp:effectExtent l="0" t="5080" r="0" b="0"/>
            <wp:docPr id="1802182994"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rot="16200000">
                      <a:off x="0" y="0"/>
                      <a:ext cx="8141451" cy="2778147"/>
                    </a:xfrm>
                    <a:prstGeom prst="rect">
                      <a:avLst/>
                    </a:prstGeom>
                  </pic:spPr>
                </pic:pic>
              </a:graphicData>
            </a:graphic>
          </wp:inline>
        </w:drawing>
      </w:r>
    </w:p>
    <w:p w14:paraId="2F93C614" w14:textId="3CC48022" w:rsidR="00BE4D70" w:rsidRDefault="00747809" w:rsidP="00BE4D70">
      <w:pPr>
        <w:jc w:val="left"/>
        <w:rPr>
          <w:shd w:val="clear" w:color="auto" w:fill="FFFFFF"/>
        </w:rPr>
      </w:pPr>
      <w:r w:rsidRPr="00EE7909">
        <w:rPr>
          <w:noProof/>
          <w:shd w:val="clear" w:color="auto" w:fill="FFFFFF"/>
          <w:lang w:eastAsia="sl-SI"/>
        </w:rPr>
        <w:lastRenderedPageBreak/>
        <w:drawing>
          <wp:inline distT="0" distB="0" distL="0" distR="0" wp14:anchorId="66EB68C0" wp14:editId="3893F12A">
            <wp:extent cx="8020744" cy="4106763"/>
            <wp:effectExtent l="0" t="5080" r="0" b="0"/>
            <wp:docPr id="1802182995"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rot="16200000">
                      <a:off x="0" y="0"/>
                      <a:ext cx="8056479" cy="4125060"/>
                    </a:xfrm>
                    <a:prstGeom prst="rect">
                      <a:avLst/>
                    </a:prstGeom>
                  </pic:spPr>
                </pic:pic>
              </a:graphicData>
            </a:graphic>
          </wp:inline>
        </w:drawing>
      </w:r>
      <w:r w:rsidR="00BE4D70">
        <w:rPr>
          <w:shd w:val="clear" w:color="auto" w:fill="FFFFFF"/>
        </w:rPr>
        <w:br w:type="page"/>
      </w:r>
    </w:p>
    <w:p w14:paraId="5322B246" w14:textId="77777777" w:rsidR="00BE4D70" w:rsidRDefault="00BE4D70" w:rsidP="008F1E4D">
      <w:pPr>
        <w:pStyle w:val="Naslov3"/>
        <w:rPr>
          <w:rFonts w:eastAsia="Calibri"/>
          <w:lang w:eastAsia="sl-SI"/>
        </w:rPr>
      </w:pPr>
      <w:bookmarkStart w:id="348" w:name="_Toc34130195"/>
      <w:bookmarkStart w:id="349" w:name="_Toc44656971"/>
      <w:bookmarkStart w:id="350" w:name="_Toc97026782"/>
      <w:r w:rsidRPr="001D38AC">
        <w:rPr>
          <w:rFonts w:eastAsia="Calibri"/>
          <w:lang w:eastAsia="sl-SI"/>
        </w:rPr>
        <w:lastRenderedPageBreak/>
        <w:t xml:space="preserve">Ocena sposobnosti </w:t>
      </w:r>
      <w:r w:rsidRPr="008F1E4D">
        <w:t>prilagajanja</w:t>
      </w:r>
      <w:bookmarkEnd w:id="348"/>
      <w:r>
        <w:rPr>
          <w:rFonts w:eastAsia="Calibri"/>
          <w:lang w:eastAsia="sl-SI"/>
        </w:rPr>
        <w:t xml:space="preserve"> sektorja </w:t>
      </w:r>
      <w:r w:rsidRPr="008F1E4D">
        <w:rPr>
          <w:rFonts w:eastAsia="Calibri"/>
          <w:color w:val="2F5496"/>
          <w:lang w:eastAsia="sl-SI"/>
        </w:rPr>
        <w:t>turizem</w:t>
      </w:r>
      <w:bookmarkEnd w:id="349"/>
      <w:bookmarkEnd w:id="350"/>
    </w:p>
    <w:p w14:paraId="673F8958" w14:textId="77777777" w:rsidR="00747809" w:rsidRDefault="00747809" w:rsidP="00747809">
      <w:pPr>
        <w:rPr>
          <w:rFonts w:cstheme="minorHAnsi"/>
          <w:shd w:val="clear" w:color="auto" w:fill="FFFFFF"/>
        </w:rPr>
      </w:pPr>
      <w:bookmarkStart w:id="351" w:name="_Hlk41474151"/>
      <w:r>
        <w:rPr>
          <w:rFonts w:cstheme="minorHAnsi"/>
          <w:shd w:val="clear" w:color="auto" w:fill="FFFFFF"/>
        </w:rPr>
        <w:t xml:space="preserve">Ocenjujemo, da ima občina Nova Gorica kot turistična destinacija v referenčnem obdobju </w:t>
      </w:r>
      <w:r w:rsidRPr="00962C17">
        <w:rPr>
          <w:rFonts w:cstheme="minorHAnsi"/>
          <w:shd w:val="clear" w:color="auto" w:fill="FFFFFF"/>
        </w:rPr>
        <w:t>zadostno sposobnost prilagajanja podnebnim spremembam</w:t>
      </w:r>
      <w:r>
        <w:rPr>
          <w:rFonts w:cstheme="minorHAnsi"/>
          <w:shd w:val="clear" w:color="auto" w:fill="FFFFFF"/>
        </w:rPr>
        <w:t xml:space="preserve">. K temu prispevajo različni dejavniki družbenega in naravnega okolja.  </w:t>
      </w:r>
    </w:p>
    <w:p w14:paraId="0B84DABA" w14:textId="77777777" w:rsidR="00747809" w:rsidRDefault="00747809" w:rsidP="00747809">
      <w:pPr>
        <w:rPr>
          <w:rFonts w:cstheme="minorHAnsi"/>
          <w:shd w:val="clear" w:color="auto" w:fill="FFFFFF"/>
        </w:rPr>
      </w:pPr>
      <w:r w:rsidRPr="00F20116">
        <w:rPr>
          <w:rFonts w:cstheme="minorHAnsi"/>
          <w:shd w:val="clear" w:color="auto" w:fill="FFFFFF"/>
        </w:rPr>
        <w:t>Lokalna skupnost (vodstvo občine, uradniki, javni zavodi, razvojn</w:t>
      </w:r>
      <w:r>
        <w:rPr>
          <w:rFonts w:cstheme="minorHAnsi"/>
          <w:shd w:val="clear" w:color="auto" w:fill="FFFFFF"/>
        </w:rPr>
        <w:t>a</w:t>
      </w:r>
      <w:r w:rsidRPr="00F20116">
        <w:rPr>
          <w:rFonts w:cstheme="minorHAnsi"/>
          <w:shd w:val="clear" w:color="auto" w:fill="FFFFFF"/>
        </w:rPr>
        <w:t xml:space="preserve"> agencij</w:t>
      </w:r>
      <w:r>
        <w:rPr>
          <w:rFonts w:cstheme="minorHAnsi"/>
          <w:shd w:val="clear" w:color="auto" w:fill="FFFFFF"/>
        </w:rPr>
        <w:t>a</w:t>
      </w:r>
      <w:r w:rsidRPr="00F20116">
        <w:rPr>
          <w:rFonts w:cstheme="minorHAnsi"/>
          <w:shd w:val="clear" w:color="auto" w:fill="FFFFFF"/>
        </w:rPr>
        <w:t>) je napredna, ozaveščena in trajnostno usmerjena. Je tudi usposobljena za pridobivanje finančnih sredstev iz nacionalnih in EU</w:t>
      </w:r>
      <w:r>
        <w:rPr>
          <w:rFonts w:cstheme="minorHAnsi"/>
          <w:shd w:val="clear" w:color="auto" w:fill="FFFFFF"/>
        </w:rPr>
        <w:t xml:space="preserve"> virov, ki bi jih </w:t>
      </w:r>
      <w:r w:rsidRPr="007D4150">
        <w:rPr>
          <w:rFonts w:cstheme="minorHAnsi"/>
          <w:shd w:val="clear" w:color="auto" w:fill="FFFFFF"/>
        </w:rPr>
        <w:t>lahko uporabili za ukrepe prilagajanja podnebnim spremembam. Občina razpolaga s precejšnjimi koncesijskimi sredstvi, ki jih vlaga v razvoj turistične</w:t>
      </w:r>
      <w:r>
        <w:rPr>
          <w:rFonts w:cstheme="minorHAnsi"/>
          <w:shd w:val="clear" w:color="auto" w:fill="FFFFFF"/>
        </w:rPr>
        <w:t xml:space="preserve"> </w:t>
      </w:r>
      <w:r w:rsidRPr="007D4150">
        <w:rPr>
          <w:rFonts w:cstheme="minorHAnsi"/>
          <w:shd w:val="clear" w:color="auto" w:fill="FFFFFF"/>
        </w:rPr>
        <w:t>infrastrukture</w:t>
      </w:r>
      <w:r>
        <w:rPr>
          <w:rFonts w:cstheme="minorHAnsi"/>
          <w:shd w:val="clear" w:color="auto" w:fill="FFFFFF"/>
        </w:rPr>
        <w:t xml:space="preserve">. </w:t>
      </w:r>
    </w:p>
    <w:p w14:paraId="02C7B850" w14:textId="77777777" w:rsidR="00747809" w:rsidRDefault="00747809" w:rsidP="00747809">
      <w:pPr>
        <w:rPr>
          <w:rFonts w:cstheme="minorHAnsi"/>
          <w:shd w:val="clear" w:color="auto" w:fill="FFFFFF"/>
        </w:rPr>
      </w:pPr>
      <w:r>
        <w:rPr>
          <w:rFonts w:cstheme="minorHAnsi"/>
          <w:shd w:val="clear" w:color="auto" w:fill="FFFFFF"/>
        </w:rPr>
        <w:t xml:space="preserve">Destinacijo odlikuje raznolikost turistične ponudbe in pomemben del ponudbe, ki ni neposredno odvisen od podnebja oz. vremena (igralniški turizem). </w:t>
      </w:r>
    </w:p>
    <w:p w14:paraId="42F68504" w14:textId="106FAF18" w:rsidR="00747809" w:rsidRPr="007D4150" w:rsidRDefault="005E7A42" w:rsidP="00747809">
      <w:pPr>
        <w:rPr>
          <w:rFonts w:cstheme="minorHAnsi"/>
          <w:shd w:val="clear" w:color="auto" w:fill="FFFFFF"/>
        </w:rPr>
      </w:pPr>
      <w:r>
        <w:rPr>
          <w:rFonts w:cstheme="minorHAnsi"/>
          <w:shd w:val="clear" w:color="auto" w:fill="FFFFFF"/>
        </w:rPr>
        <w:t>Mestna o</w:t>
      </w:r>
      <w:r w:rsidR="00747809" w:rsidRPr="007D4150">
        <w:rPr>
          <w:rFonts w:cstheme="minorHAnsi"/>
          <w:shd w:val="clear" w:color="auto" w:fill="FFFFFF"/>
        </w:rPr>
        <w:t xml:space="preserve">bčina Nova Gorica je od leta 2016 vključena v Zeleno shemo slovenskega turizma (ZSST) in ima zlati znak </w:t>
      </w:r>
      <w:proofErr w:type="spellStart"/>
      <w:r w:rsidR="00747809" w:rsidRPr="007D4150">
        <w:rPr>
          <w:rFonts w:cstheme="minorHAnsi"/>
          <w:shd w:val="clear" w:color="auto" w:fill="FFFFFF"/>
        </w:rPr>
        <w:t>Slovenia</w:t>
      </w:r>
      <w:proofErr w:type="spellEnd"/>
      <w:r w:rsidR="00747809" w:rsidRPr="007D4150">
        <w:rPr>
          <w:rFonts w:cstheme="minorHAnsi"/>
          <w:shd w:val="clear" w:color="auto" w:fill="FFFFFF"/>
        </w:rPr>
        <w:t xml:space="preserve"> </w:t>
      </w:r>
      <w:proofErr w:type="spellStart"/>
      <w:r w:rsidR="00747809" w:rsidRPr="007D4150">
        <w:rPr>
          <w:rFonts w:cstheme="minorHAnsi"/>
          <w:shd w:val="clear" w:color="auto" w:fill="FFFFFF"/>
        </w:rPr>
        <w:t>Green</w:t>
      </w:r>
      <w:proofErr w:type="spellEnd"/>
      <w:r w:rsidR="00747809" w:rsidRPr="007D4150">
        <w:rPr>
          <w:rFonts w:cstheme="minorHAnsi"/>
          <w:shd w:val="clear" w:color="auto" w:fill="FFFFFF"/>
        </w:rPr>
        <w:t xml:space="preserve"> </w:t>
      </w:r>
      <w:proofErr w:type="spellStart"/>
      <w:r w:rsidR="00747809" w:rsidRPr="007D4150">
        <w:rPr>
          <w:rFonts w:cstheme="minorHAnsi"/>
          <w:shd w:val="clear" w:color="auto" w:fill="FFFFFF"/>
        </w:rPr>
        <w:t>Destination</w:t>
      </w:r>
      <w:proofErr w:type="spellEnd"/>
      <w:r w:rsidR="00747809" w:rsidRPr="007D4150">
        <w:rPr>
          <w:rFonts w:cstheme="minorHAnsi"/>
          <w:shd w:val="clear" w:color="auto" w:fill="FFFFFF"/>
        </w:rPr>
        <w:t xml:space="preserve">. Zato je v mednarodnem prostoru deležna marketinške podpore s strani Slovenske turistične organizacije. ZSST destinacije spodbuja k ozaveščanju deležnikov turizma (turističnih ponudnikov, obiskovalcev in lokalne skupnosti) o </w:t>
      </w:r>
      <w:proofErr w:type="spellStart"/>
      <w:r w:rsidR="00747809" w:rsidRPr="007D4150">
        <w:rPr>
          <w:rFonts w:cstheme="minorHAnsi"/>
          <w:shd w:val="clear" w:color="auto" w:fill="FFFFFF"/>
        </w:rPr>
        <w:t>okoljskih</w:t>
      </w:r>
      <w:proofErr w:type="spellEnd"/>
      <w:r w:rsidR="00747809" w:rsidRPr="007D4150">
        <w:rPr>
          <w:rFonts w:cstheme="minorHAnsi"/>
          <w:shd w:val="clear" w:color="auto" w:fill="FFFFFF"/>
        </w:rPr>
        <w:t xml:space="preserve"> vidikih turizma ter k ozelenitvi turistične ponudbe in delovanja turističnih ponudnikov. Povezava z ZSST na nacionalni ravni je v pristojnosti </w:t>
      </w:r>
      <w:r w:rsidR="00747809">
        <w:rPr>
          <w:rFonts w:cstheme="minorHAnsi"/>
          <w:shd w:val="clear" w:color="auto" w:fill="FFFFFF"/>
        </w:rPr>
        <w:t>Mestne občine</w:t>
      </w:r>
      <w:r w:rsidR="00747809" w:rsidRPr="007D4150">
        <w:rPr>
          <w:rFonts w:cstheme="minorHAnsi"/>
          <w:shd w:val="clear" w:color="auto" w:fill="FFFFFF"/>
        </w:rPr>
        <w:t xml:space="preserve"> Nova Gorica</w:t>
      </w:r>
      <w:r w:rsidR="00747809">
        <w:rPr>
          <w:rFonts w:cstheme="minorHAnsi"/>
          <w:shd w:val="clear" w:color="auto" w:fill="FFFFFF"/>
        </w:rPr>
        <w:t xml:space="preserve">. </w:t>
      </w:r>
      <w:r w:rsidR="00747809" w:rsidRPr="00DA6A90">
        <w:rPr>
          <w:rFonts w:cstheme="minorHAnsi"/>
          <w:shd w:val="clear" w:color="auto" w:fill="FFFFFF"/>
        </w:rPr>
        <w:t>Javni zavod za turizem Nova Gorica in Vipavska dolin</w:t>
      </w:r>
      <w:r w:rsidR="00747809">
        <w:rPr>
          <w:rFonts w:cstheme="minorHAnsi"/>
          <w:shd w:val="clear" w:color="auto" w:fill="FFFFFF"/>
        </w:rPr>
        <w:t xml:space="preserve">a skrbi za promocijo destinacije in usklajevanje turistične dejavnosti v destinaciji. </w:t>
      </w:r>
      <w:bookmarkStart w:id="352" w:name="_Hlk70892433"/>
      <w:r w:rsidR="00747809">
        <w:rPr>
          <w:rFonts w:cstheme="minorHAnsi"/>
          <w:shd w:val="clear" w:color="auto" w:fill="FFFFFF"/>
        </w:rPr>
        <w:t>V</w:t>
      </w:r>
      <w:r w:rsidR="00747809" w:rsidRPr="007D4150">
        <w:rPr>
          <w:rFonts w:cstheme="minorHAnsi"/>
          <w:shd w:val="clear" w:color="auto" w:fill="FFFFFF"/>
        </w:rPr>
        <w:t xml:space="preserve"> usposabljanje turističnih ponudnikov</w:t>
      </w:r>
      <w:r w:rsidR="00747809">
        <w:rPr>
          <w:rFonts w:cstheme="minorHAnsi"/>
          <w:shd w:val="clear" w:color="auto" w:fill="FFFFFF"/>
        </w:rPr>
        <w:t xml:space="preserve"> v destinaciji se vključuje tudi Regionalna razvojna agencija Severne Primorske</w:t>
      </w:r>
      <w:r w:rsidR="00747809" w:rsidRPr="007D4150">
        <w:rPr>
          <w:rFonts w:cstheme="minorHAnsi"/>
          <w:shd w:val="clear" w:color="auto" w:fill="FFFFFF"/>
        </w:rPr>
        <w:t xml:space="preserve">. </w:t>
      </w:r>
      <w:bookmarkEnd w:id="352"/>
    </w:p>
    <w:bookmarkEnd w:id="351"/>
    <w:p w14:paraId="0659CDE4" w14:textId="77777777" w:rsidR="00747809" w:rsidRDefault="00747809" w:rsidP="00747809">
      <w:pPr>
        <w:rPr>
          <w:rFonts w:cs="Arial"/>
          <w:color w:val="505050"/>
          <w:shd w:val="clear" w:color="auto" w:fill="FFFFFF"/>
        </w:rPr>
      </w:pPr>
      <w:r w:rsidRPr="00CD6045">
        <w:rPr>
          <w:shd w:val="clear" w:color="auto" w:fill="FFFFFF"/>
        </w:rPr>
        <w:t xml:space="preserve">V občini deluje Štab civilne zaščite, ki je odgovoren za izvajanje zaščite, reševanja in pomoči ob naravnih in drugih nesrečah, vzpostavljen je sistem zdravstvenega varstva. </w:t>
      </w:r>
      <w:r w:rsidRPr="002744B8">
        <w:rPr>
          <w:shd w:val="clear" w:color="auto" w:fill="FFFFFF"/>
        </w:rPr>
        <w:t xml:space="preserve">Natančne </w:t>
      </w:r>
      <w:r w:rsidRPr="00907D63">
        <w:rPr>
          <w:shd w:val="clear" w:color="auto" w:fill="FFFFFF"/>
        </w:rPr>
        <w:t>kratkoročne napovedi vremena</w:t>
      </w:r>
      <w:r w:rsidRPr="00C55D03">
        <w:rPr>
          <w:shd w:val="clear" w:color="auto" w:fill="FFFFFF"/>
        </w:rPr>
        <w:t>, za katere skrbi državna meteorološka služba</w:t>
      </w:r>
      <w:r>
        <w:rPr>
          <w:shd w:val="clear" w:color="auto" w:fill="FFFFFF"/>
        </w:rPr>
        <w:t>, tudi na lokalni ravni povečujejo</w:t>
      </w:r>
      <w:r w:rsidRPr="00C55D03">
        <w:rPr>
          <w:shd w:val="clear" w:color="auto" w:fill="FFFFFF"/>
        </w:rPr>
        <w:t xml:space="preserve"> </w:t>
      </w:r>
      <w:r>
        <w:rPr>
          <w:shd w:val="clear" w:color="auto" w:fill="FFFFFF"/>
        </w:rPr>
        <w:t>z</w:t>
      </w:r>
      <w:r w:rsidRPr="00C55D03">
        <w:rPr>
          <w:shd w:val="clear" w:color="auto" w:fill="FFFFFF"/>
        </w:rPr>
        <w:t xml:space="preserve">možnost prilagajanja </w:t>
      </w:r>
      <w:r>
        <w:rPr>
          <w:shd w:val="clear" w:color="auto" w:fill="FFFFFF"/>
        </w:rPr>
        <w:t xml:space="preserve">ekstremnim vremenskim dogodkom </w:t>
      </w:r>
      <w:r w:rsidRPr="00C55D03">
        <w:rPr>
          <w:shd w:val="clear" w:color="auto" w:fill="FFFFFF"/>
        </w:rPr>
        <w:t xml:space="preserve">s preventivnimi ukrepi. </w:t>
      </w:r>
      <w:r w:rsidRPr="00CD6045">
        <w:rPr>
          <w:shd w:val="clear" w:color="auto" w:fill="FFFFFF"/>
        </w:rPr>
        <w:t>Zmožnost prilagajanja z morebitnimi kurativnimi ukrepi (sanacijami) pa povečuje ekonomska stabilnost lokalne skupnosti ter razpoložljiva sredstva za morebitne potrebne sanacije na nacionalni ravni.</w:t>
      </w:r>
      <w:r w:rsidRPr="00CD6045">
        <w:rPr>
          <w:rFonts w:cs="Arial"/>
          <w:color w:val="505050"/>
          <w:shd w:val="clear" w:color="auto" w:fill="FFFFFF"/>
        </w:rPr>
        <w:t xml:space="preserve"> </w:t>
      </w:r>
    </w:p>
    <w:p w14:paraId="3E3C495E" w14:textId="77777777" w:rsidR="00747809" w:rsidRDefault="00747809" w:rsidP="00747809">
      <w:pPr>
        <w:rPr>
          <w:rFonts w:cstheme="minorHAnsi"/>
          <w:shd w:val="clear" w:color="auto" w:fill="FFFFFF"/>
        </w:rPr>
      </w:pPr>
      <w:r>
        <w:rPr>
          <w:rFonts w:cstheme="minorHAnsi"/>
          <w:shd w:val="clear" w:color="auto" w:fill="FFFFFF"/>
        </w:rPr>
        <w:t xml:space="preserve">Destinacija ima velik, še ne povsem izkoriščen </w:t>
      </w:r>
      <w:r w:rsidRPr="009D2266">
        <w:rPr>
          <w:rFonts w:cstheme="minorHAnsi"/>
          <w:shd w:val="clear" w:color="auto" w:fill="FFFFFF"/>
        </w:rPr>
        <w:t xml:space="preserve">potencial za razvoj turizma na </w:t>
      </w:r>
      <w:r>
        <w:rPr>
          <w:rFonts w:cstheme="minorHAnsi"/>
          <w:shd w:val="clear" w:color="auto" w:fill="FFFFFF"/>
        </w:rPr>
        <w:t xml:space="preserve">podeželju, ki se lahko aktivira ob povečanem turističnem obisku in povečanih potrebah po namestitvah. Prav tako v občini obstajajo hladnejša </w:t>
      </w:r>
      <w:proofErr w:type="spellStart"/>
      <w:r>
        <w:rPr>
          <w:rFonts w:cstheme="minorHAnsi"/>
          <w:shd w:val="clear" w:color="auto" w:fill="FFFFFF"/>
        </w:rPr>
        <w:t>višjeležeča</w:t>
      </w:r>
      <w:proofErr w:type="spellEnd"/>
      <w:r>
        <w:rPr>
          <w:rFonts w:cstheme="minorHAnsi"/>
          <w:shd w:val="clear" w:color="auto" w:fill="FFFFFF"/>
        </w:rPr>
        <w:t xml:space="preserve"> območja, kjer pa bo morebitni turizem potrebno razvijati z upoštevanjem naravovarstvenih smernic. </w:t>
      </w:r>
    </w:p>
    <w:p w14:paraId="29D77510" w14:textId="77777777" w:rsidR="00747809" w:rsidRPr="00CD6045" w:rsidRDefault="00747809" w:rsidP="00747809">
      <w:pPr>
        <w:rPr>
          <w:rFonts w:cstheme="minorHAnsi"/>
          <w:shd w:val="clear" w:color="auto" w:fill="FFFFFF"/>
        </w:rPr>
      </w:pPr>
      <w:bookmarkStart w:id="353" w:name="_Hlk87875801"/>
      <w:r w:rsidRPr="00CD6045">
        <w:rPr>
          <w:rFonts w:cstheme="minorHAnsi"/>
          <w:shd w:val="clear" w:color="auto" w:fill="FFFFFF"/>
        </w:rPr>
        <w:t>Le delno je izkoriščen tudi potencial vodnih virov v destinaciji za turistične namene. V občini je kot območje kopalnih voda opredeljen</w:t>
      </w:r>
      <w:r>
        <w:rPr>
          <w:rFonts w:cstheme="minorHAnsi"/>
          <w:shd w:val="clear" w:color="auto" w:fill="FFFFFF"/>
        </w:rPr>
        <w:t>o</w:t>
      </w:r>
      <w:r w:rsidRPr="00CD6045">
        <w:rPr>
          <w:rFonts w:cstheme="minorHAnsi"/>
          <w:shd w:val="clear" w:color="auto" w:fill="FFFFFF"/>
        </w:rPr>
        <w:t xml:space="preserve"> </w:t>
      </w:r>
      <w:r>
        <w:t>Kopalno območje Soča pri Solkanu. D</w:t>
      </w:r>
      <w:r w:rsidRPr="00CD6045">
        <w:rPr>
          <w:rFonts w:cstheme="minorHAnsi"/>
          <w:shd w:val="clear" w:color="auto" w:fill="FFFFFF"/>
        </w:rPr>
        <w:t xml:space="preserve">ejansko </w:t>
      </w:r>
      <w:r>
        <w:rPr>
          <w:rFonts w:cstheme="minorHAnsi"/>
          <w:shd w:val="clear" w:color="auto" w:fill="FFFFFF"/>
        </w:rPr>
        <w:t xml:space="preserve">se </w:t>
      </w:r>
      <w:r w:rsidRPr="00CD6045">
        <w:rPr>
          <w:rFonts w:cstheme="minorHAnsi"/>
          <w:shd w:val="clear" w:color="auto" w:fill="FFFFFF"/>
        </w:rPr>
        <w:t xml:space="preserve">za kopanje uporabljajo tudi nekatera druge površinske vode v občini (vodni zadrževalnik </w:t>
      </w:r>
      <w:proofErr w:type="spellStart"/>
      <w:r w:rsidRPr="00CD6045">
        <w:rPr>
          <w:rFonts w:cstheme="minorHAnsi"/>
          <w:shd w:val="clear" w:color="auto" w:fill="FFFFFF"/>
        </w:rPr>
        <w:t>Vogršček</w:t>
      </w:r>
      <w:proofErr w:type="spellEnd"/>
      <w:r w:rsidRPr="00CD6045">
        <w:rPr>
          <w:rFonts w:cstheme="minorHAnsi"/>
          <w:shd w:val="clear" w:color="auto" w:fill="FFFFFF"/>
        </w:rPr>
        <w:t xml:space="preserve">, ob Vipavi pri Dornberku, </w:t>
      </w:r>
      <w:proofErr w:type="spellStart"/>
      <w:r w:rsidRPr="00CD6045">
        <w:rPr>
          <w:rFonts w:cstheme="minorHAnsi"/>
          <w:shd w:val="clear" w:color="auto" w:fill="FFFFFF"/>
        </w:rPr>
        <w:t>itd</w:t>
      </w:r>
      <w:proofErr w:type="spellEnd"/>
      <w:r w:rsidRPr="00CD6045">
        <w:rPr>
          <w:rFonts w:cstheme="minorHAnsi"/>
          <w:shd w:val="clear" w:color="auto" w:fill="FFFFFF"/>
        </w:rPr>
        <w:t>)</w:t>
      </w:r>
      <w:r>
        <w:rPr>
          <w:rFonts w:cstheme="minorHAnsi"/>
          <w:shd w:val="clear" w:color="auto" w:fill="FFFFFF"/>
        </w:rPr>
        <w:t>. Pomen naravnih kopališč bo v čedalje bolj vročih poletjih naraščal.</w:t>
      </w:r>
    </w:p>
    <w:bookmarkEnd w:id="353"/>
    <w:p w14:paraId="49B2BF74" w14:textId="77777777" w:rsidR="00747809" w:rsidRDefault="00747809" w:rsidP="00747809">
      <w:pPr>
        <w:rPr>
          <w:shd w:val="clear" w:color="auto" w:fill="FFFFFF"/>
        </w:rPr>
      </w:pPr>
      <w:r>
        <w:rPr>
          <w:shd w:val="clear" w:color="auto" w:fill="FFFFFF"/>
        </w:rPr>
        <w:t>Ohranjena narava</w:t>
      </w:r>
      <w:r w:rsidRPr="007C35D7">
        <w:rPr>
          <w:shd w:val="clear" w:color="auto" w:fill="FFFFFF"/>
        </w:rPr>
        <w:t xml:space="preserve"> je za turizem neprecenljiv razvojni vir,</w:t>
      </w:r>
      <w:r>
        <w:rPr>
          <w:shd w:val="clear" w:color="auto" w:fill="FFFFFF"/>
        </w:rPr>
        <w:t xml:space="preserve"> velika biotska raznovrstnost pa predstavlja najpomembnejši dejavnik odpornosti naravnih sistemov na podnebne (in druge) spremembe. </w:t>
      </w:r>
      <w:r w:rsidRPr="007C35D7">
        <w:rPr>
          <w:shd w:val="clear" w:color="auto" w:fill="FFFFFF"/>
        </w:rPr>
        <w:t xml:space="preserve">V občini </w:t>
      </w:r>
      <w:r>
        <w:t>Nova Gorica</w:t>
      </w:r>
      <w:r w:rsidRPr="007C35D7">
        <w:t xml:space="preserve"> </w:t>
      </w:r>
      <w:r>
        <w:t>š</w:t>
      </w:r>
      <w:r w:rsidRPr="007C35D7">
        <w:t xml:space="preserve">tevilna območja </w:t>
      </w:r>
      <w:r>
        <w:t>z</w:t>
      </w:r>
      <w:r w:rsidRPr="007C35D7">
        <w:t xml:space="preserve"> </w:t>
      </w:r>
      <w:r>
        <w:t>naravo</w:t>
      </w:r>
      <w:r w:rsidRPr="007C35D7">
        <w:t>varstvenimi statusi in zavarovanimi rastlinskimi in živalskimi vrstami ter habitatnimi tipi</w:t>
      </w:r>
      <w:r>
        <w:t xml:space="preserve"> </w:t>
      </w:r>
      <w:r w:rsidRPr="007C35D7">
        <w:t xml:space="preserve">nakazujejo na veliko biotsko pestrost </w:t>
      </w:r>
      <w:r>
        <w:t>območja</w:t>
      </w:r>
      <w:r w:rsidRPr="007C35D7">
        <w:t>.</w:t>
      </w:r>
      <w:r>
        <w:rPr>
          <w:shd w:val="clear" w:color="auto" w:fill="FFFFFF"/>
        </w:rPr>
        <w:t xml:space="preserve"> </w:t>
      </w:r>
      <w:r w:rsidRPr="007C35D7">
        <w:t>(</w:t>
      </w:r>
      <w:proofErr w:type="spellStart"/>
      <w:r w:rsidRPr="007C35D7">
        <w:t>Okoljsko</w:t>
      </w:r>
      <w:proofErr w:type="spellEnd"/>
      <w:r w:rsidRPr="007C35D7">
        <w:t xml:space="preserve"> poročilo…, 2010)</w:t>
      </w:r>
      <w:r>
        <w:rPr>
          <w:shd w:val="clear" w:color="auto" w:fill="FFFFFF"/>
        </w:rPr>
        <w:t xml:space="preserve"> </w:t>
      </w:r>
    </w:p>
    <w:p w14:paraId="69679A68" w14:textId="77777777" w:rsidR="00747809" w:rsidRDefault="00747809" w:rsidP="00747809">
      <w:pPr>
        <w:rPr>
          <w:shd w:val="clear" w:color="auto" w:fill="FFFFFF"/>
        </w:rPr>
      </w:pPr>
      <w:r>
        <w:rPr>
          <w:shd w:val="clear" w:color="auto" w:fill="FFFFFF"/>
        </w:rPr>
        <w:t xml:space="preserve">Varovana območja so tudi sredstvo za ohranjanje naravnih vrednot in lahko služijo za upravljanje turističnega obiska ranljivih območij v spremenjenih razmerah zaradi podnebnih sprememb, ko bi </w:t>
      </w:r>
      <w:r>
        <w:rPr>
          <w:shd w:val="clear" w:color="auto" w:fill="FFFFFF"/>
        </w:rPr>
        <w:lastRenderedPageBreak/>
        <w:t xml:space="preserve">se lahko povečal obisk in presegel njihovo nosilno sposobnost. Žal pa edini krajinski park v destinaciji (Krajinski park Južni obronki Trnovskega gozda) </w:t>
      </w:r>
      <w:r w:rsidRPr="009D7948">
        <w:rPr>
          <w:shd w:val="clear" w:color="auto" w:fill="FFFFFF"/>
        </w:rPr>
        <w:t>nima aktivnega upravljavca in redni nadzor turističnega obiska ni vzpostavljen</w:t>
      </w:r>
      <w:r>
        <w:rPr>
          <w:shd w:val="clear" w:color="auto" w:fill="FFFFFF"/>
        </w:rPr>
        <w:t>. Vzpostavitev Regijskega parka Trnovski gozd, ki naj bi vključeval tudi del občine Nova Gorica, pa je že dolgo v fazi predloga.</w:t>
      </w:r>
    </w:p>
    <w:p w14:paraId="469B7CBF" w14:textId="77777777" w:rsidR="00747809" w:rsidRDefault="00747809" w:rsidP="00747809">
      <w:pPr>
        <w:rPr>
          <w:shd w:val="clear" w:color="auto" w:fill="FFFFFF"/>
        </w:rPr>
      </w:pPr>
      <w:r>
        <w:rPr>
          <w:shd w:val="clear" w:color="auto" w:fill="FFFFFF"/>
        </w:rPr>
        <w:t xml:space="preserve">Zaradi velike gozdnatosti občine in pomena gozdov za turizem, hkrati pa izpostavljenosti gozdov podnebnim spremembam, je za prilagajanje podnebnim spremembam pomembna </w:t>
      </w:r>
      <w:r w:rsidRPr="009D7948">
        <w:rPr>
          <w:shd w:val="clear" w:color="auto" w:fill="FFFFFF"/>
        </w:rPr>
        <w:t>prisotnost javne gozdarske službe</w:t>
      </w:r>
      <w:r>
        <w:rPr>
          <w:shd w:val="clear" w:color="auto" w:fill="FFFFFF"/>
        </w:rPr>
        <w:t xml:space="preserve">, ki na lokalni ravni skrbi za izvajanje nacionalne politike sonaravnega gospodarjenja z gozdovi in ohranjanja njihove biotske raznovrstnosti, ter delovanje Zavoda za gozdove (območni enoti Tolmin in Sežana), ki je odgovoren za gozdnogospodarsko načrtovanje, gojenje in varstvo gozdov. </w:t>
      </w:r>
    </w:p>
    <w:p w14:paraId="560D739E" w14:textId="77777777" w:rsidR="00747809" w:rsidRDefault="00747809" w:rsidP="00747809">
      <w:pPr>
        <w:rPr>
          <w:shd w:val="clear" w:color="auto" w:fill="FFFFFF"/>
        </w:rPr>
      </w:pPr>
      <w:r>
        <w:rPr>
          <w:shd w:val="clear" w:color="auto" w:fill="FFFFFF"/>
        </w:rPr>
        <w:t xml:space="preserve">Dejavnik, ki pozitivno vpliva na sposobnost prilagajanja na višje temperature, so </w:t>
      </w:r>
      <w:r w:rsidRPr="009D7948">
        <w:rPr>
          <w:shd w:val="clear" w:color="auto" w:fill="FFFFFF"/>
        </w:rPr>
        <w:t>zelene</w:t>
      </w:r>
      <w:r>
        <w:rPr>
          <w:shd w:val="clear" w:color="auto" w:fill="FFFFFF"/>
        </w:rPr>
        <w:t xml:space="preserve"> (parki, drevoredi, gozdni rezervat </w:t>
      </w:r>
      <w:proofErr w:type="spellStart"/>
      <w:r>
        <w:rPr>
          <w:shd w:val="clear" w:color="auto" w:fill="FFFFFF"/>
        </w:rPr>
        <w:t>Panovec</w:t>
      </w:r>
      <w:proofErr w:type="spellEnd"/>
      <w:r>
        <w:rPr>
          <w:shd w:val="clear" w:color="auto" w:fill="FFFFFF"/>
        </w:rPr>
        <w:t>)</w:t>
      </w:r>
      <w:r w:rsidRPr="009D7948">
        <w:rPr>
          <w:shd w:val="clear" w:color="auto" w:fill="FFFFFF"/>
        </w:rPr>
        <w:t xml:space="preserve"> in vodne površine </w:t>
      </w:r>
      <w:r>
        <w:rPr>
          <w:shd w:val="clear" w:color="auto" w:fill="FFFFFF"/>
        </w:rPr>
        <w:t xml:space="preserve">(reka Soča) </w:t>
      </w:r>
      <w:r w:rsidRPr="009D7948">
        <w:rPr>
          <w:shd w:val="clear" w:color="auto" w:fill="FFFFFF"/>
        </w:rPr>
        <w:t>v mestu Nova Gorica</w:t>
      </w:r>
      <w:r>
        <w:rPr>
          <w:shd w:val="clear" w:color="auto" w:fill="FFFFFF"/>
        </w:rPr>
        <w:t>. Občinsko središče</w:t>
      </w:r>
      <w:r w:rsidRPr="00471513">
        <w:rPr>
          <w:shd w:val="clear" w:color="auto" w:fill="FFFFFF"/>
        </w:rPr>
        <w:t xml:space="preserve"> </w:t>
      </w:r>
      <w:r>
        <w:rPr>
          <w:shd w:val="clear" w:color="auto" w:fill="FFFFFF"/>
        </w:rPr>
        <w:t>pospešeno ureja svojo zeleno infrastrukturo.</w:t>
      </w:r>
    </w:p>
    <w:p w14:paraId="5D195222" w14:textId="77777777" w:rsidR="00747809" w:rsidRDefault="00747809" w:rsidP="00747809">
      <w:pPr>
        <w:rPr>
          <w:shd w:val="clear" w:color="auto" w:fill="FFFFFF"/>
        </w:rPr>
      </w:pPr>
      <w:bookmarkStart w:id="354" w:name="_Hlk41475702"/>
      <w:r w:rsidRPr="00D87B27">
        <w:rPr>
          <w:shd w:val="clear" w:color="auto" w:fill="FFFFFF"/>
        </w:rPr>
        <w:t xml:space="preserve">Sposobnost prilagajanja podnebnim spremembam na ravni manjših turističnih ponudnikov (ponudnikov namestitev, gostincev, ponudnikov na področju športno-rekreativnih aktivnosti, turističnih agencij itd.) je </w:t>
      </w:r>
      <w:r>
        <w:rPr>
          <w:shd w:val="clear" w:color="auto" w:fill="FFFFFF"/>
        </w:rPr>
        <w:t>ocenjena kot</w:t>
      </w:r>
      <w:r w:rsidRPr="00D87B27">
        <w:rPr>
          <w:shd w:val="clear" w:color="auto" w:fill="FFFFFF"/>
        </w:rPr>
        <w:t xml:space="preserve"> manjša.</w:t>
      </w:r>
      <w:r w:rsidRPr="00763F2B">
        <w:rPr>
          <w:shd w:val="clear" w:color="auto" w:fill="FFFFFF"/>
        </w:rPr>
        <w:t xml:space="preserve"> Prihodki od turizma </w:t>
      </w:r>
      <w:r>
        <w:rPr>
          <w:shd w:val="clear" w:color="auto" w:fill="FFFFFF"/>
        </w:rPr>
        <w:t xml:space="preserve">v </w:t>
      </w:r>
      <w:proofErr w:type="spellStart"/>
      <w:r>
        <w:rPr>
          <w:shd w:val="clear" w:color="auto" w:fill="FFFFFF"/>
        </w:rPr>
        <w:t>neigralniškem</w:t>
      </w:r>
      <w:proofErr w:type="spellEnd"/>
      <w:r>
        <w:rPr>
          <w:shd w:val="clear" w:color="auto" w:fill="FFFFFF"/>
        </w:rPr>
        <w:t xml:space="preserve"> segmentu turističnega sektorja zaenkrat </w:t>
      </w:r>
      <w:r w:rsidRPr="00763F2B">
        <w:rPr>
          <w:shd w:val="clear" w:color="auto" w:fill="FFFFFF"/>
        </w:rPr>
        <w:t>niso veliki, posledično je omejena investicijska sposobnost ponudnikov.</w:t>
      </w:r>
      <w:bookmarkEnd w:id="354"/>
    </w:p>
    <w:p w14:paraId="2F70C51C" w14:textId="77777777" w:rsidR="00747809" w:rsidRDefault="00747809" w:rsidP="00747809">
      <w:pPr>
        <w:rPr>
          <w:shd w:val="clear" w:color="auto" w:fill="FFFFFF"/>
        </w:rPr>
      </w:pPr>
      <w:r w:rsidRPr="00DD1FA1">
        <w:rPr>
          <w:shd w:val="clear" w:color="auto" w:fill="FFFFFF"/>
        </w:rPr>
        <w:t xml:space="preserve">V destinaciji so omejene tudi možnosti za </w:t>
      </w:r>
      <w:r w:rsidRPr="00D87B27">
        <w:rPr>
          <w:shd w:val="clear" w:color="auto" w:fill="FFFFFF"/>
        </w:rPr>
        <w:t>prilagajanje vinarjev podnebnim spremembam pri gojenju avtohtonih sort vina.</w:t>
      </w:r>
      <w:r w:rsidRPr="00DD1FA1">
        <w:rPr>
          <w:shd w:val="clear" w:color="auto" w:fill="FFFFFF"/>
        </w:rPr>
        <w:t xml:space="preserve"> Možne strategije bi bile sajenje vinogradov na višjih nadmorskih višinah, </w:t>
      </w:r>
      <w:r w:rsidRPr="00EF5FC3">
        <w:rPr>
          <w:shd w:val="clear" w:color="auto" w:fill="FFFFFF"/>
        </w:rPr>
        <w:t xml:space="preserve">kjer so obdobja intenzivne vročine krajša, nočne temperature pa nižje. Ta povečana dnevna amplituda pomaga grozdju zoreti z bolj enakomerno hitrostjo v daljšem časovnem obdobju kot v pogojih bolj stabilnih temperatur (Asimov, 2019). Selitev vinogradov na območja z višjo nadmorsko višino v </w:t>
      </w:r>
      <w:r>
        <w:rPr>
          <w:shd w:val="clear" w:color="auto" w:fill="FFFFFF"/>
        </w:rPr>
        <w:t>destinaciji</w:t>
      </w:r>
      <w:r w:rsidRPr="00EF5FC3">
        <w:rPr>
          <w:shd w:val="clear" w:color="auto" w:fill="FFFFFF"/>
        </w:rPr>
        <w:t xml:space="preserve"> omejujeta vprašljiva dostopnost vode in tudi manjša vsebnost hranil na nagnjenem terenu. Vinarj</w:t>
      </w:r>
      <w:r w:rsidRPr="00DD1FA1">
        <w:rPr>
          <w:shd w:val="clear" w:color="auto" w:fill="FFFFFF"/>
        </w:rPr>
        <w:t>i se bodo zato verjetno morali prilagoditi z gojenjem sort, ki bodo ob segrevanju podnebja nadomestile ali dopolnile tradicionalne kulture</w:t>
      </w:r>
      <w:r>
        <w:rPr>
          <w:shd w:val="clear" w:color="auto" w:fill="FFFFFF"/>
        </w:rPr>
        <w:t>, kar pa je povezano z dodatnimi stroški</w:t>
      </w:r>
      <w:r w:rsidRPr="00DD1FA1">
        <w:rPr>
          <w:shd w:val="clear" w:color="auto" w:fill="FFFFFF"/>
        </w:rPr>
        <w:t xml:space="preserve">. V destinaciji delujejo vrhunski vinarji, zato </w:t>
      </w:r>
      <w:r>
        <w:rPr>
          <w:shd w:val="clear" w:color="auto" w:fill="FFFFFF"/>
        </w:rPr>
        <w:t>ocenjujemo, da je njihova sposobnost prilagajanja zadostna.</w:t>
      </w:r>
    </w:p>
    <w:p w14:paraId="14468616" w14:textId="77777777" w:rsidR="00747809" w:rsidRPr="00CB0772" w:rsidRDefault="00747809" w:rsidP="00747809">
      <w:pPr>
        <w:rPr>
          <w:shd w:val="clear" w:color="auto" w:fill="FFFFFF"/>
        </w:rPr>
      </w:pPr>
      <w:r>
        <w:rPr>
          <w:shd w:val="clear" w:color="auto" w:fill="FFFFFF"/>
        </w:rPr>
        <w:t xml:space="preserve">V destinaciji je razvita kakovostna gastronomska ponudba, ki vključuje in se prilagaja lokalni kmetijski pridelavi. </w:t>
      </w:r>
    </w:p>
    <w:p w14:paraId="7092B555" w14:textId="77777777" w:rsidR="00747809" w:rsidRDefault="00747809" w:rsidP="00747809">
      <w:pPr>
        <w:rPr>
          <w:shd w:val="clear" w:color="auto" w:fill="FFFFFF"/>
        </w:rPr>
      </w:pPr>
      <w:r>
        <w:rPr>
          <w:shd w:val="clear" w:color="auto" w:fill="FFFFFF"/>
        </w:rPr>
        <w:t xml:space="preserve">V občini Nova Gorica se </w:t>
      </w:r>
      <w:proofErr w:type="spellStart"/>
      <w:r>
        <w:rPr>
          <w:shd w:val="clear" w:color="auto" w:fill="FFFFFF"/>
        </w:rPr>
        <w:t>neigralniška</w:t>
      </w:r>
      <w:proofErr w:type="spellEnd"/>
      <w:r>
        <w:rPr>
          <w:shd w:val="clear" w:color="auto" w:fill="FFFFFF"/>
        </w:rPr>
        <w:t xml:space="preserve"> turistična ponudba pospešeno razvija šele v zadnjih letih. Prepoznana je potreba po preobrazbi, </w:t>
      </w:r>
      <w:r w:rsidRPr="00EB1C93">
        <w:rPr>
          <w:shd w:val="clear" w:color="auto" w:fill="FFFFFF"/>
        </w:rPr>
        <w:t xml:space="preserve">uveljavitvi, razvoju in organiziranju turistične destinacije ter reorganizaciji turističnega podpornega okolja. </w:t>
      </w:r>
      <w:r w:rsidRPr="00CB78EC">
        <w:rPr>
          <w:shd w:val="clear" w:color="auto" w:fill="FFFFFF"/>
        </w:rPr>
        <w:t>(Trajnostna</w:t>
      </w:r>
      <w:r>
        <w:rPr>
          <w:shd w:val="clear" w:color="auto" w:fill="FFFFFF"/>
        </w:rPr>
        <w:t xml:space="preserve"> urbana strategija</w:t>
      </w:r>
      <w:r w:rsidRPr="00CB78EC">
        <w:rPr>
          <w:shd w:val="clear" w:color="auto" w:fill="FFFFFF"/>
        </w:rPr>
        <w:t>…, 2016)</w:t>
      </w:r>
      <w:r>
        <w:rPr>
          <w:shd w:val="clear" w:color="auto" w:fill="FFFFFF"/>
        </w:rPr>
        <w:t xml:space="preserve"> Razvoj novih turističnih proizvodov, ki dopolnjujejo osrednji produkt igralništva in industrije zabave, je še v zagonu. Zasebna podjetniška iniciativa in zanimanje za delo v (</w:t>
      </w:r>
      <w:proofErr w:type="spellStart"/>
      <w:r>
        <w:rPr>
          <w:shd w:val="clear" w:color="auto" w:fill="FFFFFF"/>
        </w:rPr>
        <w:t>neigralniškem</w:t>
      </w:r>
      <w:proofErr w:type="spellEnd"/>
      <w:r>
        <w:rPr>
          <w:shd w:val="clear" w:color="auto" w:fill="FFFFFF"/>
        </w:rPr>
        <w:t xml:space="preserve">) turizmu se med lokalnim prebivalstvom vzpostavlja počasi.  </w:t>
      </w:r>
      <w:r w:rsidRPr="00EB1C93">
        <w:rPr>
          <w:shd w:val="clear" w:color="auto" w:fill="FFFFFF"/>
        </w:rPr>
        <w:t xml:space="preserve"> </w:t>
      </w:r>
      <w:r>
        <w:rPr>
          <w:shd w:val="clear" w:color="auto" w:fill="FFFFFF"/>
        </w:rPr>
        <w:t xml:space="preserve"> </w:t>
      </w:r>
      <w:r w:rsidRPr="008E7569">
        <w:rPr>
          <w:shd w:val="clear" w:color="auto" w:fill="FFFFFF"/>
        </w:rPr>
        <w:t>Obstaja nevarnost, da turističnih priložnosti, ki jih bodo prinesle podnebne spremembe, destinacija ne bo v polnosti izkoristila.</w:t>
      </w:r>
      <w:r>
        <w:rPr>
          <w:shd w:val="clear" w:color="auto" w:fill="FFFFFF"/>
        </w:rPr>
        <w:t xml:space="preserve">  </w:t>
      </w:r>
    </w:p>
    <w:p w14:paraId="474378B0" w14:textId="641A88C0" w:rsidR="00747809" w:rsidRDefault="00747809" w:rsidP="00747809">
      <w:pPr>
        <w:autoSpaceDE w:val="0"/>
        <w:autoSpaceDN w:val="0"/>
        <w:adjustRightInd w:val="0"/>
        <w:rPr>
          <w:shd w:val="clear" w:color="auto" w:fill="FFFFFF"/>
        </w:rPr>
      </w:pPr>
      <w:r>
        <w:rPr>
          <w:shd w:val="clear" w:color="auto" w:fill="FFFFFF"/>
        </w:rPr>
        <w:t>Zaradi naraščanja lokalnih učinkov podnebnih sprememb bo sposobnost prilagajanja destinacije v prihodnosti potrebno še okrepiti, zato so v nadaljevanju predlagani ključni adaptacijski ukrepi.</w:t>
      </w:r>
    </w:p>
    <w:p w14:paraId="68FD1EAA" w14:textId="77777777" w:rsidR="008334B2" w:rsidRDefault="008334B2" w:rsidP="00747809">
      <w:pPr>
        <w:autoSpaceDE w:val="0"/>
        <w:autoSpaceDN w:val="0"/>
        <w:adjustRightInd w:val="0"/>
        <w:rPr>
          <w:shd w:val="clear" w:color="auto" w:fill="FFFFFF"/>
        </w:rPr>
      </w:pPr>
    </w:p>
    <w:p w14:paraId="6FC5B84C" w14:textId="34B62627" w:rsidR="00BE4D70" w:rsidRDefault="00DE735C" w:rsidP="002F0D6E">
      <w:pPr>
        <w:pStyle w:val="Naslov3"/>
        <w:rPr>
          <w:rFonts w:eastAsia="Calibri"/>
          <w:lang w:eastAsia="sl-SI"/>
        </w:rPr>
      </w:pPr>
      <w:bookmarkStart w:id="355" w:name="_Toc34130196"/>
      <w:bookmarkStart w:id="356" w:name="_Toc44656972"/>
      <w:bookmarkStart w:id="357" w:name="_Toc97026783"/>
      <w:r>
        <w:rPr>
          <w:rFonts w:eastAsia="Calibri"/>
          <w:lang w:eastAsia="sl-SI"/>
        </w:rPr>
        <w:lastRenderedPageBreak/>
        <w:t>Ocena</w:t>
      </w:r>
      <w:r w:rsidR="00BE4D70" w:rsidRPr="001D38AC">
        <w:rPr>
          <w:rFonts w:eastAsia="Calibri"/>
          <w:lang w:eastAsia="sl-SI"/>
        </w:rPr>
        <w:t xml:space="preserve"> ranljivosti sektorja</w:t>
      </w:r>
      <w:bookmarkEnd w:id="355"/>
      <w:r w:rsidR="00BE4D70">
        <w:rPr>
          <w:rFonts w:eastAsia="Calibri"/>
          <w:lang w:eastAsia="sl-SI"/>
        </w:rPr>
        <w:t xml:space="preserve"> turizem</w:t>
      </w:r>
      <w:bookmarkEnd w:id="356"/>
      <w:bookmarkEnd w:id="357"/>
    </w:p>
    <w:p w14:paraId="5FB5E4CC" w14:textId="77777777" w:rsidR="00747809" w:rsidRPr="007177A2" w:rsidRDefault="00747809" w:rsidP="00747809">
      <w:pPr>
        <w:pStyle w:val="Default"/>
        <w:spacing w:after="120" w:line="276" w:lineRule="auto"/>
        <w:jc w:val="both"/>
        <w:rPr>
          <w:rFonts w:ascii="Trebuchet MS" w:hAnsi="Trebuchet MS" w:cstheme="minorHAnsi"/>
          <w:sz w:val="22"/>
          <w:szCs w:val="22"/>
        </w:rPr>
      </w:pPr>
      <w:bookmarkStart w:id="358" w:name="_Toc44656973"/>
      <w:r w:rsidRPr="007177A2">
        <w:rPr>
          <w:rFonts w:ascii="Trebuchet MS" w:hAnsi="Trebuchet MS" w:cstheme="minorHAnsi"/>
          <w:sz w:val="22"/>
          <w:szCs w:val="22"/>
        </w:rPr>
        <w:t xml:space="preserve">Ranljivost turizma v destinaciji </w:t>
      </w:r>
      <w:r>
        <w:rPr>
          <w:rFonts w:ascii="Trebuchet MS" w:hAnsi="Trebuchet MS" w:cstheme="minorHAnsi"/>
          <w:sz w:val="22"/>
          <w:szCs w:val="22"/>
        </w:rPr>
        <w:t>Nova Gorica</w:t>
      </w:r>
      <w:r w:rsidRPr="007177A2">
        <w:rPr>
          <w:rFonts w:ascii="Trebuchet MS" w:hAnsi="Trebuchet MS" w:cstheme="minorHAnsi"/>
          <w:sz w:val="22"/>
          <w:szCs w:val="22"/>
        </w:rPr>
        <w:t xml:space="preserve"> je ocenjena s kvalitativno metodo</w:t>
      </w:r>
      <w:r>
        <w:rPr>
          <w:rFonts w:ascii="Trebuchet MS" w:hAnsi="Trebuchet MS" w:cstheme="minorHAnsi"/>
          <w:sz w:val="22"/>
          <w:szCs w:val="22"/>
        </w:rPr>
        <w:t xml:space="preserve"> (ekspertno oceno)</w:t>
      </w:r>
      <w:r w:rsidRPr="007177A2">
        <w:rPr>
          <w:rFonts w:ascii="Trebuchet MS" w:hAnsi="Trebuchet MS" w:cstheme="minorHAnsi"/>
          <w:sz w:val="22"/>
          <w:szCs w:val="22"/>
        </w:rPr>
        <w:t xml:space="preserve">, z upoštevanjem </w:t>
      </w:r>
      <w:r>
        <w:rPr>
          <w:rFonts w:ascii="Trebuchet MS" w:hAnsi="Trebuchet MS" w:cstheme="minorHAnsi"/>
          <w:sz w:val="22"/>
          <w:szCs w:val="22"/>
        </w:rPr>
        <w:t xml:space="preserve">podnebnih sprememb v referenčnem obdobju in </w:t>
      </w:r>
      <w:r w:rsidRPr="007177A2">
        <w:rPr>
          <w:rFonts w:ascii="Trebuchet MS" w:hAnsi="Trebuchet MS" w:cstheme="minorHAnsi"/>
          <w:sz w:val="22"/>
          <w:szCs w:val="22"/>
        </w:rPr>
        <w:t>ocene prihodnjih sprememb podnebja v destinaciji ter kombinacijami stopnje potencialnega vpliva podnebnih sprememb na turizem in obstoječe sposobnosti destinacije za prilagajanj</w:t>
      </w:r>
      <w:r>
        <w:rPr>
          <w:rFonts w:ascii="Trebuchet MS" w:hAnsi="Trebuchet MS" w:cstheme="minorHAnsi"/>
          <w:sz w:val="22"/>
          <w:szCs w:val="22"/>
        </w:rPr>
        <w:t>e</w:t>
      </w:r>
      <w:r w:rsidRPr="007177A2">
        <w:rPr>
          <w:rFonts w:ascii="Trebuchet MS" w:hAnsi="Trebuchet MS" w:cstheme="minorHAnsi"/>
          <w:sz w:val="22"/>
          <w:szCs w:val="22"/>
        </w:rPr>
        <w:t xml:space="preserve"> podnebnim spremembam</w:t>
      </w:r>
      <w:r>
        <w:rPr>
          <w:rFonts w:ascii="Trebuchet MS" w:hAnsi="Trebuchet MS" w:cstheme="minorHAnsi"/>
          <w:sz w:val="22"/>
          <w:szCs w:val="22"/>
        </w:rPr>
        <w:t>.</w:t>
      </w:r>
    </w:p>
    <w:p w14:paraId="60174A23" w14:textId="77777777" w:rsidR="00747809" w:rsidRPr="00E36305" w:rsidRDefault="00747809" w:rsidP="00747809">
      <w:pPr>
        <w:rPr>
          <w:rFonts w:asciiTheme="minorHAnsi" w:eastAsia="Times New Roman" w:hAnsiTheme="minorHAnsi"/>
          <w:iCs/>
          <w:color w:val="000000"/>
          <w:szCs w:val="24"/>
        </w:rPr>
      </w:pPr>
      <w:r>
        <w:t>Večji potencialni vplivi podnebnih sprememb na sektor turizma povečujejo njegovo ranljivost, večja sposobnost destinacije za prilagajanje podnebnim spremembam pa ranljivost sektorja zmanjšuje. Ranljivost je ocenjena s petstopenjsko ocenjevalno lestvico.</w:t>
      </w:r>
      <w:r w:rsidRPr="00A57A8C">
        <w:rPr>
          <w:rFonts w:ascii="Calibri" w:hAnsi="Calibri" w:cs="Calibri"/>
          <w:b/>
          <w:bCs/>
          <w:color w:val="000000"/>
        </w:rPr>
        <w:t xml:space="preserve"> </w:t>
      </w:r>
    </w:p>
    <w:p w14:paraId="78840D5C" w14:textId="77777777" w:rsidR="00747809" w:rsidRDefault="00747809" w:rsidP="00747809">
      <w:pPr>
        <w:spacing w:after="0"/>
        <w:rPr>
          <w:lang w:eastAsia="sl-SI"/>
        </w:rPr>
      </w:pPr>
      <w:r>
        <w:rPr>
          <w:lang w:eastAsia="sl-SI"/>
        </w:rPr>
        <w:t xml:space="preserve">Ranljivost turizma v destinaciji smo ocenili z ozirom na: </w:t>
      </w:r>
    </w:p>
    <w:p w14:paraId="7D016ACB" w14:textId="77777777" w:rsidR="00747809" w:rsidRPr="009E533F" w:rsidRDefault="00747809" w:rsidP="00F90C17">
      <w:pPr>
        <w:pStyle w:val="Odstavekseznama"/>
        <w:numPr>
          <w:ilvl w:val="0"/>
          <w:numId w:val="23"/>
        </w:numPr>
        <w:contextualSpacing w:val="0"/>
        <w:rPr>
          <w:rFonts w:ascii="Trebuchet MS" w:eastAsia="Calibri" w:hAnsi="Trebuchet MS" w:cs="Arial"/>
          <w:lang w:eastAsia="sl-SI"/>
        </w:rPr>
      </w:pPr>
      <w:r w:rsidRPr="009E533F">
        <w:rPr>
          <w:rFonts w:ascii="Trebuchet MS" w:eastAsia="Calibri" w:hAnsi="Trebuchet MS" w:cs="Arial"/>
          <w:lang w:eastAsia="sl-SI"/>
        </w:rPr>
        <w:t>konkurenčnost v odnosu z drugimi turističnimi destinacijami v Sloveniji in Evropi,</w:t>
      </w:r>
    </w:p>
    <w:p w14:paraId="3A6AEF00" w14:textId="77777777" w:rsidR="00747809" w:rsidRPr="009E533F" w:rsidRDefault="00747809" w:rsidP="00F90C17">
      <w:pPr>
        <w:pStyle w:val="Odstavekseznama"/>
        <w:numPr>
          <w:ilvl w:val="0"/>
          <w:numId w:val="23"/>
        </w:numPr>
        <w:contextualSpacing w:val="0"/>
        <w:rPr>
          <w:rFonts w:ascii="Trebuchet MS" w:eastAsia="Calibri" w:hAnsi="Trebuchet MS" w:cs="Arial"/>
          <w:lang w:eastAsia="sl-SI"/>
        </w:rPr>
      </w:pPr>
      <w:r w:rsidRPr="009E533F">
        <w:rPr>
          <w:rFonts w:ascii="Trebuchet MS" w:eastAsia="Calibri" w:hAnsi="Trebuchet MS" w:cs="Arial"/>
          <w:lang w:eastAsia="sl-SI"/>
        </w:rPr>
        <w:t xml:space="preserve">izvedljivost in privlačnost turističnih produktov, </w:t>
      </w:r>
    </w:p>
    <w:p w14:paraId="335F9337" w14:textId="77777777" w:rsidR="00747809" w:rsidRPr="009E533F" w:rsidRDefault="00747809" w:rsidP="00F90C17">
      <w:pPr>
        <w:pStyle w:val="Odstavekseznama"/>
        <w:numPr>
          <w:ilvl w:val="0"/>
          <w:numId w:val="23"/>
        </w:numPr>
        <w:contextualSpacing w:val="0"/>
        <w:rPr>
          <w:rFonts w:ascii="Trebuchet MS" w:eastAsia="Calibri" w:hAnsi="Trebuchet MS" w:cs="Arial"/>
          <w:lang w:eastAsia="sl-SI"/>
        </w:rPr>
      </w:pPr>
      <w:r w:rsidRPr="009E533F">
        <w:rPr>
          <w:rFonts w:ascii="Trebuchet MS" w:eastAsia="Calibri" w:hAnsi="Trebuchet MS" w:cs="Arial"/>
          <w:lang w:eastAsia="sl-SI"/>
        </w:rPr>
        <w:t xml:space="preserve">ranljivost turistične infrastrukture </w:t>
      </w:r>
      <w:r>
        <w:rPr>
          <w:rFonts w:ascii="Trebuchet MS" w:eastAsia="Calibri" w:hAnsi="Trebuchet MS" w:cs="Arial"/>
          <w:lang w:eastAsia="sl-SI"/>
        </w:rPr>
        <w:t xml:space="preserve">in naravnega okolja </w:t>
      </w:r>
      <w:r w:rsidRPr="009E533F">
        <w:rPr>
          <w:rFonts w:ascii="Trebuchet MS" w:eastAsia="Calibri" w:hAnsi="Trebuchet MS" w:cs="Arial"/>
          <w:lang w:eastAsia="sl-SI"/>
        </w:rPr>
        <w:t>na poškodbe, zmanjšanje kakovosti, zmanjšanje uporabnosti in stroške obratovanja,</w:t>
      </w:r>
    </w:p>
    <w:p w14:paraId="749F7201" w14:textId="77777777" w:rsidR="00747809" w:rsidRPr="009E533F" w:rsidRDefault="00747809" w:rsidP="00F90C17">
      <w:pPr>
        <w:pStyle w:val="Odstavekseznama"/>
        <w:numPr>
          <w:ilvl w:val="0"/>
          <w:numId w:val="23"/>
        </w:numPr>
        <w:contextualSpacing w:val="0"/>
        <w:rPr>
          <w:rFonts w:ascii="Trebuchet MS" w:eastAsia="Calibri" w:hAnsi="Trebuchet MS" w:cs="Arial"/>
          <w:lang w:eastAsia="sl-SI"/>
        </w:rPr>
      </w:pPr>
      <w:r w:rsidRPr="009E533F">
        <w:rPr>
          <w:rFonts w:ascii="Trebuchet MS" w:eastAsia="Calibri" w:hAnsi="Trebuchet MS" w:cs="Arial"/>
          <w:lang w:eastAsia="sl-SI"/>
        </w:rPr>
        <w:t>počutje, zdravje in varnost obiskovalcev ter</w:t>
      </w:r>
    </w:p>
    <w:p w14:paraId="23E58614" w14:textId="77777777" w:rsidR="00747809" w:rsidRDefault="00747809" w:rsidP="00F90C17">
      <w:pPr>
        <w:pStyle w:val="Odstavekseznama"/>
        <w:numPr>
          <w:ilvl w:val="0"/>
          <w:numId w:val="23"/>
        </w:numPr>
        <w:spacing w:after="160"/>
        <w:ind w:left="714" w:hanging="357"/>
        <w:contextualSpacing w:val="0"/>
        <w:rPr>
          <w:rFonts w:ascii="Trebuchet MS" w:eastAsia="Calibri" w:hAnsi="Trebuchet MS" w:cs="Arial"/>
          <w:lang w:eastAsia="sl-SI"/>
        </w:rPr>
      </w:pPr>
      <w:r w:rsidRPr="009E533F">
        <w:rPr>
          <w:rFonts w:ascii="Trebuchet MS" w:eastAsia="Calibri" w:hAnsi="Trebuchet MS" w:cs="Arial"/>
          <w:lang w:eastAsia="sl-SI"/>
        </w:rPr>
        <w:t xml:space="preserve">družbenogospodarsko </w:t>
      </w:r>
      <w:proofErr w:type="spellStart"/>
      <w:r w:rsidRPr="009E533F">
        <w:rPr>
          <w:rFonts w:ascii="Trebuchet MS" w:eastAsia="Calibri" w:hAnsi="Trebuchet MS" w:cs="Arial"/>
          <w:lang w:eastAsia="sl-SI"/>
        </w:rPr>
        <w:t>trajnostnost</w:t>
      </w:r>
      <w:proofErr w:type="spellEnd"/>
      <w:r w:rsidRPr="009E533F">
        <w:rPr>
          <w:rFonts w:ascii="Trebuchet MS" w:eastAsia="Calibri" w:hAnsi="Trebuchet MS" w:cs="Arial"/>
          <w:lang w:eastAsia="sl-SI"/>
        </w:rPr>
        <w:t xml:space="preserve"> turizma (zaposlitvene priložnosti, prihodke od turizma in dodano vrednost, sezonsko nihanje obiska).</w:t>
      </w:r>
    </w:p>
    <w:p w14:paraId="637E12E6" w14:textId="77777777" w:rsidR="00747809" w:rsidRDefault="00747809" w:rsidP="00747809">
      <w:pPr>
        <w:rPr>
          <w:lang w:eastAsia="sl-SI"/>
        </w:rPr>
      </w:pPr>
      <w:r w:rsidRPr="00806D26">
        <w:rPr>
          <w:lang w:eastAsia="sl-SI"/>
        </w:rPr>
        <w:t xml:space="preserve">Turizem v občini </w:t>
      </w:r>
      <w:r>
        <w:rPr>
          <w:lang w:eastAsia="sl-SI"/>
        </w:rPr>
        <w:t>Nova Gorica</w:t>
      </w:r>
      <w:r w:rsidRPr="00806D26">
        <w:rPr>
          <w:lang w:eastAsia="sl-SI"/>
        </w:rPr>
        <w:t xml:space="preserve"> je ranljiv </w:t>
      </w:r>
      <w:r>
        <w:rPr>
          <w:lang w:eastAsia="sl-SI"/>
        </w:rPr>
        <w:t>zaradi</w:t>
      </w:r>
      <w:r w:rsidRPr="00806D26">
        <w:rPr>
          <w:lang w:eastAsia="sl-SI"/>
        </w:rPr>
        <w:t xml:space="preserve"> </w:t>
      </w:r>
      <w:r>
        <w:rPr>
          <w:lang w:eastAsia="sl-SI"/>
        </w:rPr>
        <w:t xml:space="preserve">neposrednih in posrednih vplivov </w:t>
      </w:r>
      <w:r w:rsidRPr="00806D26">
        <w:rPr>
          <w:lang w:eastAsia="sl-SI"/>
        </w:rPr>
        <w:t>podnebn</w:t>
      </w:r>
      <w:r>
        <w:rPr>
          <w:lang w:eastAsia="sl-SI"/>
        </w:rPr>
        <w:t>ih</w:t>
      </w:r>
      <w:r w:rsidRPr="00806D26">
        <w:rPr>
          <w:lang w:eastAsia="sl-SI"/>
        </w:rPr>
        <w:t xml:space="preserve"> sprememb</w:t>
      </w:r>
      <w:r>
        <w:rPr>
          <w:lang w:eastAsia="sl-SI"/>
        </w:rPr>
        <w:t>. T</w:t>
      </w:r>
      <w:r w:rsidRPr="00806D26">
        <w:rPr>
          <w:lang w:eastAsia="sl-SI"/>
        </w:rPr>
        <w:t>e neposredno vplivajo na</w:t>
      </w:r>
      <w:r>
        <w:rPr>
          <w:lang w:eastAsia="sl-SI"/>
        </w:rPr>
        <w:t xml:space="preserve"> ugodnost pogojev za aktivnosti na prostem, na stanje </w:t>
      </w:r>
      <w:r w:rsidRPr="00806D26">
        <w:rPr>
          <w:lang w:eastAsia="sl-SI"/>
        </w:rPr>
        <w:t>naravn</w:t>
      </w:r>
      <w:r>
        <w:rPr>
          <w:lang w:eastAsia="sl-SI"/>
        </w:rPr>
        <w:t>ega</w:t>
      </w:r>
      <w:r w:rsidRPr="00806D26">
        <w:rPr>
          <w:lang w:eastAsia="sl-SI"/>
        </w:rPr>
        <w:t xml:space="preserve"> okolj</w:t>
      </w:r>
      <w:r>
        <w:rPr>
          <w:lang w:eastAsia="sl-SI"/>
        </w:rPr>
        <w:t>a in</w:t>
      </w:r>
      <w:r w:rsidRPr="00806D26">
        <w:rPr>
          <w:lang w:eastAsia="sl-SI"/>
        </w:rPr>
        <w:t xml:space="preserve"> tudi na kmetijsko pridelavo, ki je osnova za gastronomsko ponudbo.</w:t>
      </w:r>
      <w:r>
        <w:rPr>
          <w:lang w:eastAsia="sl-SI"/>
        </w:rPr>
        <w:t xml:space="preserve"> Posredni vpliv se nanaša na spremembe konkurenčnosti in turistične tokove v širši regiji. Ker so razlike v ranljivosti za scenarija izpustov RCP4.5 in RCP8.5 majhne, je ranljivost analizirana samo po obdobjih.</w:t>
      </w:r>
    </w:p>
    <w:p w14:paraId="76A7E3EF" w14:textId="77777777" w:rsidR="00747809" w:rsidRDefault="00747809" w:rsidP="00747809">
      <w:pPr>
        <w:rPr>
          <w:lang w:eastAsia="sl-SI"/>
        </w:rPr>
      </w:pPr>
      <w:r>
        <w:rPr>
          <w:lang w:eastAsia="sl-SI"/>
        </w:rPr>
        <w:t xml:space="preserve">Na podlagi ocene izpostavljenosti, občutljivosti in prilagoditvene sposobnosti je ocenjeno, da </w:t>
      </w:r>
      <w:r w:rsidRPr="00181CD8">
        <w:rPr>
          <w:lang w:eastAsia="sl-SI"/>
        </w:rPr>
        <w:t xml:space="preserve">je ranljivost turizma v občini </w:t>
      </w:r>
      <w:r>
        <w:rPr>
          <w:lang w:eastAsia="sl-SI"/>
        </w:rPr>
        <w:t>Nova Gorica</w:t>
      </w:r>
      <w:r w:rsidRPr="00181CD8">
        <w:rPr>
          <w:lang w:eastAsia="sl-SI"/>
        </w:rPr>
        <w:t xml:space="preserve"> zaradi podnebnih sprememb v referenčnem obdobju 1981</w:t>
      </w:r>
      <w:r>
        <w:rPr>
          <w:lang w:eastAsia="sl-SI"/>
        </w:rPr>
        <w:t>―</w:t>
      </w:r>
      <w:r w:rsidRPr="00181CD8">
        <w:rPr>
          <w:lang w:eastAsia="sl-SI"/>
        </w:rPr>
        <w:t xml:space="preserve">2010 </w:t>
      </w:r>
      <w:r>
        <w:rPr>
          <w:lang w:eastAsia="sl-SI"/>
        </w:rPr>
        <w:t>zmerna (3)</w:t>
      </w:r>
      <w:r w:rsidRPr="00181CD8">
        <w:rPr>
          <w:lang w:eastAsia="sl-SI"/>
        </w:rPr>
        <w:t>.</w:t>
      </w:r>
      <w:r>
        <w:rPr>
          <w:lang w:eastAsia="sl-SI"/>
        </w:rPr>
        <w:t xml:space="preserve"> Razlog za to je v zaenkrat majhnem vplivu, ki ga imajo podnebne spremembe na turistični sektor in zaenkrat zadostni sposobnosti lokalne skupnosti za prilagajanje podnebnim spremembam, poleg tega pa pomembnemu delu turistične ponudbe, ki ni izpostavljen podnebnim spremembam, ker se odvija v zaprtih prostorih. Vpliv podnebnih sprememb na turizem v destinaciji se bo v prihodnosti povečeval in bo ob nespremenjeni zmožnosti prilagajanja povečeval njegovo ranljivost.</w:t>
      </w:r>
    </w:p>
    <w:p w14:paraId="21E0349F" w14:textId="77777777" w:rsidR="00747809" w:rsidRDefault="00747809" w:rsidP="00747809">
      <w:pPr>
        <w:rPr>
          <w:lang w:eastAsia="sl-SI"/>
        </w:rPr>
      </w:pPr>
      <w:r w:rsidRPr="00806D26">
        <w:rPr>
          <w:lang w:eastAsia="sl-SI"/>
        </w:rPr>
        <w:t>Po občutljivosti na podnebne spremembe</w:t>
      </w:r>
      <w:r>
        <w:rPr>
          <w:lang w:eastAsia="sl-SI"/>
        </w:rPr>
        <w:t xml:space="preserve"> </w:t>
      </w:r>
      <w:r w:rsidRPr="00806D26">
        <w:rPr>
          <w:lang w:eastAsia="sl-SI"/>
        </w:rPr>
        <w:t>izstopa poletni turizem,</w:t>
      </w:r>
      <w:r>
        <w:rPr>
          <w:lang w:eastAsia="sl-SI"/>
        </w:rPr>
        <w:t xml:space="preserve"> ki vključuje aktivnosti na prostem. P</w:t>
      </w:r>
      <w:r w:rsidRPr="00806D26">
        <w:rPr>
          <w:lang w:eastAsia="sl-SI"/>
        </w:rPr>
        <w:t xml:space="preserve">oletja v destinaciji že v referenčnem obdobju zaznamujejo visoke temperature, kar se bo v prihodnosti še stopnjevalo. </w:t>
      </w:r>
      <w:r>
        <w:rPr>
          <w:lang w:eastAsia="sl-SI"/>
        </w:rPr>
        <w:t xml:space="preserve">Na poletno vročino je posebej občutljiv turizem v mestu Nova Gorica. </w:t>
      </w:r>
      <w:r w:rsidRPr="00806D26">
        <w:rPr>
          <w:lang w:eastAsia="sl-SI"/>
        </w:rPr>
        <w:t xml:space="preserve">Poleg zmanjšanja ugodja obiskovalcev je pri tem pomembna tudi toplotna obremenitev turističnih delavcev, ki zmanjšuje delovno storilnost in privlačnost delovnih mest v turizmu. V referenčnem obdobju vpliv </w:t>
      </w:r>
      <w:r>
        <w:rPr>
          <w:lang w:eastAsia="sl-SI"/>
        </w:rPr>
        <w:t>povišanja</w:t>
      </w:r>
      <w:r w:rsidRPr="00806D26">
        <w:rPr>
          <w:lang w:eastAsia="sl-SI"/>
        </w:rPr>
        <w:t xml:space="preserve"> poletne temperature na toplotno obremenitev ljudi še ni kritičen</w:t>
      </w:r>
      <w:r>
        <w:rPr>
          <w:lang w:eastAsia="sl-SI"/>
        </w:rPr>
        <w:t>. P</w:t>
      </w:r>
      <w:r w:rsidRPr="00806D26">
        <w:rPr>
          <w:lang w:eastAsia="sl-SI"/>
        </w:rPr>
        <w:t xml:space="preserve">oleg tega je sposobnost prilagajanja destinacije z razvojem alternativne turistične ponudbe, ki bo </w:t>
      </w:r>
      <w:r>
        <w:rPr>
          <w:lang w:eastAsia="sl-SI"/>
        </w:rPr>
        <w:t>odpornejša na</w:t>
      </w:r>
      <w:r w:rsidRPr="00806D26">
        <w:rPr>
          <w:lang w:eastAsia="sl-SI"/>
        </w:rPr>
        <w:t xml:space="preserve"> poletn</w:t>
      </w:r>
      <w:r>
        <w:rPr>
          <w:lang w:eastAsia="sl-SI"/>
        </w:rPr>
        <w:t>o</w:t>
      </w:r>
      <w:r w:rsidRPr="00806D26">
        <w:rPr>
          <w:lang w:eastAsia="sl-SI"/>
        </w:rPr>
        <w:t xml:space="preserve"> vročin</w:t>
      </w:r>
      <w:r>
        <w:rPr>
          <w:lang w:eastAsia="sl-SI"/>
        </w:rPr>
        <w:t>o</w:t>
      </w:r>
      <w:r w:rsidRPr="00806D26">
        <w:rPr>
          <w:lang w:eastAsia="sl-SI"/>
        </w:rPr>
        <w:t xml:space="preserve">, ocenjena kot zadostna, zato je ranljivost </w:t>
      </w:r>
      <w:r>
        <w:rPr>
          <w:lang w:eastAsia="sl-SI"/>
        </w:rPr>
        <w:t xml:space="preserve">v referenčnem obdobju ocenjena kot </w:t>
      </w:r>
      <w:r w:rsidRPr="00806D26">
        <w:rPr>
          <w:lang w:eastAsia="sl-SI"/>
        </w:rPr>
        <w:t>zmerna</w:t>
      </w:r>
      <w:r>
        <w:rPr>
          <w:lang w:eastAsia="sl-SI"/>
        </w:rPr>
        <w:t xml:space="preserve">. Z nadaljevanjem segrevanja se bo vpliv podnebnih sprememb povečeval in ob nespremenjeni sposobnosti prilagajanja se bo ranljivost destinacije povečevala in bo proti sredini stoletja </w:t>
      </w:r>
      <w:r w:rsidRPr="00806D26">
        <w:rPr>
          <w:lang w:eastAsia="sl-SI"/>
        </w:rPr>
        <w:t xml:space="preserve">  velika.</w:t>
      </w:r>
    </w:p>
    <w:p w14:paraId="314F87B6" w14:textId="77777777" w:rsidR="00747809" w:rsidRDefault="00747809" w:rsidP="00747809">
      <w:pPr>
        <w:rPr>
          <w:lang w:eastAsia="sl-SI"/>
        </w:rPr>
      </w:pPr>
      <w:r w:rsidRPr="00806D26">
        <w:rPr>
          <w:lang w:eastAsia="sl-SI"/>
        </w:rPr>
        <w:lastRenderedPageBreak/>
        <w:t xml:space="preserve">V občini </w:t>
      </w:r>
      <w:r>
        <w:rPr>
          <w:lang w:eastAsia="sl-SI"/>
        </w:rPr>
        <w:t>Nova Gorica</w:t>
      </w:r>
      <w:r w:rsidRPr="00806D26">
        <w:rPr>
          <w:lang w:eastAsia="sl-SI"/>
        </w:rPr>
        <w:t xml:space="preserve"> je </w:t>
      </w:r>
      <w:r>
        <w:rPr>
          <w:lang w:eastAsia="sl-SI"/>
        </w:rPr>
        <w:t>zaradi</w:t>
      </w:r>
      <w:r w:rsidRPr="00806D26">
        <w:rPr>
          <w:lang w:eastAsia="sl-SI"/>
        </w:rPr>
        <w:t xml:space="preserve"> podnebn</w:t>
      </w:r>
      <w:r>
        <w:rPr>
          <w:lang w:eastAsia="sl-SI"/>
        </w:rPr>
        <w:t>ih</w:t>
      </w:r>
      <w:r w:rsidRPr="00806D26">
        <w:rPr>
          <w:lang w:eastAsia="sl-SI"/>
        </w:rPr>
        <w:t xml:space="preserve"> sprememb ranljiv tudi turizem </w:t>
      </w:r>
      <w:r w:rsidRPr="00EA6076">
        <w:rPr>
          <w:lang w:eastAsia="sl-SI"/>
        </w:rPr>
        <w:t>v preostalih letnih časih.</w:t>
      </w:r>
      <w:r w:rsidRPr="00806D26">
        <w:rPr>
          <w:lang w:eastAsia="sl-SI"/>
        </w:rPr>
        <w:t xml:space="preserve"> </w:t>
      </w:r>
      <w:r w:rsidRPr="00C214EC">
        <w:rPr>
          <w:lang w:eastAsia="sl-SI"/>
        </w:rPr>
        <w:t>Spomladi</w:t>
      </w:r>
      <w:r>
        <w:rPr>
          <w:lang w:eastAsia="sl-SI"/>
        </w:rPr>
        <w:t xml:space="preserve">, </w:t>
      </w:r>
      <w:r w:rsidRPr="00C214EC">
        <w:rPr>
          <w:lang w:eastAsia="sl-SI"/>
        </w:rPr>
        <w:t xml:space="preserve">jeseni </w:t>
      </w:r>
      <w:r>
        <w:rPr>
          <w:lang w:eastAsia="sl-SI"/>
        </w:rPr>
        <w:t xml:space="preserve">in pozimi </w:t>
      </w:r>
      <w:r w:rsidRPr="00C214EC">
        <w:rPr>
          <w:lang w:eastAsia="sl-SI"/>
        </w:rPr>
        <w:t xml:space="preserve">se bodo </w:t>
      </w:r>
      <w:r>
        <w:rPr>
          <w:lang w:eastAsia="sl-SI"/>
        </w:rPr>
        <w:t xml:space="preserve">temperaturne </w:t>
      </w:r>
      <w:r w:rsidRPr="00C214EC">
        <w:rPr>
          <w:lang w:eastAsia="sl-SI"/>
        </w:rPr>
        <w:t>razmere za aktivnosti na prostem v destinaciji izboljševale</w:t>
      </w:r>
      <w:r>
        <w:rPr>
          <w:lang w:eastAsia="sl-SI"/>
        </w:rPr>
        <w:t>.</w:t>
      </w:r>
      <w:r w:rsidRPr="00C214EC">
        <w:rPr>
          <w:lang w:eastAsia="sl-SI"/>
        </w:rPr>
        <w:t xml:space="preserve"> </w:t>
      </w:r>
      <w:r>
        <w:rPr>
          <w:lang w:eastAsia="sl-SI"/>
        </w:rPr>
        <w:t xml:space="preserve">Ranljivost novogoriškega turizma v teh letnih časih (v referenčnem obdobju še zmerna, v naslednjih tridesetletnih obdobjih pa velika) se </w:t>
      </w:r>
      <w:r w:rsidRPr="00CC537D">
        <w:rPr>
          <w:lang w:eastAsia="sl-SI"/>
        </w:rPr>
        <w:t xml:space="preserve">pretežno nanaša na </w:t>
      </w:r>
      <w:r>
        <w:rPr>
          <w:lang w:eastAsia="sl-SI"/>
        </w:rPr>
        <w:t>omejeno</w:t>
      </w:r>
      <w:r w:rsidRPr="00C214EC">
        <w:rPr>
          <w:lang w:eastAsia="sl-SI"/>
        </w:rPr>
        <w:t xml:space="preserve"> </w:t>
      </w:r>
      <w:r>
        <w:rPr>
          <w:lang w:eastAsia="sl-SI"/>
        </w:rPr>
        <w:t>zasebno podjetniško iniciativo</w:t>
      </w:r>
      <w:r w:rsidRPr="00C214EC">
        <w:rPr>
          <w:lang w:eastAsia="sl-SI"/>
        </w:rPr>
        <w:t xml:space="preserve"> </w:t>
      </w:r>
      <w:r>
        <w:rPr>
          <w:lang w:eastAsia="sl-SI"/>
        </w:rPr>
        <w:t>oz.</w:t>
      </w:r>
      <w:r w:rsidRPr="00612D91">
        <w:rPr>
          <w:lang w:eastAsia="sl-SI"/>
        </w:rPr>
        <w:t xml:space="preserve"> </w:t>
      </w:r>
      <w:r w:rsidRPr="00C214EC">
        <w:rPr>
          <w:lang w:eastAsia="sl-SI"/>
        </w:rPr>
        <w:t xml:space="preserve">zmožnost </w:t>
      </w:r>
      <w:r w:rsidRPr="00CC537D">
        <w:rPr>
          <w:lang w:eastAsia="sl-SI"/>
        </w:rPr>
        <w:t xml:space="preserve">destinacije, da </w:t>
      </w:r>
      <w:r>
        <w:rPr>
          <w:lang w:eastAsia="sl-SI"/>
        </w:rPr>
        <w:t xml:space="preserve">v polnosti </w:t>
      </w:r>
      <w:r w:rsidRPr="00CC537D">
        <w:rPr>
          <w:lang w:eastAsia="sl-SI"/>
        </w:rPr>
        <w:t xml:space="preserve">izkoristi pozitivne učinke </w:t>
      </w:r>
      <w:r>
        <w:rPr>
          <w:lang w:eastAsia="sl-SI"/>
        </w:rPr>
        <w:t>višjih temperatur</w:t>
      </w:r>
      <w:r w:rsidRPr="00CC537D">
        <w:rPr>
          <w:lang w:eastAsia="sl-SI"/>
        </w:rPr>
        <w:t>.</w:t>
      </w:r>
    </w:p>
    <w:p w14:paraId="531623B0" w14:textId="77777777" w:rsidR="00747809" w:rsidRPr="00806D26" w:rsidRDefault="00747809" w:rsidP="00747809">
      <w:pPr>
        <w:rPr>
          <w:lang w:eastAsia="sl-SI"/>
        </w:rPr>
      </w:pPr>
      <w:r w:rsidRPr="00806D26">
        <w:rPr>
          <w:lang w:eastAsia="sl-SI"/>
        </w:rPr>
        <w:t xml:space="preserve">Kot občutljiv segment </w:t>
      </w:r>
      <w:r>
        <w:rPr>
          <w:lang w:eastAsia="sl-SI"/>
        </w:rPr>
        <w:t>novogoriškega</w:t>
      </w:r>
      <w:r w:rsidRPr="00806D26">
        <w:rPr>
          <w:lang w:eastAsia="sl-SI"/>
        </w:rPr>
        <w:t xml:space="preserve"> turizma je identificiran tudi vinski turizem, pri čemer po občutljivosti izstopa ponudba avtohtonih vinskih sort. Kako se bodo posamezne sorte odzvale na višje temperature, je težko napovedati, saj je znanstvena literatura pomanjkljiva. Ranljivost vinskega turizma je zaradi usposobljenosti vinarjev, ki povečuje sposobnost prilagajanja, v referenčnem obdobju ocenjena kot majhna, v naslednjih 30-letnih obdobjih pa se </w:t>
      </w:r>
      <w:r>
        <w:rPr>
          <w:lang w:eastAsia="sl-SI"/>
        </w:rPr>
        <w:t>bo ranljivost</w:t>
      </w:r>
      <w:r w:rsidRPr="00806D26">
        <w:rPr>
          <w:lang w:eastAsia="sl-SI"/>
        </w:rPr>
        <w:t xml:space="preserve"> zaradi višanja temperature </w:t>
      </w:r>
      <w:r>
        <w:rPr>
          <w:lang w:eastAsia="sl-SI"/>
        </w:rPr>
        <w:t>povečala</w:t>
      </w:r>
      <w:r w:rsidRPr="00806D26">
        <w:rPr>
          <w:lang w:eastAsia="sl-SI"/>
        </w:rPr>
        <w:t xml:space="preserve"> (v obdobju 2011―2040 zmerna in v obdobju 2041―2070 zmerna do velika).</w:t>
      </w:r>
    </w:p>
    <w:p w14:paraId="1363F739" w14:textId="77777777" w:rsidR="00747809" w:rsidRDefault="00747809" w:rsidP="00747809">
      <w:pPr>
        <w:rPr>
          <w:lang w:eastAsia="sl-SI"/>
        </w:rPr>
      </w:pPr>
      <w:r>
        <w:rPr>
          <w:lang w:eastAsia="sl-SI"/>
        </w:rPr>
        <w:t>V destinaciji je na podnebne spremembe občutljiva celotna</w:t>
      </w:r>
      <w:r w:rsidRPr="00F5540C">
        <w:rPr>
          <w:lang w:eastAsia="sl-SI"/>
        </w:rPr>
        <w:t xml:space="preserve"> gastronomska ponudba na osnovi lokalnih kmetijskih pridelkov</w:t>
      </w:r>
      <w:r>
        <w:rPr>
          <w:lang w:eastAsia="sl-SI"/>
        </w:rPr>
        <w:t xml:space="preserve">, saj bodo podnebne spremembe spremenile pogoje za kmetijstvo. Sposobnost prilagajanja gastronomskega sektorja je ocenjena kot zadostna, zato je ranljivost tega segmenta turizma </w:t>
      </w:r>
      <w:r w:rsidRPr="00BF0374">
        <w:rPr>
          <w:lang w:eastAsia="sl-SI"/>
        </w:rPr>
        <w:t>v referenčnem obdobju ocenjena kot zmerna</w:t>
      </w:r>
      <w:r>
        <w:rPr>
          <w:lang w:eastAsia="sl-SI"/>
        </w:rPr>
        <w:t xml:space="preserve">, v naslednjih tridesetletnih obdobjih pa se zaradi vpliva podnebnih sprememb na kmetijstvo povečuje. </w:t>
      </w:r>
    </w:p>
    <w:p w14:paraId="7D1008D7" w14:textId="77777777" w:rsidR="00747809" w:rsidRPr="00806D26" w:rsidRDefault="00747809" w:rsidP="00747809">
      <w:pPr>
        <w:rPr>
          <w:lang w:eastAsia="sl-SI"/>
        </w:rPr>
      </w:pPr>
      <w:r w:rsidRPr="00806D26">
        <w:rPr>
          <w:lang w:eastAsia="sl-SI"/>
        </w:rPr>
        <w:t xml:space="preserve">Poleg neposrednih vplivov podnebnih sprememb na ranljivost </w:t>
      </w:r>
      <w:r>
        <w:rPr>
          <w:lang w:eastAsia="sl-SI"/>
        </w:rPr>
        <w:t>turizma v občini Nova Gorica</w:t>
      </w:r>
      <w:r w:rsidRPr="00806D26">
        <w:rPr>
          <w:lang w:eastAsia="sl-SI"/>
        </w:rPr>
        <w:t xml:space="preserve"> vpliva tudi odziv na podnebne spremembe turistov in turističnega sektorja na nacionalni in regionalni ravni, zaradi česar se spreminja </w:t>
      </w:r>
      <w:r w:rsidRPr="00535C3D">
        <w:rPr>
          <w:lang w:eastAsia="sl-SI"/>
        </w:rPr>
        <w:t>konkurenčnost destinacij</w:t>
      </w:r>
      <w:r w:rsidRPr="00806D26">
        <w:rPr>
          <w:lang w:eastAsia="sl-SI"/>
        </w:rPr>
        <w:t>.</w:t>
      </w:r>
      <w:r>
        <w:rPr>
          <w:lang w:eastAsia="sl-SI"/>
        </w:rPr>
        <w:t xml:space="preserve"> Poletje je zaenkrat še najpomembnejša turistična sezona, pri čemer že v referenčnem obdobju kot poletne turistične destinacije pridobivajo na privlačnosti destinacije, ki so hladnejše, imajo od poletne vročine neodvisno ponudbo in naravna kopališča. Zato je sposobnost destinacije za prilagajanje podnebnim spremembam (kljub že kar vročim poletjem) ocenjena kot zadostna.  </w:t>
      </w:r>
      <w:r w:rsidRPr="00622839">
        <w:rPr>
          <w:lang w:eastAsia="sl-SI"/>
        </w:rPr>
        <w:t>Ob nadaljevanju globalnega segrevanja</w:t>
      </w:r>
      <w:r>
        <w:rPr>
          <w:lang w:eastAsia="sl-SI"/>
        </w:rPr>
        <w:t xml:space="preserve"> pa bo poletni turizem v destinaciji soočen z večjo konkurenco novih turističnih destinacij v severnejših delih Evrope. Tudi pri razvoju turizma v preostalih letnih časih bo destinacija soočena z veliko konkurenco destinacij (že znotraj Slovenije), ki razvijajo celoletni turizem. Nekatere uveljavljene obalne in zimsko-športne destinacije </w:t>
      </w:r>
      <w:r w:rsidRPr="001D1318">
        <w:rPr>
          <w:lang w:eastAsia="sl-SI"/>
        </w:rPr>
        <w:t>si tako prizadevajo kompenzirati izpad poletnega oz. zimskega turističnega obiska</w:t>
      </w:r>
      <w:r>
        <w:rPr>
          <w:lang w:eastAsia="sl-SI"/>
        </w:rPr>
        <w:t>. Dejavnik konkurenčnosti turizma v občini Nova Gorica spomladanskem, jesenskem in zimskem času so vse ugodnejši temperaturni pogoji za aktivnosti na prostem. S</w:t>
      </w:r>
      <w:r w:rsidRPr="00806D26">
        <w:rPr>
          <w:lang w:eastAsia="sl-SI"/>
        </w:rPr>
        <w:t xml:space="preserve">posobnost prilagajanja destinacije </w:t>
      </w:r>
      <w:r>
        <w:rPr>
          <w:lang w:eastAsia="sl-SI"/>
        </w:rPr>
        <w:t>Nova Gorica</w:t>
      </w:r>
      <w:r w:rsidRPr="00806D26">
        <w:rPr>
          <w:lang w:eastAsia="sl-SI"/>
        </w:rPr>
        <w:t xml:space="preserve"> je zaradi dobre organiziranosti, usposobljenosti lokalnih deležnikov in dobrega trženja ocenjena kot zadostna in je zato ranljivost konkurenčnosti destinacije ocenjena kot zmerna</w:t>
      </w:r>
      <w:r>
        <w:rPr>
          <w:lang w:eastAsia="sl-SI"/>
        </w:rPr>
        <w:t>, proti sredini stoletja pa ob nespremenjeni sposobnosti prilagajanja postane velika.</w:t>
      </w:r>
    </w:p>
    <w:p w14:paraId="6B3016B7" w14:textId="77777777" w:rsidR="00747809" w:rsidRDefault="00747809" w:rsidP="00747809">
      <w:pPr>
        <w:rPr>
          <w:lang w:eastAsia="sl-SI"/>
        </w:rPr>
      </w:pPr>
      <w:r>
        <w:rPr>
          <w:lang w:eastAsia="sl-SI"/>
        </w:rPr>
        <w:t>Ranljivost t</w:t>
      </w:r>
      <w:r w:rsidRPr="00024EB5">
        <w:rPr>
          <w:lang w:eastAsia="sl-SI"/>
        </w:rPr>
        <w:t>urističn</w:t>
      </w:r>
      <w:r>
        <w:rPr>
          <w:lang w:eastAsia="sl-SI"/>
        </w:rPr>
        <w:t>e</w:t>
      </w:r>
      <w:r w:rsidRPr="00024EB5">
        <w:rPr>
          <w:lang w:eastAsia="sl-SI"/>
        </w:rPr>
        <w:t xml:space="preserve"> infrastruktur</w:t>
      </w:r>
      <w:r>
        <w:rPr>
          <w:lang w:eastAsia="sl-SI"/>
        </w:rPr>
        <w:t>e</w:t>
      </w:r>
      <w:r w:rsidRPr="00024EB5">
        <w:rPr>
          <w:lang w:eastAsia="sl-SI"/>
        </w:rPr>
        <w:t xml:space="preserve"> v občini </w:t>
      </w:r>
      <w:r>
        <w:rPr>
          <w:lang w:eastAsia="sl-SI"/>
        </w:rPr>
        <w:t>Nova Gorica</w:t>
      </w:r>
      <w:r w:rsidRPr="00024EB5">
        <w:rPr>
          <w:lang w:eastAsia="sl-SI"/>
        </w:rPr>
        <w:t xml:space="preserve"> </w:t>
      </w:r>
      <w:r>
        <w:rPr>
          <w:lang w:eastAsia="sl-SI"/>
        </w:rPr>
        <w:t xml:space="preserve">zaradi podnebnih sprememb </w:t>
      </w:r>
      <w:r w:rsidRPr="00024EB5">
        <w:rPr>
          <w:lang w:eastAsia="sl-SI"/>
        </w:rPr>
        <w:t>je</w:t>
      </w:r>
      <w:r>
        <w:rPr>
          <w:lang w:eastAsia="sl-SI"/>
        </w:rPr>
        <w:t xml:space="preserve"> v referenčnem obdobju zmerna</w:t>
      </w:r>
      <w:r w:rsidRPr="00024EB5">
        <w:rPr>
          <w:lang w:eastAsia="sl-SI"/>
        </w:rPr>
        <w:t>.</w:t>
      </w:r>
      <w:r>
        <w:rPr>
          <w:lang w:eastAsia="sl-SI"/>
        </w:rPr>
        <w:t xml:space="preserve"> Ob precej visokih</w:t>
      </w:r>
      <w:r w:rsidRPr="00576696">
        <w:rPr>
          <w:lang w:eastAsia="sl-SI"/>
        </w:rPr>
        <w:t xml:space="preserve"> poletn</w:t>
      </w:r>
      <w:r>
        <w:rPr>
          <w:lang w:eastAsia="sl-SI"/>
        </w:rPr>
        <w:t>ih</w:t>
      </w:r>
      <w:r w:rsidRPr="00576696">
        <w:rPr>
          <w:lang w:eastAsia="sl-SI"/>
        </w:rPr>
        <w:t xml:space="preserve"> temperatur</w:t>
      </w:r>
      <w:r>
        <w:rPr>
          <w:lang w:eastAsia="sl-SI"/>
        </w:rPr>
        <w:t>ah</w:t>
      </w:r>
      <w:r w:rsidRPr="00576696">
        <w:rPr>
          <w:lang w:eastAsia="sl-SI"/>
        </w:rPr>
        <w:t xml:space="preserve"> in </w:t>
      </w:r>
      <w:r>
        <w:rPr>
          <w:lang w:eastAsia="sl-SI"/>
        </w:rPr>
        <w:t>pojavu</w:t>
      </w:r>
      <w:r w:rsidRPr="00576696">
        <w:rPr>
          <w:lang w:eastAsia="sl-SI"/>
        </w:rPr>
        <w:t xml:space="preserve"> vročinskih valov</w:t>
      </w:r>
      <w:r>
        <w:rPr>
          <w:lang w:eastAsia="sl-SI"/>
        </w:rPr>
        <w:t>ih</w:t>
      </w:r>
      <w:r w:rsidRPr="00576696">
        <w:rPr>
          <w:lang w:eastAsia="sl-SI"/>
        </w:rPr>
        <w:t xml:space="preserve"> </w:t>
      </w:r>
      <w:r>
        <w:rPr>
          <w:lang w:eastAsia="sl-SI"/>
        </w:rPr>
        <w:t xml:space="preserve">se že povečuje potreba po klimatizaciji stavb, ki se bo v prihodnosti še stopnjevala. Podnebne spremembe vplivajo tudi na naravno okolje, </w:t>
      </w:r>
      <w:r w:rsidRPr="00806D26">
        <w:rPr>
          <w:lang w:eastAsia="sl-SI"/>
        </w:rPr>
        <w:t>v katerem se odvijajo turistične aktivnosti. Na sposobnost prilagajanja pozitivno vpliva velika biotska pestrost in vzpostavljen sistem gospodarjenja z gozdom</w:t>
      </w:r>
      <w:r>
        <w:rPr>
          <w:lang w:eastAsia="sl-SI"/>
        </w:rPr>
        <w:t>. Ranljivost pa se nanaša na omejeno sposobnost destinacije v zvezi z upravljanjem turističnega obiska v</w:t>
      </w:r>
      <w:r w:rsidRPr="00806D26">
        <w:rPr>
          <w:lang w:eastAsia="sl-SI"/>
        </w:rPr>
        <w:t xml:space="preserve"> zaščiteni</w:t>
      </w:r>
      <w:r>
        <w:rPr>
          <w:lang w:eastAsia="sl-SI"/>
        </w:rPr>
        <w:t>h</w:t>
      </w:r>
      <w:r w:rsidRPr="00806D26">
        <w:rPr>
          <w:lang w:eastAsia="sl-SI"/>
        </w:rPr>
        <w:t xml:space="preserve"> območji</w:t>
      </w:r>
      <w:r>
        <w:rPr>
          <w:lang w:eastAsia="sl-SI"/>
        </w:rPr>
        <w:t>h</w:t>
      </w:r>
      <w:r w:rsidRPr="00806D26">
        <w:rPr>
          <w:lang w:eastAsia="sl-SI"/>
        </w:rPr>
        <w:t>.</w:t>
      </w:r>
      <w:r>
        <w:rPr>
          <w:lang w:eastAsia="sl-SI"/>
        </w:rPr>
        <w:t xml:space="preserve"> Podnebnim spremembam je izpostavljena tudi </w:t>
      </w:r>
      <w:r w:rsidRPr="00DF79D8">
        <w:rPr>
          <w:lang w:eastAsia="sl-SI"/>
        </w:rPr>
        <w:t>turističn</w:t>
      </w:r>
      <w:r>
        <w:rPr>
          <w:lang w:eastAsia="sl-SI"/>
        </w:rPr>
        <w:t>a</w:t>
      </w:r>
      <w:r w:rsidRPr="00DF79D8">
        <w:rPr>
          <w:lang w:eastAsia="sl-SI"/>
        </w:rPr>
        <w:t xml:space="preserve"> infrastruktur</w:t>
      </w:r>
      <w:r>
        <w:rPr>
          <w:lang w:eastAsia="sl-SI"/>
        </w:rPr>
        <w:t>a</w:t>
      </w:r>
      <w:r w:rsidRPr="00DF79D8">
        <w:rPr>
          <w:lang w:eastAsia="sl-SI"/>
        </w:rPr>
        <w:t xml:space="preserve"> za športno-rekreativne aktivnosti na prostem</w:t>
      </w:r>
      <w:r>
        <w:rPr>
          <w:lang w:eastAsia="sl-SI"/>
        </w:rPr>
        <w:t xml:space="preserve">, kar se v občini Nova </w:t>
      </w:r>
      <w:r>
        <w:rPr>
          <w:lang w:eastAsia="sl-SI"/>
        </w:rPr>
        <w:lastRenderedPageBreak/>
        <w:t xml:space="preserve">Gorica nanaša predvsem na pohodniške in kolesarske poti. </w:t>
      </w:r>
      <w:r w:rsidRPr="00806D26">
        <w:rPr>
          <w:lang w:eastAsia="sl-SI"/>
        </w:rPr>
        <w:t xml:space="preserve">V referenčnem obdobju je vpliv nanje ocenjen kot </w:t>
      </w:r>
      <w:r>
        <w:rPr>
          <w:lang w:eastAsia="sl-SI"/>
        </w:rPr>
        <w:t>majhen</w:t>
      </w:r>
      <w:r w:rsidRPr="00806D26">
        <w:rPr>
          <w:lang w:eastAsia="sl-SI"/>
        </w:rPr>
        <w:t>, v prihodnosti pa se bo povečevala nevarnost njihovega poškodovanja zaradi pogostejših obilnih padavin oz. povečanja padavin pozimi.</w:t>
      </w:r>
      <w:r>
        <w:rPr>
          <w:lang w:eastAsia="sl-SI"/>
        </w:rPr>
        <w:t xml:space="preserve"> S</w:t>
      </w:r>
      <w:r w:rsidRPr="00806D26">
        <w:rPr>
          <w:lang w:eastAsia="sl-SI"/>
        </w:rPr>
        <w:t xml:space="preserve">posobnost prilagajanja </w:t>
      </w:r>
      <w:r>
        <w:rPr>
          <w:lang w:eastAsia="sl-SI"/>
        </w:rPr>
        <w:t xml:space="preserve">destinacije je zaradi razpoložljivosti sredstev za ukrepe prilagajanja </w:t>
      </w:r>
      <w:r w:rsidRPr="00806D26">
        <w:rPr>
          <w:lang w:eastAsia="sl-SI"/>
        </w:rPr>
        <w:t xml:space="preserve">ocenjena kot zadostna in ranljivost </w:t>
      </w:r>
      <w:r>
        <w:rPr>
          <w:lang w:eastAsia="sl-SI"/>
        </w:rPr>
        <w:t xml:space="preserve">turistične infrastrukture v referenčnem obdobju </w:t>
      </w:r>
      <w:r w:rsidRPr="00806D26">
        <w:rPr>
          <w:lang w:eastAsia="sl-SI"/>
        </w:rPr>
        <w:t>kot zmerna</w:t>
      </w:r>
      <w:r>
        <w:rPr>
          <w:lang w:eastAsia="sl-SI"/>
        </w:rPr>
        <w:t>, v prihodnosti pa se bo povečala</w:t>
      </w:r>
      <w:r w:rsidRPr="00806D26">
        <w:rPr>
          <w:lang w:eastAsia="sl-SI"/>
        </w:rPr>
        <w:t>.</w:t>
      </w:r>
      <w:r>
        <w:rPr>
          <w:lang w:eastAsia="sl-SI"/>
        </w:rPr>
        <w:t xml:space="preserve"> </w:t>
      </w:r>
    </w:p>
    <w:p w14:paraId="2EE45900" w14:textId="77777777" w:rsidR="00747809" w:rsidRDefault="00747809" w:rsidP="00747809">
      <w:pPr>
        <w:rPr>
          <w:lang w:eastAsia="sl-SI"/>
        </w:rPr>
      </w:pPr>
      <w:r w:rsidRPr="00CC6971">
        <w:rPr>
          <w:lang w:eastAsia="sl-SI"/>
        </w:rPr>
        <w:t>Varnost in ugodje obiskovalcev v destinaciji ogroža predvsem poletna vročina</w:t>
      </w:r>
      <w:r>
        <w:rPr>
          <w:lang w:eastAsia="sl-SI"/>
        </w:rPr>
        <w:t xml:space="preserve">, v prihodnosti se bo povečevala tudi jakost poletnih kratkotrajnih padavinskih dogodkov ter </w:t>
      </w:r>
      <w:r w:rsidRPr="00554617">
        <w:rPr>
          <w:lang w:eastAsia="sl-SI"/>
        </w:rPr>
        <w:t>jakost in pogostost izjemnih padavin jeseni in pozimi</w:t>
      </w:r>
      <w:r>
        <w:rPr>
          <w:lang w:eastAsia="sl-SI"/>
        </w:rPr>
        <w:t xml:space="preserve">. Ker pa je sposobnost prilagajanja zaradi obstoječega sistema civilne zaščite, </w:t>
      </w:r>
      <w:r w:rsidRPr="00B4052F">
        <w:rPr>
          <w:lang w:eastAsia="sl-SI"/>
        </w:rPr>
        <w:t>natančn</w:t>
      </w:r>
      <w:r>
        <w:rPr>
          <w:lang w:eastAsia="sl-SI"/>
        </w:rPr>
        <w:t>ih</w:t>
      </w:r>
      <w:r w:rsidRPr="00B4052F">
        <w:rPr>
          <w:lang w:eastAsia="sl-SI"/>
        </w:rPr>
        <w:t xml:space="preserve"> napovedi državne meteorološke službe in delujoč</w:t>
      </w:r>
      <w:r>
        <w:rPr>
          <w:lang w:eastAsia="sl-SI"/>
        </w:rPr>
        <w:t>ega zdravstvenega sistema dobra, je r</w:t>
      </w:r>
      <w:r w:rsidRPr="00CC6971">
        <w:rPr>
          <w:lang w:eastAsia="sl-SI"/>
        </w:rPr>
        <w:t xml:space="preserve">anljivost destinacije v referenčnem obdobju </w:t>
      </w:r>
      <w:r>
        <w:rPr>
          <w:lang w:eastAsia="sl-SI"/>
        </w:rPr>
        <w:t>zmerna</w:t>
      </w:r>
      <w:r w:rsidRPr="00CC6971">
        <w:rPr>
          <w:lang w:eastAsia="sl-SI"/>
        </w:rPr>
        <w:t xml:space="preserve">, v prihodnosti pa </w:t>
      </w:r>
      <w:r>
        <w:rPr>
          <w:lang w:eastAsia="sl-SI"/>
        </w:rPr>
        <w:t xml:space="preserve">se </w:t>
      </w:r>
      <w:r w:rsidRPr="00CC6971">
        <w:rPr>
          <w:lang w:eastAsia="sl-SI"/>
        </w:rPr>
        <w:t xml:space="preserve">bo </w:t>
      </w:r>
      <w:r>
        <w:rPr>
          <w:lang w:eastAsia="sl-SI"/>
        </w:rPr>
        <w:t>povečala</w:t>
      </w:r>
      <w:r w:rsidRPr="00CC6971">
        <w:rPr>
          <w:lang w:eastAsia="sl-SI"/>
        </w:rPr>
        <w:t>.</w:t>
      </w:r>
    </w:p>
    <w:p w14:paraId="09372BD8" w14:textId="5C090AEF" w:rsidR="00747809" w:rsidRDefault="005E7A42" w:rsidP="00747809">
      <w:pPr>
        <w:rPr>
          <w:lang w:eastAsia="sl-SI"/>
        </w:rPr>
      </w:pPr>
      <w:r>
        <w:rPr>
          <w:lang w:eastAsia="sl-SI"/>
        </w:rPr>
        <w:t>Mestna o</w:t>
      </w:r>
      <w:r w:rsidR="00747809">
        <w:rPr>
          <w:lang w:eastAsia="sl-SI"/>
        </w:rPr>
        <w:t>bčina</w:t>
      </w:r>
      <w:r w:rsidR="00747809" w:rsidRPr="00806D26">
        <w:rPr>
          <w:lang w:eastAsia="sl-SI"/>
        </w:rPr>
        <w:t xml:space="preserve"> </w:t>
      </w:r>
      <w:r w:rsidR="00747809">
        <w:rPr>
          <w:lang w:eastAsia="sl-SI"/>
        </w:rPr>
        <w:t xml:space="preserve">Nova Gorica </w:t>
      </w:r>
      <w:r w:rsidR="00747809" w:rsidRPr="00806D26">
        <w:rPr>
          <w:lang w:eastAsia="sl-SI"/>
        </w:rPr>
        <w:t xml:space="preserve">bo imela </w:t>
      </w:r>
      <w:r w:rsidR="00747809">
        <w:rPr>
          <w:lang w:eastAsia="sl-SI"/>
        </w:rPr>
        <w:t xml:space="preserve">zaradi svoje sposobnosti prilagajanja </w:t>
      </w:r>
      <w:r w:rsidR="00747809" w:rsidRPr="00806D26">
        <w:rPr>
          <w:lang w:eastAsia="sl-SI"/>
        </w:rPr>
        <w:t xml:space="preserve">tudi v času podnebnih sprememb dobre možnosti, da se še naprej uveljavlja kot </w:t>
      </w:r>
      <w:r w:rsidR="00747809">
        <w:rPr>
          <w:lang w:eastAsia="sl-SI"/>
        </w:rPr>
        <w:t xml:space="preserve">uspešna </w:t>
      </w:r>
      <w:r w:rsidR="00747809" w:rsidRPr="00806D26">
        <w:rPr>
          <w:lang w:eastAsia="sl-SI"/>
        </w:rPr>
        <w:t xml:space="preserve">destinacija </w:t>
      </w:r>
      <w:r w:rsidR="00747809">
        <w:rPr>
          <w:lang w:eastAsia="sl-SI"/>
        </w:rPr>
        <w:t xml:space="preserve">in </w:t>
      </w:r>
      <w:r w:rsidR="00747809" w:rsidRPr="00806D26">
        <w:rPr>
          <w:lang w:eastAsia="sl-SI"/>
        </w:rPr>
        <w:t>poveč</w:t>
      </w:r>
      <w:r w:rsidR="00747809">
        <w:rPr>
          <w:lang w:eastAsia="sl-SI"/>
        </w:rPr>
        <w:t>uje</w:t>
      </w:r>
      <w:r w:rsidR="00747809" w:rsidRPr="00806D26">
        <w:rPr>
          <w:lang w:eastAsia="sl-SI"/>
        </w:rPr>
        <w:t xml:space="preserve"> prispev</w:t>
      </w:r>
      <w:r w:rsidR="00747809">
        <w:rPr>
          <w:lang w:eastAsia="sl-SI"/>
        </w:rPr>
        <w:t>e</w:t>
      </w:r>
      <w:r w:rsidR="00747809" w:rsidRPr="00806D26">
        <w:rPr>
          <w:lang w:eastAsia="sl-SI"/>
        </w:rPr>
        <w:t xml:space="preserve">k turizma v gospodarstvu občine. Toplejše pomladi, jeseni in zime bodo lahko pozitivno vplivale na turistični obisk in odpirale se bodo priložnosti za nova delovna mesta in povečanje prihodkov. </w:t>
      </w:r>
      <w:r w:rsidR="00747809">
        <w:rPr>
          <w:lang w:eastAsia="sl-SI"/>
        </w:rPr>
        <w:t xml:space="preserve">Sposobnost prilagajanja pri tem zmanjšuje </w:t>
      </w:r>
      <w:r w:rsidR="00747809" w:rsidRPr="00806D26">
        <w:rPr>
          <w:lang w:eastAsia="sl-SI"/>
        </w:rPr>
        <w:t xml:space="preserve">predvsem </w:t>
      </w:r>
      <w:r w:rsidR="00747809">
        <w:rPr>
          <w:lang w:eastAsia="sl-SI"/>
        </w:rPr>
        <w:t>omejena</w:t>
      </w:r>
      <w:r w:rsidR="00747809" w:rsidRPr="00806D26">
        <w:rPr>
          <w:lang w:eastAsia="sl-SI"/>
        </w:rPr>
        <w:t xml:space="preserve"> zasebne podjetnišk</w:t>
      </w:r>
      <w:r w:rsidR="00747809">
        <w:rPr>
          <w:lang w:eastAsia="sl-SI"/>
        </w:rPr>
        <w:t>a</w:t>
      </w:r>
      <w:r w:rsidR="00747809" w:rsidRPr="00806D26">
        <w:rPr>
          <w:lang w:eastAsia="sl-SI"/>
        </w:rPr>
        <w:t xml:space="preserve"> iniciativ</w:t>
      </w:r>
      <w:r w:rsidR="00747809">
        <w:rPr>
          <w:lang w:eastAsia="sl-SI"/>
        </w:rPr>
        <w:t>a</w:t>
      </w:r>
      <w:r w:rsidR="00747809" w:rsidRPr="00806D26">
        <w:rPr>
          <w:lang w:eastAsia="sl-SI"/>
        </w:rPr>
        <w:t xml:space="preserve"> in investicijsk</w:t>
      </w:r>
      <w:r w:rsidR="00747809">
        <w:rPr>
          <w:lang w:eastAsia="sl-SI"/>
        </w:rPr>
        <w:t>a</w:t>
      </w:r>
      <w:r w:rsidR="00747809" w:rsidRPr="00806D26">
        <w:rPr>
          <w:lang w:eastAsia="sl-SI"/>
        </w:rPr>
        <w:t xml:space="preserve"> sposobnost manjših ponudnikov. Obstaja nevarnost, da destinacija ne bo v polnosti izkoristila priložnosti, ki jih bodo prinesle podnebne spremembe. V vročih poletjih se bo tudi povečevala toplotna obremenitev turističnih delavcev, kar lahko zmanjša privlačnost poklicev v turizmu. </w:t>
      </w:r>
      <w:r w:rsidR="00747809">
        <w:rPr>
          <w:lang w:eastAsia="sl-SI"/>
        </w:rPr>
        <w:t xml:space="preserve">Ta dva dejavnika, </w:t>
      </w:r>
      <w:r w:rsidR="00747809" w:rsidRPr="005E25FB">
        <w:rPr>
          <w:lang w:eastAsia="sl-SI"/>
        </w:rPr>
        <w:t>ki se vzajemno krepita</w:t>
      </w:r>
      <w:r w:rsidR="00747809">
        <w:rPr>
          <w:lang w:eastAsia="sl-SI"/>
        </w:rPr>
        <w:t xml:space="preserve">, sta kljub potencialu za nadaljnji razvoj turizma (na podeželju, </w:t>
      </w:r>
      <w:r w:rsidR="00747809" w:rsidRPr="001C7C57">
        <w:rPr>
          <w:lang w:eastAsia="sl-SI"/>
        </w:rPr>
        <w:t xml:space="preserve">v </w:t>
      </w:r>
      <w:proofErr w:type="spellStart"/>
      <w:r w:rsidR="00747809" w:rsidRPr="001C7C57">
        <w:rPr>
          <w:lang w:eastAsia="sl-SI"/>
        </w:rPr>
        <w:t>višjeležečih</w:t>
      </w:r>
      <w:proofErr w:type="spellEnd"/>
      <w:r w:rsidR="00747809" w:rsidRPr="001C7C57">
        <w:rPr>
          <w:lang w:eastAsia="sl-SI"/>
        </w:rPr>
        <w:t xml:space="preserve"> hladnejših območjih destinacije</w:t>
      </w:r>
      <w:r w:rsidR="00747809">
        <w:rPr>
          <w:lang w:eastAsia="sl-SI"/>
        </w:rPr>
        <w:t xml:space="preserve">) odločilna za oceno, da </w:t>
      </w:r>
      <w:r w:rsidR="00747809" w:rsidRPr="00DF6F89">
        <w:rPr>
          <w:lang w:eastAsia="sl-SI"/>
        </w:rPr>
        <w:t xml:space="preserve">je ranljivost družbeno-gospodarske </w:t>
      </w:r>
      <w:proofErr w:type="spellStart"/>
      <w:r w:rsidR="00747809" w:rsidRPr="00DF6F89">
        <w:rPr>
          <w:lang w:eastAsia="sl-SI"/>
        </w:rPr>
        <w:t>trajnostnosti</w:t>
      </w:r>
      <w:proofErr w:type="spellEnd"/>
      <w:r w:rsidR="00747809" w:rsidRPr="00DF6F89">
        <w:rPr>
          <w:lang w:eastAsia="sl-SI"/>
        </w:rPr>
        <w:t xml:space="preserve"> turizma v občini </w:t>
      </w:r>
      <w:r w:rsidR="00747809">
        <w:rPr>
          <w:lang w:eastAsia="sl-SI"/>
        </w:rPr>
        <w:t>Nova Gorica</w:t>
      </w:r>
      <w:r w:rsidR="00747809" w:rsidRPr="00DF6F89">
        <w:rPr>
          <w:lang w:eastAsia="sl-SI"/>
        </w:rPr>
        <w:t xml:space="preserve"> v referenčnem obdobju še zmerna, v </w:t>
      </w:r>
      <w:r w:rsidR="00747809">
        <w:rPr>
          <w:lang w:eastAsia="sl-SI"/>
        </w:rPr>
        <w:t>prihodnosti</w:t>
      </w:r>
      <w:r w:rsidR="00747809" w:rsidRPr="00DF6F89">
        <w:rPr>
          <w:lang w:eastAsia="sl-SI"/>
        </w:rPr>
        <w:t xml:space="preserve"> pa </w:t>
      </w:r>
      <w:r w:rsidR="00747809">
        <w:rPr>
          <w:lang w:eastAsia="sl-SI"/>
        </w:rPr>
        <w:t>se bo povečevala</w:t>
      </w:r>
      <w:r w:rsidR="00747809" w:rsidRPr="00DF6F89">
        <w:rPr>
          <w:lang w:eastAsia="sl-SI"/>
        </w:rPr>
        <w:t>.</w:t>
      </w:r>
    </w:p>
    <w:p w14:paraId="2499C4F4" w14:textId="77777777" w:rsidR="00747809" w:rsidRDefault="00747809" w:rsidP="00747809">
      <w:pPr>
        <w:jc w:val="left"/>
        <w:rPr>
          <w:lang w:eastAsia="sl-SI"/>
        </w:rPr>
      </w:pPr>
      <w:r>
        <w:rPr>
          <w:lang w:eastAsia="sl-SI"/>
        </w:rPr>
        <w:br w:type="page"/>
      </w:r>
    </w:p>
    <w:p w14:paraId="5F102D9B" w14:textId="0EAAD256" w:rsidR="00747809" w:rsidRDefault="00747809" w:rsidP="00747809">
      <w:pPr>
        <w:pStyle w:val="Napis"/>
        <w:keepNext/>
        <w:jc w:val="left"/>
      </w:pPr>
      <w:bookmarkStart w:id="359" w:name="_Toc97026980"/>
      <w:r>
        <w:lastRenderedPageBreak/>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27</w:t>
      </w:r>
      <w:r w:rsidR="00976D80">
        <w:fldChar w:fldCharType="end"/>
      </w:r>
      <w:r w:rsidRPr="005C1F17">
        <w:t>: Ocena ranljivost turizma v destinaciji Nova Gorica zaradi podnebnih sprememb v referenčnem obdobju 1981–2010</w:t>
      </w:r>
      <w:bookmarkEnd w:id="359"/>
    </w:p>
    <w:p w14:paraId="3A25830E" w14:textId="052DEB08" w:rsidR="00747809" w:rsidRDefault="00747809" w:rsidP="00747809">
      <w:pPr>
        <w:jc w:val="left"/>
        <w:rPr>
          <w:lang w:eastAsia="sl-SI"/>
        </w:rPr>
      </w:pPr>
      <w:r w:rsidRPr="001328E1">
        <w:rPr>
          <w:noProof/>
          <w:lang w:eastAsia="sl-SI"/>
        </w:rPr>
        <w:drawing>
          <wp:inline distT="0" distB="0" distL="0" distR="0" wp14:anchorId="56BA4510" wp14:editId="3207EB55">
            <wp:extent cx="7582809" cy="3769669"/>
            <wp:effectExtent l="1588" t="0" r="952" b="953"/>
            <wp:docPr id="1802182999"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rot="16200000">
                      <a:off x="0" y="0"/>
                      <a:ext cx="7627028" cy="3791652"/>
                    </a:xfrm>
                    <a:prstGeom prst="rect">
                      <a:avLst/>
                    </a:prstGeom>
                  </pic:spPr>
                </pic:pic>
              </a:graphicData>
            </a:graphic>
          </wp:inline>
        </w:drawing>
      </w:r>
    </w:p>
    <w:p w14:paraId="4C2195B0" w14:textId="77777777" w:rsidR="00747809" w:rsidRDefault="00747809" w:rsidP="00747809">
      <w:pPr>
        <w:jc w:val="left"/>
        <w:rPr>
          <w:lang w:eastAsia="sl-SI"/>
        </w:rPr>
      </w:pPr>
      <w:r w:rsidRPr="001328E1">
        <w:rPr>
          <w:noProof/>
          <w:lang w:eastAsia="sl-SI"/>
        </w:rPr>
        <w:lastRenderedPageBreak/>
        <w:drawing>
          <wp:inline distT="0" distB="0" distL="0" distR="0" wp14:anchorId="4C7FB9BA" wp14:editId="74DBD7D2">
            <wp:extent cx="7916649" cy="5142767"/>
            <wp:effectExtent l="0" t="3492" r="4762" b="4763"/>
            <wp:docPr id="1802183000"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rot="16200000">
                      <a:off x="0" y="0"/>
                      <a:ext cx="7950620" cy="5164835"/>
                    </a:xfrm>
                    <a:prstGeom prst="rect">
                      <a:avLst/>
                    </a:prstGeom>
                  </pic:spPr>
                </pic:pic>
              </a:graphicData>
            </a:graphic>
          </wp:inline>
        </w:drawing>
      </w:r>
    </w:p>
    <w:p w14:paraId="10C7ECC3" w14:textId="3DAB7317" w:rsidR="00BE4D70" w:rsidRPr="00A43187" w:rsidRDefault="00BE4D70" w:rsidP="00201758">
      <w:pPr>
        <w:pStyle w:val="Naslov3"/>
        <w:rPr>
          <w:rFonts w:eastAsia="Calibri"/>
          <w:lang w:eastAsia="sl-SI"/>
        </w:rPr>
      </w:pPr>
      <w:bookmarkStart w:id="360" w:name="_Toc97026784"/>
      <w:r w:rsidRPr="00A43187">
        <w:rPr>
          <w:rFonts w:eastAsia="Calibri"/>
          <w:lang w:eastAsia="sl-SI"/>
        </w:rPr>
        <w:lastRenderedPageBreak/>
        <w:t>Ocena tveganja za sektor turiz</w:t>
      </w:r>
      <w:r>
        <w:rPr>
          <w:rFonts w:eastAsia="Calibri"/>
          <w:lang w:eastAsia="sl-SI"/>
        </w:rPr>
        <w:t>em</w:t>
      </w:r>
      <w:bookmarkEnd w:id="358"/>
      <w:bookmarkEnd w:id="360"/>
    </w:p>
    <w:p w14:paraId="2500A73C" w14:textId="77777777" w:rsidR="00747809" w:rsidRDefault="00747809" w:rsidP="00747809">
      <w:pPr>
        <w:rPr>
          <w:b/>
          <w:bCs/>
        </w:rPr>
      </w:pPr>
      <w:bookmarkStart w:id="361" w:name="_Toc44656974"/>
      <w:r>
        <w:rPr>
          <w:lang w:eastAsia="sl-SI"/>
        </w:rPr>
        <w:t>Ocena tveganja, ki ga za turizem v občini Nova Gorica predstavljajo prihodnje podnebne spremembe, se nanaša na spremembo ranljivosti destinacije v prihodnosti glede na ranljivost v referenčnem obdobju 1981</w:t>
      </w:r>
      <w:r>
        <w:rPr>
          <w:lang w:eastAsia="sl-SI"/>
        </w:rPr>
        <w:sym w:font="Symbol" w:char="F02D"/>
      </w:r>
      <w:r>
        <w:rPr>
          <w:lang w:eastAsia="sl-SI"/>
        </w:rPr>
        <w:t xml:space="preserve">2010. </w:t>
      </w:r>
      <w:r w:rsidRPr="007B3AAE">
        <w:t xml:space="preserve">Govorimo torej o tveganju, da bo ranljivost </w:t>
      </w:r>
      <w:r>
        <w:t xml:space="preserve">turizma v </w:t>
      </w:r>
      <w:r w:rsidRPr="007B3AAE">
        <w:t>občin</w:t>
      </w:r>
      <w:r>
        <w:t>i</w:t>
      </w:r>
      <w:r w:rsidRPr="007B3AAE">
        <w:t xml:space="preserve"> v prihodnosti zaradi podnebnih sprememb (znatno) večja kot v referenčnem obdobju oz. da bo velika.</w:t>
      </w:r>
    </w:p>
    <w:p w14:paraId="251C5F59" w14:textId="77777777" w:rsidR="00747809" w:rsidRDefault="00747809" w:rsidP="00747809">
      <w:pPr>
        <w:rPr>
          <w:rFonts w:asciiTheme="minorHAnsi" w:hAnsiTheme="minorHAnsi"/>
          <w:lang w:eastAsia="sl-SI"/>
        </w:rPr>
      </w:pPr>
      <w:r>
        <w:rPr>
          <w:lang w:eastAsia="sl-SI"/>
        </w:rPr>
        <w:t xml:space="preserve">Ocene sprememb ranljivosti izhajajo iz ocenjenih sprememb izpostavljenosti </w:t>
      </w:r>
      <w:r>
        <w:rPr>
          <w:rFonts w:cstheme="minorHAnsi"/>
        </w:rPr>
        <w:t xml:space="preserve">turizma podnebnim spremembam </w:t>
      </w:r>
      <w:r>
        <w:rPr>
          <w:lang w:eastAsia="sl-SI"/>
        </w:rPr>
        <w:t>ob nespremenjeni (referenčni) sposobnosti prilagajanja. V nadaljevanju pa bodo predstavljeni ukrepi, s katerimi bo destinacija v prihodnosti lahko zmanjšala svojo izpostavljenost in povečala sposobnost prilagajanja ter s tem zmanjševala tveganja.</w:t>
      </w:r>
    </w:p>
    <w:p w14:paraId="4C8295CC" w14:textId="77777777" w:rsidR="00747809" w:rsidRDefault="00747809" w:rsidP="00747809">
      <w:pPr>
        <w:shd w:val="clear" w:color="auto" w:fill="FFFFFF" w:themeFill="background1"/>
        <w:jc w:val="left"/>
        <w:rPr>
          <w:lang w:eastAsia="sl-SI"/>
        </w:rPr>
      </w:pPr>
      <w:r>
        <w:rPr>
          <w:lang w:eastAsia="sl-SI"/>
        </w:rPr>
        <w:t>Tveganje je ocenjeno za bližnjo prihodnost (2011</w:t>
      </w:r>
      <w:r w:rsidRPr="00B14994">
        <w:t>—</w:t>
      </w:r>
      <w:r>
        <w:rPr>
          <w:lang w:eastAsia="sl-SI"/>
        </w:rPr>
        <w:t>2040) in sredino stoletja (2041</w:t>
      </w:r>
      <w:r w:rsidRPr="00B14994">
        <w:t>—</w:t>
      </w:r>
      <w:r>
        <w:rPr>
          <w:lang w:eastAsia="sl-SI"/>
        </w:rPr>
        <w:t xml:space="preserve">2070), ob upoštevanju ocene podnebnih sprememb za dva scenarija izpustov toplogrednih plinov (RCP4.5 in RCP8.5) v teh </w:t>
      </w:r>
      <w:r w:rsidRPr="00955DB4">
        <w:rPr>
          <w:lang w:eastAsia="sl-SI"/>
        </w:rPr>
        <w:t>obdobjih.</w:t>
      </w:r>
      <w:r>
        <w:rPr>
          <w:lang w:eastAsia="sl-SI"/>
        </w:rPr>
        <w:t xml:space="preserve"> Ker so razlike v prihodnji ranljivosti za oba scenarija izpustov majhne, je prikazana samo sprememba ranljivosti po obdobjih.</w:t>
      </w:r>
    </w:p>
    <w:p w14:paraId="48B9A35A" w14:textId="77777777" w:rsidR="00747809" w:rsidRDefault="00747809" w:rsidP="00747809">
      <w:r>
        <w:t xml:space="preserve">Ranljivost turizma v destinaciji se bo v obdobju 2011―2040 glede na referenčno obdobje povečala v segmentu </w:t>
      </w:r>
      <w:r w:rsidRPr="002B6B5C">
        <w:t>ugodje in varnost obiskovalcev (ocena ranljivosti = 3</w:t>
      </w:r>
      <w:r>
        <w:t>―4</w:t>
      </w:r>
      <w:r w:rsidRPr="002B6B5C">
        <w:t xml:space="preserve"> oz. zmerna</w:t>
      </w:r>
      <w:r>
        <w:t xml:space="preserve"> do velika</w:t>
      </w:r>
      <w:r w:rsidRPr="002B6B5C">
        <w:t>),</w:t>
      </w:r>
      <w:r>
        <w:t xml:space="preserve"> kar se nanaša na nadaljnje povečanje toplotne obremenitve obiskovalcev pri aktivnostih na prostem poleti, pri čemer posebej izstopa turizem v mestu Nova Gorica. To vpliva na privlačnost destinacije za poletni turizem, ki v referenčnem obdobju prispeva največje število prihodov turistov in nočitev. K ranljivosti v tem segmentu prispeva tudi izboljšanje temperaturnih pogojev za aktivnosti na prostem v preostalih letnih časih, ki jih destinacija zaradi omejenih zmožnosti prilagajanja ne bi bila sposobna izkoristiti. Ranljivost destinacije se nekoliko poveča tudi v segmentu infrastruktura in naravno okolje (</w:t>
      </w:r>
      <w:r w:rsidRPr="002B6B5C">
        <w:t>ocena ranljivosti = 3</w:t>
      </w:r>
      <w:r>
        <w:t>―4</w:t>
      </w:r>
      <w:r w:rsidRPr="002B6B5C">
        <w:t xml:space="preserve"> oz. zmerna</w:t>
      </w:r>
      <w:r>
        <w:t xml:space="preserve"> do velika</w:t>
      </w:r>
      <w:r w:rsidRPr="002B6B5C">
        <w:t>)</w:t>
      </w:r>
      <w:r>
        <w:t>, kar se v prvi vrsti nanaša na povečanje ranljivosti ekosistemov zaradi segrevanja destinacije. V bolj vročih poletjih se bo povečeval vročinski stres za zaposlene v turizmu, povečevali se bodo tudi stroški turističnih ponudnikov za klimatizacijo stavb. Vse našteto se posledično odrazi v povečani</w:t>
      </w:r>
      <w:r w:rsidRPr="002B6B5C">
        <w:t xml:space="preserve"> ranljivosti družbenogospodarske </w:t>
      </w:r>
      <w:proofErr w:type="spellStart"/>
      <w:r w:rsidRPr="002B6B5C">
        <w:t>trajnostnosti</w:t>
      </w:r>
      <w:proofErr w:type="spellEnd"/>
      <w:r w:rsidRPr="002B6B5C">
        <w:t xml:space="preserve"> turizma</w:t>
      </w:r>
      <w:r>
        <w:t xml:space="preserve"> (ocena ranljivosti = </w:t>
      </w:r>
      <w:r w:rsidRPr="002B6B5C">
        <w:t>3</w:t>
      </w:r>
      <w:r>
        <w:t>―4</w:t>
      </w:r>
      <w:r w:rsidRPr="002B6B5C">
        <w:t xml:space="preserve"> oz. zmerna</w:t>
      </w:r>
      <w:r>
        <w:t xml:space="preserve"> do velika</w:t>
      </w:r>
      <w:r w:rsidRPr="002B6B5C">
        <w:t>).</w:t>
      </w:r>
      <w:r>
        <w:t xml:space="preserve"> Ranljivost destinacije v preostalih segmentih (konkurenčnost destinacije ter </w:t>
      </w:r>
      <w:r w:rsidRPr="009E533F">
        <w:rPr>
          <w:rFonts w:eastAsia="Calibri" w:cs="Arial"/>
          <w:lang w:eastAsia="sl-SI"/>
        </w:rPr>
        <w:t>izvedljivost in privlačnost turističnih produktov</w:t>
      </w:r>
      <w:r>
        <w:rPr>
          <w:rFonts w:eastAsia="Calibri" w:cs="Arial"/>
          <w:lang w:eastAsia="sl-SI"/>
        </w:rPr>
        <w:t xml:space="preserve">) je za obdobje </w:t>
      </w:r>
      <w:r>
        <w:t xml:space="preserve">2011―2040 </w:t>
      </w:r>
      <w:r>
        <w:rPr>
          <w:rFonts w:eastAsia="Calibri" w:cs="Arial"/>
          <w:lang w:eastAsia="sl-SI"/>
        </w:rPr>
        <w:t xml:space="preserve">ocenjena enako kot v referenčnem obdobju. Ranljivost od vremena neodvisne igralniške ponudbe ostaja majhna (2), ranljivost preostale ponudbe, ki vključuje aktivnosti na prostem in vinski turizem, pa predvsem zaradi zadostne sposobnosti prilagajanja zmerna (3). Skupna ranljivost destinacije se v obdobju </w:t>
      </w:r>
      <w:r>
        <w:t>2011―2040 glede na referenčno obdobje torej nekoliko poveča</w:t>
      </w:r>
      <w:r>
        <w:rPr>
          <w:rFonts w:eastAsia="Calibri" w:cs="Arial"/>
          <w:lang w:eastAsia="sl-SI"/>
        </w:rPr>
        <w:t xml:space="preserve">, zato </w:t>
      </w:r>
      <w:r w:rsidRPr="002B6B5C">
        <w:t xml:space="preserve">je tveganje </w:t>
      </w:r>
      <w:r>
        <w:t xml:space="preserve">za turizem zaradi podnebnih sprememb </w:t>
      </w:r>
      <w:r w:rsidRPr="002B6B5C">
        <w:t>v obdobju 2011―2040 ocenjeno kot zmerno</w:t>
      </w:r>
      <w:r>
        <w:t xml:space="preserve"> do veliko</w:t>
      </w:r>
      <w:r w:rsidRPr="002B6B5C">
        <w:t xml:space="preserve"> (3</w:t>
      </w:r>
      <w:r>
        <w:t>―4</w:t>
      </w:r>
      <w:r w:rsidRPr="002B6B5C">
        <w:t>).</w:t>
      </w:r>
      <w:r>
        <w:t xml:space="preserve"> </w:t>
      </w:r>
    </w:p>
    <w:p w14:paraId="14BC9149" w14:textId="77777777" w:rsidR="00747809" w:rsidRDefault="00747809" w:rsidP="00747809"/>
    <w:p w14:paraId="211E4BFA" w14:textId="77777777" w:rsidR="00747809" w:rsidRDefault="00747809" w:rsidP="00747809"/>
    <w:p w14:paraId="225580FA" w14:textId="77777777" w:rsidR="00747809" w:rsidRDefault="00747809" w:rsidP="00747809"/>
    <w:p w14:paraId="4541B16A" w14:textId="77777777" w:rsidR="00747809" w:rsidRDefault="00747809" w:rsidP="00747809"/>
    <w:p w14:paraId="76C158F0" w14:textId="12B9D809" w:rsidR="00747809" w:rsidRDefault="00747809" w:rsidP="00747809">
      <w:pPr>
        <w:pStyle w:val="Napis"/>
        <w:keepNext/>
      </w:pPr>
      <w:bookmarkStart w:id="362" w:name="_Toc97026981"/>
      <w:r>
        <w:lastRenderedPageBreak/>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28</w:t>
      </w:r>
      <w:r w:rsidR="00976D80">
        <w:fldChar w:fldCharType="end"/>
      </w:r>
      <w:r w:rsidRPr="007858F9">
        <w:t>: Tveganje za turizem v občini Nova Gorica zaradi podnebnih sprememb v obdobju 2011-2040.</w:t>
      </w:r>
      <w:bookmarkEnd w:id="362"/>
    </w:p>
    <w:p w14:paraId="04400B00" w14:textId="50CC6005" w:rsidR="00747809" w:rsidRDefault="00747809" w:rsidP="00747809">
      <w:r w:rsidRPr="003930E6">
        <w:rPr>
          <w:noProof/>
          <w:sz w:val="12"/>
          <w:szCs w:val="12"/>
          <w:lang w:eastAsia="sl-SI"/>
        </w:rPr>
        <w:drawing>
          <wp:inline distT="0" distB="0" distL="0" distR="0" wp14:anchorId="04AF995B" wp14:editId="30F3791E">
            <wp:extent cx="5759450" cy="3439160"/>
            <wp:effectExtent l="0" t="0" r="0" b="8890"/>
            <wp:docPr id="1802183001"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59450" cy="3439160"/>
                    </a:xfrm>
                    <a:prstGeom prst="rect">
                      <a:avLst/>
                    </a:prstGeom>
                  </pic:spPr>
                </pic:pic>
              </a:graphicData>
            </a:graphic>
          </wp:inline>
        </w:drawing>
      </w:r>
    </w:p>
    <w:p w14:paraId="27F2AA29" w14:textId="77777777" w:rsidR="00747809" w:rsidRDefault="00747809" w:rsidP="00747809">
      <w:r>
        <w:t>V obdobju 2041―2070 se bo vpliv podnebnih sprememb na turizem v destinaciji stopnjeval. Povečevala se bo potreba po nadaljnjem razvoju na vročino odpornejše poletne ponudbe ter ponudbe, ki bo v destinacijo privabljala obiskovalce v toplejših pomladih, jesenih in zimah. Povišanje temperatur in spremenjeni padavinski vzorci (suše, močni nalivi) bodo poslabšali pogoje za kmetijstvo in s tem vplivali na gastronomsko ponudbo ter ogrozili pridelavo avtohtonih sort vina. R</w:t>
      </w:r>
      <w:r w:rsidRPr="00FA4700">
        <w:t xml:space="preserve">anljivost turistične ponudbe </w:t>
      </w:r>
      <w:r>
        <w:t>v drugem obdobju</w:t>
      </w:r>
      <w:r w:rsidRPr="00FA4700">
        <w:t xml:space="preserve"> </w:t>
      </w:r>
      <w:r>
        <w:t xml:space="preserve">je zato </w:t>
      </w:r>
      <w:r w:rsidRPr="00FA4700">
        <w:t>ocenjena kot velika (4)</w:t>
      </w:r>
      <w:r>
        <w:t xml:space="preserve">, pri čemer pa ranljivost igralniške ponudbe ostaja majhna. </w:t>
      </w:r>
    </w:p>
    <w:p w14:paraId="2376B259" w14:textId="5F14360B" w:rsidR="00747809" w:rsidRDefault="00747809" w:rsidP="00747809">
      <w:r>
        <w:t xml:space="preserve">Negativni vpliv poletne vročine in ekstremnih padavin na </w:t>
      </w:r>
      <w:r w:rsidRPr="00FA4700">
        <w:t xml:space="preserve">zdravje in ugodje obiskovalcev </w:t>
      </w:r>
      <w:r>
        <w:t>se bo proti sredini stoletja stopnjeval i</w:t>
      </w:r>
      <w:r w:rsidRPr="00FA4700">
        <w:t xml:space="preserve">n je ranljivost </w:t>
      </w:r>
      <w:r>
        <w:t xml:space="preserve">tega vidika turizma v destinaciji v obdobju </w:t>
      </w:r>
      <w:bookmarkStart w:id="363" w:name="_Hlk71148044"/>
      <w:r>
        <w:t xml:space="preserve">2041―2070 </w:t>
      </w:r>
      <w:bookmarkEnd w:id="363"/>
      <w:r w:rsidRPr="00FA4700">
        <w:t>ocenjena kot velika (</w:t>
      </w:r>
      <w:r>
        <w:t>4</w:t>
      </w:r>
      <w:r w:rsidRPr="00FA4700">
        <w:t>).</w:t>
      </w:r>
      <w:r>
        <w:t xml:space="preserve"> </w:t>
      </w:r>
      <w:r w:rsidRPr="000548B4">
        <w:rPr>
          <w:lang w:eastAsia="sl-SI"/>
        </w:rPr>
        <w:t xml:space="preserve">Ranljivost naravnega okolja v destinaciji </w:t>
      </w:r>
      <w:r>
        <w:rPr>
          <w:lang w:eastAsia="sl-SI"/>
        </w:rPr>
        <w:t>zaradi</w:t>
      </w:r>
      <w:r w:rsidRPr="000548B4">
        <w:rPr>
          <w:lang w:eastAsia="sl-SI"/>
        </w:rPr>
        <w:t xml:space="preserve"> podnebn</w:t>
      </w:r>
      <w:r>
        <w:rPr>
          <w:lang w:eastAsia="sl-SI"/>
        </w:rPr>
        <w:t>ih</w:t>
      </w:r>
      <w:r w:rsidRPr="000548B4">
        <w:rPr>
          <w:lang w:eastAsia="sl-SI"/>
        </w:rPr>
        <w:t xml:space="preserve"> sprememb se bo v prihodnosti povečala, predvsem v primeru pesimističnega scenarija izpustov toplogrednih plinov</w:t>
      </w:r>
      <w:r>
        <w:rPr>
          <w:lang w:eastAsia="sl-SI"/>
        </w:rPr>
        <w:t xml:space="preserve"> (RCP8.5). V obdobju</w:t>
      </w:r>
      <w:r w:rsidRPr="000548B4">
        <w:rPr>
          <w:lang w:eastAsia="sl-SI"/>
        </w:rPr>
        <w:t xml:space="preserve"> </w:t>
      </w:r>
      <w:r>
        <w:t xml:space="preserve">2041―2070 </w:t>
      </w:r>
      <w:r w:rsidRPr="000548B4">
        <w:rPr>
          <w:lang w:eastAsia="sl-SI"/>
        </w:rPr>
        <w:t xml:space="preserve">bosta </w:t>
      </w:r>
      <w:r>
        <w:rPr>
          <w:lang w:eastAsia="sl-SI"/>
        </w:rPr>
        <w:t>povišanje</w:t>
      </w:r>
      <w:r w:rsidRPr="000548B4">
        <w:rPr>
          <w:lang w:eastAsia="sl-SI"/>
        </w:rPr>
        <w:t xml:space="preserve"> temperature in sprememba rastne dobe rastlinam že povzročala občuten stres, ki se mu </w:t>
      </w:r>
      <w:r>
        <w:rPr>
          <w:lang w:eastAsia="sl-SI"/>
        </w:rPr>
        <w:t xml:space="preserve">bodo </w:t>
      </w:r>
      <w:r w:rsidRPr="000548B4">
        <w:rPr>
          <w:lang w:eastAsia="sl-SI"/>
        </w:rPr>
        <w:t xml:space="preserve">v kratkem obdobju nekaj desetletij </w:t>
      </w:r>
      <w:r>
        <w:rPr>
          <w:lang w:eastAsia="sl-SI"/>
        </w:rPr>
        <w:t>težko</w:t>
      </w:r>
      <w:r w:rsidRPr="000548B4">
        <w:rPr>
          <w:lang w:eastAsia="sl-SI"/>
        </w:rPr>
        <w:t xml:space="preserve"> prilagodi</w:t>
      </w:r>
      <w:r>
        <w:rPr>
          <w:lang w:eastAsia="sl-SI"/>
        </w:rPr>
        <w:t>le</w:t>
      </w:r>
      <w:r w:rsidRPr="000548B4">
        <w:rPr>
          <w:lang w:eastAsia="sl-SI"/>
        </w:rPr>
        <w:t>.</w:t>
      </w:r>
      <w:r>
        <w:rPr>
          <w:lang w:eastAsia="sl-SI"/>
        </w:rPr>
        <w:t xml:space="preserve"> Povečanje zimskih padavin, ki bodo večinoma v obliki dežja, predstavlja nevarnost za poškodovanje turistične infrastrukture na prostem. Zato je r</w:t>
      </w:r>
      <w:r w:rsidRPr="003F772A">
        <w:t xml:space="preserve">anljivost infrastrukture in naravnega okolja </w:t>
      </w:r>
      <w:r>
        <w:t xml:space="preserve">v drugem obdobju večja kot v referenčnem obdobju in </w:t>
      </w:r>
      <w:r w:rsidRPr="003F772A">
        <w:t xml:space="preserve">je ocenjena kot </w:t>
      </w:r>
      <w:r>
        <w:t>velika</w:t>
      </w:r>
      <w:r w:rsidRPr="003F772A">
        <w:t xml:space="preserve"> (</w:t>
      </w:r>
      <w:r>
        <w:t>4</w:t>
      </w:r>
      <w:r w:rsidRPr="003F772A">
        <w:t>).</w:t>
      </w:r>
      <w:r w:rsidRPr="000548B4">
        <w:t xml:space="preserve"> </w:t>
      </w:r>
      <w:r>
        <w:t xml:space="preserve">Stopnjevanje poletne vročine bo nadalje slabšalo delovne pogoje zaposlenih v turizmu, povečevali se bodo stroški ponudnikov zaradi povečanih potreb po klimatizaciji in </w:t>
      </w:r>
      <w:r w:rsidRPr="003F772A">
        <w:t xml:space="preserve">ranljivost družbenogospodarske </w:t>
      </w:r>
      <w:proofErr w:type="spellStart"/>
      <w:r w:rsidRPr="003F772A">
        <w:t>trajnostnosti</w:t>
      </w:r>
      <w:proofErr w:type="spellEnd"/>
      <w:r w:rsidRPr="003F772A">
        <w:t xml:space="preserve"> turizma je v drugem obdobju ocenjena </w:t>
      </w:r>
      <w:r>
        <w:t xml:space="preserve">prav tako </w:t>
      </w:r>
      <w:r w:rsidRPr="003F772A">
        <w:t>kot velika (</w:t>
      </w:r>
      <w:r>
        <w:t>4</w:t>
      </w:r>
      <w:r w:rsidRPr="003F772A">
        <w:t>).</w:t>
      </w:r>
      <w:r>
        <w:t xml:space="preserve">  </w:t>
      </w:r>
      <w:r w:rsidRPr="000548B4">
        <w:t>Podnebne</w:t>
      </w:r>
      <w:r>
        <w:t xml:space="preserve"> spremembe bodo v drugem obdobju predvidoma pomembno vplivale tudi na pogoje v drugih destinacijah in potrošniške izbire. </w:t>
      </w:r>
      <w:r w:rsidR="005E7A42">
        <w:t>Mestna o</w:t>
      </w:r>
      <w:r>
        <w:t xml:space="preserve">bčina Nova Gorica se bo kot turistična destinacija znašla v povečani konkurenci zaradi novih poletnih turističnih destinacij v severnejših delih Evrope in povečanega števila destinacij s turistično </w:t>
      </w:r>
      <w:r>
        <w:lastRenderedPageBreak/>
        <w:t xml:space="preserve">ponudbo za celo leto. Ranljivost destinacije na področju konkurenčnosti je v drugem obdobju ocenjena kot velika (4). </w:t>
      </w:r>
    </w:p>
    <w:p w14:paraId="2883CC4C" w14:textId="1D50DC0F" w:rsidR="00747809" w:rsidRDefault="00747809" w:rsidP="00747809">
      <w:pPr>
        <w:pStyle w:val="Napis"/>
        <w:keepNext/>
      </w:pPr>
      <w:bookmarkStart w:id="364" w:name="_Toc97026982"/>
      <w:r>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29</w:t>
      </w:r>
      <w:r w:rsidR="00976D80">
        <w:fldChar w:fldCharType="end"/>
      </w:r>
      <w:r w:rsidRPr="00BF53E0">
        <w:t>: Tveganje za turizem v občini Nova Gorica zaradi podnebnih sprememb v obdobju 2041-2070.</w:t>
      </w:r>
      <w:bookmarkEnd w:id="364"/>
    </w:p>
    <w:p w14:paraId="1BA4D6CD" w14:textId="77777777" w:rsidR="00747809" w:rsidRDefault="00747809" w:rsidP="00747809">
      <w:r w:rsidRPr="003930E6">
        <w:rPr>
          <w:noProof/>
          <w:lang w:eastAsia="sl-SI"/>
        </w:rPr>
        <w:drawing>
          <wp:inline distT="0" distB="0" distL="0" distR="0" wp14:anchorId="0BECE8AC" wp14:editId="077A480C">
            <wp:extent cx="5759450" cy="3614420"/>
            <wp:effectExtent l="0" t="0" r="0" b="5080"/>
            <wp:docPr id="593441280"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59450" cy="3614420"/>
                    </a:xfrm>
                    <a:prstGeom prst="rect">
                      <a:avLst/>
                    </a:prstGeom>
                  </pic:spPr>
                </pic:pic>
              </a:graphicData>
            </a:graphic>
          </wp:inline>
        </w:drawing>
      </w:r>
    </w:p>
    <w:p w14:paraId="1DD1417A" w14:textId="77777777" w:rsidR="00747809" w:rsidRDefault="00747809" w:rsidP="00747809">
      <w:r>
        <w:t>Ocena r</w:t>
      </w:r>
      <w:r w:rsidRPr="00093027">
        <w:t>anljivost</w:t>
      </w:r>
      <w:r>
        <w:t>i</w:t>
      </w:r>
      <w:r w:rsidRPr="00093027">
        <w:t xml:space="preserve"> turizma v občini </w:t>
      </w:r>
      <w:r>
        <w:t>Nova Gorica</w:t>
      </w:r>
      <w:r w:rsidRPr="00093027">
        <w:t xml:space="preserve"> v obdobju 2041―2070 </w:t>
      </w:r>
      <w:r>
        <w:t xml:space="preserve">je </w:t>
      </w:r>
      <w:r w:rsidRPr="00093027">
        <w:t xml:space="preserve">v vseh segmentih </w:t>
      </w:r>
      <w:r>
        <w:t xml:space="preserve">razen igralniškega turizma </w:t>
      </w:r>
      <w:r w:rsidRPr="00093027">
        <w:t xml:space="preserve">večja od ranljivosti v referenčnem obdobju, zato je tveganje zaradi podnebnih sprememb </w:t>
      </w:r>
      <w:r>
        <w:t xml:space="preserve">za sektor </w:t>
      </w:r>
      <w:r w:rsidRPr="00093027">
        <w:t>ocenjeno kot veliko (4).</w:t>
      </w:r>
    </w:p>
    <w:p w14:paraId="75D17A68" w14:textId="77777777" w:rsidR="00747809" w:rsidRDefault="00747809" w:rsidP="00747809">
      <w:pPr>
        <w:keepNext/>
        <w:jc w:val="center"/>
      </w:pPr>
      <w:r w:rsidRPr="003D69FD">
        <w:rPr>
          <w:noProof/>
          <w:lang w:eastAsia="sl-SI"/>
        </w:rPr>
        <w:lastRenderedPageBreak/>
        <w:drawing>
          <wp:inline distT="0" distB="0" distL="0" distR="0" wp14:anchorId="0A5A8CD2" wp14:editId="792AA728">
            <wp:extent cx="3541167" cy="2857500"/>
            <wp:effectExtent l="0" t="0" r="254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29805" cy="3009719"/>
                    </a:xfrm>
                    <a:prstGeom prst="rect">
                      <a:avLst/>
                    </a:prstGeom>
                    <a:ln w="6350">
                      <a:noFill/>
                    </a:ln>
                  </pic:spPr>
                </pic:pic>
              </a:graphicData>
            </a:graphic>
          </wp:inline>
        </w:drawing>
      </w:r>
    </w:p>
    <w:p w14:paraId="7FC9B856" w14:textId="7414A3EE" w:rsidR="00747809" w:rsidRPr="00576672" w:rsidRDefault="00747809" w:rsidP="00747809">
      <w:pPr>
        <w:pStyle w:val="Napis"/>
        <w:jc w:val="center"/>
      </w:pPr>
      <w:bookmarkStart w:id="365" w:name="_Toc97026876"/>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25</w:t>
      </w:r>
      <w:r w:rsidR="008334B2">
        <w:fldChar w:fldCharType="end"/>
      </w:r>
      <w:r w:rsidRPr="00ED06CE">
        <w:t>: Ranljivost turizma v občini Nova Gorica v referenčnem obdobju 1981 – 2010 ter obdobjih 2011 – 2040 in 2041 – 2070</w:t>
      </w:r>
      <w:bookmarkEnd w:id="365"/>
    </w:p>
    <w:p w14:paraId="05269218" w14:textId="79E0005D" w:rsidR="00BE4D70" w:rsidRDefault="00BE4D70" w:rsidP="00BE4D70">
      <w:pPr>
        <w:jc w:val="left"/>
        <w:rPr>
          <w:lang w:eastAsia="sl-SI"/>
        </w:rPr>
      </w:pPr>
    </w:p>
    <w:p w14:paraId="4E8B6BA3" w14:textId="77777777" w:rsidR="00BE4D70" w:rsidRDefault="00BE4D70" w:rsidP="002F0D6E">
      <w:pPr>
        <w:pStyle w:val="Naslov3"/>
        <w:rPr>
          <w:rFonts w:eastAsia="Calibri"/>
          <w:lang w:eastAsia="sl-SI"/>
        </w:rPr>
      </w:pPr>
      <w:bookmarkStart w:id="366" w:name="_Toc97026785"/>
      <w:r>
        <w:rPr>
          <w:rFonts w:eastAsia="Calibri"/>
          <w:lang w:eastAsia="sl-SI"/>
        </w:rPr>
        <w:t>Ukrepi za prilagajanje podnebnim spremembam za sektor turizem</w:t>
      </w:r>
      <w:bookmarkEnd w:id="361"/>
      <w:bookmarkEnd w:id="366"/>
    </w:p>
    <w:p w14:paraId="0E5260AA" w14:textId="77777777" w:rsidR="00747809" w:rsidRPr="005159B5" w:rsidRDefault="00747809" w:rsidP="00747809">
      <w:pPr>
        <w:jc w:val="center"/>
        <w:rPr>
          <w:rFonts w:asciiTheme="minorHAnsi" w:hAnsiTheme="minorHAnsi"/>
        </w:rPr>
      </w:pPr>
      <w:r w:rsidRPr="005159B5">
        <w:t>Turistični ponudniki in destinacije se bodo prilagodili, ali pa tudi ne. Turisti se bodo prilagodili zagotovo.</w:t>
      </w:r>
    </w:p>
    <w:p w14:paraId="09530B67" w14:textId="77777777" w:rsidR="00747809" w:rsidRPr="001C3238" w:rsidRDefault="00747809" w:rsidP="00747809">
      <w:pPr>
        <w:rPr>
          <w:iCs/>
          <w:color w:val="000000"/>
        </w:rPr>
      </w:pPr>
      <w:r w:rsidRPr="001C3238">
        <w:t>Turisti se prilagajajo na spremembe hitro - s spremembo destinacije in/ali s spremembo časa dopustovanja. Prilagajanje destinacij podnebn</w:t>
      </w:r>
      <w:r>
        <w:t>im</w:t>
      </w:r>
      <w:r w:rsidRPr="001C3238">
        <w:t xml:space="preserve"> sprememb</w:t>
      </w:r>
      <w:r>
        <w:t>am</w:t>
      </w:r>
      <w:r w:rsidRPr="001C3238">
        <w:t xml:space="preserve"> je počasnejše in dražje, zato ga je potrebno pravočasno in strokovno načrtovati. Zgodnje prilagajanje je stroškovno učinkovitejše, poleg izogibanja škodljivim učinkom omogoča izkoriščanje tudi možnih koristi podnebnih sprememb in povečuje dolgoročno konkurenčnost turistične destinacije.</w:t>
      </w:r>
    </w:p>
    <w:p w14:paraId="51E91BA3" w14:textId="77777777" w:rsidR="00747809" w:rsidRPr="001C3238" w:rsidRDefault="00747809" w:rsidP="00747809">
      <w:r w:rsidRPr="001C3238">
        <w:t xml:space="preserve">Pri oblikovanju ukrepov prilagajanja turističnega sektorja v občini </w:t>
      </w:r>
      <w:r>
        <w:t>Nova Gorica</w:t>
      </w:r>
      <w:r w:rsidRPr="001C3238">
        <w:t xml:space="preserve"> podnebnim spremembam so bile upoštevane: izpostavljenost sektorja podnebnim spremembam, že dosežena sposobnost prilagajanja ter identificirana področja največje ranljivosti in največjih tveganj, ki jih destinaciji prinašajo podnebne spremembe.</w:t>
      </w:r>
    </w:p>
    <w:p w14:paraId="76D61AA9" w14:textId="345C25D1" w:rsidR="00747809" w:rsidRDefault="00747809" w:rsidP="00747809">
      <w:r w:rsidRPr="001C3238">
        <w:t xml:space="preserve">Ukrepi se nanašajo na zmanjšanje ranljivosti na podnebne spremembe in so v splošnem namenjeni (1) zmanjšanju izpostavljenosti, (2) zmanjšanju občutljivosti in (3) povečanju prilagoditvene sposobnosti. </w:t>
      </w:r>
      <w:r w:rsidR="005E7A42">
        <w:t>Mestna o</w:t>
      </w:r>
      <w:r>
        <w:t>bčina Nova Gorica</w:t>
      </w:r>
      <w:r w:rsidRPr="001C3238">
        <w:t xml:space="preserve"> sama ne more narediti veliko na področju svoje izpostavljenosti podnebnim spremembam, saj bi se ta zmanjšala le v primeru, če bo blaženje podnebnih sprememb na globalni ravni uspešno. Zato </w:t>
      </w:r>
      <w:r w:rsidRPr="003D69FD">
        <w:t>se predlagani ukrepi osredotočajo na zmanjšanje občutljivosti destinacije na podnebne spremembe in povečanje njene prilagoditvene sposobnosti.</w:t>
      </w:r>
      <w:r w:rsidRPr="001C3238">
        <w:t xml:space="preserve"> Zmanjšanje občutljivosti se lahko doseže s strateškimi dolgoročnimi rešitvami – postopnimi spremembami »Zelenega DNK« destinacije ter s tem povezanimi spremembami smeri razvoja turistične ponudbe (</w:t>
      </w:r>
      <w:r>
        <w:t xml:space="preserve">npr. </w:t>
      </w:r>
      <w:r w:rsidRPr="001C3238">
        <w:t xml:space="preserve">razvoj </w:t>
      </w:r>
      <w:r>
        <w:t>dodatne</w:t>
      </w:r>
      <w:r w:rsidRPr="001C3238">
        <w:t xml:space="preserve"> </w:t>
      </w:r>
      <w:r>
        <w:t>poletne</w:t>
      </w:r>
      <w:r w:rsidRPr="001C3238">
        <w:t xml:space="preserve"> ponudbe</w:t>
      </w:r>
      <w:r>
        <w:t>, ki bo manj izpostavljena vročini</w:t>
      </w:r>
      <w:r w:rsidRPr="001C3238">
        <w:t>) in postopnimi prilagoditvami ciljnih skupin (večji poudarek na skupinah, ki lahko dopustujejo izven</w:t>
      </w:r>
      <w:r>
        <w:t xml:space="preserve"> poletne</w:t>
      </w:r>
      <w:r w:rsidRPr="001C3238">
        <w:t xml:space="preserve"> »visoke« sezone </w:t>
      </w:r>
      <w:r>
        <w:t xml:space="preserve">- npr. </w:t>
      </w:r>
      <w:r w:rsidRPr="001C3238">
        <w:t>starejši</w:t>
      </w:r>
      <w:r>
        <w:t xml:space="preserve"> in</w:t>
      </w:r>
      <w:r w:rsidRPr="001C3238">
        <w:t xml:space="preserve"> mlade družine, ki nimajo šoloobveznih otrok). Povečanje prilagoditvene sposobnosti destinacije se nanaša na finančna in druga vlaganja </w:t>
      </w:r>
      <w:r w:rsidRPr="001C3238">
        <w:lastRenderedPageBreak/>
        <w:t>v informiranje, ozaveščanje in usposabljanje deležnikov turizma, krepitev inštitucij, infrastrukturo ipd.</w:t>
      </w:r>
    </w:p>
    <w:p w14:paraId="294E6E57" w14:textId="011ED309" w:rsidR="00BE4D70" w:rsidRDefault="00BE4D70" w:rsidP="00BE4D70">
      <w:pPr>
        <w:jc w:val="left"/>
      </w:pPr>
    </w:p>
    <w:p w14:paraId="40EBD540" w14:textId="77777777" w:rsidR="00BE4D70" w:rsidRPr="007514BD" w:rsidRDefault="00BE4D70" w:rsidP="002F0D6E">
      <w:pPr>
        <w:pStyle w:val="Naslov3"/>
        <w:rPr>
          <w:rFonts w:eastAsia="Calibri"/>
          <w:lang w:eastAsia="sl-SI"/>
        </w:rPr>
      </w:pPr>
      <w:bookmarkStart w:id="367" w:name="_Toc34130200"/>
      <w:bookmarkStart w:id="368" w:name="_Toc44656975"/>
      <w:bookmarkStart w:id="369" w:name="_Toc97026786"/>
      <w:r w:rsidRPr="007514BD">
        <w:rPr>
          <w:rFonts w:eastAsia="Calibri"/>
          <w:lang w:eastAsia="sl-SI"/>
        </w:rPr>
        <w:t>Ključna sporočila</w:t>
      </w:r>
      <w:bookmarkEnd w:id="367"/>
      <w:r>
        <w:rPr>
          <w:rFonts w:eastAsia="Calibri"/>
          <w:lang w:eastAsia="sl-SI"/>
        </w:rPr>
        <w:t xml:space="preserve"> sektorja turizem</w:t>
      </w:r>
      <w:bookmarkEnd w:id="368"/>
      <w:bookmarkEnd w:id="369"/>
    </w:p>
    <w:p w14:paraId="52A05778" w14:textId="77777777" w:rsidR="00747809" w:rsidRDefault="00747809" w:rsidP="00747809">
      <w:pPr>
        <w:rPr>
          <w:lang w:eastAsia="sl-SI"/>
        </w:rPr>
      </w:pPr>
      <w:r>
        <w:t>P</w:t>
      </w:r>
      <w:r w:rsidRPr="00334F6B">
        <w:t xml:space="preserve">ovprečna temperatura </w:t>
      </w:r>
      <w:r>
        <w:t xml:space="preserve">zraka </w:t>
      </w:r>
      <w:r w:rsidRPr="00334F6B">
        <w:t xml:space="preserve">se je na območju občine </w:t>
      </w:r>
      <w:r>
        <w:t>Nova Gorica</w:t>
      </w:r>
      <w:r w:rsidRPr="00334F6B">
        <w:t xml:space="preserve"> od šestdesetih let prejšnjega stoletja že </w:t>
      </w:r>
      <w:r>
        <w:t xml:space="preserve">povišala za 1,6 </w:t>
      </w:r>
      <w:r w:rsidRPr="0046276D">
        <w:rPr>
          <w:lang w:eastAsia="sl-SI"/>
        </w:rPr>
        <w:sym w:font="Symbol" w:char="F0B0"/>
      </w:r>
      <w:r w:rsidRPr="0046276D">
        <w:rPr>
          <w:lang w:eastAsia="sl-SI"/>
        </w:rPr>
        <w:t>C</w:t>
      </w:r>
      <w:r>
        <w:rPr>
          <w:lang w:eastAsia="sl-SI"/>
        </w:rPr>
        <w:t xml:space="preserve">. Najbolj – za več kot 2 </w:t>
      </w:r>
      <w:r>
        <w:rPr>
          <w:lang w:eastAsia="sl-SI"/>
        </w:rPr>
        <w:sym w:font="Symbol" w:char="F0B0"/>
      </w:r>
      <w:r>
        <w:rPr>
          <w:lang w:eastAsia="sl-SI"/>
        </w:rPr>
        <w:t xml:space="preserve">C - so se segrela poletja. </w:t>
      </w:r>
      <w:r>
        <w:t>Poletje je tudi letni čas, v katerem</w:t>
      </w:r>
      <w:r>
        <w:rPr>
          <w:lang w:eastAsia="sl-SI"/>
        </w:rPr>
        <w:t xml:space="preserve"> destinacija beleži največji turistični obisk. </w:t>
      </w:r>
      <w:r>
        <w:t xml:space="preserve">Trend segrevanja se bo v prihodnosti nadaljeval in poletna vročina predstavlja najpomembnejši dejavnik tveganja zaradi podnebnih sprememb za turizem v občini. Vročina zmanjšuje ugodje turistov pri aktivnostih na prostem, vročinski stres na delovnem mestu ogroža zdravje in produktivnost zaposlenih v turizmu, povečujejo se tudi </w:t>
      </w:r>
      <w:r w:rsidRPr="002553C1">
        <w:t>potrebe po hlajenju v stavbah</w:t>
      </w:r>
      <w:r>
        <w:t xml:space="preserve"> </w:t>
      </w:r>
      <w:r w:rsidRPr="002553C1">
        <w:t>in s tem strošk</w:t>
      </w:r>
      <w:r>
        <w:t>i</w:t>
      </w:r>
      <w:r w:rsidRPr="002553C1">
        <w:t xml:space="preserve"> turističnih ponudnikov.</w:t>
      </w:r>
      <w:r>
        <w:t xml:space="preserve"> </w:t>
      </w:r>
      <w:r>
        <w:rPr>
          <w:shd w:val="clear" w:color="auto" w:fill="FFFFFF"/>
        </w:rPr>
        <w:t xml:space="preserve">Visoke poletne temperature ter pogostejši in daljši vročinski valovi bodo v destinaciji zmanjšali privlačnost obstoječe poletne turistične ponudbe povezane z aktivnostmi na prostem, pri čemer je posebej ranljivo mesto Nova Gorica. Destinacija bo - tudi zaradi povečane konkurence evropskih poletnih destinacij - soočena s potrebo po razvoju na vročino manj občutljive poletne turistične ponudbe, npr. v zaprtih prostorih, ob vodnih virih ali v hladnejših </w:t>
      </w:r>
      <w:proofErr w:type="spellStart"/>
      <w:r>
        <w:rPr>
          <w:shd w:val="clear" w:color="auto" w:fill="FFFFFF"/>
        </w:rPr>
        <w:t>višjeležečih</w:t>
      </w:r>
      <w:proofErr w:type="spellEnd"/>
      <w:r>
        <w:rPr>
          <w:shd w:val="clear" w:color="auto" w:fill="FFFFFF"/>
        </w:rPr>
        <w:t xml:space="preserve"> območjih. Slednja v občini Nova Gorica vključujejo </w:t>
      </w:r>
      <w:r w:rsidRPr="002553C1">
        <w:rPr>
          <w:shd w:val="clear" w:color="auto" w:fill="FFFFFF"/>
        </w:rPr>
        <w:t>območja zavarovane narave</w:t>
      </w:r>
      <w:r>
        <w:rPr>
          <w:shd w:val="clear" w:color="auto" w:fill="FFFFFF"/>
        </w:rPr>
        <w:t>, čemur se bo moral prilagoditi tudi turistični razvoj.</w:t>
      </w:r>
      <w:r>
        <w:rPr>
          <w:lang w:eastAsia="sl-SI"/>
        </w:rPr>
        <w:t xml:space="preserve"> </w:t>
      </w:r>
      <w:r>
        <w:rPr>
          <w:shd w:val="clear" w:color="auto" w:fill="FFFFFF"/>
        </w:rPr>
        <w:t xml:space="preserve">Igralniški turizem ni neposredno izpostavljen vremenu oz. podnebju, zato podnebne spremembe zanj predstavljajo majhno tveganje. </w:t>
      </w:r>
    </w:p>
    <w:p w14:paraId="6C4869E9" w14:textId="77777777" w:rsidR="00747809" w:rsidRDefault="00747809" w:rsidP="00747809">
      <w:pPr>
        <w:rPr>
          <w:lang w:eastAsia="sl-SI"/>
        </w:rPr>
      </w:pPr>
      <w:r w:rsidRPr="00791B5C">
        <w:t>V prihodnosti se bodo spomladi</w:t>
      </w:r>
      <w:r>
        <w:t xml:space="preserve">, </w:t>
      </w:r>
      <w:r w:rsidRPr="00791B5C">
        <w:t xml:space="preserve">jeseni </w:t>
      </w:r>
      <w:r>
        <w:t xml:space="preserve">in pozimi </w:t>
      </w:r>
      <w:r w:rsidRPr="00791B5C">
        <w:t xml:space="preserve">zaradi dviga temperature in s tem povezanega zmanjšanja fiziološke obremenitve zaradi mraza pogoji za </w:t>
      </w:r>
      <w:r>
        <w:t>dejavnosti</w:t>
      </w:r>
      <w:r w:rsidRPr="00791B5C">
        <w:t xml:space="preserve"> na prostem (</w:t>
      </w:r>
      <w:r w:rsidRPr="00FE3350">
        <w:rPr>
          <w:shd w:val="clear" w:color="auto" w:fill="FFFFFF"/>
        </w:rPr>
        <w:t>športno-rekreativne aktivnosti, spoznavanje kulturne in naravne dediščine</w:t>
      </w:r>
      <w:r>
        <w:rPr>
          <w:shd w:val="clear" w:color="auto" w:fill="FFFFFF"/>
        </w:rPr>
        <w:t>, prireditve</w:t>
      </w:r>
      <w:r w:rsidRPr="00791B5C">
        <w:t>)</w:t>
      </w:r>
      <w:r>
        <w:t xml:space="preserve"> </w:t>
      </w:r>
      <w:r w:rsidRPr="00791B5C">
        <w:t>v destinaciji še izboljšali</w:t>
      </w:r>
      <w:r>
        <w:t>, kar je dobra razvojna priložnost</w:t>
      </w:r>
      <w:r w:rsidRPr="00791B5C">
        <w:t>.</w:t>
      </w:r>
      <w:r>
        <w:t xml:space="preserve"> Vse toplejše zime pomenijo tudi krajšanje kurilne sezone in zmanjšanje stroškov za turistične ponudnike. Po drugi strani pa zmanjšanje števila dni s snežno odejo</w:t>
      </w:r>
      <w:r w:rsidRPr="00E52FAF">
        <w:t xml:space="preserve"> in po</w:t>
      </w:r>
      <w:r>
        <w:t>večanje zimskih dežnih padavin predstavlja dejavnik ranljivosti turistične infrastrukture na prostem, kot so pohodniške in kolesarske poti.</w:t>
      </w:r>
    </w:p>
    <w:p w14:paraId="31140F40" w14:textId="77777777" w:rsidR="00747809" w:rsidRDefault="00747809" w:rsidP="00747809">
      <w:r>
        <w:t xml:space="preserve">Podaljšanje sezone v pomlad in jesen ter razvoj turizma za vse letne čase sta prepoznani strategiji prilagajanja podnebnim spremembam tako za obalne destinacije, ki bodo poleti sčasoma postale prevroče, kot tudi za </w:t>
      </w:r>
      <w:proofErr w:type="spellStart"/>
      <w:r>
        <w:t>nižjeležeča</w:t>
      </w:r>
      <w:proofErr w:type="spellEnd"/>
      <w:r>
        <w:t xml:space="preserve"> smučarska središča, ki se soočajo s pomanjkanjem snega. Destinacija Nova Gorica se bo v prihodnosti soočala z zaostreno konkurenco »celoletnih« destinacij.    </w:t>
      </w:r>
    </w:p>
    <w:p w14:paraId="6999CA9C" w14:textId="77777777" w:rsidR="00747809" w:rsidRDefault="00747809" w:rsidP="00747809">
      <w:pPr>
        <w:rPr>
          <w:noProof/>
          <w:lang w:eastAsia="sl-SI"/>
        </w:rPr>
      </w:pPr>
      <w:r>
        <w:t xml:space="preserve">Višje temperature in spremenjeni padavinski vzorci bodo v prihodnosti lahko poslabšali stanje naravnega okolja, ki je za turizem v občini neprecenljiv razvojni vir. Velika biotska raznovrstnost je ključni dejavnik odpornosti ekosistemov na podnebne (in druge) spremembe, zato jo je v destinaciji potrebno skrbno varovati. Zaradi spreminjanja pogojev za kmetijstvo sta v destinaciji ranljiva pridelava avtohtonih sort vina ter </w:t>
      </w:r>
      <w:r>
        <w:rPr>
          <w:lang w:eastAsia="sl-SI"/>
        </w:rPr>
        <w:t>kulinarična ponudba na osnovi tradicionalnih lokalnih pridelkov</w:t>
      </w:r>
      <w:r w:rsidRPr="00A943BC">
        <w:rPr>
          <w:lang w:eastAsia="sl-SI"/>
        </w:rPr>
        <w:t>.</w:t>
      </w:r>
      <w:r>
        <w:rPr>
          <w:lang w:eastAsia="sl-SI"/>
        </w:rPr>
        <w:t xml:space="preserve"> </w:t>
      </w:r>
    </w:p>
    <w:p w14:paraId="4BFEC3FF" w14:textId="77777777" w:rsidR="00747809" w:rsidRDefault="00747809" w:rsidP="00747809">
      <w:r w:rsidRPr="00185852">
        <w:t xml:space="preserve">Ukrepi prilagajanja podnebnim spremembam, s katerimi lahko destinacija zmanjša svojo občutljivost na podnebne spremembe in tudi izkoristi pozitivne učinke podnebnih sprememb na konkurenčnost destinacije, vključujejo </w:t>
      </w:r>
      <w:r w:rsidRPr="007514E8">
        <w:t xml:space="preserve">informiranje, ozaveščanje in usposabljanje deležnikov turizma v destinaciji </w:t>
      </w:r>
      <w:r>
        <w:t>(predvsem na področju vpliva podnebnih sprememb na turizem ter varčne rabe energije in vode)</w:t>
      </w:r>
      <w:r w:rsidRPr="007514E8">
        <w:t xml:space="preserve">, </w:t>
      </w:r>
      <w:r>
        <w:t>prilagoditev</w:t>
      </w:r>
      <w:r w:rsidRPr="00185852">
        <w:t xml:space="preserve"> turistične ponudbe</w:t>
      </w:r>
      <w:r>
        <w:t xml:space="preserve"> podnebnim spremembam in </w:t>
      </w:r>
      <w:r w:rsidRPr="007514E8">
        <w:t xml:space="preserve">trženje </w:t>
      </w:r>
      <w:r w:rsidRPr="007514E8">
        <w:lastRenderedPageBreak/>
        <w:t>destinacije ciljnim skupinam, ki so fleksibilne glede časa dopustovanja</w:t>
      </w:r>
      <w:r>
        <w:t xml:space="preserve">, </w:t>
      </w:r>
      <w:r w:rsidRPr="00185852">
        <w:t>pa tudi</w:t>
      </w:r>
      <w:r w:rsidRPr="004D0D47">
        <w:t xml:space="preserve"> infrastrukturne ukrepe za omilitev vpliva izjemnih vremenskih dogodkov, urbanistične in gradbene ukrepe blaženja in prilagajanja podnebnim spremembam, vzpostavitev sistem spremljanja stanja okolja in zgodnjega opozarjanja na ekstremne vremenske dogodke in</w:t>
      </w:r>
      <w:r w:rsidRPr="00185852">
        <w:t xml:space="preserve"> učinkovito upravljanje z zaščitenimi območji narave.</w:t>
      </w:r>
    </w:p>
    <w:p w14:paraId="07B1FB1C" w14:textId="1916000C" w:rsidR="00747809" w:rsidRPr="00147743" w:rsidRDefault="005E7A42" w:rsidP="00747809">
      <w:r>
        <w:t>Mestna o</w:t>
      </w:r>
      <w:r w:rsidR="00747809" w:rsidRPr="00147743">
        <w:t xml:space="preserve">bčina </w:t>
      </w:r>
      <w:r w:rsidR="00747809">
        <w:t>Nova Gorica</w:t>
      </w:r>
      <w:r w:rsidR="00747809" w:rsidRPr="00147743">
        <w:t xml:space="preserve"> ima ob učinkovitem prilagajanju dobre možnosti, da zmanjša svojo ranljivost zaradi podnebnih sprememb in ostane uspešna turistična destinacija. Podnebne spremembe bodo destinaciji prinesle tudi nove priložnosti, ki </w:t>
      </w:r>
      <w:r w:rsidR="00747809">
        <w:t xml:space="preserve">pa </w:t>
      </w:r>
      <w:r w:rsidR="00747809" w:rsidRPr="00147743">
        <w:t xml:space="preserve">jih bo lahko v polnosti izkoristila ob zadostni podjetniški iniciativi in interesu za delo v turizmu.  </w:t>
      </w:r>
    </w:p>
    <w:p w14:paraId="04F55E11" w14:textId="77777777" w:rsidR="00BE4D70" w:rsidRDefault="00BE4D70" w:rsidP="00BE4D70"/>
    <w:p w14:paraId="54267071" w14:textId="77777777" w:rsidR="00BE4D70" w:rsidRDefault="00BE4D70" w:rsidP="002F0D6E">
      <w:pPr>
        <w:pStyle w:val="Naslov3"/>
        <w:rPr>
          <w:rFonts w:eastAsia="Calibri"/>
          <w:lang w:eastAsia="sl-SI"/>
        </w:rPr>
      </w:pPr>
      <w:bookmarkStart w:id="370" w:name="_Toc34130201"/>
      <w:bookmarkStart w:id="371" w:name="_Toc44656976"/>
      <w:bookmarkStart w:id="372" w:name="_Toc97026787"/>
      <w:r w:rsidRPr="001D38AC">
        <w:rPr>
          <w:rFonts w:eastAsia="Calibri"/>
          <w:lang w:eastAsia="sl-SI"/>
        </w:rPr>
        <w:t>Viri</w:t>
      </w:r>
      <w:bookmarkEnd w:id="370"/>
      <w:bookmarkEnd w:id="371"/>
      <w:bookmarkEnd w:id="372"/>
    </w:p>
    <w:p w14:paraId="11FA5E13" w14:textId="203858AB" w:rsidR="00766F25" w:rsidRPr="0093165E" w:rsidRDefault="00766F25" w:rsidP="00766F25">
      <w:pPr>
        <w:rPr>
          <w:lang w:eastAsia="sl-SI"/>
        </w:rPr>
      </w:pPr>
      <w:r w:rsidRPr="0093165E">
        <w:rPr>
          <w:lang w:eastAsia="sl-SI"/>
        </w:rPr>
        <w:t>Analiza stanja v destinaciji Nova Gorica. 2019. Turistična zveza TIC Nova Gorica, Nova Gorica. Dostopno prek:</w:t>
      </w:r>
      <w:r>
        <w:rPr>
          <w:lang w:eastAsia="sl-SI"/>
        </w:rPr>
        <w:t xml:space="preserve"> </w:t>
      </w:r>
      <w:hyperlink r:id="rId160" w:history="1">
        <w:r w:rsidRPr="00C82EA9">
          <w:rPr>
            <w:rStyle w:val="Hiperpovezava"/>
            <w:rFonts w:eastAsia="Times New Roman" w:cs="Arial"/>
            <w:lang w:eastAsia="sl-SI"/>
          </w:rPr>
          <w:t>https://www.novagorica-turizem.com/goriski-zakladi/2018062611055263/Zelena%20Nova%20Gorica</w:t>
        </w:r>
      </w:hyperlink>
      <w:r w:rsidRPr="0093165E">
        <w:rPr>
          <w:lang w:eastAsia="sl-SI"/>
        </w:rPr>
        <w:t xml:space="preserve"> (citirano 3. 5. 2021)</w:t>
      </w:r>
    </w:p>
    <w:p w14:paraId="4CF7B766" w14:textId="2CAE6A3E" w:rsidR="00766F25" w:rsidRPr="00D90868" w:rsidRDefault="00766F25" w:rsidP="00766F25">
      <w:pPr>
        <w:rPr>
          <w:rFonts w:cs="Times New Roman"/>
          <w:sz w:val="24"/>
          <w:szCs w:val="24"/>
          <w:lang w:eastAsia="sl-SI"/>
        </w:rPr>
      </w:pPr>
      <w:r w:rsidRPr="0093165E">
        <w:rPr>
          <w:lang w:eastAsia="sl-SI"/>
        </w:rPr>
        <w:t>Asimov, E.,</w:t>
      </w:r>
      <w:r w:rsidRPr="00D90868">
        <w:rPr>
          <w:lang w:eastAsia="sl-SI"/>
        </w:rPr>
        <w:t xml:space="preserve"> 2019. How </w:t>
      </w:r>
      <w:proofErr w:type="spellStart"/>
      <w:r w:rsidRPr="00D90868">
        <w:rPr>
          <w:lang w:eastAsia="sl-SI"/>
        </w:rPr>
        <w:t>climate</w:t>
      </w:r>
      <w:proofErr w:type="spellEnd"/>
      <w:r w:rsidRPr="00D90868">
        <w:rPr>
          <w:lang w:eastAsia="sl-SI"/>
        </w:rPr>
        <w:t xml:space="preserve"> </w:t>
      </w:r>
      <w:proofErr w:type="spellStart"/>
      <w:r w:rsidRPr="00D90868">
        <w:rPr>
          <w:lang w:eastAsia="sl-SI"/>
        </w:rPr>
        <w:t>change</w:t>
      </w:r>
      <w:proofErr w:type="spellEnd"/>
      <w:r w:rsidRPr="00D90868">
        <w:rPr>
          <w:lang w:eastAsia="sl-SI"/>
        </w:rPr>
        <w:t xml:space="preserve"> </w:t>
      </w:r>
      <w:proofErr w:type="spellStart"/>
      <w:r w:rsidRPr="00D90868">
        <w:rPr>
          <w:lang w:eastAsia="sl-SI"/>
        </w:rPr>
        <w:t>impacts</w:t>
      </w:r>
      <w:proofErr w:type="spellEnd"/>
      <w:r w:rsidRPr="00D90868">
        <w:rPr>
          <w:lang w:eastAsia="sl-SI"/>
        </w:rPr>
        <w:t xml:space="preserve"> </w:t>
      </w:r>
      <w:proofErr w:type="spellStart"/>
      <w:r w:rsidRPr="00D90868">
        <w:rPr>
          <w:lang w:eastAsia="sl-SI"/>
        </w:rPr>
        <w:t>wine</w:t>
      </w:r>
      <w:proofErr w:type="spellEnd"/>
      <w:r w:rsidRPr="00D90868">
        <w:rPr>
          <w:lang w:eastAsia="sl-SI"/>
        </w:rPr>
        <w:t xml:space="preserve">. </w:t>
      </w:r>
      <w:proofErr w:type="spellStart"/>
      <w:r w:rsidRPr="00D90868">
        <w:rPr>
          <w:lang w:eastAsia="sl-SI"/>
        </w:rPr>
        <w:t>The</w:t>
      </w:r>
      <w:proofErr w:type="spellEnd"/>
      <w:r w:rsidRPr="00D90868">
        <w:rPr>
          <w:lang w:eastAsia="sl-SI"/>
        </w:rPr>
        <w:t xml:space="preserve"> New York Times. </w:t>
      </w:r>
      <w:r>
        <w:rPr>
          <w:lang w:eastAsia="sl-SI"/>
        </w:rPr>
        <w:t xml:space="preserve">URL: </w:t>
      </w:r>
      <w:hyperlink r:id="rId161" w:history="1">
        <w:r>
          <w:rPr>
            <w:rStyle w:val="Hiperpovezava"/>
          </w:rPr>
          <w:t>https://www.nytimes.com/interactive/2019/10/14/dining/drinks/climate-change-wine.html</w:t>
        </w:r>
      </w:hyperlink>
      <w:r>
        <w:t xml:space="preserve"> (citirano 4. 5. 2021).</w:t>
      </w:r>
    </w:p>
    <w:p w14:paraId="56439C3F" w14:textId="77777777" w:rsidR="00766F25" w:rsidRPr="00FA2E81" w:rsidRDefault="00766F25" w:rsidP="00766F25">
      <w:r w:rsidRPr="00FA2E81">
        <w:t>Cegnar, T., 2017. Kdaj so vročinski valovi postali javnozdravstveni problem? V: Zbirka prispevkov Znanstvenega posveta o vročinskih valovih. Vetrnica 10/17, Slovensko meteorološko društvo, Ljubljana.</w:t>
      </w:r>
    </w:p>
    <w:p w14:paraId="7ACDEEB5" w14:textId="77777777" w:rsidR="00766F25" w:rsidRPr="00FA2E81" w:rsidRDefault="00766F25" w:rsidP="00766F25">
      <w:proofErr w:type="spellStart"/>
      <w:r w:rsidRPr="00FA2E81">
        <w:t>Climate</w:t>
      </w:r>
      <w:proofErr w:type="spellEnd"/>
      <w:r w:rsidRPr="00FA2E81">
        <w:t xml:space="preserve"> </w:t>
      </w:r>
      <w:proofErr w:type="spellStart"/>
      <w:r w:rsidRPr="00FA2E81">
        <w:t>Change</w:t>
      </w:r>
      <w:proofErr w:type="spellEnd"/>
      <w:r w:rsidRPr="00FA2E81">
        <w:t xml:space="preserve"> 2014: </w:t>
      </w:r>
      <w:proofErr w:type="spellStart"/>
      <w:r w:rsidRPr="00FA2E81">
        <w:t>Synthesis</w:t>
      </w:r>
      <w:proofErr w:type="spellEnd"/>
      <w:r w:rsidRPr="00FA2E81">
        <w:t xml:space="preserve"> </w:t>
      </w:r>
      <w:proofErr w:type="spellStart"/>
      <w:r w:rsidRPr="00FA2E81">
        <w:t>Report</w:t>
      </w:r>
      <w:proofErr w:type="spellEnd"/>
      <w:r w:rsidRPr="00FA2E81">
        <w:t>. 2014. IPCC, Ženeva, Švica.</w:t>
      </w:r>
    </w:p>
    <w:p w14:paraId="494B7D14" w14:textId="3A2EA95C" w:rsidR="00766F25" w:rsidRPr="00FA2E81" w:rsidRDefault="00766F25" w:rsidP="00766F25">
      <w:proofErr w:type="spellStart"/>
      <w:r w:rsidRPr="00FA2E81">
        <w:t>Climate</w:t>
      </w:r>
      <w:proofErr w:type="spellEnd"/>
      <w:r w:rsidRPr="00FA2E81">
        <w:t xml:space="preserve"> </w:t>
      </w:r>
      <w:proofErr w:type="spellStart"/>
      <w:r w:rsidRPr="00FA2E81">
        <w:t>Change</w:t>
      </w:r>
      <w:proofErr w:type="spellEnd"/>
      <w:r w:rsidRPr="00FA2E81">
        <w:t xml:space="preserve">: </w:t>
      </w:r>
      <w:proofErr w:type="spellStart"/>
      <w:r w:rsidRPr="00FA2E81">
        <w:t>Implications</w:t>
      </w:r>
      <w:proofErr w:type="spellEnd"/>
      <w:r w:rsidRPr="00FA2E81">
        <w:t xml:space="preserve"> </w:t>
      </w:r>
      <w:proofErr w:type="spellStart"/>
      <w:r w:rsidRPr="00FA2E81">
        <w:t>for</w:t>
      </w:r>
      <w:proofErr w:type="spellEnd"/>
      <w:r w:rsidRPr="00FA2E81">
        <w:t xml:space="preserve"> </w:t>
      </w:r>
      <w:proofErr w:type="spellStart"/>
      <w:r w:rsidRPr="00FA2E81">
        <w:t>Tourism</w:t>
      </w:r>
      <w:proofErr w:type="spellEnd"/>
      <w:r w:rsidRPr="00FA2E81">
        <w:t xml:space="preserve"> - </w:t>
      </w:r>
      <w:proofErr w:type="spellStart"/>
      <w:r w:rsidRPr="00FA2E81">
        <w:t>Key</w:t>
      </w:r>
      <w:proofErr w:type="spellEnd"/>
      <w:r w:rsidRPr="00FA2E81">
        <w:t xml:space="preserve"> </w:t>
      </w:r>
      <w:proofErr w:type="spellStart"/>
      <w:r w:rsidRPr="00FA2E81">
        <w:t>Findings</w:t>
      </w:r>
      <w:proofErr w:type="spellEnd"/>
      <w:r w:rsidRPr="00FA2E81">
        <w:t xml:space="preserve"> </w:t>
      </w:r>
      <w:proofErr w:type="spellStart"/>
      <w:r w:rsidRPr="00FA2E81">
        <w:t>from</w:t>
      </w:r>
      <w:proofErr w:type="spellEnd"/>
      <w:r w:rsidRPr="00FA2E81">
        <w:t xml:space="preserve"> </w:t>
      </w:r>
      <w:proofErr w:type="spellStart"/>
      <w:r w:rsidRPr="00FA2E81">
        <w:t>the</w:t>
      </w:r>
      <w:proofErr w:type="spellEnd"/>
      <w:r w:rsidRPr="00FA2E81">
        <w:t xml:space="preserve"> </w:t>
      </w:r>
      <w:proofErr w:type="spellStart"/>
      <w:r w:rsidRPr="00FA2E81">
        <w:t>Intergovernmental</w:t>
      </w:r>
      <w:proofErr w:type="spellEnd"/>
      <w:r w:rsidRPr="00FA2E81">
        <w:t xml:space="preserve"> Panel on </w:t>
      </w:r>
      <w:proofErr w:type="spellStart"/>
      <w:r w:rsidRPr="00FA2E81">
        <w:t>Climate</w:t>
      </w:r>
      <w:proofErr w:type="spellEnd"/>
      <w:r w:rsidRPr="00FA2E81">
        <w:t xml:space="preserve"> </w:t>
      </w:r>
      <w:proofErr w:type="spellStart"/>
      <w:r w:rsidRPr="00FA2E81">
        <w:t>Change</w:t>
      </w:r>
      <w:proofErr w:type="spellEnd"/>
      <w:r w:rsidRPr="00FA2E81">
        <w:t xml:space="preserve"> </w:t>
      </w:r>
      <w:proofErr w:type="spellStart"/>
      <w:r w:rsidRPr="00FA2E81">
        <w:t>Fifth</w:t>
      </w:r>
      <w:proofErr w:type="spellEnd"/>
      <w:r w:rsidRPr="00FA2E81">
        <w:t xml:space="preserve"> </w:t>
      </w:r>
      <w:proofErr w:type="spellStart"/>
      <w:r w:rsidRPr="00FA2E81">
        <w:t>Assessment</w:t>
      </w:r>
      <w:proofErr w:type="spellEnd"/>
      <w:r w:rsidRPr="00FA2E81">
        <w:t xml:space="preserve"> </w:t>
      </w:r>
      <w:proofErr w:type="spellStart"/>
      <w:r w:rsidRPr="00FA2E81">
        <w:t>Report</w:t>
      </w:r>
      <w:proofErr w:type="spellEnd"/>
      <w:r w:rsidRPr="00FA2E81">
        <w:rPr>
          <w:iCs/>
        </w:rPr>
        <w:t>.</w:t>
      </w:r>
      <w:r w:rsidRPr="00FA2E81">
        <w:t xml:space="preserve"> 2014. </w:t>
      </w:r>
      <w:proofErr w:type="spellStart"/>
      <w:r w:rsidRPr="00FA2E81">
        <w:rPr>
          <w:iCs/>
        </w:rPr>
        <w:t>European</w:t>
      </w:r>
      <w:proofErr w:type="spellEnd"/>
      <w:r w:rsidRPr="00FA2E81">
        <w:rPr>
          <w:iCs/>
        </w:rPr>
        <w:t xml:space="preserve"> </w:t>
      </w:r>
      <w:proofErr w:type="spellStart"/>
      <w:r w:rsidRPr="00FA2E81">
        <w:rPr>
          <w:iCs/>
        </w:rPr>
        <w:t>Climate</w:t>
      </w:r>
      <w:proofErr w:type="spellEnd"/>
      <w:r w:rsidRPr="00FA2E81">
        <w:rPr>
          <w:iCs/>
        </w:rPr>
        <w:t xml:space="preserve"> </w:t>
      </w:r>
      <w:proofErr w:type="spellStart"/>
      <w:r w:rsidRPr="00FA2E81">
        <w:rPr>
          <w:iCs/>
        </w:rPr>
        <w:t>Foundation</w:t>
      </w:r>
      <w:proofErr w:type="spellEnd"/>
      <w:r w:rsidRPr="00FA2E81">
        <w:rPr>
          <w:iCs/>
        </w:rPr>
        <w:t xml:space="preserve"> (ECF), </w:t>
      </w:r>
      <w:proofErr w:type="spellStart"/>
      <w:r w:rsidRPr="00FA2E81">
        <w:rPr>
          <w:iCs/>
        </w:rPr>
        <w:t>University</w:t>
      </w:r>
      <w:proofErr w:type="spellEnd"/>
      <w:r w:rsidRPr="00FA2E81">
        <w:rPr>
          <w:iCs/>
        </w:rPr>
        <w:t xml:space="preserve"> of </w:t>
      </w:r>
      <w:proofErr w:type="spellStart"/>
      <w:r w:rsidRPr="00FA2E81">
        <w:rPr>
          <w:iCs/>
        </w:rPr>
        <w:t>Cambridge’s</w:t>
      </w:r>
      <w:proofErr w:type="spellEnd"/>
      <w:r w:rsidRPr="00FA2E81">
        <w:rPr>
          <w:iCs/>
        </w:rPr>
        <w:t xml:space="preserve"> </w:t>
      </w:r>
      <w:proofErr w:type="spellStart"/>
      <w:r w:rsidRPr="00FA2E81">
        <w:rPr>
          <w:iCs/>
        </w:rPr>
        <w:t>Judge</w:t>
      </w:r>
      <w:proofErr w:type="spellEnd"/>
      <w:r w:rsidRPr="00FA2E81">
        <w:rPr>
          <w:iCs/>
        </w:rPr>
        <w:t xml:space="preserve"> Business </w:t>
      </w:r>
      <w:proofErr w:type="spellStart"/>
      <w:r w:rsidRPr="00FA2E81">
        <w:rPr>
          <w:iCs/>
        </w:rPr>
        <w:t>School</w:t>
      </w:r>
      <w:proofErr w:type="spellEnd"/>
      <w:r w:rsidRPr="00FA2E81">
        <w:rPr>
          <w:iCs/>
        </w:rPr>
        <w:t xml:space="preserve"> (CJBS) in Institute </w:t>
      </w:r>
      <w:proofErr w:type="spellStart"/>
      <w:r w:rsidRPr="00FA2E81">
        <w:rPr>
          <w:iCs/>
        </w:rPr>
        <w:t>for</w:t>
      </w:r>
      <w:proofErr w:type="spellEnd"/>
      <w:r w:rsidRPr="00FA2E81">
        <w:rPr>
          <w:iCs/>
        </w:rPr>
        <w:t xml:space="preserve"> </w:t>
      </w:r>
      <w:proofErr w:type="spellStart"/>
      <w:r w:rsidRPr="00FA2E81">
        <w:rPr>
          <w:iCs/>
        </w:rPr>
        <w:t>Sustainability</w:t>
      </w:r>
      <w:proofErr w:type="spellEnd"/>
      <w:r w:rsidRPr="00FA2E81">
        <w:rPr>
          <w:iCs/>
        </w:rPr>
        <w:t xml:space="preserve"> </w:t>
      </w:r>
      <w:proofErr w:type="spellStart"/>
      <w:r w:rsidRPr="00FA2E81">
        <w:rPr>
          <w:iCs/>
        </w:rPr>
        <w:t>Leadership</w:t>
      </w:r>
      <w:proofErr w:type="spellEnd"/>
      <w:r w:rsidRPr="00FA2E81">
        <w:rPr>
          <w:iCs/>
        </w:rPr>
        <w:t xml:space="preserve"> (CISL). URL: </w:t>
      </w:r>
      <w:hyperlink r:id="rId162" w:history="1">
        <w:r w:rsidRPr="00FA2E81">
          <w:rPr>
            <w:rStyle w:val="Hiperpovezava"/>
          </w:rPr>
          <w:t>www.cisl.cam.ac.uk/business-action/low-carbon-transformation/ipcc-climate-science-business-briefings/tourism</w:t>
        </w:r>
      </w:hyperlink>
      <w:r w:rsidRPr="00FA2E81">
        <w:rPr>
          <w:rStyle w:val="Hiperpovezava"/>
        </w:rPr>
        <w:t xml:space="preserve"> </w:t>
      </w:r>
      <w:r w:rsidRPr="00FA2E81">
        <w:t xml:space="preserve">(citirano </w:t>
      </w:r>
      <w:r>
        <w:t>2</w:t>
      </w:r>
      <w:r w:rsidRPr="00FA2E81">
        <w:t>.</w:t>
      </w:r>
      <w:r>
        <w:t xml:space="preserve"> 5</w:t>
      </w:r>
      <w:r w:rsidRPr="00FA2E81">
        <w:t>.</w:t>
      </w:r>
      <w:r>
        <w:t xml:space="preserve"> </w:t>
      </w:r>
      <w:r w:rsidRPr="00FA2E81">
        <w:t>202</w:t>
      </w:r>
      <w:r>
        <w:t>1</w:t>
      </w:r>
      <w:r w:rsidRPr="00FA2E81">
        <w:t>).</w:t>
      </w:r>
      <w:r w:rsidRPr="00FA2E81">
        <w:rPr>
          <w:iCs/>
        </w:rPr>
        <w:t xml:space="preserve"> </w:t>
      </w:r>
    </w:p>
    <w:p w14:paraId="700A54AF" w14:textId="77777777" w:rsidR="00766F25" w:rsidRPr="0093165E" w:rsidRDefault="00766F25" w:rsidP="00766F25">
      <w:pPr>
        <w:rPr>
          <w:iCs/>
        </w:rPr>
      </w:pPr>
      <w:bookmarkStart w:id="373" w:name="bau0010"/>
      <w:proofErr w:type="spellStart"/>
      <w:r w:rsidRPr="0093165E">
        <w:rPr>
          <w:rFonts w:cstheme="minorHAnsi"/>
          <w:iCs/>
        </w:rPr>
        <w:t>Grillakis</w:t>
      </w:r>
      <w:bookmarkStart w:id="374" w:name="bau0015"/>
      <w:bookmarkEnd w:id="373"/>
      <w:proofErr w:type="spellEnd"/>
      <w:r w:rsidRPr="0093165E">
        <w:rPr>
          <w:rFonts w:cstheme="minorHAnsi"/>
          <w:iCs/>
        </w:rPr>
        <w:t>, M. G.,</w:t>
      </w:r>
      <w:r w:rsidRPr="0093165E">
        <w:rPr>
          <w:rFonts w:cstheme="minorHAnsi"/>
          <w:iCs/>
          <w:vertAlign w:val="superscript"/>
        </w:rPr>
        <w:t xml:space="preserve"> </w:t>
      </w:r>
      <w:proofErr w:type="spellStart"/>
      <w:r w:rsidRPr="0093165E">
        <w:rPr>
          <w:rFonts w:cstheme="minorHAnsi"/>
          <w:iCs/>
        </w:rPr>
        <w:t>Koutroulis</w:t>
      </w:r>
      <w:bookmarkStart w:id="375" w:name="bau0020"/>
      <w:bookmarkEnd w:id="374"/>
      <w:proofErr w:type="spellEnd"/>
      <w:r w:rsidRPr="0093165E">
        <w:rPr>
          <w:rFonts w:cstheme="minorHAnsi"/>
          <w:iCs/>
        </w:rPr>
        <w:t>, A. G.,</w:t>
      </w:r>
      <w:r w:rsidRPr="00126CB7">
        <w:rPr>
          <w:rFonts w:cstheme="minorHAnsi"/>
          <w:iCs/>
          <w:vertAlign w:val="superscript"/>
        </w:rPr>
        <w:t xml:space="preserve"> </w:t>
      </w:r>
      <w:proofErr w:type="spellStart"/>
      <w:r w:rsidRPr="00126CB7">
        <w:rPr>
          <w:rFonts w:cstheme="minorHAnsi"/>
          <w:iCs/>
        </w:rPr>
        <w:t>Seiradakis</w:t>
      </w:r>
      <w:bookmarkStart w:id="376" w:name="bau0025"/>
      <w:bookmarkEnd w:id="375"/>
      <w:proofErr w:type="spellEnd"/>
      <w:r w:rsidRPr="00126CB7">
        <w:rPr>
          <w:rFonts w:cstheme="minorHAnsi"/>
          <w:iCs/>
        </w:rPr>
        <w:t>, K. D.,</w:t>
      </w:r>
      <w:r w:rsidRPr="00126CB7">
        <w:rPr>
          <w:rFonts w:cstheme="minorHAnsi"/>
          <w:iCs/>
          <w:vertAlign w:val="superscript"/>
        </w:rPr>
        <w:t xml:space="preserve"> </w:t>
      </w:r>
      <w:proofErr w:type="spellStart"/>
      <w:r w:rsidRPr="00126CB7">
        <w:rPr>
          <w:rFonts w:cstheme="minorHAnsi"/>
          <w:iCs/>
        </w:rPr>
        <w:t>Tsanis</w:t>
      </w:r>
      <w:bookmarkEnd w:id="376"/>
      <w:proofErr w:type="spellEnd"/>
      <w:r w:rsidRPr="00126CB7">
        <w:rPr>
          <w:rFonts w:cstheme="minorHAnsi"/>
          <w:iCs/>
        </w:rPr>
        <w:t xml:space="preserve">, I. K. </w:t>
      </w:r>
      <w:proofErr w:type="spellStart"/>
      <w:r w:rsidRPr="00126CB7">
        <w:rPr>
          <w:rFonts w:cstheme="minorHAnsi"/>
          <w:iCs/>
        </w:rPr>
        <w:t>Implications</w:t>
      </w:r>
      <w:proofErr w:type="spellEnd"/>
      <w:r w:rsidRPr="00126CB7">
        <w:rPr>
          <w:rFonts w:cstheme="minorHAnsi"/>
          <w:iCs/>
        </w:rPr>
        <w:t xml:space="preserve"> of 2</w:t>
      </w:r>
      <w:r w:rsidRPr="00126CB7">
        <w:rPr>
          <w:rFonts w:ascii="Arial" w:hAnsi="Arial"/>
          <w:iCs/>
        </w:rPr>
        <w:t> </w:t>
      </w:r>
      <w:r w:rsidRPr="00126CB7">
        <w:rPr>
          <w:rFonts w:cs="Trebuchet MS"/>
          <w:iCs/>
        </w:rPr>
        <w:t>°</w:t>
      </w:r>
      <w:r w:rsidRPr="00126CB7">
        <w:rPr>
          <w:rFonts w:cstheme="minorHAnsi"/>
          <w:iCs/>
        </w:rPr>
        <w:t xml:space="preserve">C global </w:t>
      </w:r>
      <w:proofErr w:type="spellStart"/>
      <w:r w:rsidRPr="00126CB7">
        <w:rPr>
          <w:rFonts w:cstheme="minorHAnsi"/>
          <w:iCs/>
        </w:rPr>
        <w:t>warming</w:t>
      </w:r>
      <w:proofErr w:type="spellEnd"/>
      <w:r w:rsidRPr="00126CB7">
        <w:rPr>
          <w:rFonts w:cstheme="minorHAnsi"/>
          <w:iCs/>
        </w:rPr>
        <w:t xml:space="preserve"> in </w:t>
      </w:r>
      <w:proofErr w:type="spellStart"/>
      <w:r w:rsidRPr="00126CB7">
        <w:rPr>
          <w:rFonts w:cstheme="minorHAnsi"/>
          <w:iCs/>
        </w:rPr>
        <w:t>European</w:t>
      </w:r>
      <w:proofErr w:type="spellEnd"/>
      <w:r w:rsidRPr="00126CB7">
        <w:rPr>
          <w:rFonts w:cstheme="minorHAnsi"/>
          <w:iCs/>
        </w:rPr>
        <w:t xml:space="preserve"> </w:t>
      </w:r>
      <w:proofErr w:type="spellStart"/>
      <w:r w:rsidRPr="00126CB7">
        <w:rPr>
          <w:rFonts w:cstheme="minorHAnsi"/>
          <w:iCs/>
        </w:rPr>
        <w:t>summer</w:t>
      </w:r>
      <w:proofErr w:type="spellEnd"/>
      <w:r w:rsidRPr="00126CB7">
        <w:rPr>
          <w:rFonts w:cstheme="minorHAnsi"/>
          <w:iCs/>
        </w:rPr>
        <w:t xml:space="preserve"> </w:t>
      </w:r>
      <w:proofErr w:type="spellStart"/>
      <w:r w:rsidRPr="00126CB7">
        <w:rPr>
          <w:rFonts w:cstheme="minorHAnsi"/>
          <w:iCs/>
        </w:rPr>
        <w:t>tourism</w:t>
      </w:r>
      <w:proofErr w:type="spellEnd"/>
      <w:r w:rsidRPr="00126CB7">
        <w:t xml:space="preserve">. 2016. </w:t>
      </w:r>
      <w:proofErr w:type="spellStart"/>
      <w:r w:rsidRPr="00126CB7">
        <w:t>Climate</w:t>
      </w:r>
      <w:proofErr w:type="spellEnd"/>
      <w:r w:rsidRPr="00126CB7">
        <w:t xml:space="preserve"> </w:t>
      </w:r>
      <w:proofErr w:type="spellStart"/>
      <w:r w:rsidRPr="00126CB7">
        <w:t>Services</w:t>
      </w:r>
      <w:proofErr w:type="spellEnd"/>
      <w:r w:rsidRPr="00126CB7">
        <w:t xml:space="preserve">, </w:t>
      </w:r>
      <w:proofErr w:type="spellStart"/>
      <w:r w:rsidRPr="00126CB7">
        <w:t>Volume</w:t>
      </w:r>
      <w:proofErr w:type="spellEnd"/>
      <w:r w:rsidRPr="00126CB7">
        <w:t xml:space="preserve"> 1, str. 30-38.</w:t>
      </w:r>
    </w:p>
    <w:p w14:paraId="575FB768" w14:textId="77777777" w:rsidR="00766F25" w:rsidRPr="0093165E" w:rsidRDefault="00766F25" w:rsidP="00766F25">
      <w:proofErr w:type="spellStart"/>
      <w:r w:rsidRPr="0093165E">
        <w:rPr>
          <w:rFonts w:cstheme="minorHAnsi"/>
          <w:shd w:val="clear" w:color="auto" w:fill="FFFFFF"/>
        </w:rPr>
        <w:t>Höppe</w:t>
      </w:r>
      <w:proofErr w:type="spellEnd"/>
      <w:r w:rsidRPr="0093165E">
        <w:rPr>
          <w:rFonts w:cstheme="minorHAnsi"/>
          <w:shd w:val="clear" w:color="auto" w:fill="FFFFFF"/>
        </w:rPr>
        <w:t xml:space="preserve">, P., 1999. </w:t>
      </w:r>
      <w:proofErr w:type="spellStart"/>
      <w:r w:rsidRPr="0093165E">
        <w:t>The</w:t>
      </w:r>
      <w:proofErr w:type="spellEnd"/>
      <w:r w:rsidRPr="0093165E">
        <w:t xml:space="preserve"> </w:t>
      </w:r>
      <w:proofErr w:type="spellStart"/>
      <w:r w:rsidRPr="0093165E">
        <w:t>physiological</w:t>
      </w:r>
      <w:proofErr w:type="spellEnd"/>
      <w:r w:rsidRPr="0093165E">
        <w:t xml:space="preserve"> </w:t>
      </w:r>
      <w:proofErr w:type="spellStart"/>
      <w:r w:rsidRPr="0093165E">
        <w:t>equivalent</w:t>
      </w:r>
      <w:proofErr w:type="spellEnd"/>
      <w:r w:rsidRPr="0093165E">
        <w:t xml:space="preserve"> temperature – a </w:t>
      </w:r>
      <w:proofErr w:type="spellStart"/>
      <w:r w:rsidRPr="0093165E">
        <w:t>universal</w:t>
      </w:r>
      <w:proofErr w:type="spellEnd"/>
      <w:r w:rsidRPr="0093165E">
        <w:t xml:space="preserve"> </w:t>
      </w:r>
      <w:proofErr w:type="spellStart"/>
      <w:r w:rsidRPr="0093165E">
        <w:t>index</w:t>
      </w:r>
      <w:proofErr w:type="spellEnd"/>
      <w:r w:rsidRPr="0093165E">
        <w:t xml:space="preserve"> </w:t>
      </w:r>
      <w:proofErr w:type="spellStart"/>
      <w:r w:rsidRPr="0093165E">
        <w:t>for</w:t>
      </w:r>
      <w:proofErr w:type="spellEnd"/>
      <w:r w:rsidRPr="0093165E">
        <w:t xml:space="preserve"> </w:t>
      </w:r>
      <w:proofErr w:type="spellStart"/>
      <w:r w:rsidRPr="0093165E">
        <w:t>the</w:t>
      </w:r>
      <w:proofErr w:type="spellEnd"/>
      <w:r w:rsidRPr="0093165E">
        <w:t xml:space="preserve"> </w:t>
      </w:r>
      <w:proofErr w:type="spellStart"/>
      <w:r w:rsidRPr="0093165E">
        <w:t>biometeorological</w:t>
      </w:r>
      <w:proofErr w:type="spellEnd"/>
      <w:r w:rsidRPr="0093165E">
        <w:t xml:space="preserve"> </w:t>
      </w:r>
      <w:proofErr w:type="spellStart"/>
      <w:r w:rsidRPr="0093165E">
        <w:t>assessment</w:t>
      </w:r>
      <w:proofErr w:type="spellEnd"/>
      <w:r w:rsidRPr="0093165E">
        <w:t xml:space="preserve"> of </w:t>
      </w:r>
      <w:proofErr w:type="spellStart"/>
      <w:r w:rsidRPr="0093165E">
        <w:t>the</w:t>
      </w:r>
      <w:proofErr w:type="spellEnd"/>
      <w:r w:rsidRPr="0093165E">
        <w:t xml:space="preserve"> </w:t>
      </w:r>
      <w:proofErr w:type="spellStart"/>
      <w:r w:rsidRPr="0093165E">
        <w:t>thermal</w:t>
      </w:r>
      <w:proofErr w:type="spellEnd"/>
      <w:r w:rsidRPr="0093165E">
        <w:t xml:space="preserve"> </w:t>
      </w:r>
      <w:proofErr w:type="spellStart"/>
      <w:r w:rsidRPr="0093165E">
        <w:t>environment</w:t>
      </w:r>
      <w:proofErr w:type="spellEnd"/>
      <w:r w:rsidRPr="0093165E">
        <w:t xml:space="preserve">. </w:t>
      </w:r>
      <w:proofErr w:type="spellStart"/>
      <w:r w:rsidRPr="0093165E">
        <w:t>Int</w:t>
      </w:r>
      <w:proofErr w:type="spellEnd"/>
      <w:r w:rsidRPr="0093165E">
        <w:t xml:space="preserve">. J. </w:t>
      </w:r>
      <w:proofErr w:type="spellStart"/>
      <w:r w:rsidRPr="0093165E">
        <w:t>Biometeorol</w:t>
      </w:r>
      <w:proofErr w:type="spellEnd"/>
      <w:r w:rsidRPr="0093165E">
        <w:t>., 43: 71–75.</w:t>
      </w:r>
    </w:p>
    <w:p w14:paraId="0E0BF81C" w14:textId="2B240A49" w:rsidR="00766F25" w:rsidRPr="0093165E" w:rsidRDefault="00766F25" w:rsidP="00766F25">
      <w:pPr>
        <w:rPr>
          <w:lang w:eastAsia="sl-SI"/>
        </w:rPr>
      </w:pPr>
      <w:r w:rsidRPr="0093165E">
        <w:rPr>
          <w:lang w:eastAsia="sl-SI"/>
        </w:rPr>
        <w:t xml:space="preserve">Mirt, T., 2016. </w:t>
      </w:r>
      <w:r w:rsidRPr="0093165E">
        <w:t xml:space="preserve">Krajinski park Južni obronki Trnovskega gozda (seminarska naloga). URL: </w:t>
      </w:r>
      <w:hyperlink r:id="rId163" w:history="1">
        <w:r w:rsidRPr="0093165E">
          <w:rPr>
            <w:rStyle w:val="Hiperpovezava"/>
          </w:rPr>
          <w:t>https://www.pzs.si/javno/kvgn_dokumenti/Seminarske%20naloge%20VGN/Mirt%20Tja%C5%A1a_Ju%C5%BEni%20obronki%20trnovskega%20gozda.pdf</w:t>
        </w:r>
      </w:hyperlink>
      <w:r w:rsidRPr="0093165E">
        <w:t xml:space="preserve"> (citirano </w:t>
      </w:r>
      <w:r>
        <w:t>3</w:t>
      </w:r>
      <w:r w:rsidRPr="0093165E">
        <w:t>. 5. 2021).</w:t>
      </w:r>
    </w:p>
    <w:p w14:paraId="7C3A1027" w14:textId="20AB6086" w:rsidR="00766F25" w:rsidRDefault="00766F25" w:rsidP="00766F25">
      <w:proofErr w:type="spellStart"/>
      <w:r w:rsidRPr="0093165E">
        <w:rPr>
          <w:lang w:eastAsia="sl-SI"/>
        </w:rPr>
        <w:t>Neethling</w:t>
      </w:r>
      <w:proofErr w:type="spellEnd"/>
      <w:r w:rsidRPr="0093165E">
        <w:rPr>
          <w:lang w:eastAsia="sl-SI"/>
        </w:rPr>
        <w:t xml:space="preserve">, E. </w:t>
      </w:r>
      <w:r w:rsidRPr="0093165E">
        <w:t xml:space="preserve">et </w:t>
      </w:r>
      <w:proofErr w:type="spellStart"/>
      <w:r w:rsidRPr="0093165E">
        <w:t>al</w:t>
      </w:r>
      <w:proofErr w:type="spellEnd"/>
      <w:r w:rsidRPr="0093165E">
        <w:t>., 2016.</w:t>
      </w:r>
      <w:r w:rsidRPr="0093165E">
        <w:rPr>
          <w:lang w:eastAsia="sl-SI"/>
        </w:rPr>
        <w:t xml:space="preserve"> </w:t>
      </w:r>
      <w:proofErr w:type="spellStart"/>
      <w:r w:rsidRPr="0093165E">
        <w:rPr>
          <w:lang w:eastAsia="sl-SI"/>
        </w:rPr>
        <w:t>Adapting</w:t>
      </w:r>
      <w:proofErr w:type="spellEnd"/>
      <w:r w:rsidRPr="0093165E">
        <w:rPr>
          <w:lang w:eastAsia="sl-SI"/>
        </w:rPr>
        <w:t xml:space="preserve"> </w:t>
      </w:r>
      <w:proofErr w:type="spellStart"/>
      <w:r w:rsidRPr="0093165E">
        <w:rPr>
          <w:lang w:eastAsia="sl-SI"/>
        </w:rPr>
        <w:t>Viticulture</w:t>
      </w:r>
      <w:proofErr w:type="spellEnd"/>
      <w:r w:rsidRPr="0093165E">
        <w:rPr>
          <w:lang w:eastAsia="sl-SI"/>
        </w:rPr>
        <w:t xml:space="preserve"> to </w:t>
      </w:r>
      <w:proofErr w:type="spellStart"/>
      <w:r w:rsidRPr="0093165E">
        <w:rPr>
          <w:lang w:eastAsia="sl-SI"/>
        </w:rPr>
        <w:t>Climate</w:t>
      </w:r>
      <w:proofErr w:type="spellEnd"/>
      <w:r w:rsidRPr="0093165E">
        <w:rPr>
          <w:lang w:eastAsia="sl-SI"/>
        </w:rPr>
        <w:t xml:space="preserve"> </w:t>
      </w:r>
      <w:proofErr w:type="spellStart"/>
      <w:r w:rsidRPr="0093165E">
        <w:rPr>
          <w:lang w:eastAsia="sl-SI"/>
        </w:rPr>
        <w:t>Change</w:t>
      </w:r>
      <w:proofErr w:type="spellEnd"/>
      <w:r w:rsidRPr="0093165E">
        <w:rPr>
          <w:lang w:eastAsia="sl-SI"/>
        </w:rPr>
        <w:t>. Francija, LIFE ADVICLIM.</w:t>
      </w:r>
      <w:r w:rsidRPr="00C30235">
        <w:rPr>
          <w:lang w:eastAsia="sl-SI"/>
        </w:rPr>
        <w:t> URL:</w:t>
      </w:r>
      <w:hyperlink r:id="rId164" w:history="1">
        <w:r w:rsidRPr="00C30235">
          <w:rPr>
            <w:rStyle w:val="Hiperpovezava"/>
          </w:rPr>
          <w:t>https://www.adviclim.eu/wp-content/uploads/2015/06/B1-deliverable.pdf</w:t>
        </w:r>
      </w:hyperlink>
      <w:r w:rsidRPr="00C30235">
        <w:t xml:space="preserve"> (citirano </w:t>
      </w:r>
      <w:r>
        <w:t>4</w:t>
      </w:r>
      <w:r w:rsidRPr="00C30235">
        <w:t>.</w:t>
      </w:r>
      <w:r>
        <w:t xml:space="preserve"> 5.</w:t>
      </w:r>
      <w:r w:rsidRPr="00C30235">
        <w:t xml:space="preserve"> 202</w:t>
      </w:r>
      <w:r>
        <w:t>1</w:t>
      </w:r>
      <w:r w:rsidRPr="00C30235">
        <w:t>).</w:t>
      </w:r>
    </w:p>
    <w:p w14:paraId="5A8A9B08" w14:textId="69A2AB86" w:rsidR="00766F25" w:rsidRDefault="00766F25" w:rsidP="00766F25">
      <w:r w:rsidRPr="0093165E">
        <w:lastRenderedPageBreak/>
        <w:t xml:space="preserve">Ocena ogroženosti pred naravnimi in drugimi nesrečami. 2015. Štab za civilno zaščito, Mestna občina Nova Gorica. URL: </w:t>
      </w:r>
      <w:hyperlink r:id="rId165" w:history="1">
        <w:r w:rsidRPr="0093165E">
          <w:rPr>
            <w:rStyle w:val="Hiperpovezava"/>
          </w:rPr>
          <w:t>https://www.nova-gorica.si/mma/ocena_ogrozenosti_2015/2015031013273714/?m=1425990457</w:t>
        </w:r>
      </w:hyperlink>
      <w:r w:rsidRPr="0093165E">
        <w:t xml:space="preserve"> (citirano 3. 5. 2021). </w:t>
      </w:r>
    </w:p>
    <w:p w14:paraId="126A6D48" w14:textId="77777777" w:rsidR="00766F25" w:rsidRPr="0093165E" w:rsidRDefault="00766F25" w:rsidP="00766F25">
      <w:pPr>
        <w:rPr>
          <w:rFonts w:cstheme="minorHAnsi"/>
          <w:shd w:val="clear" w:color="auto" w:fill="FFFFFF"/>
        </w:rPr>
      </w:pPr>
      <w:r w:rsidRPr="0093165E">
        <w:rPr>
          <w:rFonts w:cstheme="minorHAnsi"/>
          <w:shd w:val="clear" w:color="auto" w:fill="FFFFFF"/>
        </w:rPr>
        <w:t xml:space="preserve">Odlok o ustanovitvi Javnega zavoda "Javni zavod za turizem Nova Gorica in Vipavska dolina". Uradni list RS, št. 43/2018 z dne 22. 6. 2018, stran 7053. </w:t>
      </w:r>
    </w:p>
    <w:p w14:paraId="17EF21CD" w14:textId="209B3263" w:rsidR="00766F25" w:rsidRDefault="00766F25" w:rsidP="00766F25">
      <w:proofErr w:type="spellStart"/>
      <w:r w:rsidRPr="0093165E">
        <w:rPr>
          <w:rFonts w:cstheme="minorHAnsi"/>
          <w:shd w:val="clear" w:color="auto" w:fill="FFFFFF"/>
        </w:rPr>
        <w:t>Okoljsko</w:t>
      </w:r>
      <w:proofErr w:type="spellEnd"/>
      <w:r w:rsidRPr="0093165E">
        <w:rPr>
          <w:rFonts w:cstheme="minorHAnsi"/>
          <w:shd w:val="clear" w:color="auto" w:fill="FFFFFF"/>
        </w:rPr>
        <w:t xml:space="preserve"> poročilo za občinski prostorski načrt Mestne občine Nova Gorica. 2010. Mestna občina Nova</w:t>
      </w:r>
      <w:r w:rsidRPr="002A2900">
        <w:rPr>
          <w:rFonts w:cstheme="minorHAnsi"/>
          <w:shd w:val="clear" w:color="auto" w:fill="FFFFFF"/>
        </w:rPr>
        <w:t xml:space="preserve"> Gorica, Nova Gorica.</w:t>
      </w:r>
      <w:r w:rsidRPr="00013606">
        <w:rPr>
          <w:rFonts w:cstheme="minorHAnsi"/>
          <w:shd w:val="clear" w:color="auto" w:fill="FFFFFF"/>
        </w:rPr>
        <w:t xml:space="preserve"> URL:</w:t>
      </w:r>
      <w:r w:rsidRPr="002A2900">
        <w:rPr>
          <w:rFonts w:cstheme="minorHAnsi"/>
          <w:shd w:val="clear" w:color="auto" w:fill="FFFFFF"/>
        </w:rPr>
        <w:t xml:space="preserve"> </w:t>
      </w:r>
      <w:hyperlink r:id="rId166" w:history="1">
        <w:r w:rsidRPr="00C82EA9">
          <w:rPr>
            <w:rStyle w:val="Hiperpovezava"/>
            <w:rFonts w:cstheme="minorHAnsi"/>
            <w:shd w:val="clear" w:color="auto" w:fill="FFFFFF"/>
          </w:rPr>
          <w:t>https://www.nova-gorica.com/mma_bin.php?id=2010070213470052</w:t>
        </w:r>
      </w:hyperlink>
      <w:r>
        <w:rPr>
          <w:rFonts w:cstheme="minorHAnsi"/>
          <w:shd w:val="clear" w:color="auto" w:fill="FFFFFF"/>
        </w:rPr>
        <w:t xml:space="preserve"> </w:t>
      </w:r>
      <w:r w:rsidRPr="002A2900">
        <w:rPr>
          <w:rFonts w:cstheme="minorHAnsi"/>
          <w:shd w:val="clear" w:color="auto" w:fill="FFFFFF"/>
        </w:rPr>
        <w:t>(citirano</w:t>
      </w:r>
      <w:r w:rsidRPr="00013606">
        <w:t xml:space="preserve"> </w:t>
      </w:r>
      <w:r>
        <w:t>3</w:t>
      </w:r>
      <w:r w:rsidRPr="00013606">
        <w:t xml:space="preserve">. </w:t>
      </w:r>
      <w:r>
        <w:t>5</w:t>
      </w:r>
      <w:r w:rsidRPr="00013606">
        <w:t>. 202</w:t>
      </w:r>
      <w:r>
        <w:t>1</w:t>
      </w:r>
      <w:r w:rsidRPr="00013606">
        <w:t>)</w:t>
      </w:r>
      <w:r>
        <w:t>.</w:t>
      </w:r>
      <w:r w:rsidRPr="00013606">
        <w:t xml:space="preserve"> </w:t>
      </w:r>
    </w:p>
    <w:p w14:paraId="4BF06341" w14:textId="7CE8B95B" w:rsidR="00766F25" w:rsidRDefault="00766F25" w:rsidP="00766F25">
      <w:pPr>
        <w:rPr>
          <w:rFonts w:cstheme="minorHAnsi"/>
          <w:shd w:val="clear" w:color="auto" w:fill="FFFFFF"/>
        </w:rPr>
      </w:pPr>
      <w:r w:rsidRPr="0093165E">
        <w:t>Petkovšek, M., 2017. Slovensko omrežje NATURA 2000 v številkah. Varstvo narave, 30: 99—126.</w:t>
      </w:r>
      <w:r>
        <w:t xml:space="preserve"> URL: </w:t>
      </w:r>
      <w:hyperlink r:id="rId167" w:history="1">
        <w:r>
          <w:rPr>
            <w:rStyle w:val="Hiperpovezava"/>
          </w:rPr>
          <w:t>https://zrsvn-varstvonarave.si/wp-content/uploads/2019/07/Petkovsek_4946.pdf</w:t>
        </w:r>
      </w:hyperlink>
      <w:r>
        <w:rPr>
          <w:rFonts w:cstheme="minorHAnsi"/>
          <w:shd w:val="clear" w:color="auto" w:fill="FFFFFF"/>
        </w:rPr>
        <w:t xml:space="preserve"> (citirano 2. 5. 2021).</w:t>
      </w:r>
    </w:p>
    <w:p w14:paraId="601C8DC7" w14:textId="77777777" w:rsidR="00766F25" w:rsidRPr="00FA2E81" w:rsidRDefault="00766F25" w:rsidP="00766F25">
      <w:r w:rsidRPr="00FA2E81">
        <w:t xml:space="preserve">Priročnik za pridobitev znaka </w:t>
      </w:r>
      <w:proofErr w:type="spellStart"/>
      <w:r w:rsidRPr="00FA2E81">
        <w:t>Slovenia</w:t>
      </w:r>
      <w:proofErr w:type="spellEnd"/>
      <w:r w:rsidRPr="00FA2E81">
        <w:t xml:space="preserve"> </w:t>
      </w:r>
      <w:proofErr w:type="spellStart"/>
      <w:r w:rsidRPr="00FA2E81">
        <w:t>Green</w:t>
      </w:r>
      <w:proofErr w:type="spellEnd"/>
      <w:r w:rsidRPr="00FA2E81">
        <w:t xml:space="preserve">. </w:t>
      </w:r>
      <w:proofErr w:type="spellStart"/>
      <w:r w:rsidRPr="00FA2E81">
        <w:t>GoodPlace</w:t>
      </w:r>
      <w:proofErr w:type="spellEnd"/>
      <w:r w:rsidRPr="00FA2E81">
        <w:t>. Ljubljana, 2017.</w:t>
      </w:r>
    </w:p>
    <w:p w14:paraId="4277EAFA" w14:textId="77777777" w:rsidR="00766F25" w:rsidRPr="00477236" w:rsidRDefault="00766F25" w:rsidP="00766F25">
      <w:r w:rsidRPr="00477236">
        <w:t>Program dela in finančni načrt za leto 2021 Javnega zavoda za turizem Nova Gorica in Vipavska dolina</w:t>
      </w:r>
      <w:r>
        <w:t>. Mestna občina Nova Gorica. Nova Gorica</w:t>
      </w:r>
      <w:r w:rsidRPr="00FA2E81">
        <w:t>, 20</w:t>
      </w:r>
      <w:r>
        <w:t>21</w:t>
      </w:r>
      <w:r w:rsidRPr="00FA2E81">
        <w:t>.</w:t>
      </w:r>
      <w:r>
        <w:t xml:space="preserve"> </w:t>
      </w:r>
    </w:p>
    <w:p w14:paraId="0D7E50F0" w14:textId="77777777" w:rsidR="00766F25" w:rsidRPr="00FA2E81" w:rsidRDefault="00766F25" w:rsidP="00766F25">
      <w:r w:rsidRPr="00FA2E81">
        <w:t xml:space="preserve">Rakar, K., 2010. Analiza odvisnosti turističnega povpraševanja od podnebja – primer Slovenije. Magistrsko delo. Ljubljana, Univerza v Ljubljani, Ekonomska fakulteta. </w:t>
      </w:r>
    </w:p>
    <w:p w14:paraId="41F3D20B" w14:textId="071BDD82" w:rsidR="00766F25" w:rsidRPr="0093165E" w:rsidRDefault="00766F25" w:rsidP="00766F25">
      <w:proofErr w:type="spellStart"/>
      <w:r w:rsidRPr="0093165E">
        <w:t>Steiger</w:t>
      </w:r>
      <w:proofErr w:type="spellEnd"/>
      <w:r w:rsidRPr="0093165E">
        <w:t xml:space="preserve">, R., Scott, D., </w:t>
      </w:r>
      <w:proofErr w:type="spellStart"/>
      <w:r w:rsidRPr="0093165E">
        <w:t>Abegg</w:t>
      </w:r>
      <w:proofErr w:type="spellEnd"/>
      <w:r w:rsidRPr="0093165E">
        <w:t xml:space="preserve">, B., </w:t>
      </w:r>
      <w:proofErr w:type="spellStart"/>
      <w:r w:rsidRPr="0093165E">
        <w:t>Pons</w:t>
      </w:r>
      <w:proofErr w:type="spellEnd"/>
      <w:r w:rsidRPr="0093165E">
        <w:t xml:space="preserve">, M., </w:t>
      </w:r>
      <w:proofErr w:type="spellStart"/>
      <w:r w:rsidRPr="0093165E">
        <w:t>Aall</w:t>
      </w:r>
      <w:proofErr w:type="spellEnd"/>
      <w:r w:rsidRPr="0093165E">
        <w:t xml:space="preserve">, C., 2019. A </w:t>
      </w:r>
      <w:proofErr w:type="spellStart"/>
      <w:r w:rsidRPr="0093165E">
        <w:t>critical</w:t>
      </w:r>
      <w:proofErr w:type="spellEnd"/>
      <w:r w:rsidRPr="0093165E">
        <w:t xml:space="preserve"> </w:t>
      </w:r>
      <w:proofErr w:type="spellStart"/>
      <w:r w:rsidRPr="0093165E">
        <w:t>review</w:t>
      </w:r>
      <w:proofErr w:type="spellEnd"/>
      <w:r w:rsidRPr="0093165E">
        <w:t xml:space="preserve"> of </w:t>
      </w:r>
      <w:proofErr w:type="spellStart"/>
      <w:r w:rsidRPr="0093165E">
        <w:t>climate</w:t>
      </w:r>
      <w:proofErr w:type="spellEnd"/>
      <w:r w:rsidRPr="0093165E">
        <w:t xml:space="preserve"> </w:t>
      </w:r>
      <w:proofErr w:type="spellStart"/>
      <w:r w:rsidRPr="0093165E">
        <w:t>change</w:t>
      </w:r>
      <w:proofErr w:type="spellEnd"/>
      <w:r w:rsidRPr="0093165E">
        <w:t xml:space="preserve"> </w:t>
      </w:r>
      <w:proofErr w:type="spellStart"/>
      <w:r w:rsidRPr="0093165E">
        <w:t>risk</w:t>
      </w:r>
      <w:proofErr w:type="spellEnd"/>
      <w:r w:rsidRPr="0093165E">
        <w:t xml:space="preserve"> </w:t>
      </w:r>
      <w:proofErr w:type="spellStart"/>
      <w:r w:rsidRPr="0093165E">
        <w:t>for</w:t>
      </w:r>
      <w:proofErr w:type="spellEnd"/>
      <w:r w:rsidRPr="0093165E">
        <w:t xml:space="preserve"> ski </w:t>
      </w:r>
      <w:proofErr w:type="spellStart"/>
      <w:r w:rsidRPr="0093165E">
        <w:t>tourism</w:t>
      </w:r>
      <w:proofErr w:type="spellEnd"/>
      <w:r w:rsidRPr="0093165E">
        <w:t xml:space="preserve">. URL: </w:t>
      </w:r>
      <w:hyperlink r:id="rId168" w:history="1">
        <w:r w:rsidRPr="0093165E">
          <w:rPr>
            <w:rStyle w:val="Hiperpovezava"/>
            <w:rFonts w:eastAsia="Calibri"/>
          </w:rPr>
          <w:t>www.tandfonline.com/doi/full/10.1080/13683500.2017.1410110</w:t>
        </w:r>
      </w:hyperlink>
      <w:r w:rsidRPr="0093165E">
        <w:t xml:space="preserve"> (citirano 3. 4. 2021).</w:t>
      </w:r>
    </w:p>
    <w:p w14:paraId="41CDB515" w14:textId="530D8B08" w:rsidR="00766F25" w:rsidRDefault="00766F25" w:rsidP="00766F25">
      <w:r w:rsidRPr="0093165E">
        <w:t xml:space="preserve">Stopnja gozdnatosti slovenskih občin za leto 2020. 2020. Ljubljana, Ministrstvo za kmetijstvo, gozdarstvo in prehrano. URL: </w:t>
      </w:r>
      <w:hyperlink r:id="rId169" w:history="1">
        <w:r w:rsidRPr="0093165E">
          <w:rPr>
            <w:rStyle w:val="Hiperpovezava"/>
          </w:rPr>
          <w:t>Stopnja_gozd_obcine-Priloga_3 (gov.si)</w:t>
        </w:r>
      </w:hyperlink>
      <w:r w:rsidRPr="0093165E">
        <w:t xml:space="preserve"> (citirano </w:t>
      </w:r>
      <w:r>
        <w:t>3</w:t>
      </w:r>
      <w:r w:rsidRPr="0093165E">
        <w:t xml:space="preserve">. </w:t>
      </w:r>
      <w:r>
        <w:t>5</w:t>
      </w:r>
      <w:r w:rsidRPr="0093165E">
        <w:t>. 2021</w:t>
      </w:r>
      <w:r w:rsidRPr="001507F3">
        <w:t xml:space="preserve">). </w:t>
      </w:r>
    </w:p>
    <w:p w14:paraId="0BA8AC3E" w14:textId="499BA4B2" w:rsidR="00766F25" w:rsidRPr="00FA2E81" w:rsidRDefault="00766F25" w:rsidP="00766F25">
      <w:r w:rsidRPr="00FA2E81">
        <w:rPr>
          <w:shd w:val="clear" w:color="auto" w:fill="FFFFFF"/>
        </w:rPr>
        <w:t xml:space="preserve">Strategija trajnostne rasti slovenskega turizma 2017–2021. 2017. Ljubljana, Ministrstvo za gospodarski razvoj in tehnologijo. URL: </w:t>
      </w:r>
      <w:hyperlink r:id="rId170" w:history="1">
        <w:r w:rsidRPr="00FA2E81">
          <w:rPr>
            <w:rStyle w:val="Hiperpovezava"/>
          </w:rPr>
          <w:t>www.slovenia.info/uploads/dokumenti/kljuni_dokumenti/strategija_turizem_koncno_9.10.2017.pdf</w:t>
        </w:r>
      </w:hyperlink>
      <w:r w:rsidRPr="00FA2E81">
        <w:t xml:space="preserve"> (citirano </w:t>
      </w:r>
      <w:r>
        <w:t>3</w:t>
      </w:r>
      <w:r w:rsidRPr="00FA2E81">
        <w:t>.</w:t>
      </w:r>
      <w:r>
        <w:t xml:space="preserve"> 5</w:t>
      </w:r>
      <w:r w:rsidRPr="00FA2E81">
        <w:t>.</w:t>
      </w:r>
      <w:r>
        <w:t xml:space="preserve"> </w:t>
      </w:r>
      <w:r w:rsidRPr="00FA2E81">
        <w:t>202</w:t>
      </w:r>
      <w:r>
        <w:t>1</w:t>
      </w:r>
      <w:r w:rsidRPr="00FA2E81">
        <w:t>).</w:t>
      </w:r>
    </w:p>
    <w:p w14:paraId="60E4702F" w14:textId="730A24FE" w:rsidR="00766F25" w:rsidRDefault="00766F25" w:rsidP="00766F25">
      <w:r w:rsidRPr="0093165E">
        <w:t>Trajnostna urbana strategija Nova Gorica 2020. 2016. Mestna občina Nova Gorica, Nova Gorica. URL</w:t>
      </w:r>
      <w:r w:rsidRPr="00641CA6">
        <w:t xml:space="preserve">: </w:t>
      </w:r>
      <w:hyperlink r:id="rId171" w:history="1">
        <w:r w:rsidRPr="00641CA6">
          <w:rPr>
            <w:rStyle w:val="Hiperpovezava"/>
          </w:rPr>
          <w:t>https://www.nova-gorica.si/strategije-mestne-obcine-nova-gorica/2019120911020659/trajnostna_urbana_strategija_nova_gorica_2020_tus/</w:t>
        </w:r>
      </w:hyperlink>
      <w:r w:rsidRPr="00641CA6">
        <w:t xml:space="preserve"> (citirano </w:t>
      </w:r>
      <w:r>
        <w:t>4</w:t>
      </w:r>
      <w:r w:rsidRPr="00641CA6">
        <w:t>. 5. 2021)</w:t>
      </w:r>
      <w:r>
        <w:t>.</w:t>
      </w:r>
    </w:p>
    <w:p w14:paraId="36B0949D" w14:textId="77777777" w:rsidR="00766F25" w:rsidRPr="00FA2E81" w:rsidRDefault="00766F25" w:rsidP="00766F25">
      <w:pPr>
        <w:rPr>
          <w:rFonts w:cstheme="minorHAnsi"/>
          <w:shd w:val="clear" w:color="auto" w:fill="FFFFFF"/>
        </w:rPr>
      </w:pPr>
      <w:r w:rsidRPr="00FA2E81">
        <w:rPr>
          <w:rFonts w:cstheme="minorHAnsi"/>
          <w:shd w:val="clear" w:color="auto" w:fill="FFFFFF"/>
        </w:rPr>
        <w:t xml:space="preserve">Vrtačnik </w:t>
      </w:r>
      <w:proofErr w:type="spellStart"/>
      <w:r w:rsidRPr="00FA2E81">
        <w:rPr>
          <w:rFonts w:cstheme="minorHAnsi"/>
          <w:shd w:val="clear" w:color="auto" w:fill="FFFFFF"/>
        </w:rPr>
        <w:t>Garbas</w:t>
      </w:r>
      <w:proofErr w:type="spellEnd"/>
      <w:r w:rsidRPr="00FA2E81">
        <w:rPr>
          <w:rFonts w:cstheme="minorHAnsi"/>
          <w:shd w:val="clear" w:color="auto" w:fill="FFFFFF"/>
        </w:rPr>
        <w:t>, K., 2006. Povezanost med vremenom in obiskom izbranih turističnih točk v Sloveniji. Dela, 26, str. 133-160.</w:t>
      </w:r>
    </w:p>
    <w:p w14:paraId="2F422733" w14:textId="673A066D" w:rsidR="00766F25" w:rsidRPr="00FA2E81" w:rsidRDefault="00766F25" w:rsidP="00766F25">
      <w:pPr>
        <w:rPr>
          <w:rFonts w:cs="SSFranklinGothic-BookOblique"/>
          <w:iCs/>
        </w:rPr>
      </w:pPr>
      <w:r w:rsidRPr="00FA2E81">
        <w:t>Zakon o spodbujanju razvoja turizma. Uradni list RS, št. </w:t>
      </w:r>
      <w:hyperlink r:id="rId172" w:tgtFrame="_blank" w:tooltip="Zakon o spodbujanju razvoja turizma (ZSRT-1)" w:history="1">
        <w:r w:rsidRPr="00FA2E81">
          <w:rPr>
            <w:rStyle w:val="Hiperpovezava"/>
            <w:color w:val="000000"/>
          </w:rPr>
          <w:t>13/2018</w:t>
        </w:r>
      </w:hyperlink>
      <w:r w:rsidRPr="00FA2E81">
        <w:t xml:space="preserve"> z dne 28. 2. 2018, stran 1901.</w:t>
      </w:r>
    </w:p>
    <w:p w14:paraId="490DD13D" w14:textId="77777777" w:rsidR="006B7E34" w:rsidRPr="00B14994" w:rsidRDefault="006B7E34" w:rsidP="00967E6F">
      <w:pPr>
        <w:rPr>
          <w:lang w:eastAsia="sl-SI"/>
        </w:rPr>
      </w:pPr>
      <w:r w:rsidRPr="00B14994">
        <w:rPr>
          <w:lang w:eastAsia="sl-SI"/>
        </w:rPr>
        <w:br w:type="page"/>
      </w:r>
    </w:p>
    <w:p w14:paraId="6A152E85" w14:textId="05C1AF09" w:rsidR="00493B77" w:rsidRDefault="00A43187" w:rsidP="00CE43D7">
      <w:pPr>
        <w:pStyle w:val="Naslov2"/>
        <w:rPr>
          <w:rFonts w:eastAsia="Calibri"/>
          <w:lang w:eastAsia="sl-SI"/>
        </w:rPr>
      </w:pPr>
      <w:bookmarkStart w:id="377" w:name="_Toc97026788"/>
      <w:r>
        <w:rPr>
          <w:rFonts w:eastAsia="Calibri"/>
          <w:lang w:eastAsia="sl-SI"/>
        </w:rPr>
        <w:lastRenderedPageBreak/>
        <w:t>Sektor v</w:t>
      </w:r>
      <w:r w:rsidR="00493B77">
        <w:rPr>
          <w:rFonts w:eastAsia="Calibri"/>
          <w:lang w:eastAsia="sl-SI"/>
        </w:rPr>
        <w:t>odni viri</w:t>
      </w:r>
      <w:bookmarkEnd w:id="377"/>
    </w:p>
    <w:p w14:paraId="6B731ED8" w14:textId="77777777" w:rsidR="003548A1" w:rsidRPr="00E26AA9" w:rsidRDefault="003548A1" w:rsidP="003548A1">
      <w:pPr>
        <w:rPr>
          <w:lang w:eastAsia="sl-SI"/>
        </w:rPr>
      </w:pPr>
      <w:r>
        <w:rPr>
          <w:lang w:eastAsia="sl-SI"/>
        </w:rPr>
        <w:t>Podnebne spremembe in z njimi povezano pojavljanje ekstremnih dogodkov imajo velik vpliv na vodne vire, zlasti, ko govorimo o sušnih obdobjih. Pri analizi ranljivosti in tveganja za vodne vire zaradi podnebnih sprememb smo se osredotočili na analizo razpoložljivosti vode v prihodnjih obdobjih in spremembe rabe vodnih virov na območji Mestne občine Nova Gorica. V analizo so tako zajete rabe znotraj občine in vodni viri, katerih zaledja se večinsko na območju Mestne občine Nova Gorica oziroma vodni viri, ki se izrabljajo večinsko za potrebe oskrbe s pitno vodo v MONG. Gre za študijo manjšega obsega s pregledom trenutnega stanja količin podzemne in površinske vode in podeljenih vodnih pravic ter projekcij količin vode in sprememb porabe v prihodnjih desetletjih. Rezultati študije lahko služijo kot podlaga za bolj podrobne študije, z bolj usmerjenim pregledom rabe vode (npr. za namakanje), za katero pa so potrebni natančnejši podatki tako o razpoložljivih količinah kot o rabi vode (dejanski odvzemi vode).</w:t>
      </w:r>
    </w:p>
    <w:p w14:paraId="1597D266" w14:textId="77777777" w:rsidR="000B3AA4" w:rsidRPr="004D0BDB" w:rsidRDefault="000B3AA4" w:rsidP="00982F26">
      <w:pPr>
        <w:rPr>
          <w:lang w:eastAsia="sl-SI"/>
        </w:rPr>
      </w:pPr>
    </w:p>
    <w:p w14:paraId="6EC81F91" w14:textId="77777777" w:rsidR="00982F26" w:rsidRPr="004D0BDB" w:rsidRDefault="00982F26" w:rsidP="00982F26">
      <w:pPr>
        <w:pStyle w:val="Naslov3"/>
        <w:ind w:left="1214"/>
      </w:pPr>
      <w:bookmarkStart w:id="378" w:name="_Toc57034757"/>
      <w:bookmarkStart w:id="379" w:name="_Toc97026789"/>
      <w:r w:rsidRPr="004D0BDB">
        <w:t>Metodologija sektorja vodni viri</w:t>
      </w:r>
      <w:bookmarkEnd w:id="378"/>
      <w:bookmarkEnd w:id="379"/>
    </w:p>
    <w:p w14:paraId="1BBE0AD9" w14:textId="77777777" w:rsidR="003548A1" w:rsidRPr="00E9100B" w:rsidRDefault="003548A1" w:rsidP="003548A1">
      <w:pPr>
        <w:rPr>
          <w:lang w:eastAsia="sl-SI"/>
        </w:rPr>
      </w:pPr>
      <w:r w:rsidRPr="00E9100B">
        <w:rPr>
          <w:lang w:eastAsia="sl-SI"/>
        </w:rPr>
        <w:t>Analiza ranljivosti in tveganja vodnih virov na podnebne spremembe je narejena po metodologiji Konvencije županov, ki temelji na metodologiji IPCC in je predstavljena v 5. poglavju. Analiza ranljivosti izhaja iz opredeljevanja kazalnikov izpostavljenosti in občutljivosti, iz katerih lahko ocenimo potencialni vpliv podnebnih sprememb na določen sektor ter iz sposobnosti prilaganja sektorja na te spremembe. Tveganje na podnebne spremembe je določeno glede na ranljivost v referenčnem obdobju 1981-2010 in ranljivost v prihodnosti in sicer v obdobju 2011-2040 in 2041</w:t>
      </w:r>
      <w:r w:rsidRPr="00E9100B">
        <w:rPr>
          <w:lang w:eastAsia="sl-SI"/>
        </w:rPr>
        <w:noBreakHyphen/>
        <w:t>2070.</w:t>
      </w:r>
    </w:p>
    <w:p w14:paraId="7993B0AC" w14:textId="77777777" w:rsidR="00982F26" w:rsidRPr="004D0BDB" w:rsidRDefault="00982F26" w:rsidP="00CE43D7">
      <w:pPr>
        <w:pStyle w:val="Naslov4"/>
      </w:pPr>
      <w:r w:rsidRPr="004D0BDB">
        <w:t>Kazalniki izpostavljenosti vodnih virov na podnebne spremembe</w:t>
      </w:r>
    </w:p>
    <w:p w14:paraId="26D566AF" w14:textId="77777777" w:rsidR="003548A1" w:rsidRPr="00E9100B" w:rsidRDefault="003548A1" w:rsidP="003548A1">
      <w:pPr>
        <w:rPr>
          <w:lang w:eastAsia="sl-SI"/>
        </w:rPr>
      </w:pPr>
      <w:bookmarkStart w:id="380" w:name="_Toc57034758"/>
      <w:r w:rsidRPr="00E9100B">
        <w:rPr>
          <w:lang w:eastAsia="sl-SI"/>
        </w:rPr>
        <w:t>Vodne vire delimo na vire površinske vode (vodotok) in vire podzemne vode (vodonosniki). Za ugotavljanje vpliva podnebnih sprememb na vodne vire je tako potrebno pogledati vpliv podnebnih sprememb na površinske in podzemne vode. Zanima nas predvsem vpliv podnebnih sprememb na količinsko stanje površinske in podzemne vode, saj je kemijsko stanje vode v glavnem odvisno od rabe prostora, ki je tu nismo obravnavali. Kemijsko stanje je opisano za obstoječe stanje, za prihodnja obdobja pa smo predvideli, da bodo spremembe zanemarljive.</w:t>
      </w:r>
    </w:p>
    <w:p w14:paraId="63D11AE5" w14:textId="77777777" w:rsidR="003548A1" w:rsidRPr="00E9100B" w:rsidRDefault="003548A1" w:rsidP="003548A1">
      <w:pPr>
        <w:rPr>
          <w:lang w:eastAsia="sl-SI"/>
        </w:rPr>
      </w:pPr>
      <w:r w:rsidRPr="00E9100B">
        <w:rPr>
          <w:lang w:eastAsia="sl-SI"/>
        </w:rPr>
        <w:t xml:space="preserve">Količinsko stanje površinske in podzemne vode je bilo ocenjeno s pomočjo regionalnega </w:t>
      </w:r>
      <w:proofErr w:type="spellStart"/>
      <w:r w:rsidRPr="00E9100B">
        <w:rPr>
          <w:lang w:eastAsia="sl-SI"/>
        </w:rPr>
        <w:t>vodobilančnega</w:t>
      </w:r>
      <w:proofErr w:type="spellEnd"/>
      <w:r w:rsidRPr="00E9100B">
        <w:rPr>
          <w:lang w:eastAsia="sl-SI"/>
        </w:rPr>
        <w:t xml:space="preserve"> modela </w:t>
      </w:r>
      <w:proofErr w:type="spellStart"/>
      <w:r w:rsidRPr="00E9100B">
        <w:rPr>
          <w:lang w:eastAsia="sl-SI"/>
        </w:rPr>
        <w:t>mGROWA</w:t>
      </w:r>
      <w:proofErr w:type="spellEnd"/>
      <w:r w:rsidRPr="00E9100B">
        <w:rPr>
          <w:lang w:eastAsia="sl-SI"/>
        </w:rPr>
        <w:t>-SI (</w:t>
      </w:r>
      <w:proofErr w:type="spellStart"/>
      <w:r w:rsidRPr="00E9100B">
        <w:rPr>
          <w:lang w:eastAsia="sl-SI"/>
        </w:rPr>
        <w:t>Andjelov</w:t>
      </w:r>
      <w:proofErr w:type="spellEnd"/>
      <w:r w:rsidRPr="00E9100B">
        <w:rPr>
          <w:lang w:eastAsia="sl-SI"/>
        </w:rPr>
        <w:t xml:space="preserve"> et </w:t>
      </w:r>
      <w:proofErr w:type="spellStart"/>
      <w:r w:rsidRPr="00E9100B">
        <w:rPr>
          <w:lang w:eastAsia="sl-SI"/>
        </w:rPr>
        <w:t>al</w:t>
      </w:r>
      <w:proofErr w:type="spellEnd"/>
      <w:r w:rsidRPr="00E9100B">
        <w:rPr>
          <w:lang w:eastAsia="sl-SI"/>
        </w:rPr>
        <w:t xml:space="preserve">., 2016; Frantar et </w:t>
      </w:r>
      <w:proofErr w:type="spellStart"/>
      <w:r w:rsidRPr="00E9100B">
        <w:rPr>
          <w:lang w:eastAsia="sl-SI"/>
        </w:rPr>
        <w:t>al</w:t>
      </w:r>
      <w:proofErr w:type="spellEnd"/>
      <w:r w:rsidRPr="00E9100B">
        <w:rPr>
          <w:lang w:eastAsia="sl-SI"/>
        </w:rPr>
        <w:t xml:space="preserve">., 2018; </w:t>
      </w:r>
      <w:proofErr w:type="spellStart"/>
      <w:r w:rsidRPr="00E9100B">
        <w:rPr>
          <w:lang w:eastAsia="sl-SI"/>
        </w:rPr>
        <w:t>Herrmann</w:t>
      </w:r>
      <w:proofErr w:type="spellEnd"/>
      <w:r w:rsidRPr="00E9100B">
        <w:rPr>
          <w:lang w:eastAsia="sl-SI"/>
        </w:rPr>
        <w:t xml:space="preserve"> et </w:t>
      </w:r>
      <w:proofErr w:type="spellStart"/>
      <w:r w:rsidRPr="00E9100B">
        <w:rPr>
          <w:lang w:eastAsia="sl-SI"/>
        </w:rPr>
        <w:t>al</w:t>
      </w:r>
      <w:proofErr w:type="spellEnd"/>
      <w:r w:rsidRPr="00E9100B">
        <w:rPr>
          <w:lang w:eastAsia="sl-SI"/>
        </w:rPr>
        <w:t xml:space="preserve">., 2016). Model </w:t>
      </w:r>
      <w:proofErr w:type="spellStart"/>
      <w:r w:rsidRPr="00E9100B">
        <w:rPr>
          <w:lang w:eastAsia="sl-SI"/>
        </w:rPr>
        <w:t>mGROWA</w:t>
      </w:r>
      <w:proofErr w:type="spellEnd"/>
      <w:r w:rsidRPr="00E9100B">
        <w:rPr>
          <w:lang w:eastAsia="sl-SI"/>
        </w:rPr>
        <w:t xml:space="preserve">-SI na podlagi različnih podnebnih podatkov, geografskih, geoloških, hidroloških in hidrogeoloških značilnosti območja simulira mesečne vrednosti členov vodne bilance (dnevni skupni odtok, direktni odtok, napajanje podzemne vode, dejansko izhlapevanje, količina vode v snegu, primanjkljaj vode v tleh …) za celotno Slovenijo. Je determinističen rastrski model, v katerem znotraj vsake 100 metrske celice potekajo poenostavljeni hidrološki procesi ter izračuni točkovnih vrednosti </w:t>
      </w:r>
      <w:proofErr w:type="spellStart"/>
      <w:r w:rsidRPr="00E9100B">
        <w:rPr>
          <w:lang w:eastAsia="sl-SI"/>
        </w:rPr>
        <w:t>vodnobilančnih</w:t>
      </w:r>
      <w:proofErr w:type="spellEnd"/>
      <w:r w:rsidRPr="00E9100B">
        <w:rPr>
          <w:lang w:eastAsia="sl-SI"/>
        </w:rPr>
        <w:t xml:space="preserve"> elementov. Model omogoča izračune </w:t>
      </w:r>
      <w:proofErr w:type="spellStart"/>
      <w:r w:rsidRPr="00E9100B">
        <w:rPr>
          <w:lang w:eastAsia="sl-SI"/>
        </w:rPr>
        <w:t>vodobilančni</w:t>
      </w:r>
      <w:proofErr w:type="spellEnd"/>
      <w:r w:rsidRPr="00E9100B">
        <w:rPr>
          <w:lang w:eastAsia="sl-SI"/>
        </w:rPr>
        <w:t xml:space="preserve"> elementov za preteklost na podlagi merjenih podatkov in prihodnost na podlagi podatkov podnebnih scenarijev. Pri izračunu </w:t>
      </w:r>
      <w:proofErr w:type="spellStart"/>
      <w:r w:rsidRPr="00E9100B">
        <w:rPr>
          <w:lang w:eastAsia="sl-SI"/>
        </w:rPr>
        <w:t>vodobilančnih</w:t>
      </w:r>
      <w:proofErr w:type="spellEnd"/>
      <w:r w:rsidRPr="00E9100B">
        <w:rPr>
          <w:lang w:eastAsia="sl-SI"/>
        </w:rPr>
        <w:t xml:space="preserve"> elementov upošteva tudi padavine v obliki snega in taljenje snega. </w:t>
      </w:r>
      <w:proofErr w:type="spellStart"/>
      <w:r>
        <w:rPr>
          <w:lang w:eastAsia="sl-SI"/>
        </w:rPr>
        <w:t>Vodobilančni</w:t>
      </w:r>
      <w:proofErr w:type="spellEnd"/>
      <w:r>
        <w:rPr>
          <w:lang w:eastAsia="sl-SI"/>
        </w:rPr>
        <w:t xml:space="preserve"> model </w:t>
      </w:r>
      <w:proofErr w:type="spellStart"/>
      <w:r>
        <w:rPr>
          <w:lang w:eastAsia="sl-SI"/>
        </w:rPr>
        <w:t>mGROWA</w:t>
      </w:r>
      <w:proofErr w:type="spellEnd"/>
      <w:r>
        <w:rPr>
          <w:lang w:eastAsia="sl-SI"/>
        </w:rPr>
        <w:t xml:space="preserve">-SI je namenjen oceni količinskega stanja podzemnih voda. Agencija RS za okolje ga uporablja za regionalno oceno stanja. Dobre rezultate daje na </w:t>
      </w:r>
      <w:proofErr w:type="spellStart"/>
      <w:r>
        <w:rPr>
          <w:lang w:eastAsia="sl-SI"/>
        </w:rPr>
        <w:t>medzrnskih</w:t>
      </w:r>
      <w:proofErr w:type="spellEnd"/>
      <w:r>
        <w:rPr>
          <w:lang w:eastAsia="sl-SI"/>
        </w:rPr>
        <w:t xml:space="preserve"> vodonosnikih, nekoliko manj zanesljiv pa je na krasu zaradi kompleksne in lokalno zelo heterogene zgradbe vodonosnikov. Do manjših odstopanj lahko tudi prihaja na manjših, lokalno omejenih </w:t>
      </w:r>
      <w:r>
        <w:rPr>
          <w:lang w:eastAsia="sl-SI"/>
        </w:rPr>
        <w:lastRenderedPageBreak/>
        <w:t xml:space="preserve">območjih (npr. mestih). </w:t>
      </w:r>
      <w:r w:rsidRPr="00E9100B">
        <w:rPr>
          <w:lang w:eastAsia="sl-SI"/>
        </w:rPr>
        <w:t>Za oceno količinskega stanja površinskih vod smo uporabili izračunan skupni odtok, za oceno količinskega stanja podzemne vode pa izračunano napajanje podzemne vode.</w:t>
      </w:r>
    </w:p>
    <w:p w14:paraId="68019C6E" w14:textId="77777777" w:rsidR="003548A1" w:rsidRPr="00E9100B" w:rsidRDefault="003548A1" w:rsidP="003548A1">
      <w:pPr>
        <w:rPr>
          <w:lang w:eastAsia="sl-SI"/>
        </w:rPr>
      </w:pPr>
      <w:r w:rsidRPr="00E9100B">
        <w:rPr>
          <w:lang w:eastAsia="sl-SI"/>
        </w:rPr>
        <w:t>Pri analizi smo uporabili povprečne sezonske minimalne, povprečne in maksimalne vrednosti skupnega odtoka in napajanja podzemne vode za referenčno obdobje 1981</w:t>
      </w:r>
      <w:r w:rsidRPr="00E9100B">
        <w:rPr>
          <w:lang w:eastAsia="sl-SI"/>
        </w:rPr>
        <w:noBreakHyphen/>
        <w:t>2010 in obdobji 2011</w:t>
      </w:r>
      <w:r w:rsidRPr="00E9100B">
        <w:rPr>
          <w:lang w:eastAsia="sl-SI"/>
        </w:rPr>
        <w:noBreakHyphen/>
        <w:t>2040 ter 2041</w:t>
      </w:r>
      <w:r w:rsidRPr="00E9100B">
        <w:rPr>
          <w:lang w:eastAsia="sl-SI"/>
        </w:rPr>
        <w:noBreakHyphen/>
        <w:t>2070. Zimska sezona vključuje mesece od oktobra do marca, poletna pa od aprila do septembra.</w:t>
      </w:r>
    </w:p>
    <w:p w14:paraId="20DB0E9D" w14:textId="77777777" w:rsidR="003548A1" w:rsidRPr="00DD3BC8" w:rsidRDefault="003548A1" w:rsidP="003548A1">
      <w:pPr>
        <w:rPr>
          <w:lang w:eastAsia="sl-SI"/>
        </w:rPr>
      </w:pPr>
      <w:r w:rsidRPr="00E9100B">
        <w:rPr>
          <w:lang w:eastAsia="sl-SI"/>
        </w:rPr>
        <w:t xml:space="preserve">Pri oceni izpostavljenosti površinskih vod smo analizirali </w:t>
      </w:r>
      <w:r w:rsidRPr="00DD3BC8">
        <w:rPr>
          <w:lang w:eastAsia="sl-SI"/>
        </w:rPr>
        <w:t xml:space="preserve">tudi pretoke reke Soče za obdobje 1980 do 2019 in reke Vipava za obdobje 1991 do 2010 ter pretoke pod zajetjem </w:t>
      </w:r>
      <w:proofErr w:type="spellStart"/>
      <w:r w:rsidRPr="00DD3BC8">
        <w:rPr>
          <w:lang w:eastAsia="sl-SI"/>
        </w:rPr>
        <w:t>Vogršček</w:t>
      </w:r>
      <w:proofErr w:type="spellEnd"/>
      <w:r w:rsidRPr="00DD3BC8">
        <w:rPr>
          <w:lang w:eastAsia="sl-SI"/>
        </w:rPr>
        <w:t xml:space="preserve"> za obdobje 1989 do 2019.</w:t>
      </w:r>
    </w:p>
    <w:p w14:paraId="0ECC7108" w14:textId="77777777" w:rsidR="003548A1" w:rsidRPr="00E9100B" w:rsidRDefault="003548A1" w:rsidP="00F90C17">
      <w:pPr>
        <w:pStyle w:val="Odstavekseznama"/>
        <w:numPr>
          <w:ilvl w:val="0"/>
          <w:numId w:val="24"/>
        </w:numPr>
        <w:spacing w:after="160" w:line="259" w:lineRule="auto"/>
        <w:rPr>
          <w:lang w:eastAsia="sl-SI"/>
        </w:rPr>
      </w:pPr>
      <w:r w:rsidRPr="00DD3BC8">
        <w:rPr>
          <w:lang w:eastAsia="sl-SI"/>
        </w:rPr>
        <w:t xml:space="preserve">Kazalnik izpostavljenosti površinskih vod podnebnim spremembam – </w:t>
      </w:r>
      <w:r w:rsidRPr="00DD3BC8">
        <w:rPr>
          <w:b/>
          <w:bCs/>
          <w:color w:val="2F5496" w:themeColor="accent1" w:themeShade="BF"/>
          <w:lang w:eastAsia="sl-SI"/>
        </w:rPr>
        <w:t>skupni odtok in pretok reke Vipave in reke Soče</w:t>
      </w:r>
      <w:r>
        <w:rPr>
          <w:b/>
          <w:bCs/>
          <w:color w:val="2F5496" w:themeColor="accent1" w:themeShade="BF"/>
          <w:lang w:eastAsia="sl-SI"/>
        </w:rPr>
        <w:t xml:space="preserve"> ter zajetja </w:t>
      </w:r>
      <w:proofErr w:type="spellStart"/>
      <w:r>
        <w:rPr>
          <w:b/>
          <w:bCs/>
          <w:color w:val="2F5496" w:themeColor="accent1" w:themeShade="BF"/>
          <w:lang w:eastAsia="sl-SI"/>
        </w:rPr>
        <w:t>Vogeršček</w:t>
      </w:r>
      <w:proofErr w:type="spellEnd"/>
    </w:p>
    <w:p w14:paraId="54190B22" w14:textId="77777777" w:rsidR="003548A1" w:rsidRPr="003D1EB9" w:rsidRDefault="003548A1" w:rsidP="00F90C17">
      <w:pPr>
        <w:pStyle w:val="Odstavekseznama"/>
        <w:numPr>
          <w:ilvl w:val="0"/>
          <w:numId w:val="24"/>
        </w:numPr>
        <w:spacing w:after="160" w:line="259" w:lineRule="auto"/>
        <w:rPr>
          <w:lang w:eastAsia="sl-SI"/>
        </w:rPr>
      </w:pPr>
      <w:r w:rsidRPr="00E9100B">
        <w:rPr>
          <w:lang w:eastAsia="sl-SI"/>
        </w:rPr>
        <w:t xml:space="preserve">Kazalnik izpostavljenosti podzemnih vod podnebnim spremembam – </w:t>
      </w:r>
      <w:r w:rsidRPr="00E9100B">
        <w:rPr>
          <w:b/>
          <w:bCs/>
          <w:color w:val="2F5496" w:themeColor="accent1" w:themeShade="BF"/>
          <w:lang w:eastAsia="sl-SI"/>
        </w:rPr>
        <w:t>napajanje podzemne vode</w:t>
      </w:r>
    </w:p>
    <w:p w14:paraId="5FCCFF47" w14:textId="77777777" w:rsidR="003548A1" w:rsidRPr="00E9100B" w:rsidRDefault="003548A1" w:rsidP="00F90C17">
      <w:pPr>
        <w:pStyle w:val="Odstavekseznama"/>
        <w:numPr>
          <w:ilvl w:val="0"/>
          <w:numId w:val="24"/>
        </w:numPr>
        <w:spacing w:after="160" w:line="259" w:lineRule="auto"/>
        <w:rPr>
          <w:lang w:eastAsia="sl-SI"/>
        </w:rPr>
      </w:pPr>
      <w:r w:rsidRPr="00E9100B">
        <w:rPr>
          <w:lang w:eastAsia="sl-SI"/>
        </w:rPr>
        <w:t>Kazalnik izpostavljenosti</w:t>
      </w:r>
      <w:r>
        <w:rPr>
          <w:lang w:eastAsia="sl-SI"/>
        </w:rPr>
        <w:t xml:space="preserve"> vodnih virov podnebnim spremembam je enak kot kazalnik izpostavljenosti podzemnih vod, saj je glavni vir pitne vode v Mestni občini Nova Gorica podzemna voda.</w:t>
      </w:r>
    </w:p>
    <w:p w14:paraId="566A1E29" w14:textId="77777777" w:rsidR="003548A1" w:rsidRPr="00E9100B" w:rsidRDefault="003548A1" w:rsidP="003548A1">
      <w:pPr>
        <w:pStyle w:val="Naslov4"/>
      </w:pPr>
      <w:r w:rsidRPr="00E9100B">
        <w:t>Kazalniki občutljivosti vodnih virov na podnebne spremembe</w:t>
      </w:r>
    </w:p>
    <w:p w14:paraId="4013DCCB" w14:textId="77777777" w:rsidR="003548A1" w:rsidRPr="00E9100B" w:rsidRDefault="003548A1" w:rsidP="003548A1">
      <w:pPr>
        <w:rPr>
          <w:lang w:eastAsia="sl-SI"/>
        </w:rPr>
      </w:pPr>
      <w:r w:rsidRPr="00E9100B">
        <w:rPr>
          <w:lang w:eastAsia="sl-SI"/>
        </w:rPr>
        <w:t>Občutljivost vodnih virov je v veliki meri odvisna od količine in načina rabe vode. Kot kazalnik občutljivosti smo zato vzeli rabo vode.</w:t>
      </w:r>
    </w:p>
    <w:p w14:paraId="550A1FAD" w14:textId="2C292440" w:rsidR="003548A1" w:rsidRPr="00E9100B" w:rsidRDefault="003548A1" w:rsidP="003548A1">
      <w:pPr>
        <w:rPr>
          <w:lang w:eastAsia="sl-SI"/>
        </w:rPr>
      </w:pPr>
      <w:r w:rsidRPr="00E9100B">
        <w:rPr>
          <w:lang w:eastAsia="sl-SI"/>
        </w:rPr>
        <w:t xml:space="preserve">Pregled rabe vode vključuje pregled podeljenih vodnih dovoljenj in koncesij </w:t>
      </w:r>
      <w:r>
        <w:rPr>
          <w:lang w:eastAsia="sl-SI"/>
        </w:rPr>
        <w:t xml:space="preserve">na območju občine in zaledji podzemnih voda ter vplivnih območji površinskih voda (poglavje </w:t>
      </w:r>
      <w:r>
        <w:rPr>
          <w:lang w:eastAsia="sl-SI"/>
        </w:rPr>
        <w:fldChar w:fldCharType="begin"/>
      </w:r>
      <w:r>
        <w:rPr>
          <w:lang w:eastAsia="sl-SI"/>
        </w:rPr>
        <w:instrText xml:space="preserve"> REF _Ref70489466 \r \h </w:instrText>
      </w:r>
      <w:r>
        <w:rPr>
          <w:lang w:eastAsia="sl-SI"/>
        </w:rPr>
      </w:r>
      <w:r>
        <w:rPr>
          <w:lang w:eastAsia="sl-SI"/>
        </w:rPr>
        <w:fldChar w:fldCharType="separate"/>
      </w:r>
      <w:r w:rsidR="004700D5">
        <w:rPr>
          <w:lang w:eastAsia="sl-SI"/>
        </w:rPr>
        <w:t>6.5.3.3</w:t>
      </w:r>
      <w:r>
        <w:rPr>
          <w:lang w:eastAsia="sl-SI"/>
        </w:rPr>
        <w:fldChar w:fldCharType="end"/>
      </w:r>
      <w:r>
        <w:rPr>
          <w:lang w:eastAsia="sl-SI"/>
        </w:rPr>
        <w:t>)</w:t>
      </w:r>
      <w:r w:rsidRPr="00E9100B">
        <w:rPr>
          <w:lang w:eastAsia="sl-SI"/>
        </w:rPr>
        <w:t>. Dovoljenja in koncesije smo ločili na rabe, ki odvzemajo iz površinske vode, kjer je tip vira vodotok, in rabe, ki odvzemajo iz podzemne vode, kjer so tipi virov izviri, vrtine ali vodnjaki, drenaže in zadrževalniki. Odvzete količine so bile ocenjene iz razpoložljivih podatkov in posledično vsa vodna dovoljenja niso vključena v analizo, saj je pri nekaterih manjkal podatek predvidene odvzete količine vode.</w:t>
      </w:r>
    </w:p>
    <w:p w14:paraId="006E1814" w14:textId="77777777" w:rsidR="003548A1" w:rsidRPr="00E9100B" w:rsidRDefault="003548A1" w:rsidP="003548A1">
      <w:pPr>
        <w:rPr>
          <w:lang w:eastAsia="sl-SI"/>
        </w:rPr>
      </w:pPr>
      <w:r w:rsidRPr="00E9100B">
        <w:rPr>
          <w:lang w:eastAsia="sl-SI"/>
        </w:rPr>
        <w:t xml:space="preserve">Analiza rabe površinske vode je obsegala tako dovoljenja in koncesije, ki vključujejo zajem vode iz vodotoka in izpust v vodotok, kot tudi tiste, ki le zajemajo vodo. </w:t>
      </w:r>
      <w:r>
        <w:rPr>
          <w:lang w:eastAsia="sl-SI"/>
        </w:rPr>
        <w:t>V</w:t>
      </w:r>
      <w:r w:rsidRPr="00E9100B">
        <w:rPr>
          <w:lang w:eastAsia="sl-SI"/>
        </w:rPr>
        <w:t xml:space="preserve"> analizah</w:t>
      </w:r>
      <w:r>
        <w:rPr>
          <w:lang w:eastAsia="sl-SI"/>
        </w:rPr>
        <w:t xml:space="preserve"> smo</w:t>
      </w:r>
      <w:r w:rsidRPr="00E9100B">
        <w:rPr>
          <w:lang w:eastAsia="sl-SI"/>
        </w:rPr>
        <w:t xml:space="preserve"> upoštevali vode na sekundo.</w:t>
      </w:r>
    </w:p>
    <w:p w14:paraId="1A9E5DC8" w14:textId="77777777" w:rsidR="003548A1" w:rsidRDefault="003548A1" w:rsidP="003548A1">
      <w:pPr>
        <w:rPr>
          <w:lang w:eastAsia="sl-SI"/>
        </w:rPr>
      </w:pPr>
      <w:r w:rsidRPr="00E9100B">
        <w:rPr>
          <w:lang w:eastAsia="sl-SI"/>
        </w:rPr>
        <w:t xml:space="preserve">Pri vodnih dovoljenjih, ki zajemajo iz podzemne vode, smo upoštevali predvideni </w:t>
      </w:r>
      <w:r>
        <w:rPr>
          <w:lang w:eastAsia="sl-SI"/>
        </w:rPr>
        <w:t xml:space="preserve">oziroma dejanski (vodni viri v upravljanju Vodovod in kanalizacija Nova Gorica </w:t>
      </w:r>
      <w:proofErr w:type="spellStart"/>
      <w:r>
        <w:rPr>
          <w:lang w:eastAsia="sl-SI"/>
        </w:rPr>
        <w:t>d.d</w:t>
      </w:r>
      <w:proofErr w:type="spellEnd"/>
      <w:r>
        <w:rPr>
          <w:lang w:eastAsia="sl-SI"/>
        </w:rPr>
        <w:t xml:space="preserve">.) </w:t>
      </w:r>
      <w:r w:rsidRPr="00E9100B">
        <w:rPr>
          <w:lang w:eastAsia="sl-SI"/>
        </w:rPr>
        <w:t xml:space="preserve">letni odvzem vode. </w:t>
      </w:r>
      <w:r>
        <w:rPr>
          <w:lang w:eastAsia="sl-SI"/>
        </w:rPr>
        <w:t>Letni odvzem smo nato delili na zimsko (oktober do marec), kjer se ne upošteva namakanje in poletno (april do september) polovico leto, kjer je upoštevano tudi namakanje.</w:t>
      </w:r>
    </w:p>
    <w:p w14:paraId="48808312" w14:textId="77777777" w:rsidR="003548A1" w:rsidRPr="00E9100B" w:rsidRDefault="003548A1" w:rsidP="003548A1">
      <w:pPr>
        <w:rPr>
          <w:lang w:eastAsia="sl-SI"/>
        </w:rPr>
      </w:pPr>
      <w:r w:rsidRPr="00E9100B">
        <w:rPr>
          <w:lang w:eastAsia="sl-SI"/>
        </w:rPr>
        <w:t xml:space="preserve">Za oceno rabe vode v prihodnosti smo zastavili </w:t>
      </w:r>
      <w:r>
        <w:rPr>
          <w:lang w:eastAsia="sl-SI"/>
        </w:rPr>
        <w:t>pet</w:t>
      </w:r>
      <w:r w:rsidRPr="00E9100B">
        <w:rPr>
          <w:lang w:eastAsia="sl-SI"/>
        </w:rPr>
        <w:t xml:space="preserve"> različn</w:t>
      </w:r>
      <w:r>
        <w:rPr>
          <w:lang w:eastAsia="sl-SI"/>
        </w:rPr>
        <w:t>ih</w:t>
      </w:r>
      <w:r w:rsidRPr="00E9100B">
        <w:rPr>
          <w:lang w:eastAsia="sl-SI"/>
        </w:rPr>
        <w:t xml:space="preserve"> scenarije</w:t>
      </w:r>
      <w:r>
        <w:rPr>
          <w:lang w:eastAsia="sl-SI"/>
        </w:rPr>
        <w:t>v</w:t>
      </w:r>
      <w:r w:rsidRPr="00E9100B">
        <w:rPr>
          <w:lang w:eastAsia="sl-SI"/>
        </w:rPr>
        <w:t>:</w:t>
      </w:r>
    </w:p>
    <w:p w14:paraId="05311E79" w14:textId="77777777" w:rsidR="003548A1" w:rsidRPr="00934740" w:rsidRDefault="003548A1" w:rsidP="00900691">
      <w:pPr>
        <w:pStyle w:val="Odstavekseznama"/>
        <w:numPr>
          <w:ilvl w:val="0"/>
          <w:numId w:val="43"/>
        </w:numPr>
        <w:rPr>
          <w:lang w:eastAsia="sl-SI"/>
        </w:rPr>
      </w:pPr>
      <w:r w:rsidRPr="00934740">
        <w:rPr>
          <w:lang w:eastAsia="sl-SI"/>
        </w:rPr>
        <w:t xml:space="preserve">Količina rabe se </w:t>
      </w:r>
      <w:r w:rsidRPr="00934740">
        <w:rPr>
          <w:b/>
          <w:bCs/>
          <w:lang w:eastAsia="sl-SI"/>
        </w:rPr>
        <w:t>zmanjša za 10 %</w:t>
      </w:r>
    </w:p>
    <w:p w14:paraId="486ACA58" w14:textId="77777777" w:rsidR="003548A1" w:rsidRPr="00934740" w:rsidRDefault="003548A1" w:rsidP="00900691">
      <w:pPr>
        <w:pStyle w:val="Odstavekseznama"/>
        <w:numPr>
          <w:ilvl w:val="0"/>
          <w:numId w:val="43"/>
        </w:numPr>
        <w:rPr>
          <w:lang w:eastAsia="sl-SI"/>
        </w:rPr>
      </w:pPr>
      <w:r w:rsidRPr="00934740">
        <w:rPr>
          <w:lang w:eastAsia="sl-SI"/>
        </w:rPr>
        <w:t xml:space="preserve">Količina rabe </w:t>
      </w:r>
      <w:r w:rsidRPr="00934740">
        <w:rPr>
          <w:b/>
          <w:bCs/>
          <w:lang w:eastAsia="sl-SI"/>
        </w:rPr>
        <w:t>ostane enaka</w:t>
      </w:r>
    </w:p>
    <w:p w14:paraId="43E16943" w14:textId="77777777" w:rsidR="003548A1" w:rsidRPr="00934740" w:rsidRDefault="003548A1" w:rsidP="00900691">
      <w:pPr>
        <w:pStyle w:val="Odstavekseznama"/>
        <w:numPr>
          <w:ilvl w:val="0"/>
          <w:numId w:val="43"/>
        </w:numPr>
        <w:rPr>
          <w:lang w:eastAsia="sl-SI"/>
        </w:rPr>
      </w:pPr>
      <w:r w:rsidRPr="00934740">
        <w:rPr>
          <w:lang w:eastAsia="sl-SI"/>
        </w:rPr>
        <w:t xml:space="preserve">Količina rabe se </w:t>
      </w:r>
      <w:r w:rsidRPr="00934740">
        <w:rPr>
          <w:b/>
          <w:bCs/>
          <w:lang w:eastAsia="sl-SI"/>
        </w:rPr>
        <w:t>poveča za 10 %</w:t>
      </w:r>
    </w:p>
    <w:p w14:paraId="398FFA45" w14:textId="77777777" w:rsidR="003548A1" w:rsidRPr="00934740" w:rsidRDefault="003548A1" w:rsidP="00900691">
      <w:pPr>
        <w:pStyle w:val="Odstavekseznama"/>
        <w:numPr>
          <w:ilvl w:val="0"/>
          <w:numId w:val="43"/>
        </w:numPr>
        <w:spacing w:after="160"/>
        <w:ind w:left="714" w:hanging="357"/>
        <w:rPr>
          <w:lang w:eastAsia="sl-SI"/>
        </w:rPr>
      </w:pPr>
      <w:r w:rsidRPr="00934740">
        <w:rPr>
          <w:lang w:eastAsia="sl-SI"/>
        </w:rPr>
        <w:t xml:space="preserve">Količina rabe se </w:t>
      </w:r>
      <w:r w:rsidRPr="00934740">
        <w:rPr>
          <w:b/>
          <w:bCs/>
          <w:lang w:eastAsia="sl-SI"/>
        </w:rPr>
        <w:t>poveča za 25 %</w:t>
      </w:r>
    </w:p>
    <w:p w14:paraId="6380F51E" w14:textId="77777777" w:rsidR="003548A1" w:rsidRPr="00E9100B" w:rsidRDefault="003548A1" w:rsidP="003548A1">
      <w:pPr>
        <w:rPr>
          <w:lang w:eastAsia="sl-SI"/>
        </w:rPr>
      </w:pPr>
      <w:r w:rsidRPr="00E9100B">
        <w:rPr>
          <w:lang w:eastAsia="sl-SI"/>
        </w:rPr>
        <w:lastRenderedPageBreak/>
        <w:t>Skupno rabo podzemne vode smo izračunali na nivoju zaledji, ki so bila izdelana na podlagi topografske, geološke in hidrogeološke karte.</w:t>
      </w:r>
    </w:p>
    <w:p w14:paraId="654867BF" w14:textId="77777777" w:rsidR="003548A1" w:rsidRPr="00E9100B" w:rsidRDefault="003548A1" w:rsidP="003548A1">
      <w:pPr>
        <w:pStyle w:val="Naslov4"/>
      </w:pPr>
      <w:r w:rsidRPr="00E9100B">
        <w:t>Kazalniki potencialnih vplivov podnebnih sprememb na vodne vire</w:t>
      </w:r>
    </w:p>
    <w:p w14:paraId="25C10126" w14:textId="77777777" w:rsidR="003548A1" w:rsidRPr="00E9100B" w:rsidRDefault="003548A1" w:rsidP="003548A1">
      <w:pPr>
        <w:rPr>
          <w:lang w:eastAsia="sl-SI"/>
        </w:rPr>
      </w:pPr>
      <w:r w:rsidRPr="00E9100B">
        <w:rPr>
          <w:lang w:eastAsia="sl-SI"/>
        </w:rPr>
        <w:t>Iz izpostavljenosti in občutljivosti izhajata dva kazalnika potencialnih vplivov in sicer (</w:t>
      </w:r>
      <w:proofErr w:type="spellStart"/>
      <w:r>
        <w:t>Cheval</w:t>
      </w:r>
      <w:proofErr w:type="spellEnd"/>
      <w:r>
        <w:t xml:space="preserve"> in sod., 2014</w:t>
      </w:r>
      <w:r w:rsidRPr="00E9100B">
        <w:rPr>
          <w:lang w:eastAsia="sl-SI"/>
        </w:rPr>
        <w:t>):</w:t>
      </w:r>
    </w:p>
    <w:p w14:paraId="7855E4D2" w14:textId="77777777" w:rsidR="003548A1" w:rsidRPr="00E9100B" w:rsidRDefault="003548A1" w:rsidP="00F90C17">
      <w:pPr>
        <w:pStyle w:val="Odstavekseznama"/>
        <w:numPr>
          <w:ilvl w:val="0"/>
          <w:numId w:val="25"/>
        </w:numPr>
        <w:spacing w:after="160" w:line="259" w:lineRule="auto"/>
        <w:rPr>
          <w:lang w:eastAsia="sl-SI"/>
        </w:rPr>
      </w:pPr>
      <w:r w:rsidRPr="00E9100B">
        <w:rPr>
          <w:b/>
          <w:bCs/>
          <w:lang w:eastAsia="sl-SI"/>
        </w:rPr>
        <w:t xml:space="preserve">indeks </w:t>
      </w:r>
      <w:r>
        <w:rPr>
          <w:b/>
          <w:bCs/>
          <w:lang w:eastAsia="sl-SI"/>
        </w:rPr>
        <w:t>izkoriščanja</w:t>
      </w:r>
    </w:p>
    <w:p w14:paraId="12383A36" w14:textId="77777777" w:rsidR="003548A1" w:rsidRPr="00E9100B" w:rsidRDefault="003548A1" w:rsidP="00F90C17">
      <w:pPr>
        <w:pStyle w:val="Odstavekseznama"/>
        <w:numPr>
          <w:ilvl w:val="0"/>
          <w:numId w:val="25"/>
        </w:numPr>
        <w:spacing w:after="160" w:line="259" w:lineRule="auto"/>
        <w:rPr>
          <w:lang w:eastAsia="sl-SI"/>
        </w:rPr>
      </w:pPr>
      <w:r w:rsidRPr="00E9100B">
        <w:rPr>
          <w:b/>
          <w:bCs/>
          <w:lang w:eastAsia="sl-SI"/>
        </w:rPr>
        <w:t>vodni presežek</w:t>
      </w:r>
    </w:p>
    <w:p w14:paraId="121DEF14" w14:textId="77777777" w:rsidR="003548A1" w:rsidRPr="00E9100B" w:rsidRDefault="003548A1" w:rsidP="003548A1">
      <w:pPr>
        <w:rPr>
          <w:lang w:eastAsia="sl-SI"/>
        </w:rPr>
      </w:pPr>
      <w:r w:rsidRPr="00E9100B">
        <w:rPr>
          <w:lang w:eastAsia="sl-SI"/>
        </w:rPr>
        <w:t xml:space="preserve">Indeks </w:t>
      </w:r>
      <w:r>
        <w:rPr>
          <w:lang w:eastAsia="sl-SI"/>
        </w:rPr>
        <w:t>izkoriščanja</w:t>
      </w:r>
      <w:r w:rsidRPr="00E9100B">
        <w:rPr>
          <w:lang w:eastAsia="sl-SI"/>
        </w:rPr>
        <w:t xml:space="preserve"> (</w:t>
      </w:r>
      <w:r w:rsidRPr="00E9100B">
        <w:rPr>
          <w:i/>
          <w:iCs/>
          <w:lang w:eastAsia="sl-SI"/>
        </w:rPr>
        <w:t>II</w:t>
      </w:r>
      <w:r w:rsidRPr="00E9100B">
        <w:rPr>
          <w:lang w:eastAsia="sl-SI"/>
        </w:rPr>
        <w:t>) je podan kot razmerje med količino odvzete vode in vode, ki je na razpolago (enačba 6.1)</w:t>
      </w: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4"/>
        <w:gridCol w:w="8289"/>
        <w:gridCol w:w="675"/>
      </w:tblGrid>
      <w:tr w:rsidR="003548A1" w:rsidRPr="00E9100B" w14:paraId="14745FDB" w14:textId="77777777" w:rsidTr="00FF0031">
        <w:tc>
          <w:tcPr>
            <w:tcW w:w="350" w:type="pct"/>
            <w:vAlign w:val="center"/>
          </w:tcPr>
          <w:p w14:paraId="2169945B" w14:textId="77777777" w:rsidR="003548A1" w:rsidRPr="00E9100B" w:rsidRDefault="003548A1" w:rsidP="00FF0031">
            <w:pPr>
              <w:jc w:val="center"/>
              <w:rPr>
                <w:lang w:eastAsia="sl-SI"/>
              </w:rPr>
            </w:pPr>
          </w:p>
        </w:tc>
        <w:tc>
          <w:tcPr>
            <w:tcW w:w="4300" w:type="pct"/>
            <w:vAlign w:val="center"/>
          </w:tcPr>
          <w:p w14:paraId="6A6D2279" w14:textId="77777777" w:rsidR="003548A1" w:rsidRPr="00E9100B" w:rsidRDefault="003548A1" w:rsidP="00FF0031">
            <w:pPr>
              <w:jc w:val="center"/>
              <w:rPr>
                <w:lang w:eastAsia="sl-SI"/>
              </w:rPr>
            </w:pPr>
            <m:oMathPara>
              <m:oMath>
                <m:r>
                  <w:rPr>
                    <w:rFonts w:ascii="Cambria Math" w:hAnsi="Cambria Math"/>
                    <w:lang w:eastAsia="sl-SI"/>
                  </w:rPr>
                  <m:t xml:space="preserve">II= </m:t>
                </m:r>
                <m:f>
                  <m:fPr>
                    <m:ctrlPr>
                      <w:rPr>
                        <w:rFonts w:ascii="Cambria Math" w:hAnsi="Cambria Math"/>
                        <w:i/>
                        <w:lang w:eastAsia="sl-SI"/>
                      </w:rPr>
                    </m:ctrlPr>
                  </m:fPr>
                  <m:num>
                    <m:r>
                      <w:rPr>
                        <w:rFonts w:ascii="Cambria Math" w:hAnsi="Cambria Math"/>
                        <w:lang w:eastAsia="sl-SI"/>
                      </w:rPr>
                      <m:t>raba</m:t>
                    </m:r>
                  </m:num>
                  <m:den>
                    <m:r>
                      <w:rPr>
                        <w:rFonts w:ascii="Cambria Math" w:hAnsi="Cambria Math"/>
                        <w:lang w:eastAsia="sl-SI"/>
                      </w:rPr>
                      <m:t>razpoložljiva količina</m:t>
                    </m:r>
                  </m:den>
                </m:f>
              </m:oMath>
            </m:oMathPara>
          </w:p>
        </w:tc>
        <w:tc>
          <w:tcPr>
            <w:tcW w:w="350" w:type="pct"/>
            <w:vAlign w:val="bottom"/>
          </w:tcPr>
          <w:p w14:paraId="77D07DBB" w14:textId="49680A24" w:rsidR="003548A1" w:rsidRPr="00E9100B" w:rsidRDefault="003548A1" w:rsidP="00FF0031">
            <w:pPr>
              <w:pStyle w:val="Napis"/>
              <w:keepNext/>
              <w:jc w:val="right"/>
            </w:pPr>
            <w:r w:rsidRPr="00E9100B">
              <w:t>(</w:t>
            </w:r>
            <w:r w:rsidRPr="00E9100B">
              <w:fldChar w:fldCharType="begin"/>
            </w:r>
            <w:r w:rsidRPr="00E9100B">
              <w:instrText xml:space="preserve"> STYLEREF 1 \s </w:instrText>
            </w:r>
            <w:r w:rsidRPr="00E9100B">
              <w:fldChar w:fldCharType="separate"/>
            </w:r>
            <w:r w:rsidR="004700D5">
              <w:rPr>
                <w:noProof/>
              </w:rPr>
              <w:t>6</w:t>
            </w:r>
            <w:r w:rsidRPr="00E9100B">
              <w:rPr>
                <w:noProof/>
              </w:rPr>
              <w:fldChar w:fldCharType="end"/>
            </w:r>
            <w:r w:rsidRPr="00E9100B">
              <w:t>.</w:t>
            </w:r>
            <w:r w:rsidRPr="00E9100B">
              <w:fldChar w:fldCharType="begin"/>
            </w:r>
            <w:r w:rsidRPr="00E9100B">
              <w:instrText xml:space="preserve"> SEQ Enačba \* ARABIC \s 1 </w:instrText>
            </w:r>
            <w:r w:rsidRPr="00E9100B">
              <w:fldChar w:fldCharType="separate"/>
            </w:r>
            <w:r w:rsidR="004700D5">
              <w:rPr>
                <w:noProof/>
              </w:rPr>
              <w:t>3</w:t>
            </w:r>
            <w:r w:rsidRPr="00E9100B">
              <w:rPr>
                <w:noProof/>
              </w:rPr>
              <w:fldChar w:fldCharType="end"/>
            </w:r>
            <w:r w:rsidRPr="00E9100B">
              <w:t>)</w:t>
            </w:r>
          </w:p>
        </w:tc>
      </w:tr>
    </w:tbl>
    <w:p w14:paraId="4F8DFDD8" w14:textId="77777777" w:rsidR="003548A1" w:rsidRPr="00E9100B" w:rsidRDefault="003548A1" w:rsidP="003548A1">
      <w:pPr>
        <w:rPr>
          <w:lang w:eastAsia="sl-SI"/>
        </w:rPr>
      </w:pPr>
    </w:p>
    <w:p w14:paraId="15502488" w14:textId="77777777" w:rsidR="003548A1" w:rsidRPr="00E9100B" w:rsidRDefault="003548A1" w:rsidP="003548A1">
      <w:pPr>
        <w:pStyle w:val="Brezrazmikov"/>
        <w:rPr>
          <w:rFonts w:ascii="Trebuchet MS" w:hAnsi="Trebuchet MS" w:cstheme="minorBidi"/>
          <w:lang w:val="sl-SI" w:eastAsia="sl-SI"/>
        </w:rPr>
      </w:pPr>
      <w:r w:rsidRPr="00E9100B">
        <w:rPr>
          <w:rFonts w:ascii="Trebuchet MS" w:hAnsi="Trebuchet MS" w:cstheme="minorBidi"/>
          <w:lang w:val="sl-SI" w:eastAsia="sl-SI"/>
        </w:rPr>
        <w:t xml:space="preserve">Indeks </w:t>
      </w:r>
      <w:r>
        <w:rPr>
          <w:rFonts w:ascii="Trebuchet MS" w:hAnsi="Trebuchet MS" w:cstheme="minorBidi"/>
          <w:lang w:val="sl-SI" w:eastAsia="sl-SI"/>
        </w:rPr>
        <w:t>izkoriščanja</w:t>
      </w:r>
      <w:r w:rsidRPr="00E9100B">
        <w:rPr>
          <w:rFonts w:ascii="Trebuchet MS" w:hAnsi="Trebuchet MS" w:cstheme="minorBidi"/>
          <w:lang w:val="sl-SI" w:eastAsia="sl-SI"/>
        </w:rPr>
        <w:t xml:space="preserve"> klasificiramo v 5 razredov:</w:t>
      </w:r>
    </w:p>
    <w:p w14:paraId="3E963FCF" w14:textId="77777777" w:rsidR="003548A1" w:rsidRPr="00E9100B" w:rsidRDefault="003548A1" w:rsidP="003548A1">
      <w:pPr>
        <w:spacing w:after="0"/>
        <w:rPr>
          <w:lang w:eastAsia="sl-SI"/>
        </w:rPr>
      </w:pPr>
      <w:r w:rsidRPr="00E9100B">
        <w:rPr>
          <w:lang w:eastAsia="sl-SI"/>
        </w:rPr>
        <w:tab/>
        <w:t>II &lt; 0,2</w:t>
      </w:r>
      <w:r w:rsidRPr="00E9100B">
        <w:rPr>
          <w:lang w:eastAsia="sl-SI"/>
        </w:rPr>
        <w:tab/>
      </w:r>
      <w:r w:rsidRPr="00E9100B">
        <w:rPr>
          <w:lang w:eastAsia="sl-SI"/>
        </w:rPr>
        <w:tab/>
        <w:t>zelo majhen vodni stres</w:t>
      </w:r>
    </w:p>
    <w:p w14:paraId="251AD034" w14:textId="77777777" w:rsidR="003548A1" w:rsidRPr="00E9100B" w:rsidRDefault="003548A1" w:rsidP="003548A1">
      <w:pPr>
        <w:spacing w:after="0"/>
        <w:rPr>
          <w:lang w:eastAsia="sl-SI"/>
        </w:rPr>
      </w:pPr>
      <w:r w:rsidRPr="00E9100B">
        <w:rPr>
          <w:lang w:eastAsia="sl-SI"/>
        </w:rPr>
        <w:tab/>
        <w:t>0,2 &lt; II &lt; 0,4</w:t>
      </w:r>
      <w:r w:rsidRPr="00E9100B">
        <w:rPr>
          <w:lang w:eastAsia="sl-SI"/>
        </w:rPr>
        <w:tab/>
        <w:t>majhen vodni stres</w:t>
      </w:r>
    </w:p>
    <w:p w14:paraId="10B212DE" w14:textId="77777777" w:rsidR="003548A1" w:rsidRPr="00E9100B" w:rsidRDefault="003548A1" w:rsidP="003548A1">
      <w:pPr>
        <w:spacing w:after="0"/>
        <w:rPr>
          <w:lang w:eastAsia="sl-SI"/>
        </w:rPr>
      </w:pPr>
      <w:r w:rsidRPr="00E9100B">
        <w:rPr>
          <w:lang w:eastAsia="sl-SI"/>
        </w:rPr>
        <w:tab/>
        <w:t>0,4 &lt; II &lt; 0,6</w:t>
      </w:r>
      <w:r w:rsidRPr="00E9100B">
        <w:rPr>
          <w:lang w:eastAsia="sl-SI"/>
        </w:rPr>
        <w:tab/>
        <w:t>znatni vodni stres</w:t>
      </w:r>
    </w:p>
    <w:p w14:paraId="1A8A7610" w14:textId="77777777" w:rsidR="003548A1" w:rsidRPr="00E9100B" w:rsidRDefault="003548A1" w:rsidP="003548A1">
      <w:pPr>
        <w:spacing w:after="0"/>
        <w:rPr>
          <w:lang w:eastAsia="sl-SI"/>
        </w:rPr>
      </w:pPr>
      <w:r w:rsidRPr="00E9100B">
        <w:rPr>
          <w:lang w:eastAsia="sl-SI"/>
        </w:rPr>
        <w:tab/>
        <w:t>0,6 &lt; II &lt; 0,8</w:t>
      </w:r>
      <w:r w:rsidRPr="00E9100B">
        <w:rPr>
          <w:lang w:eastAsia="sl-SI"/>
        </w:rPr>
        <w:tab/>
        <w:t>velik vodni stres</w:t>
      </w:r>
    </w:p>
    <w:p w14:paraId="4CE00C1E" w14:textId="77777777" w:rsidR="003548A1" w:rsidRPr="00E9100B" w:rsidRDefault="003548A1" w:rsidP="003548A1">
      <w:pPr>
        <w:rPr>
          <w:lang w:eastAsia="sl-SI"/>
        </w:rPr>
      </w:pPr>
      <w:r w:rsidRPr="00E9100B">
        <w:rPr>
          <w:lang w:eastAsia="sl-SI"/>
        </w:rPr>
        <w:tab/>
        <w:t>II &gt; 0,8</w:t>
      </w:r>
      <w:r w:rsidRPr="00E9100B">
        <w:rPr>
          <w:lang w:eastAsia="sl-SI"/>
        </w:rPr>
        <w:tab/>
      </w:r>
      <w:r w:rsidRPr="00E9100B">
        <w:rPr>
          <w:lang w:eastAsia="sl-SI"/>
        </w:rPr>
        <w:tab/>
        <w:t>zelo velik vodni stres</w:t>
      </w:r>
    </w:p>
    <w:p w14:paraId="4A3DBF9A" w14:textId="77777777" w:rsidR="003548A1" w:rsidRPr="00E9100B" w:rsidRDefault="003548A1" w:rsidP="003548A1">
      <w:pPr>
        <w:rPr>
          <w:lang w:eastAsia="sl-SI"/>
        </w:rPr>
      </w:pPr>
      <w:r w:rsidRPr="00E9100B">
        <w:rPr>
          <w:lang w:eastAsia="sl-SI"/>
        </w:rPr>
        <w:t xml:space="preserve">Vrednosti nad 0,4 kažejo na znatni vodni stres. Če indeks </w:t>
      </w:r>
      <w:r>
        <w:rPr>
          <w:lang w:eastAsia="sl-SI"/>
        </w:rPr>
        <w:t>izkoriščanja</w:t>
      </w:r>
      <w:r w:rsidRPr="00E9100B">
        <w:rPr>
          <w:lang w:eastAsia="sl-SI"/>
        </w:rPr>
        <w:t xml:space="preserve"> preseže mejo 0,4, so potrebni ukrepi za zmanjšanje rabe vode ali povečanje razpoložljivih količin.</w:t>
      </w:r>
    </w:p>
    <w:p w14:paraId="3DEC5595" w14:textId="77777777" w:rsidR="003548A1" w:rsidRPr="00E9100B" w:rsidRDefault="003548A1" w:rsidP="003548A1">
      <w:pPr>
        <w:rPr>
          <w:lang w:eastAsia="sl-SI"/>
        </w:rPr>
      </w:pPr>
      <w:r w:rsidRPr="00E9100B">
        <w:rPr>
          <w:lang w:eastAsia="sl-SI"/>
        </w:rPr>
        <w:t>Vodni presežek (</w:t>
      </w:r>
      <w:r w:rsidRPr="00E9100B">
        <w:rPr>
          <w:i/>
          <w:iCs/>
          <w:lang w:eastAsia="sl-SI"/>
        </w:rPr>
        <w:t>VP</w:t>
      </w:r>
      <w:r w:rsidRPr="00E9100B">
        <w:rPr>
          <w:lang w:eastAsia="sl-SI"/>
        </w:rPr>
        <w:t>) nam poda delež vode, ki je še na razpolago in je definiran kot (enačba 6.2):</w:t>
      </w: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4"/>
        <w:gridCol w:w="8289"/>
        <w:gridCol w:w="675"/>
      </w:tblGrid>
      <w:tr w:rsidR="003548A1" w:rsidRPr="00E9100B" w14:paraId="4098F969" w14:textId="77777777" w:rsidTr="00FF0031">
        <w:tc>
          <w:tcPr>
            <w:tcW w:w="350" w:type="pct"/>
            <w:vAlign w:val="center"/>
          </w:tcPr>
          <w:p w14:paraId="2E9BF86A" w14:textId="77777777" w:rsidR="003548A1" w:rsidRPr="00E9100B" w:rsidRDefault="003548A1" w:rsidP="00FF0031">
            <w:pPr>
              <w:jc w:val="center"/>
              <w:rPr>
                <w:lang w:eastAsia="sl-SI"/>
              </w:rPr>
            </w:pPr>
          </w:p>
        </w:tc>
        <w:tc>
          <w:tcPr>
            <w:tcW w:w="4300" w:type="pct"/>
            <w:vAlign w:val="center"/>
          </w:tcPr>
          <w:p w14:paraId="3095D8B2" w14:textId="77777777" w:rsidR="003548A1" w:rsidRPr="00E9100B" w:rsidRDefault="003548A1" w:rsidP="00FF0031">
            <w:pPr>
              <w:jc w:val="center"/>
              <w:rPr>
                <w:lang w:eastAsia="sl-SI"/>
              </w:rPr>
            </w:pPr>
            <m:oMathPara>
              <m:oMath>
                <m:r>
                  <w:rPr>
                    <w:rFonts w:ascii="Cambria Math" w:hAnsi="Cambria Math"/>
                    <w:lang w:eastAsia="sl-SI"/>
                  </w:rPr>
                  <m:t xml:space="preserve">VP= </m:t>
                </m:r>
                <m:f>
                  <m:fPr>
                    <m:ctrlPr>
                      <w:rPr>
                        <w:rFonts w:ascii="Cambria Math" w:hAnsi="Cambria Math"/>
                        <w:i/>
                        <w:lang w:eastAsia="sl-SI"/>
                      </w:rPr>
                    </m:ctrlPr>
                  </m:fPr>
                  <m:num>
                    <m:r>
                      <w:rPr>
                        <w:rFonts w:ascii="Cambria Math" w:hAnsi="Cambria Math"/>
                        <w:lang w:eastAsia="sl-SI"/>
                      </w:rPr>
                      <m:t>razpoložljiva količina- raba</m:t>
                    </m:r>
                  </m:num>
                  <m:den>
                    <m:r>
                      <w:rPr>
                        <w:rFonts w:ascii="Cambria Math" w:hAnsi="Cambria Math"/>
                        <w:lang w:eastAsia="sl-SI"/>
                      </w:rPr>
                      <m:t>razpoložljiva količina</m:t>
                    </m:r>
                  </m:den>
                </m:f>
              </m:oMath>
            </m:oMathPara>
          </w:p>
        </w:tc>
        <w:tc>
          <w:tcPr>
            <w:tcW w:w="350" w:type="pct"/>
            <w:vAlign w:val="bottom"/>
          </w:tcPr>
          <w:p w14:paraId="7FA6E480" w14:textId="0352534F" w:rsidR="003548A1" w:rsidRPr="00E9100B" w:rsidRDefault="003548A1" w:rsidP="00FF0031">
            <w:pPr>
              <w:pStyle w:val="Napis"/>
              <w:keepNext/>
              <w:jc w:val="right"/>
            </w:pPr>
            <w:r w:rsidRPr="00E9100B">
              <w:t>(</w:t>
            </w:r>
            <w:r w:rsidRPr="00E9100B">
              <w:fldChar w:fldCharType="begin"/>
            </w:r>
            <w:r w:rsidRPr="00E9100B">
              <w:instrText xml:space="preserve"> STYLEREF 1 \s </w:instrText>
            </w:r>
            <w:r w:rsidRPr="00E9100B">
              <w:fldChar w:fldCharType="separate"/>
            </w:r>
            <w:r w:rsidR="004700D5">
              <w:rPr>
                <w:noProof/>
              </w:rPr>
              <w:t>6</w:t>
            </w:r>
            <w:r w:rsidRPr="00E9100B">
              <w:rPr>
                <w:noProof/>
              </w:rPr>
              <w:fldChar w:fldCharType="end"/>
            </w:r>
            <w:r w:rsidRPr="00E9100B">
              <w:t>.</w:t>
            </w:r>
            <w:r w:rsidRPr="00E9100B">
              <w:fldChar w:fldCharType="begin"/>
            </w:r>
            <w:r w:rsidRPr="00E9100B">
              <w:instrText xml:space="preserve"> SEQ Enačba \* ARABIC \s 1 </w:instrText>
            </w:r>
            <w:r w:rsidRPr="00E9100B">
              <w:fldChar w:fldCharType="separate"/>
            </w:r>
            <w:r w:rsidR="004700D5">
              <w:rPr>
                <w:noProof/>
              </w:rPr>
              <w:t>4</w:t>
            </w:r>
            <w:r w:rsidRPr="00E9100B">
              <w:rPr>
                <w:noProof/>
              </w:rPr>
              <w:fldChar w:fldCharType="end"/>
            </w:r>
            <w:r w:rsidRPr="00E9100B">
              <w:t>)</w:t>
            </w:r>
          </w:p>
        </w:tc>
      </w:tr>
    </w:tbl>
    <w:p w14:paraId="47A5152C" w14:textId="77777777" w:rsidR="003548A1" w:rsidRPr="00E9100B" w:rsidRDefault="003548A1" w:rsidP="003548A1">
      <w:pPr>
        <w:rPr>
          <w:lang w:eastAsia="sl-SI"/>
        </w:rPr>
      </w:pPr>
    </w:p>
    <w:p w14:paraId="232A25A2" w14:textId="77777777" w:rsidR="003548A1" w:rsidRPr="00E9100B" w:rsidRDefault="003548A1" w:rsidP="003548A1">
      <w:pPr>
        <w:rPr>
          <w:lang w:eastAsia="sl-SI"/>
        </w:rPr>
      </w:pPr>
      <w:r w:rsidRPr="00E9100B">
        <w:rPr>
          <w:lang w:eastAsia="sl-SI"/>
        </w:rPr>
        <w:t xml:space="preserve">Indeks </w:t>
      </w:r>
      <w:r>
        <w:rPr>
          <w:lang w:eastAsia="sl-SI"/>
        </w:rPr>
        <w:t>izkoriščanja</w:t>
      </w:r>
      <w:r w:rsidRPr="00E9100B">
        <w:rPr>
          <w:lang w:eastAsia="sl-SI"/>
        </w:rPr>
        <w:t xml:space="preserve"> in vodni presežek sta izračunana glede na povprečni minimalni, povprečni in povprečni maksimalni skupni odtok/napajanje podzemne vode in z vsemi štirimi scenariji rabe vodnih virov za tridesetletna obdobja podnebna scenarija RCP4.5 in RCP8.5.</w:t>
      </w:r>
    </w:p>
    <w:p w14:paraId="22F279DE" w14:textId="2E034FDD" w:rsidR="003548A1" w:rsidRDefault="003548A1" w:rsidP="003548A1">
      <w:pPr>
        <w:rPr>
          <w:lang w:eastAsia="sl-SI"/>
        </w:rPr>
      </w:pPr>
      <w:r w:rsidRPr="00DF4378">
        <w:rPr>
          <w:lang w:eastAsia="sl-SI"/>
        </w:rPr>
        <w:t xml:space="preserve">Potencialni vpliv podnebnih sprememb na površinske in podzemne vode je kombinacija indeksa </w:t>
      </w:r>
      <w:r>
        <w:rPr>
          <w:lang w:eastAsia="sl-SI"/>
        </w:rPr>
        <w:t>izkoriščanja</w:t>
      </w:r>
      <w:r w:rsidRPr="00DF4378">
        <w:rPr>
          <w:lang w:eastAsia="sl-SI"/>
        </w:rPr>
        <w:t xml:space="preserve"> in vodnega presežka. Številčno je potencialni vpliv ocenjen po naslednji lestvici</w:t>
      </w:r>
      <w:r>
        <w:rPr>
          <w:lang w:eastAsia="sl-SI"/>
        </w:rPr>
        <w:t xml:space="preserve"> (</w:t>
      </w:r>
      <w:r>
        <w:rPr>
          <w:lang w:eastAsia="sl-SI"/>
        </w:rPr>
        <w:fldChar w:fldCharType="begin"/>
      </w:r>
      <w:r>
        <w:rPr>
          <w:lang w:eastAsia="sl-SI"/>
        </w:rPr>
        <w:instrText xml:space="preserve"> REF _Ref50444973 \h </w:instrText>
      </w:r>
      <w:r>
        <w:rPr>
          <w:lang w:eastAsia="sl-SI"/>
        </w:rPr>
      </w:r>
      <w:r>
        <w:rPr>
          <w:lang w:eastAsia="sl-SI"/>
        </w:rPr>
        <w:fldChar w:fldCharType="separate"/>
      </w:r>
      <w:r w:rsidR="004700D5">
        <w:t xml:space="preserve">Preglednica </w:t>
      </w:r>
      <w:r w:rsidR="004700D5">
        <w:rPr>
          <w:noProof/>
        </w:rPr>
        <w:t>6</w:t>
      </w:r>
      <w:r w:rsidR="004700D5">
        <w:t>.</w:t>
      </w:r>
      <w:r w:rsidR="004700D5">
        <w:rPr>
          <w:noProof/>
        </w:rPr>
        <w:t>30</w:t>
      </w:r>
      <w:r>
        <w:rPr>
          <w:lang w:eastAsia="sl-SI"/>
        </w:rPr>
        <w:fldChar w:fldCharType="end"/>
      </w:r>
      <w:r>
        <w:rPr>
          <w:lang w:eastAsia="sl-SI"/>
        </w:rPr>
        <w:t>)</w:t>
      </w:r>
      <w:r w:rsidRPr="00DF4378">
        <w:rPr>
          <w:lang w:eastAsia="sl-SI"/>
        </w:rPr>
        <w:t>:</w:t>
      </w:r>
    </w:p>
    <w:p w14:paraId="4B39EE19" w14:textId="42DE749B" w:rsidR="003548A1" w:rsidRDefault="003548A1" w:rsidP="003548A1">
      <w:pPr>
        <w:pStyle w:val="Napis"/>
        <w:keepNext/>
      </w:pPr>
      <w:bookmarkStart w:id="381" w:name="_Ref50444973"/>
      <w:bookmarkStart w:id="382" w:name="_Toc97026983"/>
      <w:r>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30</w:t>
      </w:r>
      <w:r w:rsidR="00976D80">
        <w:fldChar w:fldCharType="end"/>
      </w:r>
      <w:bookmarkEnd w:id="381"/>
      <w:r>
        <w:t>: Ocenjevalna lestvica stopnje vpliva podnebnih sprememb.</w:t>
      </w:r>
      <w:bookmarkEnd w:id="382"/>
    </w:p>
    <w:tbl>
      <w:tblPr>
        <w:tblStyle w:val="Tabelamrea"/>
        <w:tblW w:w="5000" w:type="pct"/>
        <w:tblLook w:val="04A0" w:firstRow="1" w:lastRow="0" w:firstColumn="1" w:lastColumn="0" w:noHBand="0" w:noVBand="1"/>
      </w:tblPr>
      <w:tblGrid>
        <w:gridCol w:w="3208"/>
        <w:gridCol w:w="3210"/>
        <w:gridCol w:w="3210"/>
      </w:tblGrid>
      <w:tr w:rsidR="003548A1" w14:paraId="6331B59E" w14:textId="77777777" w:rsidTr="00FF0031">
        <w:tc>
          <w:tcPr>
            <w:tcW w:w="1666" w:type="pct"/>
            <w:shd w:val="clear" w:color="auto" w:fill="AEAAAA" w:themeFill="background2" w:themeFillShade="BF"/>
            <w:vAlign w:val="center"/>
          </w:tcPr>
          <w:p w14:paraId="0870149F" w14:textId="77777777" w:rsidR="003548A1" w:rsidRDefault="003548A1" w:rsidP="00FF0031">
            <w:pPr>
              <w:jc w:val="center"/>
              <w:rPr>
                <w:lang w:eastAsia="sl-SI"/>
              </w:rPr>
            </w:pPr>
            <w:r>
              <w:rPr>
                <w:lang w:eastAsia="sl-SI"/>
              </w:rPr>
              <w:t>Stopnja vpliva</w:t>
            </w:r>
          </w:p>
        </w:tc>
        <w:tc>
          <w:tcPr>
            <w:tcW w:w="1667" w:type="pct"/>
            <w:shd w:val="clear" w:color="auto" w:fill="AEAAAA" w:themeFill="background2" w:themeFillShade="BF"/>
            <w:vAlign w:val="center"/>
          </w:tcPr>
          <w:p w14:paraId="4ED3BB94" w14:textId="77777777" w:rsidR="003548A1" w:rsidRPr="001C5033" w:rsidRDefault="003548A1" w:rsidP="00FF0031">
            <w:pPr>
              <w:jc w:val="center"/>
              <w:rPr>
                <w:lang w:eastAsia="sl-SI"/>
              </w:rPr>
            </w:pPr>
            <w:r>
              <w:rPr>
                <w:lang w:eastAsia="sl-SI"/>
              </w:rPr>
              <w:t xml:space="preserve">Indeks izkoriščanja </w:t>
            </w:r>
            <w:r>
              <w:rPr>
                <w:i/>
                <w:iCs/>
                <w:lang w:eastAsia="sl-SI"/>
              </w:rPr>
              <w:t>II</w:t>
            </w:r>
          </w:p>
        </w:tc>
        <w:tc>
          <w:tcPr>
            <w:tcW w:w="1667" w:type="pct"/>
            <w:shd w:val="clear" w:color="auto" w:fill="AEAAAA" w:themeFill="background2" w:themeFillShade="BF"/>
            <w:vAlign w:val="center"/>
          </w:tcPr>
          <w:p w14:paraId="2BCFEFDD" w14:textId="77777777" w:rsidR="003548A1" w:rsidRPr="001C5033" w:rsidRDefault="003548A1" w:rsidP="00FF0031">
            <w:pPr>
              <w:jc w:val="center"/>
              <w:rPr>
                <w:lang w:eastAsia="sl-SI"/>
              </w:rPr>
            </w:pPr>
            <w:r>
              <w:rPr>
                <w:lang w:eastAsia="sl-SI"/>
              </w:rPr>
              <w:t xml:space="preserve">Vodni presežek </w:t>
            </w:r>
            <w:r>
              <w:rPr>
                <w:i/>
                <w:iCs/>
                <w:lang w:eastAsia="sl-SI"/>
              </w:rPr>
              <w:t>VP</w:t>
            </w:r>
          </w:p>
        </w:tc>
      </w:tr>
      <w:tr w:rsidR="003548A1" w14:paraId="2A6390EC" w14:textId="77777777" w:rsidTr="00FF0031">
        <w:tc>
          <w:tcPr>
            <w:tcW w:w="1666" w:type="pct"/>
            <w:shd w:val="clear" w:color="auto" w:fill="D9D9D9" w:themeFill="background1" w:themeFillShade="D9"/>
          </w:tcPr>
          <w:p w14:paraId="0511616B" w14:textId="77777777" w:rsidR="003548A1" w:rsidRDefault="003548A1" w:rsidP="00FF0031">
            <w:pPr>
              <w:rPr>
                <w:lang w:eastAsia="sl-SI"/>
              </w:rPr>
            </w:pPr>
            <w:r>
              <w:rPr>
                <w:lang w:eastAsia="sl-SI"/>
              </w:rPr>
              <w:t>Zelo majhen vpliv (1)</w:t>
            </w:r>
          </w:p>
        </w:tc>
        <w:tc>
          <w:tcPr>
            <w:tcW w:w="1667" w:type="pct"/>
            <w:vAlign w:val="center"/>
          </w:tcPr>
          <w:p w14:paraId="06D2F262" w14:textId="77777777" w:rsidR="003548A1" w:rsidRDefault="003548A1" w:rsidP="00FF0031">
            <w:pPr>
              <w:jc w:val="center"/>
              <w:rPr>
                <w:lang w:eastAsia="sl-SI"/>
              </w:rPr>
            </w:pPr>
            <w:r>
              <w:rPr>
                <w:lang w:eastAsia="sl-SI"/>
              </w:rPr>
              <w:t>&lt; 0,2</w:t>
            </w:r>
          </w:p>
        </w:tc>
        <w:tc>
          <w:tcPr>
            <w:tcW w:w="1667" w:type="pct"/>
            <w:vAlign w:val="center"/>
          </w:tcPr>
          <w:p w14:paraId="65A94907" w14:textId="77777777" w:rsidR="003548A1" w:rsidRDefault="003548A1" w:rsidP="00FF0031">
            <w:pPr>
              <w:jc w:val="center"/>
              <w:rPr>
                <w:lang w:eastAsia="sl-SI"/>
              </w:rPr>
            </w:pPr>
            <w:r>
              <w:rPr>
                <w:lang w:eastAsia="sl-SI"/>
              </w:rPr>
              <w:t>&gt; 90 %</w:t>
            </w:r>
          </w:p>
        </w:tc>
      </w:tr>
      <w:tr w:rsidR="003548A1" w14:paraId="01B8E394" w14:textId="77777777" w:rsidTr="00FF0031">
        <w:tc>
          <w:tcPr>
            <w:tcW w:w="1666" w:type="pct"/>
            <w:shd w:val="clear" w:color="auto" w:fill="D9D9D9" w:themeFill="background1" w:themeFillShade="D9"/>
          </w:tcPr>
          <w:p w14:paraId="48BB7F7B" w14:textId="77777777" w:rsidR="003548A1" w:rsidRDefault="003548A1" w:rsidP="00FF0031">
            <w:pPr>
              <w:rPr>
                <w:lang w:eastAsia="sl-SI"/>
              </w:rPr>
            </w:pPr>
            <w:r>
              <w:rPr>
                <w:lang w:eastAsia="sl-SI"/>
              </w:rPr>
              <w:t>Majhen vpliv (2)</w:t>
            </w:r>
          </w:p>
        </w:tc>
        <w:tc>
          <w:tcPr>
            <w:tcW w:w="1667" w:type="pct"/>
            <w:vAlign w:val="center"/>
          </w:tcPr>
          <w:p w14:paraId="5C16720A" w14:textId="77777777" w:rsidR="003548A1" w:rsidRDefault="003548A1" w:rsidP="00FF0031">
            <w:pPr>
              <w:jc w:val="center"/>
              <w:rPr>
                <w:lang w:eastAsia="sl-SI"/>
              </w:rPr>
            </w:pPr>
            <w:r>
              <w:rPr>
                <w:lang w:eastAsia="sl-SI"/>
              </w:rPr>
              <w:t>0,2 – 0,4</w:t>
            </w:r>
          </w:p>
        </w:tc>
        <w:tc>
          <w:tcPr>
            <w:tcW w:w="1667" w:type="pct"/>
            <w:vAlign w:val="center"/>
          </w:tcPr>
          <w:p w14:paraId="6421DA19" w14:textId="77777777" w:rsidR="003548A1" w:rsidRDefault="003548A1" w:rsidP="00FF0031">
            <w:pPr>
              <w:jc w:val="center"/>
              <w:rPr>
                <w:lang w:eastAsia="sl-SI"/>
              </w:rPr>
            </w:pPr>
            <w:r>
              <w:rPr>
                <w:lang w:eastAsia="sl-SI"/>
              </w:rPr>
              <w:t>75 – 90 %</w:t>
            </w:r>
          </w:p>
        </w:tc>
      </w:tr>
      <w:tr w:rsidR="003548A1" w14:paraId="5D7E2E11" w14:textId="77777777" w:rsidTr="00FF0031">
        <w:tc>
          <w:tcPr>
            <w:tcW w:w="1666" w:type="pct"/>
            <w:shd w:val="clear" w:color="auto" w:fill="D9D9D9" w:themeFill="background1" w:themeFillShade="D9"/>
          </w:tcPr>
          <w:p w14:paraId="2CFF46DC" w14:textId="77777777" w:rsidR="003548A1" w:rsidRDefault="003548A1" w:rsidP="00FF0031">
            <w:pPr>
              <w:rPr>
                <w:lang w:eastAsia="sl-SI"/>
              </w:rPr>
            </w:pPr>
            <w:r>
              <w:rPr>
                <w:lang w:eastAsia="sl-SI"/>
              </w:rPr>
              <w:t>Zmeren, znatni vpliv (3)</w:t>
            </w:r>
          </w:p>
        </w:tc>
        <w:tc>
          <w:tcPr>
            <w:tcW w:w="1667" w:type="pct"/>
            <w:vAlign w:val="center"/>
          </w:tcPr>
          <w:p w14:paraId="584E3233" w14:textId="77777777" w:rsidR="003548A1" w:rsidRDefault="003548A1" w:rsidP="00FF0031">
            <w:pPr>
              <w:jc w:val="center"/>
              <w:rPr>
                <w:lang w:eastAsia="sl-SI"/>
              </w:rPr>
            </w:pPr>
            <w:r>
              <w:rPr>
                <w:lang w:eastAsia="sl-SI"/>
              </w:rPr>
              <w:t>0,4 – 0,6</w:t>
            </w:r>
          </w:p>
        </w:tc>
        <w:tc>
          <w:tcPr>
            <w:tcW w:w="1667" w:type="pct"/>
            <w:vAlign w:val="center"/>
          </w:tcPr>
          <w:p w14:paraId="4AE8BBEC" w14:textId="77777777" w:rsidR="003548A1" w:rsidRDefault="003548A1" w:rsidP="00FF0031">
            <w:pPr>
              <w:jc w:val="center"/>
              <w:rPr>
                <w:lang w:eastAsia="sl-SI"/>
              </w:rPr>
            </w:pPr>
            <w:r>
              <w:rPr>
                <w:lang w:eastAsia="sl-SI"/>
              </w:rPr>
              <w:t>60 – 75 %</w:t>
            </w:r>
          </w:p>
        </w:tc>
      </w:tr>
      <w:tr w:rsidR="003548A1" w14:paraId="308B129C" w14:textId="77777777" w:rsidTr="00FF0031">
        <w:tc>
          <w:tcPr>
            <w:tcW w:w="1666" w:type="pct"/>
            <w:shd w:val="clear" w:color="auto" w:fill="D9D9D9" w:themeFill="background1" w:themeFillShade="D9"/>
          </w:tcPr>
          <w:p w14:paraId="4CBA1A24" w14:textId="77777777" w:rsidR="003548A1" w:rsidRDefault="003548A1" w:rsidP="00FF0031">
            <w:pPr>
              <w:rPr>
                <w:lang w:eastAsia="sl-SI"/>
              </w:rPr>
            </w:pPr>
            <w:r>
              <w:rPr>
                <w:lang w:eastAsia="sl-SI"/>
              </w:rPr>
              <w:t>Velik vpliv (4)</w:t>
            </w:r>
          </w:p>
        </w:tc>
        <w:tc>
          <w:tcPr>
            <w:tcW w:w="1667" w:type="pct"/>
            <w:vAlign w:val="center"/>
          </w:tcPr>
          <w:p w14:paraId="1A89BA5C" w14:textId="77777777" w:rsidR="003548A1" w:rsidRDefault="003548A1" w:rsidP="00FF0031">
            <w:pPr>
              <w:jc w:val="center"/>
              <w:rPr>
                <w:lang w:eastAsia="sl-SI"/>
              </w:rPr>
            </w:pPr>
            <w:r>
              <w:rPr>
                <w:lang w:eastAsia="sl-SI"/>
              </w:rPr>
              <w:t>0,6 – 0,8</w:t>
            </w:r>
          </w:p>
        </w:tc>
        <w:tc>
          <w:tcPr>
            <w:tcW w:w="1667" w:type="pct"/>
            <w:vAlign w:val="center"/>
          </w:tcPr>
          <w:p w14:paraId="30BF28C0" w14:textId="77777777" w:rsidR="003548A1" w:rsidRDefault="003548A1" w:rsidP="00FF0031">
            <w:pPr>
              <w:jc w:val="center"/>
              <w:rPr>
                <w:lang w:eastAsia="sl-SI"/>
              </w:rPr>
            </w:pPr>
            <w:r>
              <w:rPr>
                <w:lang w:eastAsia="sl-SI"/>
              </w:rPr>
              <w:t>40 – 60 %</w:t>
            </w:r>
          </w:p>
        </w:tc>
      </w:tr>
      <w:tr w:rsidR="003548A1" w14:paraId="6551D2A8" w14:textId="77777777" w:rsidTr="00FF0031">
        <w:tc>
          <w:tcPr>
            <w:tcW w:w="1666" w:type="pct"/>
            <w:shd w:val="clear" w:color="auto" w:fill="D9D9D9" w:themeFill="background1" w:themeFillShade="D9"/>
          </w:tcPr>
          <w:p w14:paraId="6255C1BD" w14:textId="77777777" w:rsidR="003548A1" w:rsidRDefault="003548A1" w:rsidP="00FF0031">
            <w:pPr>
              <w:rPr>
                <w:lang w:eastAsia="sl-SI"/>
              </w:rPr>
            </w:pPr>
            <w:r>
              <w:rPr>
                <w:lang w:eastAsia="sl-SI"/>
              </w:rPr>
              <w:t>Zelo velik vpliv (5)</w:t>
            </w:r>
          </w:p>
        </w:tc>
        <w:tc>
          <w:tcPr>
            <w:tcW w:w="1667" w:type="pct"/>
            <w:vAlign w:val="center"/>
          </w:tcPr>
          <w:p w14:paraId="0EF64C0D" w14:textId="77777777" w:rsidR="003548A1" w:rsidRDefault="003548A1" w:rsidP="00F90C17">
            <w:pPr>
              <w:pStyle w:val="Odstavekseznama"/>
              <w:numPr>
                <w:ilvl w:val="0"/>
                <w:numId w:val="25"/>
              </w:numPr>
              <w:spacing w:line="240" w:lineRule="auto"/>
              <w:jc w:val="center"/>
              <w:rPr>
                <w:lang w:eastAsia="sl-SI"/>
              </w:rPr>
            </w:pPr>
            <w:r>
              <w:rPr>
                <w:lang w:eastAsia="sl-SI"/>
              </w:rPr>
              <w:t>0,8</w:t>
            </w:r>
          </w:p>
        </w:tc>
        <w:tc>
          <w:tcPr>
            <w:tcW w:w="1667" w:type="pct"/>
            <w:vAlign w:val="center"/>
          </w:tcPr>
          <w:p w14:paraId="19D040C7" w14:textId="77777777" w:rsidR="003548A1" w:rsidRDefault="003548A1" w:rsidP="00FF0031">
            <w:pPr>
              <w:jc w:val="center"/>
              <w:rPr>
                <w:lang w:eastAsia="sl-SI"/>
              </w:rPr>
            </w:pPr>
            <w:r>
              <w:rPr>
                <w:lang w:eastAsia="sl-SI"/>
              </w:rPr>
              <w:t>&lt; 40 %</w:t>
            </w:r>
          </w:p>
        </w:tc>
      </w:tr>
    </w:tbl>
    <w:p w14:paraId="0F0B51FF" w14:textId="77777777" w:rsidR="003548A1" w:rsidRPr="00DF4378" w:rsidRDefault="003548A1" w:rsidP="003548A1">
      <w:pPr>
        <w:rPr>
          <w:lang w:eastAsia="sl-SI"/>
        </w:rPr>
      </w:pPr>
    </w:p>
    <w:p w14:paraId="40556ABE" w14:textId="77777777" w:rsidR="003548A1" w:rsidRDefault="003548A1" w:rsidP="003548A1">
      <w:pPr>
        <w:rPr>
          <w:lang w:eastAsia="sl-SI"/>
        </w:rPr>
      </w:pPr>
      <w:r>
        <w:rPr>
          <w:lang w:eastAsia="sl-SI"/>
        </w:rPr>
        <w:lastRenderedPageBreak/>
        <w:t>Odstopanja od ocenjevalne lestvice so možna, ko avtor poročila strokovno oceni glede na razpoložljive podatke in rezultate analize. Tako lahko npr. indeks izkoriščanja in vodni presežek pokažeta zmerni vpliv, vendar je potencialni vpliv podnebnih sprememb višji zaradi dejavnikov, ki jih na sezonski ravni kazalca ne upoštevata (npr. spremembe pretoka zaradi obilnih deževji ali suš).</w:t>
      </w:r>
    </w:p>
    <w:p w14:paraId="27ECE353" w14:textId="77777777" w:rsidR="003548A1" w:rsidRPr="00E9100B" w:rsidRDefault="003548A1" w:rsidP="003548A1">
      <w:pPr>
        <w:pStyle w:val="Naslov4"/>
      </w:pPr>
      <w:r w:rsidRPr="00E9100B">
        <w:t>Kazalniki sposobnosti prilagajanja podnebnim spremembam</w:t>
      </w:r>
    </w:p>
    <w:p w14:paraId="45D9BAFF" w14:textId="77777777" w:rsidR="003548A1" w:rsidRPr="00E9100B" w:rsidRDefault="003548A1" w:rsidP="003548A1">
      <w:pPr>
        <w:rPr>
          <w:lang w:eastAsia="sl-SI"/>
        </w:rPr>
      </w:pPr>
      <w:r w:rsidRPr="00E9100B">
        <w:rPr>
          <w:lang w:eastAsia="sl-SI"/>
        </w:rPr>
        <w:t>Sposobnost prilagajanja vodnih virov na podzemne vode je odvisna od finančnih zmogljivosti občine in njenega prebivalstva, nivoja izobraženosti v občini, predvsem, kar zadeva vplivov podnebnih sprememb in okolijske ozaveščenosti. Pri iskanju novih in/ali rezervnih vodnih virov je poleg potrebnega znanja za vzpostavitev novega vira pomembna primarna lokacija, ki je odvisna od zmožnosti naravnega prostora in zmožnosti priključitve novega vira na obstoječo infrastrukturo.</w:t>
      </w:r>
    </w:p>
    <w:p w14:paraId="4CE7AC4A" w14:textId="77777777" w:rsidR="003548A1" w:rsidRPr="00E9100B" w:rsidRDefault="003548A1" w:rsidP="003548A1">
      <w:pPr>
        <w:rPr>
          <w:lang w:eastAsia="sl-SI"/>
        </w:rPr>
      </w:pPr>
      <w:r w:rsidRPr="00E9100B">
        <w:rPr>
          <w:lang w:eastAsia="sl-SI"/>
        </w:rPr>
        <w:t>Za oceno sposobnosti prilagajanja smo upoštevali naslednje kazalnike</w:t>
      </w:r>
    </w:p>
    <w:p w14:paraId="6EC9830C" w14:textId="77777777" w:rsidR="003548A1" w:rsidRPr="00E9100B" w:rsidRDefault="003548A1" w:rsidP="00F90C17">
      <w:pPr>
        <w:pStyle w:val="Odstavekseznama"/>
        <w:numPr>
          <w:ilvl w:val="0"/>
          <w:numId w:val="25"/>
        </w:numPr>
        <w:spacing w:after="160" w:line="259" w:lineRule="auto"/>
        <w:rPr>
          <w:b/>
          <w:bCs/>
          <w:lang w:eastAsia="sl-SI"/>
        </w:rPr>
      </w:pPr>
      <w:r w:rsidRPr="00E9100B">
        <w:rPr>
          <w:b/>
          <w:bCs/>
          <w:lang w:eastAsia="sl-SI"/>
        </w:rPr>
        <w:t xml:space="preserve">BDP na prebivalca v </w:t>
      </w:r>
      <w:r>
        <w:rPr>
          <w:b/>
          <w:bCs/>
          <w:lang w:eastAsia="sl-SI"/>
        </w:rPr>
        <w:t>Mestni občini Nova Gorica</w:t>
      </w:r>
    </w:p>
    <w:p w14:paraId="43B56057" w14:textId="77777777" w:rsidR="003548A1" w:rsidRDefault="003548A1" w:rsidP="00F90C17">
      <w:pPr>
        <w:pStyle w:val="Odstavekseznama"/>
        <w:numPr>
          <w:ilvl w:val="0"/>
          <w:numId w:val="25"/>
        </w:numPr>
        <w:spacing w:after="160" w:line="259" w:lineRule="auto"/>
        <w:rPr>
          <w:b/>
          <w:bCs/>
          <w:lang w:eastAsia="sl-SI"/>
        </w:rPr>
      </w:pPr>
      <w:r w:rsidRPr="00E9100B">
        <w:rPr>
          <w:b/>
          <w:bCs/>
          <w:lang w:eastAsia="sl-SI"/>
        </w:rPr>
        <w:t>Izobraženost v občini</w:t>
      </w:r>
    </w:p>
    <w:p w14:paraId="203DC28C" w14:textId="77777777" w:rsidR="003548A1" w:rsidRPr="00E9100B" w:rsidRDefault="003548A1" w:rsidP="00F90C17">
      <w:pPr>
        <w:pStyle w:val="Odstavekseznama"/>
        <w:numPr>
          <w:ilvl w:val="0"/>
          <w:numId w:val="25"/>
        </w:numPr>
        <w:spacing w:after="160" w:line="259" w:lineRule="auto"/>
        <w:rPr>
          <w:b/>
          <w:bCs/>
          <w:lang w:eastAsia="sl-SI"/>
        </w:rPr>
      </w:pPr>
      <w:r>
        <w:rPr>
          <w:b/>
          <w:bCs/>
          <w:lang w:eastAsia="sl-SI"/>
        </w:rPr>
        <w:t>Ozaveščenost prebivalstva v občini</w:t>
      </w:r>
    </w:p>
    <w:p w14:paraId="7C5D3FA2" w14:textId="66220B80" w:rsidR="003548A1" w:rsidRDefault="003548A1" w:rsidP="00F90C17">
      <w:pPr>
        <w:pStyle w:val="Odstavekseznama"/>
        <w:numPr>
          <w:ilvl w:val="0"/>
          <w:numId w:val="25"/>
        </w:numPr>
        <w:spacing w:after="160" w:line="259" w:lineRule="auto"/>
        <w:rPr>
          <w:b/>
          <w:bCs/>
          <w:lang w:eastAsia="sl-SI"/>
        </w:rPr>
      </w:pPr>
      <w:r>
        <w:rPr>
          <w:b/>
          <w:bCs/>
          <w:lang w:eastAsia="sl-SI"/>
        </w:rPr>
        <w:t>Možnost novega/rezervnega vodnega vira</w:t>
      </w:r>
    </w:p>
    <w:p w14:paraId="43200E75" w14:textId="77777777" w:rsidR="003548A1" w:rsidRPr="003548A1" w:rsidRDefault="003548A1" w:rsidP="003548A1">
      <w:pPr>
        <w:rPr>
          <w:b/>
          <w:bCs/>
          <w:lang w:eastAsia="sl-SI"/>
        </w:rPr>
      </w:pPr>
    </w:p>
    <w:p w14:paraId="7613F218" w14:textId="0311D776" w:rsidR="00982F26" w:rsidRPr="004D0BDB" w:rsidRDefault="00982F26" w:rsidP="00982F26">
      <w:pPr>
        <w:pStyle w:val="Naslov3"/>
        <w:ind w:left="1214"/>
      </w:pPr>
      <w:bookmarkStart w:id="383" w:name="_Toc97026790"/>
      <w:r w:rsidRPr="004D0BDB">
        <w:t xml:space="preserve">Zakonodajni okvir, </w:t>
      </w:r>
      <w:proofErr w:type="spellStart"/>
      <w:r w:rsidRPr="004D0BDB">
        <w:t>okoljski</w:t>
      </w:r>
      <w:proofErr w:type="spellEnd"/>
      <w:r w:rsidRPr="004D0BDB">
        <w:t xml:space="preserve"> cilji, merila in metoda ugotavljanja in vrednotenja vplivov plana sektor</w:t>
      </w:r>
      <w:bookmarkEnd w:id="380"/>
      <w:r w:rsidR="00F91232">
        <w:t>ja vodni viri</w:t>
      </w:r>
      <w:bookmarkEnd w:id="383"/>
    </w:p>
    <w:p w14:paraId="763B8A7C" w14:textId="77777777" w:rsidR="00982F26" w:rsidRPr="004D0BDB" w:rsidRDefault="00982F26" w:rsidP="00982F26">
      <w:pPr>
        <w:rPr>
          <w:lang w:eastAsia="sl-SI"/>
        </w:rPr>
      </w:pPr>
      <w:r w:rsidRPr="004D0BDB">
        <w:rPr>
          <w:lang w:eastAsia="sl-SI"/>
        </w:rPr>
        <w:t>V Sloveniji je na področju voda najpomembnejši Zakon o vodah in podzakonski akti:</w:t>
      </w:r>
    </w:p>
    <w:p w14:paraId="653CBC58" w14:textId="77777777" w:rsidR="00982F26" w:rsidRPr="004D0BDB" w:rsidRDefault="00982F26" w:rsidP="00982F26">
      <w:pPr>
        <w:rPr>
          <w:lang w:eastAsia="sl-SI"/>
        </w:rPr>
      </w:pPr>
      <w:r w:rsidRPr="004D0BDB">
        <w:rPr>
          <w:lang w:eastAsia="sl-SI"/>
        </w:rPr>
        <w:t>-</w:t>
      </w:r>
      <w:r w:rsidRPr="004D0BDB">
        <w:rPr>
          <w:lang w:eastAsia="sl-SI"/>
        </w:rPr>
        <w:tab/>
        <w:t>Zakon o vodah (Uradni list RS, št. 67/02, 2/04 – ZZdrI-A, 41/04 – ZVO-1, 57/08, 57/12, 100/13, 40/14</w:t>
      </w:r>
      <w:r>
        <w:rPr>
          <w:lang w:eastAsia="sl-SI"/>
        </w:rPr>
        <w:t xml:space="preserve">, </w:t>
      </w:r>
      <w:r w:rsidRPr="004D0BDB">
        <w:rPr>
          <w:lang w:eastAsia="sl-SI"/>
        </w:rPr>
        <w:t>56/15</w:t>
      </w:r>
      <w:r>
        <w:rPr>
          <w:lang w:eastAsia="sl-SI"/>
        </w:rPr>
        <w:t xml:space="preserve"> in 65/20</w:t>
      </w:r>
      <w:r w:rsidRPr="004D0BDB">
        <w:rPr>
          <w:lang w:eastAsia="sl-SI"/>
        </w:rPr>
        <w:t>)</w:t>
      </w:r>
    </w:p>
    <w:p w14:paraId="66125B33" w14:textId="77777777" w:rsidR="00982F26" w:rsidRPr="004D0BDB" w:rsidRDefault="00982F26" w:rsidP="00982F26">
      <w:pPr>
        <w:rPr>
          <w:lang w:eastAsia="sl-SI"/>
        </w:rPr>
      </w:pPr>
      <w:r w:rsidRPr="004D0BDB">
        <w:rPr>
          <w:lang w:eastAsia="sl-SI"/>
        </w:rPr>
        <w:t>-</w:t>
      </w:r>
      <w:r w:rsidRPr="004D0BDB">
        <w:rPr>
          <w:lang w:eastAsia="sl-SI"/>
        </w:rPr>
        <w:tab/>
        <w:t>Uredba o načrtih upravljanja voda na vodnih območjih Donave in Jadranskega morja (Uradni list RS, št. 67/16) -  NUV II za obdobje 2016–2021. Sestavni del NUV II je Program ukrepov.</w:t>
      </w:r>
    </w:p>
    <w:p w14:paraId="6941AE8F" w14:textId="77777777" w:rsidR="00982F26" w:rsidRPr="004D0BDB" w:rsidRDefault="00982F26" w:rsidP="00982F26">
      <w:pPr>
        <w:rPr>
          <w:lang w:eastAsia="sl-SI"/>
        </w:rPr>
      </w:pPr>
      <w:r w:rsidRPr="004D0BDB">
        <w:rPr>
          <w:lang w:eastAsia="sl-SI"/>
        </w:rPr>
        <w:t>-</w:t>
      </w:r>
      <w:r w:rsidRPr="004D0BDB">
        <w:rPr>
          <w:lang w:eastAsia="sl-SI"/>
        </w:rPr>
        <w:tab/>
        <w:t>Uredba o stanju površinskih voda (Uradni list RS, št. 14/09, 98/10, 96/13 in 24/16)</w:t>
      </w:r>
    </w:p>
    <w:p w14:paraId="17D28788" w14:textId="77777777" w:rsidR="00982F26" w:rsidRPr="004D0BDB" w:rsidRDefault="00982F26" w:rsidP="00982F26">
      <w:pPr>
        <w:rPr>
          <w:lang w:eastAsia="sl-SI"/>
        </w:rPr>
      </w:pPr>
      <w:r w:rsidRPr="004D0BDB">
        <w:rPr>
          <w:lang w:eastAsia="sl-SI"/>
        </w:rPr>
        <w:t>-</w:t>
      </w:r>
      <w:r w:rsidRPr="004D0BDB">
        <w:rPr>
          <w:lang w:eastAsia="sl-SI"/>
        </w:rPr>
        <w:tab/>
        <w:t>Uredba o stanju podzemnih voda (Uradni list RS, št. 25/09</w:t>
      </w:r>
      <w:r>
        <w:rPr>
          <w:lang w:eastAsia="sl-SI"/>
        </w:rPr>
        <w:t>,</w:t>
      </w:r>
      <w:r w:rsidRPr="004D0BDB">
        <w:rPr>
          <w:lang w:eastAsia="sl-SI"/>
        </w:rPr>
        <w:t xml:space="preserve"> 68/12</w:t>
      </w:r>
      <w:r>
        <w:rPr>
          <w:lang w:eastAsia="sl-SI"/>
        </w:rPr>
        <w:t xml:space="preserve"> in 66/16</w:t>
      </w:r>
      <w:r w:rsidRPr="004D0BDB">
        <w:rPr>
          <w:lang w:eastAsia="sl-SI"/>
        </w:rPr>
        <w:t>)</w:t>
      </w:r>
    </w:p>
    <w:p w14:paraId="02A62F3F" w14:textId="77777777" w:rsidR="00982F26" w:rsidRPr="004D0BDB" w:rsidRDefault="00982F26" w:rsidP="00982F26">
      <w:pPr>
        <w:rPr>
          <w:lang w:eastAsia="sl-SI"/>
        </w:rPr>
      </w:pPr>
      <w:proofErr w:type="spellStart"/>
      <w:r w:rsidRPr="004D0BDB">
        <w:rPr>
          <w:lang w:eastAsia="sl-SI"/>
        </w:rPr>
        <w:t>Okoljski</w:t>
      </w:r>
      <w:proofErr w:type="spellEnd"/>
      <w:r w:rsidRPr="004D0BDB">
        <w:rPr>
          <w:lang w:eastAsia="sl-SI"/>
        </w:rPr>
        <w:t xml:space="preserve"> cilji za vodna telesa površinskih voda so doseganje dobrega ekološkega in kemijskega stanja. </w:t>
      </w:r>
      <w:proofErr w:type="spellStart"/>
      <w:r w:rsidRPr="004D0BDB">
        <w:rPr>
          <w:lang w:eastAsia="sl-SI"/>
        </w:rPr>
        <w:t>Okoljski</w:t>
      </w:r>
      <w:proofErr w:type="spellEnd"/>
      <w:r w:rsidRPr="004D0BDB">
        <w:rPr>
          <w:lang w:eastAsia="sl-SI"/>
        </w:rPr>
        <w:t xml:space="preserve"> cilji za podzemne vode so doseganje dobrega kemijskega in količinskega stanja. </w:t>
      </w:r>
    </w:p>
    <w:p w14:paraId="3C6F3843" w14:textId="77777777" w:rsidR="00982F26" w:rsidRPr="004D0BDB" w:rsidRDefault="00982F26" w:rsidP="00982F26">
      <w:pPr>
        <w:rPr>
          <w:lang w:eastAsia="sl-SI"/>
        </w:rPr>
      </w:pPr>
      <w:r w:rsidRPr="004D0BDB">
        <w:rPr>
          <w:lang w:eastAsia="sl-SI"/>
        </w:rPr>
        <w:t>Za doseganje dobrega kemijskega stanja je potrebno upoštevati zakonodajo s področja varstva okolja, predvsem z vidika varstva voda pred onesnaženjem iz različnih virov. To pomeni, da so potrebni ukrepi za preprečitev poslabševanja stanja voda ter za preprečitev vnašanja nevarnih snovi v vode in ustrezno omejitev vnosa vseh ostalih onesnaževal v vode.</w:t>
      </w:r>
    </w:p>
    <w:p w14:paraId="11CE3AE9" w14:textId="77777777" w:rsidR="00982F26" w:rsidRPr="004D0BDB" w:rsidRDefault="00982F26" w:rsidP="00982F26">
      <w:pPr>
        <w:rPr>
          <w:lang w:eastAsia="sl-SI"/>
        </w:rPr>
      </w:pPr>
      <w:r w:rsidRPr="004D0BDB">
        <w:rPr>
          <w:lang w:eastAsia="sl-SI"/>
        </w:rPr>
        <w:t xml:space="preserve">Veliko teles podzemne vode v Sloveniji </w:t>
      </w:r>
      <w:r>
        <w:rPr>
          <w:lang w:eastAsia="sl-SI"/>
        </w:rPr>
        <w:t>ima dobro kemijsko</w:t>
      </w:r>
      <w:r w:rsidRPr="004D0BDB">
        <w:rPr>
          <w:lang w:eastAsia="sl-SI"/>
        </w:rPr>
        <w:t xml:space="preserve"> stanj</w:t>
      </w:r>
      <w:r>
        <w:rPr>
          <w:lang w:eastAsia="sl-SI"/>
        </w:rPr>
        <w:t>e</w:t>
      </w:r>
      <w:r w:rsidRPr="004D0BDB">
        <w:rPr>
          <w:lang w:eastAsia="sl-SI"/>
        </w:rPr>
        <w:t xml:space="preserve">. Ta telesa podzemne vode predstavljajo pomemben vir vode za prihodnjo oskrbo in tudi strateški vir za prihodnost in prilagajanje podnebnim spremembam. </w:t>
      </w:r>
    </w:p>
    <w:p w14:paraId="2FB6BB96" w14:textId="77777777" w:rsidR="00982F26" w:rsidRPr="004D0BDB" w:rsidRDefault="00982F26" w:rsidP="00982F26">
      <w:pPr>
        <w:rPr>
          <w:lang w:eastAsia="sl-SI"/>
        </w:rPr>
      </w:pPr>
      <w:r w:rsidRPr="004D0BDB">
        <w:rPr>
          <w:lang w:eastAsia="sl-SI"/>
        </w:rPr>
        <w:t xml:space="preserve">Cilj ohranjanja in uravnavanja vodnih količin je zagotovitev količinske, časovne in prostorske razporeditve vode, ki je potrebna za oskrbo prebivalstva s pitno vodo, obstoj vodnih in obvodnih </w:t>
      </w:r>
      <w:r w:rsidRPr="004D0BDB">
        <w:rPr>
          <w:lang w:eastAsia="sl-SI"/>
        </w:rPr>
        <w:lastRenderedPageBreak/>
        <w:t>ekosistemov in za izvajanje vodnih pravic, kakor tudi bogatenje vodnih teles v času nizkih stanj voda, kar pomeni:</w:t>
      </w:r>
    </w:p>
    <w:p w14:paraId="10473326" w14:textId="77777777" w:rsidR="00982F26" w:rsidRPr="004D0BDB" w:rsidRDefault="00982F26" w:rsidP="00982F26">
      <w:pPr>
        <w:rPr>
          <w:lang w:eastAsia="sl-SI"/>
        </w:rPr>
      </w:pPr>
      <w:r w:rsidRPr="004D0BDB">
        <w:rPr>
          <w:lang w:eastAsia="sl-SI"/>
        </w:rPr>
        <w:t xml:space="preserve">- omejitev procesov, ki povečujejo razlike med malimi in velikimi pretoki, </w:t>
      </w:r>
      <w:r>
        <w:rPr>
          <w:lang w:eastAsia="sl-SI"/>
        </w:rPr>
        <w:t>ter</w:t>
      </w:r>
      <w:r w:rsidRPr="004D0BDB">
        <w:rPr>
          <w:lang w:eastAsia="sl-SI"/>
        </w:rPr>
        <w:t xml:space="preserve"> procesov spreminjanja pretočnih režimov,</w:t>
      </w:r>
    </w:p>
    <w:p w14:paraId="1682017D" w14:textId="77777777" w:rsidR="00982F26" w:rsidRPr="004D0BDB" w:rsidRDefault="00982F26" w:rsidP="00982F26">
      <w:pPr>
        <w:rPr>
          <w:lang w:eastAsia="sl-SI"/>
        </w:rPr>
      </w:pPr>
      <w:r w:rsidRPr="004D0BDB">
        <w:rPr>
          <w:lang w:eastAsia="sl-SI"/>
        </w:rPr>
        <w:t>- upoštevanje obratovalnih pravilnikov v okviru podeljenih vodnih pravic za zagotovitev ekološko sprejemljivega pretoka,</w:t>
      </w:r>
    </w:p>
    <w:p w14:paraId="147FD33B" w14:textId="77777777" w:rsidR="00982F26" w:rsidRPr="004D0BDB" w:rsidRDefault="00982F26" w:rsidP="00982F26">
      <w:pPr>
        <w:rPr>
          <w:lang w:eastAsia="sl-SI"/>
        </w:rPr>
      </w:pPr>
      <w:r w:rsidRPr="004D0BDB">
        <w:rPr>
          <w:lang w:eastAsia="sl-SI"/>
        </w:rPr>
        <w:t>- ustrezno poznavanje razmerij med naravnimi, razpoložljivimi in potrebnimi vodnimi količinami, ki bo omogočilo kakovostno načrtovanje vodne infrastrukture za doseganje ciljev rabe in varstva voda,</w:t>
      </w:r>
    </w:p>
    <w:p w14:paraId="06D74877" w14:textId="77777777" w:rsidR="00982F26" w:rsidRPr="004D0BDB" w:rsidRDefault="00982F26" w:rsidP="00982F26">
      <w:pPr>
        <w:rPr>
          <w:lang w:eastAsia="sl-SI"/>
        </w:rPr>
      </w:pPr>
      <w:r w:rsidRPr="004D0BDB">
        <w:rPr>
          <w:lang w:eastAsia="sl-SI"/>
        </w:rPr>
        <w:t xml:space="preserve">- povečanje sposobnosti zadrževanja površinskih in podzemnih voda </w:t>
      </w:r>
      <w:r>
        <w:rPr>
          <w:lang w:eastAsia="sl-SI"/>
        </w:rPr>
        <w:t>ter</w:t>
      </w:r>
      <w:r w:rsidRPr="004D0BDB">
        <w:rPr>
          <w:lang w:eastAsia="sl-SI"/>
        </w:rPr>
        <w:t xml:space="preserve"> ocena funkcionalnosti, obratovanja in vzdrževanja obstoječih zadrževalnikov ter njihova izboljšava.</w:t>
      </w:r>
    </w:p>
    <w:p w14:paraId="0C03C265" w14:textId="77777777" w:rsidR="00982F26" w:rsidRPr="004D0BDB" w:rsidRDefault="00982F26" w:rsidP="00982F26">
      <w:pPr>
        <w:rPr>
          <w:lang w:eastAsia="sl-SI"/>
        </w:rPr>
      </w:pPr>
      <w:r w:rsidRPr="004D0BDB">
        <w:rPr>
          <w:lang w:eastAsia="sl-SI"/>
        </w:rPr>
        <w:t>Ker so v Sloveniji viri pitne vode večinoma podzemne vode, je v tem primeru potrebno upoštevati tudi mejne vrednosti parametrov za zagotavljanje zdravstvene ustreznosti pitne vode (Pravilnik o pitni vodi; Uradni list RS, št. 19/04, 35/04, 26/06, 92/06, 25/09</w:t>
      </w:r>
      <w:r>
        <w:rPr>
          <w:lang w:eastAsia="sl-SI"/>
        </w:rPr>
        <w:t xml:space="preserve">, </w:t>
      </w:r>
      <w:r w:rsidRPr="004D0BDB">
        <w:rPr>
          <w:lang w:eastAsia="sl-SI"/>
        </w:rPr>
        <w:t>74/15</w:t>
      </w:r>
      <w:r>
        <w:rPr>
          <w:lang w:eastAsia="sl-SI"/>
        </w:rPr>
        <w:t xml:space="preserve"> in 51/17</w:t>
      </w:r>
      <w:r w:rsidRPr="004D0BDB">
        <w:rPr>
          <w:lang w:eastAsia="sl-SI"/>
        </w:rPr>
        <w:t>). Priporočene mejne vrednosti tveganja za zdravje ljudi so podane tudi v smernicah Svetovne zdravstvene organizacije.</w:t>
      </w:r>
    </w:p>
    <w:p w14:paraId="074542E9" w14:textId="77777777" w:rsidR="00982F26" w:rsidRPr="004D0BDB" w:rsidRDefault="00982F26" w:rsidP="00982F26">
      <w:pPr>
        <w:rPr>
          <w:lang w:eastAsia="sl-SI"/>
        </w:rPr>
      </w:pPr>
      <w:proofErr w:type="spellStart"/>
      <w:r w:rsidRPr="004D0BDB">
        <w:rPr>
          <w:lang w:eastAsia="sl-SI"/>
        </w:rPr>
        <w:t>Okoljski</w:t>
      </w:r>
      <w:proofErr w:type="spellEnd"/>
      <w:r w:rsidRPr="004D0BDB">
        <w:rPr>
          <w:lang w:eastAsia="sl-SI"/>
        </w:rPr>
        <w:t xml:space="preserve"> cilj za vodna telesa (VT) na vodovarstvenih območjih je zagotavljati dobro kemijsko in količinsko stanje za podzemne </w:t>
      </w:r>
      <w:r>
        <w:rPr>
          <w:lang w:eastAsia="sl-SI"/>
        </w:rPr>
        <w:t>ter</w:t>
      </w:r>
      <w:r w:rsidRPr="004D0BDB">
        <w:rPr>
          <w:lang w:eastAsia="sl-SI"/>
        </w:rPr>
        <w:t xml:space="preserve"> kemijsko </w:t>
      </w:r>
      <w:r>
        <w:rPr>
          <w:lang w:eastAsia="sl-SI"/>
        </w:rPr>
        <w:t>in</w:t>
      </w:r>
      <w:r w:rsidRPr="004D0BDB">
        <w:rPr>
          <w:lang w:eastAsia="sl-SI"/>
        </w:rPr>
        <w:t xml:space="preserve"> ekološko stanje za površinske vode. Zagotavljanje dobrega kemijskega stanja na vodovarstvenih območjih je preprečitev kakršnihkoli zaznavnih sprememb podzemne vode na zajetjih zaradi uvajanja novih posegov v prostor. Za določene nove posege v prostor, ki lahko predstavljajo nevarnost onesnaženja vodnega vira, je potrebno ugotavljati relativno občutljivost vodnega vira na poseg in načrtovati dodatne zaščitne ukrepe za preprečitev morebitnih zaznavnih vplivov.</w:t>
      </w:r>
    </w:p>
    <w:p w14:paraId="07248A30" w14:textId="77777777" w:rsidR="00982F26" w:rsidRPr="004D0BDB" w:rsidRDefault="00982F26" w:rsidP="00982F26">
      <w:pPr>
        <w:rPr>
          <w:lang w:eastAsia="sl-SI"/>
        </w:rPr>
      </w:pPr>
      <w:r w:rsidRPr="004D0BDB">
        <w:rPr>
          <w:lang w:eastAsia="sl-SI"/>
        </w:rPr>
        <w:t>Z vidika podnebnih sprememb je v NUV II podana ocena podnebnih sprememb in spremembe odtoka v Sloveniji. Program ukrepov, ki je sestavni del NUV II, eksplicitno ne na</w:t>
      </w:r>
      <w:r>
        <w:rPr>
          <w:lang w:eastAsia="sl-SI"/>
        </w:rPr>
        <w:t>v</w:t>
      </w:r>
      <w:r w:rsidRPr="004D0BDB">
        <w:rPr>
          <w:lang w:eastAsia="sl-SI"/>
        </w:rPr>
        <w:t xml:space="preserve">aja ukrepov za prilagajanje podnebnim spremembam, temveč le temeljne ukrepe, ki se že izvajajo na podlagi predpisov, ki urejajo področje voda, varstva okolja, ohranjanje narave in ribištva.  Poleg temeljnih so podani tudi dopolnilni ukrepi za vodna telesa, kjer se ocenjuje, da </w:t>
      </w:r>
      <w:proofErr w:type="spellStart"/>
      <w:r w:rsidRPr="004D0BDB">
        <w:rPr>
          <w:lang w:eastAsia="sl-SI"/>
        </w:rPr>
        <w:t>okoljski</w:t>
      </w:r>
      <w:proofErr w:type="spellEnd"/>
      <w:r w:rsidRPr="004D0BDB">
        <w:rPr>
          <w:lang w:eastAsia="sl-SI"/>
        </w:rPr>
        <w:t xml:space="preserve"> cilji leta 2021 in 2027 ne bodo doseženi kljub izvajanju temeljnih ukrepov. Dopolnilni ukrepi za doseganje dobrega stanja voda zajemajo področja </w:t>
      </w:r>
      <w:proofErr w:type="spellStart"/>
      <w:r w:rsidRPr="004D0BDB">
        <w:rPr>
          <w:lang w:eastAsia="sl-SI"/>
        </w:rPr>
        <w:t>hidromorfoloških</w:t>
      </w:r>
      <w:proofErr w:type="spellEnd"/>
      <w:r w:rsidRPr="004D0BDB">
        <w:rPr>
          <w:lang w:eastAsia="sl-SI"/>
        </w:rPr>
        <w:t xml:space="preserve"> obremenitev in onesnaževanje voda.</w:t>
      </w:r>
    </w:p>
    <w:p w14:paraId="1FD606FE" w14:textId="77777777" w:rsidR="00982F26" w:rsidRPr="004D0BDB" w:rsidRDefault="00982F26" w:rsidP="00982F26">
      <w:pPr>
        <w:jc w:val="left"/>
        <w:rPr>
          <w:lang w:eastAsia="sl-SI"/>
        </w:rPr>
      </w:pPr>
    </w:p>
    <w:p w14:paraId="70D6F08C" w14:textId="77777777" w:rsidR="00982F26" w:rsidRPr="004D0BDB" w:rsidRDefault="00982F26" w:rsidP="00982F26">
      <w:pPr>
        <w:pStyle w:val="Naslov3"/>
        <w:ind w:left="1214"/>
      </w:pPr>
      <w:bookmarkStart w:id="384" w:name="_Toc57034759"/>
      <w:bookmarkStart w:id="385" w:name="_Toc97026791"/>
      <w:r w:rsidRPr="004D0BDB">
        <w:t>Obstoječe stanje sektorja vodni viri</w:t>
      </w:r>
      <w:bookmarkEnd w:id="384"/>
      <w:bookmarkEnd w:id="385"/>
    </w:p>
    <w:p w14:paraId="00D7267F" w14:textId="1B6BC9C6" w:rsidR="00982F26" w:rsidRPr="004D0BDB" w:rsidRDefault="00982F26" w:rsidP="00CE43D7">
      <w:pPr>
        <w:pStyle w:val="Naslov4"/>
      </w:pPr>
      <w:bookmarkStart w:id="386" w:name="_Ref50318958"/>
      <w:r w:rsidRPr="004D0BDB">
        <w:t>Površinske vode</w:t>
      </w:r>
      <w:bookmarkEnd w:id="386"/>
    </w:p>
    <w:p w14:paraId="5C53E974" w14:textId="77777777" w:rsidR="00C47DF2" w:rsidRDefault="00C47DF2" w:rsidP="00C47DF2">
      <w:pPr>
        <w:rPr>
          <w:lang w:eastAsia="sl-SI"/>
        </w:rPr>
      </w:pPr>
      <w:r>
        <w:rPr>
          <w:lang w:eastAsia="sl-SI"/>
        </w:rPr>
        <w:t xml:space="preserve">Na območju občine Nova Gorica sta dva večja vodotoka, reka Soča in reka Vipava ter večji zadrževalnik </w:t>
      </w:r>
      <w:proofErr w:type="spellStart"/>
      <w:r>
        <w:rPr>
          <w:lang w:eastAsia="sl-SI"/>
        </w:rPr>
        <w:t>Vogršček</w:t>
      </w:r>
      <w:proofErr w:type="spellEnd"/>
      <w:r>
        <w:rPr>
          <w:lang w:eastAsia="sl-SI"/>
        </w:rPr>
        <w:t>.</w:t>
      </w:r>
    </w:p>
    <w:p w14:paraId="1A2FE315" w14:textId="77777777" w:rsidR="00C47DF2" w:rsidRDefault="00C47DF2" w:rsidP="00C47DF2">
      <w:pPr>
        <w:rPr>
          <w:lang w:eastAsia="sl-SI"/>
        </w:rPr>
      </w:pPr>
      <w:r>
        <w:rPr>
          <w:lang w:eastAsia="sl-SI"/>
        </w:rPr>
        <w:t>Reka Soča izvira v dolini Trente v Triglavskem narodnem parku in se izliva v Jadransko morje v Tržaškem zalivu. Soča je na več mestih zajezena za potrebe hidroelektrarn. Mestoma se Soča zajema tudi za potrebe namakanja.</w:t>
      </w:r>
    </w:p>
    <w:p w14:paraId="3A274B3C" w14:textId="3825079A" w:rsidR="00C47DF2" w:rsidRPr="00FB70C6" w:rsidRDefault="00C47DF2" w:rsidP="00C47DF2">
      <w:pPr>
        <w:rPr>
          <w:lang w:eastAsia="sl-SI"/>
        </w:rPr>
      </w:pPr>
      <w:r>
        <w:rPr>
          <w:lang w:eastAsia="sl-SI"/>
        </w:rPr>
        <w:lastRenderedPageBreak/>
        <w:t xml:space="preserve">Za oceno količinskega stanja Soče so bili analizirani podatki s hidrološke postaje Solkan I, ki se nahaja pod HE Solkan in je posledično relativno konstanten in pogojen z delovanjem hidroelektrarne. Konstanten tok skozi leto lepo prikazuje </w:t>
      </w:r>
      <w:r>
        <w:rPr>
          <w:lang w:eastAsia="sl-SI"/>
        </w:rPr>
        <w:fldChar w:fldCharType="begin"/>
      </w:r>
      <w:r>
        <w:rPr>
          <w:lang w:eastAsia="sl-SI"/>
        </w:rPr>
        <w:instrText xml:space="preserve"> REF _Ref67656674 \h </w:instrText>
      </w:r>
      <w:r>
        <w:rPr>
          <w:lang w:eastAsia="sl-SI"/>
        </w:rPr>
      </w:r>
      <w:r>
        <w:rPr>
          <w:lang w:eastAsia="sl-SI"/>
        </w:rPr>
        <w:fldChar w:fldCharType="separate"/>
      </w:r>
      <w:r w:rsidR="004700D5">
        <w:t xml:space="preserve">Slika </w:t>
      </w:r>
      <w:r w:rsidR="004700D5">
        <w:rPr>
          <w:noProof/>
        </w:rPr>
        <w:t>6</w:t>
      </w:r>
      <w:r w:rsidR="004700D5">
        <w:t>.</w:t>
      </w:r>
      <w:r w:rsidR="004700D5">
        <w:rPr>
          <w:noProof/>
        </w:rPr>
        <w:t>27</w:t>
      </w:r>
      <w:r>
        <w:rPr>
          <w:lang w:eastAsia="sl-SI"/>
        </w:rPr>
        <w:fldChar w:fldCharType="end"/>
      </w:r>
      <w:r>
        <w:rPr>
          <w:lang w:eastAsia="sl-SI"/>
        </w:rPr>
        <w:t xml:space="preserve">. </w:t>
      </w:r>
      <w:r>
        <w:rPr>
          <w:lang w:eastAsia="sl-SI"/>
        </w:rPr>
        <w:fldChar w:fldCharType="begin"/>
      </w:r>
      <w:r>
        <w:rPr>
          <w:lang w:eastAsia="sl-SI"/>
        </w:rPr>
        <w:instrText xml:space="preserve"> REF _Ref50444973 \h </w:instrText>
      </w:r>
      <w:r>
        <w:rPr>
          <w:lang w:eastAsia="sl-SI"/>
        </w:rPr>
      </w:r>
      <w:r>
        <w:rPr>
          <w:lang w:eastAsia="sl-SI"/>
        </w:rPr>
        <w:fldChar w:fldCharType="separate"/>
      </w:r>
      <w:r w:rsidR="004700D5">
        <w:t xml:space="preserve">Preglednica </w:t>
      </w:r>
      <w:r w:rsidR="004700D5">
        <w:rPr>
          <w:noProof/>
        </w:rPr>
        <w:t>6</w:t>
      </w:r>
      <w:r w:rsidR="004700D5">
        <w:t>.</w:t>
      </w:r>
      <w:r w:rsidR="004700D5">
        <w:rPr>
          <w:noProof/>
        </w:rPr>
        <w:t>30</w:t>
      </w:r>
      <w:r>
        <w:rPr>
          <w:lang w:eastAsia="sl-SI"/>
        </w:rPr>
        <w:fldChar w:fldCharType="end"/>
      </w:r>
      <w:r>
        <w:rPr>
          <w:lang w:eastAsia="sl-SI"/>
        </w:rPr>
        <w:t xml:space="preserve"> prikazuje </w:t>
      </w:r>
      <w:r w:rsidRPr="00131076">
        <w:rPr>
          <w:lang w:eastAsia="sl-SI"/>
        </w:rPr>
        <w:t>povprečni letni pretoki, povprečni pretoki v poletnih mesecih (april do september), zimski meseci (oktober do marec) in mesec z najnižjim oziroma najvišjim povprečnim pretokom (ARSO, 2020a).</w:t>
      </w:r>
    </w:p>
    <w:p w14:paraId="107E15E4" w14:textId="77777777" w:rsidR="00C47DF2" w:rsidRDefault="00C47DF2" w:rsidP="00C47DF2">
      <w:pPr>
        <w:keepNext/>
        <w:jc w:val="center"/>
      </w:pPr>
      <w:r>
        <w:rPr>
          <w:noProof/>
          <w:lang w:eastAsia="sl-SI"/>
        </w:rPr>
        <w:drawing>
          <wp:inline distT="0" distB="0" distL="0" distR="0" wp14:anchorId="29AD9F4C" wp14:editId="745BAF93">
            <wp:extent cx="5885946" cy="2891532"/>
            <wp:effectExtent l="0" t="0" r="635" b="4445"/>
            <wp:docPr id="593441282" name="Picture 59344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73">
                      <a:extLst>
                        <a:ext uri="{28A0092B-C50C-407E-A947-70E740481C1C}">
                          <a14:useLocalDpi xmlns:a14="http://schemas.microsoft.com/office/drawing/2010/main" val="0"/>
                        </a:ext>
                      </a:extLst>
                    </a:blip>
                    <a:stretch>
                      <a:fillRect/>
                    </a:stretch>
                  </pic:blipFill>
                  <pic:spPr bwMode="auto">
                    <a:xfrm>
                      <a:off x="0" y="0"/>
                      <a:ext cx="5885946" cy="2891532"/>
                    </a:xfrm>
                    <a:prstGeom prst="rect">
                      <a:avLst/>
                    </a:prstGeom>
                    <a:noFill/>
                  </pic:spPr>
                </pic:pic>
              </a:graphicData>
            </a:graphic>
          </wp:inline>
        </w:drawing>
      </w:r>
    </w:p>
    <w:p w14:paraId="501A7E2E" w14:textId="56A9567F" w:rsidR="00C47DF2" w:rsidRDefault="00C47DF2" w:rsidP="00C47DF2">
      <w:pPr>
        <w:pStyle w:val="Napis"/>
      </w:pPr>
      <w:bookmarkStart w:id="387" w:name="_Ref67656674"/>
      <w:bookmarkStart w:id="388" w:name="_Toc97026877"/>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26</w:t>
      </w:r>
      <w:r w:rsidR="008334B2">
        <w:fldChar w:fldCharType="end"/>
      </w:r>
      <w:bookmarkEnd w:id="387"/>
      <w:r>
        <w:t>:</w:t>
      </w:r>
      <w:bookmarkStart w:id="389" w:name="_Ref64539533"/>
      <w:r w:rsidRPr="008B34D3">
        <w:t xml:space="preserve"> Povprečni minimalni, povprečni in povprečni maksimalni pretok reke </w:t>
      </w:r>
      <w:r>
        <w:t>Soče</w:t>
      </w:r>
      <w:r w:rsidRPr="008B34D3">
        <w:t xml:space="preserve"> na hidrogeološki postaji </w:t>
      </w:r>
      <w:r>
        <w:t>Solkan I</w:t>
      </w:r>
      <w:r w:rsidRPr="008B34D3">
        <w:t xml:space="preserve"> za obdobje </w:t>
      </w:r>
      <w:r>
        <w:t>19</w:t>
      </w:r>
      <w:r w:rsidRPr="008B34D3">
        <w:t>8</w:t>
      </w:r>
      <w:r>
        <w:t>0 </w:t>
      </w:r>
      <w:r>
        <w:noBreakHyphen/>
        <w:t> </w:t>
      </w:r>
      <w:r w:rsidRPr="008B34D3">
        <w:t>2019.</w:t>
      </w:r>
      <w:bookmarkEnd w:id="388"/>
    </w:p>
    <w:p w14:paraId="236786F3" w14:textId="761CF133" w:rsidR="00C47DF2" w:rsidRDefault="00C47DF2" w:rsidP="00C47DF2">
      <w:pPr>
        <w:pStyle w:val="Napis"/>
      </w:pPr>
      <w:bookmarkStart w:id="390" w:name="_Toc97026984"/>
      <w:r>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31</w:t>
      </w:r>
      <w:r w:rsidR="00976D80">
        <w:fldChar w:fldCharType="end"/>
      </w:r>
      <w:bookmarkEnd w:id="389"/>
      <w:r>
        <w:t>: Tabelarični prikaz povprečnih minimalnih, srednjih in maksimalnih pretokov na postaji Solkan I (Soča) na letni in sezonski ravni, vključno z mesecem, ko je bil povprečni pretok najnižji ali najvišji. Podatki zajemajo obdobje 1980 do 2018.</w:t>
      </w:r>
      <w:bookmarkEnd w:id="390"/>
    </w:p>
    <w:tbl>
      <w:tblPr>
        <w:tblStyle w:val="Tabelamrea"/>
        <w:tblW w:w="4997" w:type="pct"/>
        <w:tblInd w:w="5" w:type="dxa"/>
        <w:tblLayout w:type="fixed"/>
        <w:tblLook w:val="04A0" w:firstRow="1" w:lastRow="0" w:firstColumn="1" w:lastColumn="0" w:noHBand="0" w:noVBand="1"/>
      </w:tblPr>
      <w:tblGrid>
        <w:gridCol w:w="2405"/>
        <w:gridCol w:w="2411"/>
        <w:gridCol w:w="2285"/>
        <w:gridCol w:w="2526"/>
      </w:tblGrid>
      <w:tr w:rsidR="00C47DF2" w:rsidRPr="003D3E6C" w14:paraId="1B27948C" w14:textId="77777777" w:rsidTr="00FF0031">
        <w:trPr>
          <w:trHeight w:val="255"/>
        </w:trPr>
        <w:tc>
          <w:tcPr>
            <w:tcW w:w="1249" w:type="pct"/>
            <w:tcBorders>
              <w:top w:val="nil"/>
              <w:left w:val="nil"/>
            </w:tcBorders>
            <w:noWrap/>
            <w:hideMark/>
          </w:tcPr>
          <w:p w14:paraId="55B0E2C1" w14:textId="77777777" w:rsidR="00C47DF2" w:rsidRPr="003D3E6C" w:rsidRDefault="00C47DF2" w:rsidP="00FF0031">
            <w:pPr>
              <w:jc w:val="left"/>
            </w:pPr>
          </w:p>
        </w:tc>
        <w:tc>
          <w:tcPr>
            <w:tcW w:w="1252" w:type="pct"/>
            <w:shd w:val="clear" w:color="auto" w:fill="AEAAAA" w:themeFill="background2" w:themeFillShade="BF"/>
            <w:noWrap/>
            <w:vAlign w:val="center"/>
            <w:hideMark/>
          </w:tcPr>
          <w:p w14:paraId="7DF7F514" w14:textId="77777777" w:rsidR="00C47DF2" w:rsidRPr="003D3E6C" w:rsidRDefault="00C47DF2" w:rsidP="00FF0031">
            <w:pPr>
              <w:jc w:val="center"/>
              <w:rPr>
                <w:rFonts w:cs="Arial"/>
                <w:sz w:val="20"/>
                <w:szCs w:val="20"/>
              </w:rPr>
            </w:pPr>
            <w:r w:rsidRPr="003D3E6C">
              <w:rPr>
                <w:rFonts w:cs="Arial"/>
                <w:sz w:val="20"/>
                <w:szCs w:val="20"/>
              </w:rPr>
              <w:t>minimalni pretok [m</w:t>
            </w:r>
            <w:r w:rsidRPr="003D3E6C">
              <w:rPr>
                <w:rFonts w:cs="Arial"/>
                <w:sz w:val="20"/>
                <w:szCs w:val="20"/>
                <w:vertAlign w:val="superscript"/>
              </w:rPr>
              <w:t>3</w:t>
            </w:r>
            <w:r w:rsidRPr="003D3E6C">
              <w:rPr>
                <w:rFonts w:cs="Arial"/>
                <w:sz w:val="20"/>
                <w:szCs w:val="20"/>
              </w:rPr>
              <w:t>/s]</w:t>
            </w:r>
          </w:p>
        </w:tc>
        <w:tc>
          <w:tcPr>
            <w:tcW w:w="1187" w:type="pct"/>
            <w:shd w:val="clear" w:color="auto" w:fill="AEAAAA" w:themeFill="background2" w:themeFillShade="BF"/>
            <w:noWrap/>
            <w:vAlign w:val="center"/>
            <w:hideMark/>
          </w:tcPr>
          <w:p w14:paraId="2C8200D8" w14:textId="77777777" w:rsidR="00C47DF2" w:rsidRPr="003D3E6C" w:rsidRDefault="00C47DF2" w:rsidP="00FF0031">
            <w:pPr>
              <w:jc w:val="center"/>
              <w:rPr>
                <w:rFonts w:cs="Arial"/>
                <w:sz w:val="20"/>
                <w:szCs w:val="20"/>
              </w:rPr>
            </w:pPr>
            <w:r w:rsidRPr="003D3E6C">
              <w:rPr>
                <w:rFonts w:cs="Arial"/>
                <w:sz w:val="20"/>
                <w:szCs w:val="20"/>
              </w:rPr>
              <w:t>srednji pretok [m</w:t>
            </w:r>
            <w:r w:rsidRPr="003D3E6C">
              <w:rPr>
                <w:rFonts w:cs="Arial"/>
                <w:sz w:val="20"/>
                <w:szCs w:val="20"/>
                <w:vertAlign w:val="superscript"/>
              </w:rPr>
              <w:t>3</w:t>
            </w:r>
            <w:r w:rsidRPr="003D3E6C">
              <w:rPr>
                <w:rFonts w:cs="Arial"/>
                <w:sz w:val="20"/>
                <w:szCs w:val="20"/>
              </w:rPr>
              <w:t>/s]</w:t>
            </w:r>
          </w:p>
        </w:tc>
        <w:tc>
          <w:tcPr>
            <w:tcW w:w="1312" w:type="pct"/>
            <w:shd w:val="clear" w:color="auto" w:fill="AEAAAA" w:themeFill="background2" w:themeFillShade="BF"/>
            <w:noWrap/>
            <w:vAlign w:val="center"/>
            <w:hideMark/>
          </w:tcPr>
          <w:p w14:paraId="12672C9F" w14:textId="77777777" w:rsidR="00C47DF2" w:rsidRPr="003D3E6C" w:rsidRDefault="00C47DF2" w:rsidP="00FF0031">
            <w:pPr>
              <w:jc w:val="center"/>
              <w:rPr>
                <w:rFonts w:cs="Arial"/>
                <w:sz w:val="20"/>
                <w:szCs w:val="20"/>
              </w:rPr>
            </w:pPr>
            <w:r w:rsidRPr="003D3E6C">
              <w:rPr>
                <w:rFonts w:cs="Arial"/>
                <w:sz w:val="20"/>
                <w:szCs w:val="20"/>
              </w:rPr>
              <w:t>maksimalni pretok [m</w:t>
            </w:r>
            <w:r w:rsidRPr="003D3E6C">
              <w:rPr>
                <w:rFonts w:cs="Arial"/>
                <w:sz w:val="20"/>
                <w:szCs w:val="20"/>
                <w:vertAlign w:val="superscript"/>
              </w:rPr>
              <w:t>3</w:t>
            </w:r>
            <w:r w:rsidRPr="003D3E6C">
              <w:rPr>
                <w:rFonts w:cs="Arial"/>
                <w:sz w:val="20"/>
                <w:szCs w:val="20"/>
              </w:rPr>
              <w:t>/s]</w:t>
            </w:r>
          </w:p>
        </w:tc>
      </w:tr>
      <w:tr w:rsidR="00C47DF2" w:rsidRPr="003D3E6C" w14:paraId="0A107FBD" w14:textId="77777777" w:rsidTr="00FF0031">
        <w:trPr>
          <w:trHeight w:val="255"/>
        </w:trPr>
        <w:tc>
          <w:tcPr>
            <w:tcW w:w="1249" w:type="pct"/>
            <w:shd w:val="clear" w:color="auto" w:fill="D9D9D9" w:themeFill="background1" w:themeFillShade="D9"/>
            <w:noWrap/>
            <w:vAlign w:val="center"/>
            <w:hideMark/>
          </w:tcPr>
          <w:p w14:paraId="587A8EF5" w14:textId="77777777" w:rsidR="00C47DF2" w:rsidRPr="003D3E6C" w:rsidRDefault="00C47DF2" w:rsidP="00FF0031">
            <w:pPr>
              <w:jc w:val="left"/>
              <w:rPr>
                <w:rFonts w:cs="Arial"/>
                <w:sz w:val="20"/>
                <w:szCs w:val="20"/>
              </w:rPr>
            </w:pPr>
            <w:r w:rsidRPr="003D3E6C">
              <w:rPr>
                <w:rFonts w:cs="Arial"/>
                <w:sz w:val="20"/>
                <w:szCs w:val="20"/>
              </w:rPr>
              <w:t>letno povprečje</w:t>
            </w:r>
          </w:p>
        </w:tc>
        <w:tc>
          <w:tcPr>
            <w:tcW w:w="1252" w:type="pct"/>
            <w:noWrap/>
            <w:vAlign w:val="bottom"/>
            <w:hideMark/>
          </w:tcPr>
          <w:p w14:paraId="70CB2D82" w14:textId="77777777" w:rsidR="00C47DF2" w:rsidRPr="003D3E6C" w:rsidRDefault="00C47DF2" w:rsidP="00FF0031">
            <w:pPr>
              <w:jc w:val="right"/>
              <w:rPr>
                <w:rFonts w:cs="Arial"/>
                <w:sz w:val="20"/>
                <w:szCs w:val="20"/>
              </w:rPr>
            </w:pPr>
            <w:r w:rsidRPr="003D3E6C">
              <w:rPr>
                <w:rFonts w:cs="Arial"/>
                <w:sz w:val="20"/>
                <w:szCs w:val="20"/>
              </w:rPr>
              <w:t>35,91</w:t>
            </w:r>
          </w:p>
        </w:tc>
        <w:tc>
          <w:tcPr>
            <w:tcW w:w="1187" w:type="pct"/>
            <w:noWrap/>
            <w:vAlign w:val="bottom"/>
            <w:hideMark/>
          </w:tcPr>
          <w:p w14:paraId="3D9DD2A2" w14:textId="77777777" w:rsidR="00C47DF2" w:rsidRPr="003D3E6C" w:rsidRDefault="00C47DF2" w:rsidP="00FF0031">
            <w:pPr>
              <w:jc w:val="right"/>
              <w:rPr>
                <w:rFonts w:cs="Arial"/>
                <w:sz w:val="20"/>
                <w:szCs w:val="20"/>
              </w:rPr>
            </w:pPr>
            <w:r w:rsidRPr="003D3E6C">
              <w:rPr>
                <w:rFonts w:cs="Arial"/>
                <w:sz w:val="20"/>
                <w:szCs w:val="20"/>
              </w:rPr>
              <w:t>90,94</w:t>
            </w:r>
          </w:p>
        </w:tc>
        <w:tc>
          <w:tcPr>
            <w:tcW w:w="1312" w:type="pct"/>
            <w:noWrap/>
            <w:vAlign w:val="bottom"/>
            <w:hideMark/>
          </w:tcPr>
          <w:p w14:paraId="6AA654CF" w14:textId="77777777" w:rsidR="00C47DF2" w:rsidRPr="003D3E6C" w:rsidRDefault="00C47DF2" w:rsidP="00FF0031">
            <w:pPr>
              <w:jc w:val="right"/>
              <w:rPr>
                <w:rFonts w:cs="Arial"/>
                <w:sz w:val="20"/>
                <w:szCs w:val="20"/>
              </w:rPr>
            </w:pPr>
            <w:r w:rsidRPr="003D3E6C">
              <w:rPr>
                <w:rFonts w:cs="Arial"/>
                <w:sz w:val="20"/>
                <w:szCs w:val="20"/>
              </w:rPr>
              <w:t>325,79</w:t>
            </w:r>
          </w:p>
        </w:tc>
      </w:tr>
      <w:tr w:rsidR="00C47DF2" w:rsidRPr="003D3E6C" w14:paraId="630D166D" w14:textId="77777777" w:rsidTr="00FF0031">
        <w:trPr>
          <w:trHeight w:val="255"/>
        </w:trPr>
        <w:tc>
          <w:tcPr>
            <w:tcW w:w="1249" w:type="pct"/>
            <w:shd w:val="clear" w:color="auto" w:fill="D9D9D9" w:themeFill="background1" w:themeFillShade="D9"/>
            <w:noWrap/>
            <w:vAlign w:val="center"/>
            <w:hideMark/>
          </w:tcPr>
          <w:p w14:paraId="360136C6" w14:textId="77777777" w:rsidR="00C47DF2" w:rsidRPr="003D3E6C" w:rsidRDefault="00C47DF2" w:rsidP="00FF0031">
            <w:pPr>
              <w:jc w:val="left"/>
              <w:rPr>
                <w:rFonts w:cs="Arial"/>
                <w:sz w:val="20"/>
                <w:szCs w:val="20"/>
              </w:rPr>
            </w:pPr>
            <w:r w:rsidRPr="003D3E6C">
              <w:rPr>
                <w:rFonts w:cs="Arial"/>
                <w:sz w:val="20"/>
                <w:szCs w:val="20"/>
              </w:rPr>
              <w:t>povprečje poletje</w:t>
            </w:r>
          </w:p>
        </w:tc>
        <w:tc>
          <w:tcPr>
            <w:tcW w:w="1252" w:type="pct"/>
            <w:noWrap/>
            <w:vAlign w:val="bottom"/>
            <w:hideMark/>
          </w:tcPr>
          <w:p w14:paraId="679F1DD9" w14:textId="77777777" w:rsidR="00C47DF2" w:rsidRPr="003D3E6C" w:rsidRDefault="00C47DF2" w:rsidP="00FF0031">
            <w:pPr>
              <w:jc w:val="right"/>
              <w:rPr>
                <w:rFonts w:cs="Arial"/>
                <w:sz w:val="20"/>
                <w:szCs w:val="20"/>
              </w:rPr>
            </w:pPr>
            <w:r w:rsidRPr="003D3E6C">
              <w:rPr>
                <w:rFonts w:cs="Arial"/>
                <w:sz w:val="20"/>
                <w:szCs w:val="20"/>
              </w:rPr>
              <w:t>37,60</w:t>
            </w:r>
          </w:p>
        </w:tc>
        <w:tc>
          <w:tcPr>
            <w:tcW w:w="1187" w:type="pct"/>
            <w:noWrap/>
            <w:vAlign w:val="bottom"/>
            <w:hideMark/>
          </w:tcPr>
          <w:p w14:paraId="5E48F874" w14:textId="77777777" w:rsidR="00C47DF2" w:rsidRPr="003D3E6C" w:rsidRDefault="00C47DF2" w:rsidP="00FF0031">
            <w:pPr>
              <w:jc w:val="right"/>
              <w:rPr>
                <w:rFonts w:cs="Arial"/>
                <w:sz w:val="20"/>
                <w:szCs w:val="20"/>
              </w:rPr>
            </w:pPr>
            <w:r w:rsidRPr="003D3E6C">
              <w:rPr>
                <w:rFonts w:cs="Arial"/>
                <w:sz w:val="20"/>
                <w:szCs w:val="20"/>
              </w:rPr>
              <w:t>80,15</w:t>
            </w:r>
          </w:p>
        </w:tc>
        <w:tc>
          <w:tcPr>
            <w:tcW w:w="1312" w:type="pct"/>
            <w:noWrap/>
            <w:vAlign w:val="bottom"/>
            <w:hideMark/>
          </w:tcPr>
          <w:p w14:paraId="30706630" w14:textId="77777777" w:rsidR="00C47DF2" w:rsidRPr="003D3E6C" w:rsidRDefault="00C47DF2" w:rsidP="00FF0031">
            <w:pPr>
              <w:jc w:val="right"/>
              <w:rPr>
                <w:rFonts w:cs="Arial"/>
                <w:sz w:val="20"/>
                <w:szCs w:val="20"/>
              </w:rPr>
            </w:pPr>
            <w:r w:rsidRPr="003D3E6C">
              <w:rPr>
                <w:rFonts w:cs="Arial"/>
                <w:sz w:val="20"/>
                <w:szCs w:val="20"/>
              </w:rPr>
              <w:t>244,21</w:t>
            </w:r>
          </w:p>
        </w:tc>
      </w:tr>
      <w:tr w:rsidR="00C47DF2" w:rsidRPr="003D3E6C" w14:paraId="2520914B" w14:textId="77777777" w:rsidTr="00FF0031">
        <w:trPr>
          <w:trHeight w:val="255"/>
        </w:trPr>
        <w:tc>
          <w:tcPr>
            <w:tcW w:w="1249" w:type="pct"/>
            <w:shd w:val="clear" w:color="auto" w:fill="D9D9D9" w:themeFill="background1" w:themeFillShade="D9"/>
            <w:noWrap/>
            <w:vAlign w:val="center"/>
            <w:hideMark/>
          </w:tcPr>
          <w:p w14:paraId="08224F62" w14:textId="77777777" w:rsidR="00C47DF2" w:rsidRPr="003D3E6C" w:rsidRDefault="00C47DF2" w:rsidP="00FF0031">
            <w:pPr>
              <w:jc w:val="left"/>
              <w:rPr>
                <w:rFonts w:cs="Arial"/>
                <w:sz w:val="20"/>
                <w:szCs w:val="20"/>
              </w:rPr>
            </w:pPr>
            <w:r w:rsidRPr="003D3E6C">
              <w:rPr>
                <w:rFonts w:cs="Arial"/>
                <w:sz w:val="20"/>
                <w:szCs w:val="20"/>
              </w:rPr>
              <w:t>povprečje zima</w:t>
            </w:r>
          </w:p>
        </w:tc>
        <w:tc>
          <w:tcPr>
            <w:tcW w:w="1252" w:type="pct"/>
            <w:noWrap/>
            <w:vAlign w:val="bottom"/>
            <w:hideMark/>
          </w:tcPr>
          <w:p w14:paraId="274C18C7" w14:textId="77777777" w:rsidR="00C47DF2" w:rsidRPr="003D3E6C" w:rsidRDefault="00C47DF2" w:rsidP="00FF0031">
            <w:pPr>
              <w:jc w:val="right"/>
              <w:rPr>
                <w:rFonts w:cs="Arial"/>
                <w:sz w:val="20"/>
                <w:szCs w:val="20"/>
              </w:rPr>
            </w:pPr>
            <w:r w:rsidRPr="003D3E6C">
              <w:rPr>
                <w:rFonts w:cs="Arial"/>
                <w:sz w:val="20"/>
                <w:szCs w:val="20"/>
              </w:rPr>
              <w:t>34,22</w:t>
            </w:r>
          </w:p>
        </w:tc>
        <w:tc>
          <w:tcPr>
            <w:tcW w:w="1187" w:type="pct"/>
            <w:noWrap/>
            <w:vAlign w:val="bottom"/>
            <w:hideMark/>
          </w:tcPr>
          <w:p w14:paraId="2D5F4A48" w14:textId="77777777" w:rsidR="00C47DF2" w:rsidRPr="003D3E6C" w:rsidRDefault="00C47DF2" w:rsidP="00FF0031">
            <w:pPr>
              <w:jc w:val="right"/>
              <w:rPr>
                <w:rFonts w:cs="Arial"/>
                <w:sz w:val="20"/>
                <w:szCs w:val="20"/>
              </w:rPr>
            </w:pPr>
            <w:r w:rsidRPr="003D3E6C">
              <w:rPr>
                <w:rFonts w:cs="Arial"/>
                <w:sz w:val="20"/>
                <w:szCs w:val="20"/>
              </w:rPr>
              <w:t>101,74</w:t>
            </w:r>
          </w:p>
        </w:tc>
        <w:tc>
          <w:tcPr>
            <w:tcW w:w="1312" w:type="pct"/>
            <w:noWrap/>
            <w:vAlign w:val="bottom"/>
            <w:hideMark/>
          </w:tcPr>
          <w:p w14:paraId="3BB18AA4" w14:textId="77777777" w:rsidR="00C47DF2" w:rsidRPr="003D3E6C" w:rsidRDefault="00C47DF2" w:rsidP="00FF0031">
            <w:pPr>
              <w:jc w:val="right"/>
              <w:rPr>
                <w:rFonts w:cs="Arial"/>
                <w:sz w:val="20"/>
                <w:szCs w:val="20"/>
              </w:rPr>
            </w:pPr>
            <w:r w:rsidRPr="003D3E6C">
              <w:rPr>
                <w:rFonts w:cs="Arial"/>
                <w:sz w:val="20"/>
                <w:szCs w:val="20"/>
              </w:rPr>
              <w:t>407,36</w:t>
            </w:r>
          </w:p>
        </w:tc>
      </w:tr>
      <w:tr w:rsidR="00C47DF2" w:rsidRPr="003D3E6C" w14:paraId="3A16AB82" w14:textId="77777777" w:rsidTr="00FF0031">
        <w:trPr>
          <w:trHeight w:val="255"/>
        </w:trPr>
        <w:tc>
          <w:tcPr>
            <w:tcW w:w="1249" w:type="pct"/>
            <w:shd w:val="clear" w:color="auto" w:fill="D9D9D9" w:themeFill="background1" w:themeFillShade="D9"/>
            <w:noWrap/>
            <w:vAlign w:val="center"/>
            <w:hideMark/>
          </w:tcPr>
          <w:p w14:paraId="6D72AA4F" w14:textId="77777777" w:rsidR="00C47DF2" w:rsidRPr="003D3E6C" w:rsidRDefault="00C47DF2" w:rsidP="00FF0031">
            <w:pPr>
              <w:jc w:val="left"/>
              <w:rPr>
                <w:rFonts w:cs="Arial"/>
                <w:sz w:val="20"/>
                <w:szCs w:val="20"/>
              </w:rPr>
            </w:pPr>
            <w:r w:rsidRPr="003D3E6C">
              <w:rPr>
                <w:rFonts w:cs="Arial"/>
                <w:sz w:val="20"/>
                <w:szCs w:val="20"/>
              </w:rPr>
              <w:t>najnižji pretok (mesec)</w:t>
            </w:r>
          </w:p>
        </w:tc>
        <w:tc>
          <w:tcPr>
            <w:tcW w:w="1252" w:type="pct"/>
            <w:noWrap/>
            <w:hideMark/>
          </w:tcPr>
          <w:p w14:paraId="62FC7E26" w14:textId="77777777" w:rsidR="00C47DF2" w:rsidRPr="003D3E6C" w:rsidRDefault="00C47DF2" w:rsidP="00FF0031">
            <w:pPr>
              <w:jc w:val="right"/>
              <w:rPr>
                <w:rFonts w:cs="Arial"/>
                <w:sz w:val="20"/>
                <w:szCs w:val="20"/>
              </w:rPr>
            </w:pPr>
            <w:r w:rsidRPr="003D3E6C">
              <w:rPr>
                <w:rFonts w:cs="Arial"/>
                <w:sz w:val="20"/>
                <w:szCs w:val="20"/>
              </w:rPr>
              <w:t>23,55 (avgust)</w:t>
            </w:r>
          </w:p>
        </w:tc>
        <w:tc>
          <w:tcPr>
            <w:tcW w:w="1187" w:type="pct"/>
            <w:noWrap/>
            <w:hideMark/>
          </w:tcPr>
          <w:p w14:paraId="0B8075EA" w14:textId="77777777" w:rsidR="00C47DF2" w:rsidRPr="003D3E6C" w:rsidRDefault="00C47DF2" w:rsidP="00FF0031">
            <w:pPr>
              <w:jc w:val="right"/>
              <w:rPr>
                <w:rFonts w:cs="Arial"/>
                <w:sz w:val="20"/>
                <w:szCs w:val="20"/>
              </w:rPr>
            </w:pPr>
            <w:r w:rsidRPr="003D3E6C">
              <w:rPr>
                <w:rFonts w:cs="Arial"/>
                <w:sz w:val="20"/>
                <w:szCs w:val="20"/>
              </w:rPr>
              <w:t>45,79 (avgust)</w:t>
            </w:r>
          </w:p>
        </w:tc>
        <w:tc>
          <w:tcPr>
            <w:tcW w:w="1312" w:type="pct"/>
            <w:noWrap/>
            <w:hideMark/>
          </w:tcPr>
          <w:p w14:paraId="5A383A05" w14:textId="77777777" w:rsidR="00C47DF2" w:rsidRPr="003D3E6C" w:rsidRDefault="00C47DF2" w:rsidP="00FF0031">
            <w:pPr>
              <w:jc w:val="right"/>
              <w:rPr>
                <w:rFonts w:cs="Arial"/>
                <w:sz w:val="20"/>
                <w:szCs w:val="20"/>
              </w:rPr>
            </w:pPr>
            <w:r w:rsidRPr="003D3E6C">
              <w:rPr>
                <w:rFonts w:cs="Arial"/>
                <w:sz w:val="20"/>
                <w:szCs w:val="20"/>
              </w:rPr>
              <w:t>156,78 (avgust)</w:t>
            </w:r>
          </w:p>
        </w:tc>
      </w:tr>
      <w:tr w:rsidR="00C47DF2" w:rsidRPr="003D3E6C" w14:paraId="0DCBB9BA" w14:textId="77777777" w:rsidTr="00FF0031">
        <w:trPr>
          <w:trHeight w:val="255"/>
        </w:trPr>
        <w:tc>
          <w:tcPr>
            <w:tcW w:w="1249" w:type="pct"/>
            <w:shd w:val="clear" w:color="auto" w:fill="D9D9D9" w:themeFill="background1" w:themeFillShade="D9"/>
            <w:noWrap/>
            <w:vAlign w:val="center"/>
            <w:hideMark/>
          </w:tcPr>
          <w:p w14:paraId="12BE5DF7" w14:textId="77777777" w:rsidR="00C47DF2" w:rsidRPr="003D3E6C" w:rsidRDefault="00C47DF2" w:rsidP="00FF0031">
            <w:pPr>
              <w:jc w:val="left"/>
              <w:rPr>
                <w:rFonts w:cs="Arial"/>
                <w:sz w:val="20"/>
                <w:szCs w:val="20"/>
              </w:rPr>
            </w:pPr>
            <w:r w:rsidRPr="003D3E6C">
              <w:rPr>
                <w:rFonts w:cs="Arial"/>
                <w:sz w:val="20"/>
                <w:szCs w:val="20"/>
              </w:rPr>
              <w:t>najvišji pretok (mesec)</w:t>
            </w:r>
          </w:p>
        </w:tc>
        <w:tc>
          <w:tcPr>
            <w:tcW w:w="1252" w:type="pct"/>
            <w:noWrap/>
            <w:hideMark/>
          </w:tcPr>
          <w:p w14:paraId="2C278800" w14:textId="77777777" w:rsidR="00C47DF2" w:rsidRPr="003D3E6C" w:rsidRDefault="00C47DF2" w:rsidP="00FF0031">
            <w:pPr>
              <w:jc w:val="right"/>
              <w:rPr>
                <w:rFonts w:cs="Arial"/>
                <w:sz w:val="20"/>
                <w:szCs w:val="20"/>
              </w:rPr>
            </w:pPr>
            <w:r w:rsidRPr="003D3E6C">
              <w:rPr>
                <w:rFonts w:cs="Arial"/>
                <w:sz w:val="20"/>
                <w:szCs w:val="20"/>
              </w:rPr>
              <w:t>55,21 (maj)</w:t>
            </w:r>
          </w:p>
        </w:tc>
        <w:tc>
          <w:tcPr>
            <w:tcW w:w="1187" w:type="pct"/>
            <w:noWrap/>
            <w:hideMark/>
          </w:tcPr>
          <w:p w14:paraId="0399357B" w14:textId="77777777" w:rsidR="00C47DF2" w:rsidRPr="003D3E6C" w:rsidRDefault="00C47DF2" w:rsidP="00FF0031">
            <w:pPr>
              <w:jc w:val="right"/>
              <w:rPr>
                <w:rFonts w:cs="Arial"/>
                <w:sz w:val="20"/>
                <w:szCs w:val="20"/>
              </w:rPr>
            </w:pPr>
            <w:r w:rsidRPr="003D3E6C">
              <w:rPr>
                <w:rFonts w:cs="Arial"/>
                <w:sz w:val="20"/>
                <w:szCs w:val="20"/>
              </w:rPr>
              <w:t>150,15 (november)</w:t>
            </w:r>
          </w:p>
        </w:tc>
        <w:tc>
          <w:tcPr>
            <w:tcW w:w="1312" w:type="pct"/>
            <w:noWrap/>
            <w:hideMark/>
          </w:tcPr>
          <w:p w14:paraId="27A55C1E" w14:textId="77777777" w:rsidR="00C47DF2" w:rsidRPr="003D3E6C" w:rsidRDefault="00C47DF2" w:rsidP="00FF0031">
            <w:pPr>
              <w:jc w:val="right"/>
              <w:rPr>
                <w:rFonts w:cs="Arial"/>
                <w:sz w:val="20"/>
                <w:szCs w:val="20"/>
              </w:rPr>
            </w:pPr>
            <w:r w:rsidRPr="003D3E6C">
              <w:rPr>
                <w:rFonts w:cs="Arial"/>
                <w:sz w:val="20"/>
                <w:szCs w:val="20"/>
              </w:rPr>
              <w:t>614,80 (november)</w:t>
            </w:r>
          </w:p>
        </w:tc>
      </w:tr>
    </w:tbl>
    <w:p w14:paraId="5BA0CB57" w14:textId="77777777" w:rsidR="00C47DF2" w:rsidRDefault="00C47DF2" w:rsidP="00C47DF2">
      <w:pPr>
        <w:rPr>
          <w:highlight w:val="yellow"/>
          <w:lang w:eastAsia="sl-SI"/>
        </w:rPr>
      </w:pPr>
    </w:p>
    <w:p w14:paraId="42A5C057" w14:textId="77777777" w:rsidR="00C47DF2" w:rsidRPr="00EB4B4D" w:rsidRDefault="00C47DF2" w:rsidP="00C47DF2">
      <w:pPr>
        <w:rPr>
          <w:lang w:eastAsia="sl-SI"/>
        </w:rPr>
      </w:pPr>
      <w:r w:rsidRPr="00EB4B4D">
        <w:rPr>
          <w:lang w:eastAsia="sl-SI"/>
        </w:rPr>
        <w:t>Reka Vipava izvira iz več manjših kraških izvirov ob zahodnem vznožju Nanosa med krajema Vipava in Vrhpolje in teče po južnem robu Vipavske doline proti zahodu, kjer se pri Sovodnjah izliva v reko Sočo. Pretoki Vipave s značilni za slovenski gorski kras z razmerjem med nizkimi, srednjimi in visokimi pretoki v razmerju približno 1:10:100 (Janež in sod., 1997).</w:t>
      </w:r>
    </w:p>
    <w:p w14:paraId="6BD0AD7C" w14:textId="6320DCD3" w:rsidR="00C47DF2" w:rsidRPr="00707EE2" w:rsidRDefault="00C47DF2" w:rsidP="00C47DF2">
      <w:pPr>
        <w:rPr>
          <w:lang w:eastAsia="sl-SI"/>
        </w:rPr>
      </w:pPr>
      <w:r w:rsidRPr="0062536F">
        <w:rPr>
          <w:lang w:eastAsia="sl-SI"/>
        </w:rPr>
        <w:t>Za analizo ranljivosti vodnih virov na območju občine Nova Gorica so pomembne predvsem tri hidrološke postaje: Dolenje pri vasi Dolenje, Zalošče pri vasi Zalošče in Miren I pri vasi Miren.</w:t>
      </w:r>
      <w:r>
        <w:rPr>
          <w:lang w:eastAsia="sl-SI"/>
        </w:rPr>
        <w:t xml:space="preserve"> Pregled povprečnih minimalnih, povprečnih in povprečnih maksimalnih pretokov na postajah je prikazan na spodnjih grafih (</w:t>
      </w:r>
      <w:r>
        <w:rPr>
          <w:lang w:eastAsia="sl-SI"/>
        </w:rPr>
        <w:fldChar w:fldCharType="begin"/>
      </w:r>
      <w:r>
        <w:rPr>
          <w:lang w:eastAsia="sl-SI"/>
        </w:rPr>
        <w:instrText xml:space="preserve"> REF _Ref67656590 \h </w:instrText>
      </w:r>
      <w:r>
        <w:rPr>
          <w:lang w:eastAsia="sl-SI"/>
        </w:rPr>
      </w:r>
      <w:r>
        <w:rPr>
          <w:lang w:eastAsia="sl-SI"/>
        </w:rPr>
        <w:fldChar w:fldCharType="separate"/>
      </w:r>
      <w:r w:rsidR="004700D5">
        <w:t xml:space="preserve">Slika </w:t>
      </w:r>
      <w:r w:rsidR="004700D5">
        <w:rPr>
          <w:noProof/>
        </w:rPr>
        <w:t>6</w:t>
      </w:r>
      <w:r w:rsidR="004700D5">
        <w:t>.</w:t>
      </w:r>
      <w:r w:rsidR="004700D5">
        <w:rPr>
          <w:noProof/>
        </w:rPr>
        <w:t>28</w:t>
      </w:r>
      <w:r>
        <w:rPr>
          <w:lang w:eastAsia="sl-SI"/>
        </w:rPr>
        <w:fldChar w:fldCharType="end"/>
      </w:r>
      <w:r>
        <w:rPr>
          <w:lang w:eastAsia="sl-SI"/>
        </w:rPr>
        <w:t xml:space="preserve">, </w:t>
      </w:r>
      <w:r>
        <w:rPr>
          <w:lang w:eastAsia="sl-SI"/>
        </w:rPr>
        <w:fldChar w:fldCharType="begin"/>
      </w:r>
      <w:r>
        <w:rPr>
          <w:lang w:eastAsia="sl-SI"/>
        </w:rPr>
        <w:instrText xml:space="preserve"> REF _Ref70573753 \h </w:instrText>
      </w:r>
      <w:r>
        <w:rPr>
          <w:lang w:eastAsia="sl-SI"/>
        </w:rPr>
      </w:r>
      <w:r>
        <w:rPr>
          <w:lang w:eastAsia="sl-SI"/>
        </w:rPr>
        <w:fldChar w:fldCharType="separate"/>
      </w:r>
      <w:r w:rsidR="004700D5">
        <w:t xml:space="preserve">Slika </w:t>
      </w:r>
      <w:r w:rsidR="004700D5">
        <w:rPr>
          <w:noProof/>
        </w:rPr>
        <w:t>6</w:t>
      </w:r>
      <w:r w:rsidR="004700D5">
        <w:t>.</w:t>
      </w:r>
      <w:r w:rsidR="004700D5">
        <w:rPr>
          <w:noProof/>
        </w:rPr>
        <w:t>29</w:t>
      </w:r>
      <w:r>
        <w:rPr>
          <w:lang w:eastAsia="sl-SI"/>
        </w:rPr>
        <w:fldChar w:fldCharType="end"/>
      </w:r>
      <w:r>
        <w:rPr>
          <w:lang w:eastAsia="sl-SI"/>
        </w:rPr>
        <w:t xml:space="preserve">, </w:t>
      </w:r>
      <w:r>
        <w:rPr>
          <w:lang w:eastAsia="sl-SI"/>
        </w:rPr>
        <w:fldChar w:fldCharType="begin"/>
      </w:r>
      <w:r>
        <w:rPr>
          <w:lang w:eastAsia="sl-SI"/>
        </w:rPr>
        <w:instrText xml:space="preserve"> REF _Ref70573754 \h </w:instrText>
      </w:r>
      <w:r>
        <w:rPr>
          <w:lang w:eastAsia="sl-SI"/>
        </w:rPr>
      </w:r>
      <w:r>
        <w:rPr>
          <w:lang w:eastAsia="sl-SI"/>
        </w:rPr>
        <w:fldChar w:fldCharType="separate"/>
      </w:r>
      <w:r w:rsidR="004700D5">
        <w:t xml:space="preserve">Slika </w:t>
      </w:r>
      <w:r w:rsidR="004700D5">
        <w:rPr>
          <w:noProof/>
        </w:rPr>
        <w:t>6</w:t>
      </w:r>
      <w:r w:rsidR="004700D5">
        <w:t>.</w:t>
      </w:r>
      <w:r w:rsidR="004700D5">
        <w:rPr>
          <w:noProof/>
        </w:rPr>
        <w:t>30</w:t>
      </w:r>
      <w:r>
        <w:rPr>
          <w:lang w:eastAsia="sl-SI"/>
        </w:rPr>
        <w:fldChar w:fldCharType="end"/>
      </w:r>
      <w:r>
        <w:rPr>
          <w:lang w:eastAsia="sl-SI"/>
        </w:rPr>
        <w:t xml:space="preserve">), </w:t>
      </w:r>
      <w:r>
        <w:rPr>
          <w:lang w:eastAsia="sl-SI"/>
        </w:rPr>
        <w:fldChar w:fldCharType="begin"/>
      </w:r>
      <w:r>
        <w:rPr>
          <w:lang w:eastAsia="sl-SI"/>
        </w:rPr>
        <w:instrText xml:space="preserve"> REF _Ref70573798 \h </w:instrText>
      </w:r>
      <w:r>
        <w:rPr>
          <w:lang w:eastAsia="sl-SI"/>
        </w:rPr>
      </w:r>
      <w:r>
        <w:rPr>
          <w:lang w:eastAsia="sl-SI"/>
        </w:rPr>
        <w:fldChar w:fldCharType="separate"/>
      </w:r>
      <w:r w:rsidR="004700D5">
        <w:t xml:space="preserve">Preglednica </w:t>
      </w:r>
      <w:r w:rsidR="004700D5">
        <w:rPr>
          <w:noProof/>
        </w:rPr>
        <w:t>6</w:t>
      </w:r>
      <w:r w:rsidR="004700D5">
        <w:t>.</w:t>
      </w:r>
      <w:r w:rsidR="004700D5">
        <w:rPr>
          <w:noProof/>
        </w:rPr>
        <w:t>32</w:t>
      </w:r>
      <w:r w:rsidR="004700D5">
        <w:t xml:space="preserve">: Tabelarični prikaz povprečnih minimalnih, srednjih in maksimalnih pretokov na postaji Dolenje (Vipava) na letni in sezonski ravni, vključno z mesecem, ko je bil povprečni pretok najnižji ali najvišji. Podatki </w:t>
      </w:r>
      <w:r w:rsidR="004700D5">
        <w:lastRenderedPageBreak/>
        <w:t>zajemajo obdobje 1991 do 2019.</w:t>
      </w:r>
      <w:r>
        <w:rPr>
          <w:lang w:eastAsia="sl-SI"/>
        </w:rPr>
        <w:fldChar w:fldCharType="end"/>
      </w:r>
      <w:r>
        <w:rPr>
          <w:lang w:eastAsia="sl-SI"/>
        </w:rPr>
        <w:fldChar w:fldCharType="begin"/>
      </w:r>
      <w:r>
        <w:rPr>
          <w:lang w:eastAsia="sl-SI"/>
        </w:rPr>
        <w:instrText xml:space="preserve"> REF _Ref64892515 \h </w:instrText>
      </w:r>
      <w:r>
        <w:rPr>
          <w:lang w:eastAsia="sl-SI"/>
        </w:rPr>
      </w:r>
      <w:r>
        <w:rPr>
          <w:lang w:eastAsia="sl-SI"/>
        </w:rPr>
        <w:fldChar w:fldCharType="separate"/>
      </w:r>
      <w:r w:rsidR="004700D5">
        <w:t xml:space="preserve">Preglednica </w:t>
      </w:r>
      <w:r w:rsidR="004700D5">
        <w:rPr>
          <w:noProof/>
        </w:rPr>
        <w:t>6</w:t>
      </w:r>
      <w:r w:rsidR="004700D5">
        <w:t>.</w:t>
      </w:r>
      <w:r w:rsidR="004700D5">
        <w:rPr>
          <w:noProof/>
        </w:rPr>
        <w:t>32</w:t>
      </w:r>
      <w:r>
        <w:rPr>
          <w:lang w:eastAsia="sl-SI"/>
        </w:rPr>
        <w:fldChar w:fldCharType="end"/>
      </w:r>
      <w:r>
        <w:rPr>
          <w:lang w:eastAsia="sl-SI"/>
        </w:rPr>
        <w:t xml:space="preserve">, </w:t>
      </w:r>
      <w:r>
        <w:rPr>
          <w:lang w:eastAsia="sl-SI"/>
        </w:rPr>
        <w:fldChar w:fldCharType="begin"/>
      </w:r>
      <w:r>
        <w:rPr>
          <w:lang w:eastAsia="sl-SI"/>
        </w:rPr>
        <w:instrText xml:space="preserve"> REF _Ref70573807 \h </w:instrText>
      </w:r>
      <w:r>
        <w:rPr>
          <w:lang w:eastAsia="sl-SI"/>
        </w:rPr>
      </w:r>
      <w:r>
        <w:rPr>
          <w:lang w:eastAsia="sl-SI"/>
        </w:rPr>
        <w:fldChar w:fldCharType="separate"/>
      </w:r>
      <w:r w:rsidR="004700D5">
        <w:t xml:space="preserve">Preglednica </w:t>
      </w:r>
      <w:r w:rsidR="004700D5">
        <w:rPr>
          <w:noProof/>
        </w:rPr>
        <w:t>6</w:t>
      </w:r>
      <w:r w:rsidR="004700D5">
        <w:t>.</w:t>
      </w:r>
      <w:r w:rsidR="004700D5">
        <w:rPr>
          <w:noProof/>
        </w:rPr>
        <w:t>33</w:t>
      </w:r>
      <w:r>
        <w:rPr>
          <w:lang w:eastAsia="sl-SI"/>
        </w:rPr>
        <w:fldChar w:fldCharType="end"/>
      </w:r>
      <w:r>
        <w:rPr>
          <w:lang w:eastAsia="sl-SI"/>
        </w:rPr>
        <w:t xml:space="preserve"> in </w:t>
      </w:r>
      <w:r>
        <w:rPr>
          <w:lang w:eastAsia="sl-SI"/>
        </w:rPr>
        <w:fldChar w:fldCharType="begin"/>
      </w:r>
      <w:r>
        <w:rPr>
          <w:lang w:eastAsia="sl-SI"/>
        </w:rPr>
        <w:instrText xml:space="preserve"> REF _Ref70573809 \h </w:instrText>
      </w:r>
      <w:r>
        <w:rPr>
          <w:lang w:eastAsia="sl-SI"/>
        </w:rPr>
      </w:r>
      <w:r>
        <w:rPr>
          <w:lang w:eastAsia="sl-SI"/>
        </w:rPr>
        <w:fldChar w:fldCharType="separate"/>
      </w:r>
      <w:r w:rsidR="004700D5">
        <w:t xml:space="preserve">Preglednica </w:t>
      </w:r>
      <w:r w:rsidR="004700D5">
        <w:rPr>
          <w:noProof/>
        </w:rPr>
        <w:t>6</w:t>
      </w:r>
      <w:r w:rsidR="004700D5">
        <w:t>.</w:t>
      </w:r>
      <w:r w:rsidR="004700D5">
        <w:rPr>
          <w:noProof/>
        </w:rPr>
        <w:t>34</w:t>
      </w:r>
      <w:r>
        <w:rPr>
          <w:lang w:eastAsia="sl-SI"/>
        </w:rPr>
        <w:fldChar w:fldCharType="end"/>
      </w:r>
      <w:r>
        <w:rPr>
          <w:lang w:eastAsia="sl-SI"/>
        </w:rPr>
        <w:t xml:space="preserve"> pa prikazujejo tudi letna in sezonska povprečja in mesece z povprečnimi najnižjimi oziroma najvišjimi pretoki</w:t>
      </w:r>
      <w:r w:rsidRPr="009C6C10">
        <w:rPr>
          <w:lang w:eastAsia="sl-SI"/>
        </w:rPr>
        <w:t xml:space="preserve"> (</w:t>
      </w:r>
      <w:proofErr w:type="spellStart"/>
      <w:r w:rsidRPr="009C6C10">
        <w:rPr>
          <w:lang w:eastAsia="sl-SI"/>
        </w:rPr>
        <w:t>ARSOa</w:t>
      </w:r>
      <w:proofErr w:type="spellEnd"/>
      <w:r w:rsidRPr="009C6C10">
        <w:rPr>
          <w:lang w:eastAsia="sl-SI"/>
        </w:rPr>
        <w:t>, 2020).</w:t>
      </w:r>
    </w:p>
    <w:p w14:paraId="3F9C4CC2" w14:textId="77777777" w:rsidR="00C47DF2" w:rsidRDefault="00C47DF2" w:rsidP="00C47DF2">
      <w:pPr>
        <w:rPr>
          <w:lang w:eastAsia="sl-SI"/>
        </w:rPr>
      </w:pPr>
      <w:r>
        <w:rPr>
          <w:lang w:eastAsia="sl-SI"/>
        </w:rPr>
        <w:t>Hidrološka postaja Dolenje deluje od septembra 1991 in nima večjih vrzeli v podatkih.</w:t>
      </w:r>
    </w:p>
    <w:p w14:paraId="6A3978BA" w14:textId="77777777" w:rsidR="00C47DF2" w:rsidRDefault="00C47DF2" w:rsidP="00C47DF2">
      <w:pPr>
        <w:keepNext/>
        <w:jc w:val="center"/>
      </w:pPr>
      <w:r>
        <w:rPr>
          <w:noProof/>
          <w:lang w:eastAsia="sl-SI"/>
        </w:rPr>
        <w:drawing>
          <wp:inline distT="0" distB="0" distL="0" distR="0" wp14:anchorId="1458D155" wp14:editId="7C6B98F4">
            <wp:extent cx="5825719" cy="2861945"/>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pic:cNvPicPr>
                  </pic:nvPicPr>
                  <pic:blipFill>
                    <a:blip r:embed="rId174">
                      <a:extLst>
                        <a:ext uri="{28A0092B-C50C-407E-A947-70E740481C1C}">
                          <a14:useLocalDpi xmlns:a14="http://schemas.microsoft.com/office/drawing/2010/main" val="0"/>
                        </a:ext>
                      </a:extLst>
                    </a:blip>
                    <a:stretch>
                      <a:fillRect/>
                    </a:stretch>
                  </pic:blipFill>
                  <pic:spPr bwMode="auto">
                    <a:xfrm>
                      <a:off x="0" y="0"/>
                      <a:ext cx="5825719" cy="2861945"/>
                    </a:xfrm>
                    <a:prstGeom prst="rect">
                      <a:avLst/>
                    </a:prstGeom>
                    <a:noFill/>
                  </pic:spPr>
                </pic:pic>
              </a:graphicData>
            </a:graphic>
          </wp:inline>
        </w:drawing>
      </w:r>
    </w:p>
    <w:p w14:paraId="39D97800" w14:textId="3A8FF725" w:rsidR="00C47DF2" w:rsidRDefault="00C47DF2" w:rsidP="00C47DF2">
      <w:pPr>
        <w:pStyle w:val="Napis"/>
        <w:rPr>
          <w:lang w:eastAsia="sl-SI"/>
        </w:rPr>
      </w:pPr>
      <w:bookmarkStart w:id="391" w:name="_Ref67656590"/>
      <w:bookmarkStart w:id="392" w:name="_Toc97026878"/>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27</w:t>
      </w:r>
      <w:r w:rsidR="008334B2">
        <w:fldChar w:fldCharType="end"/>
      </w:r>
      <w:bookmarkStart w:id="393" w:name="_Hlk70511441"/>
      <w:bookmarkEnd w:id="391"/>
      <w:r w:rsidRPr="008B34D3">
        <w:t xml:space="preserve">: Povprečni minimalni, povprečni in povprečni maksimalni pretok reke </w:t>
      </w:r>
      <w:r>
        <w:t>Vipave</w:t>
      </w:r>
      <w:r w:rsidRPr="008B34D3">
        <w:t xml:space="preserve"> na hidrogeološki postaji </w:t>
      </w:r>
      <w:r>
        <w:t>Dolenje</w:t>
      </w:r>
      <w:r w:rsidRPr="008B34D3">
        <w:t xml:space="preserve"> za obdobje </w:t>
      </w:r>
      <w:r>
        <w:t>1991 </w:t>
      </w:r>
      <w:r>
        <w:noBreakHyphen/>
        <w:t> </w:t>
      </w:r>
      <w:r w:rsidRPr="008B34D3">
        <w:t>2019.</w:t>
      </w:r>
      <w:bookmarkEnd w:id="393"/>
      <w:bookmarkEnd w:id="392"/>
    </w:p>
    <w:p w14:paraId="66DD5836" w14:textId="331C1EA6" w:rsidR="00C47DF2" w:rsidRDefault="00C47DF2" w:rsidP="00C47DF2">
      <w:pPr>
        <w:pStyle w:val="Napis"/>
        <w:keepNext/>
      </w:pPr>
      <w:bookmarkStart w:id="394" w:name="_Ref64892515"/>
      <w:bookmarkStart w:id="395" w:name="_Ref70573798"/>
      <w:bookmarkStart w:id="396" w:name="_Toc97026985"/>
      <w:r>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32</w:t>
      </w:r>
      <w:r w:rsidR="00976D80">
        <w:fldChar w:fldCharType="end"/>
      </w:r>
      <w:bookmarkEnd w:id="394"/>
      <w:r>
        <w:t>: Tabelarični prikaz povprečnih minimalnih, srednjih in maksimalnih pretokov na postaji Dolenje (Vipava) na letni in sezonski ravni, vključno z mesecem, ko je bil povprečni pretok najnižji ali najvišji. Podatki zajemajo obdobje 1991 do 2019.</w:t>
      </w:r>
      <w:bookmarkEnd w:id="395"/>
      <w:bookmarkEnd w:id="396"/>
    </w:p>
    <w:tbl>
      <w:tblPr>
        <w:tblStyle w:val="Tabelamrea"/>
        <w:tblW w:w="4997" w:type="pct"/>
        <w:tblInd w:w="5" w:type="dxa"/>
        <w:tblLayout w:type="fixed"/>
        <w:tblLook w:val="04A0" w:firstRow="1" w:lastRow="0" w:firstColumn="1" w:lastColumn="0" w:noHBand="0" w:noVBand="1"/>
      </w:tblPr>
      <w:tblGrid>
        <w:gridCol w:w="2405"/>
        <w:gridCol w:w="2551"/>
        <w:gridCol w:w="2145"/>
        <w:gridCol w:w="2526"/>
      </w:tblGrid>
      <w:tr w:rsidR="00C47DF2" w:rsidRPr="009C6C10" w14:paraId="767CDB0B" w14:textId="77777777" w:rsidTr="00FF0031">
        <w:trPr>
          <w:trHeight w:val="255"/>
        </w:trPr>
        <w:tc>
          <w:tcPr>
            <w:tcW w:w="1249" w:type="pct"/>
            <w:tcBorders>
              <w:top w:val="nil"/>
              <w:left w:val="nil"/>
            </w:tcBorders>
            <w:noWrap/>
            <w:hideMark/>
          </w:tcPr>
          <w:p w14:paraId="548E0301" w14:textId="77777777" w:rsidR="00C47DF2" w:rsidRPr="009C6C10" w:rsidRDefault="00C47DF2" w:rsidP="00FF0031">
            <w:pPr>
              <w:jc w:val="left"/>
            </w:pPr>
          </w:p>
        </w:tc>
        <w:tc>
          <w:tcPr>
            <w:tcW w:w="1325" w:type="pct"/>
            <w:shd w:val="clear" w:color="auto" w:fill="AEAAAA" w:themeFill="background2" w:themeFillShade="BF"/>
            <w:noWrap/>
            <w:vAlign w:val="center"/>
            <w:hideMark/>
          </w:tcPr>
          <w:p w14:paraId="67163313" w14:textId="77777777" w:rsidR="00C47DF2" w:rsidRPr="009C6C10" w:rsidRDefault="00C47DF2" w:rsidP="00FF0031">
            <w:pPr>
              <w:jc w:val="center"/>
              <w:rPr>
                <w:rFonts w:cs="Arial"/>
                <w:sz w:val="20"/>
                <w:szCs w:val="20"/>
              </w:rPr>
            </w:pPr>
            <w:r w:rsidRPr="009C6C10">
              <w:rPr>
                <w:rFonts w:cs="Arial"/>
                <w:sz w:val="20"/>
                <w:szCs w:val="20"/>
              </w:rPr>
              <w:t>minimalni pretok [m</w:t>
            </w:r>
            <w:r w:rsidRPr="009C6C10">
              <w:rPr>
                <w:rFonts w:cs="Arial"/>
                <w:sz w:val="20"/>
                <w:szCs w:val="20"/>
                <w:vertAlign w:val="superscript"/>
              </w:rPr>
              <w:t>3</w:t>
            </w:r>
            <w:r w:rsidRPr="009C6C10">
              <w:rPr>
                <w:rFonts w:cs="Arial"/>
                <w:sz w:val="20"/>
                <w:szCs w:val="20"/>
              </w:rPr>
              <w:t>/s]</w:t>
            </w:r>
          </w:p>
        </w:tc>
        <w:tc>
          <w:tcPr>
            <w:tcW w:w="1114" w:type="pct"/>
            <w:shd w:val="clear" w:color="auto" w:fill="AEAAAA" w:themeFill="background2" w:themeFillShade="BF"/>
            <w:noWrap/>
            <w:vAlign w:val="center"/>
            <w:hideMark/>
          </w:tcPr>
          <w:p w14:paraId="59B24774" w14:textId="77777777" w:rsidR="00C47DF2" w:rsidRPr="009C6C10" w:rsidRDefault="00C47DF2" w:rsidP="00FF0031">
            <w:pPr>
              <w:jc w:val="center"/>
              <w:rPr>
                <w:rFonts w:cs="Arial"/>
                <w:sz w:val="20"/>
                <w:szCs w:val="20"/>
              </w:rPr>
            </w:pPr>
            <w:r w:rsidRPr="009C6C10">
              <w:rPr>
                <w:rFonts w:cs="Arial"/>
                <w:sz w:val="20"/>
                <w:szCs w:val="20"/>
              </w:rPr>
              <w:t>srednji pretok [m</w:t>
            </w:r>
            <w:r w:rsidRPr="009C6C10">
              <w:rPr>
                <w:rFonts w:cs="Arial"/>
                <w:sz w:val="20"/>
                <w:szCs w:val="20"/>
                <w:vertAlign w:val="superscript"/>
              </w:rPr>
              <w:t>3</w:t>
            </w:r>
            <w:r w:rsidRPr="009C6C10">
              <w:rPr>
                <w:rFonts w:cs="Arial"/>
                <w:sz w:val="20"/>
                <w:szCs w:val="20"/>
              </w:rPr>
              <w:t>/s]</w:t>
            </w:r>
          </w:p>
        </w:tc>
        <w:tc>
          <w:tcPr>
            <w:tcW w:w="1312" w:type="pct"/>
            <w:shd w:val="clear" w:color="auto" w:fill="AEAAAA" w:themeFill="background2" w:themeFillShade="BF"/>
            <w:noWrap/>
            <w:vAlign w:val="center"/>
            <w:hideMark/>
          </w:tcPr>
          <w:p w14:paraId="276C0808" w14:textId="77777777" w:rsidR="00C47DF2" w:rsidRPr="009C6C10" w:rsidRDefault="00C47DF2" w:rsidP="00FF0031">
            <w:pPr>
              <w:jc w:val="center"/>
              <w:rPr>
                <w:rFonts w:cs="Arial"/>
                <w:sz w:val="20"/>
                <w:szCs w:val="20"/>
              </w:rPr>
            </w:pPr>
            <w:r w:rsidRPr="009C6C10">
              <w:rPr>
                <w:rFonts w:cs="Arial"/>
                <w:sz w:val="20"/>
                <w:szCs w:val="20"/>
              </w:rPr>
              <w:t>maksimalni pretok [m</w:t>
            </w:r>
            <w:r w:rsidRPr="009C6C10">
              <w:rPr>
                <w:rFonts w:cs="Arial"/>
                <w:sz w:val="20"/>
                <w:szCs w:val="20"/>
                <w:vertAlign w:val="superscript"/>
              </w:rPr>
              <w:t>3</w:t>
            </w:r>
            <w:r w:rsidRPr="009C6C10">
              <w:rPr>
                <w:rFonts w:cs="Arial"/>
                <w:sz w:val="20"/>
                <w:szCs w:val="20"/>
              </w:rPr>
              <w:t>/s]</w:t>
            </w:r>
          </w:p>
        </w:tc>
      </w:tr>
      <w:tr w:rsidR="00C47DF2" w:rsidRPr="009C6C10" w14:paraId="2DE17920" w14:textId="77777777" w:rsidTr="00FF0031">
        <w:trPr>
          <w:trHeight w:val="255"/>
        </w:trPr>
        <w:tc>
          <w:tcPr>
            <w:tcW w:w="1249" w:type="pct"/>
            <w:shd w:val="clear" w:color="auto" w:fill="D9D9D9" w:themeFill="background1" w:themeFillShade="D9"/>
            <w:noWrap/>
            <w:vAlign w:val="center"/>
            <w:hideMark/>
          </w:tcPr>
          <w:p w14:paraId="2EEC216B" w14:textId="77777777" w:rsidR="00C47DF2" w:rsidRPr="009C6C10" w:rsidRDefault="00C47DF2" w:rsidP="00FF0031">
            <w:pPr>
              <w:jc w:val="left"/>
              <w:rPr>
                <w:rFonts w:cs="Arial"/>
                <w:sz w:val="20"/>
                <w:szCs w:val="20"/>
              </w:rPr>
            </w:pPr>
            <w:r w:rsidRPr="009C6C10">
              <w:rPr>
                <w:rFonts w:cs="Arial"/>
                <w:sz w:val="20"/>
                <w:szCs w:val="20"/>
              </w:rPr>
              <w:t>letno povprečje</w:t>
            </w:r>
          </w:p>
        </w:tc>
        <w:tc>
          <w:tcPr>
            <w:tcW w:w="1325" w:type="pct"/>
            <w:noWrap/>
            <w:vAlign w:val="bottom"/>
            <w:hideMark/>
          </w:tcPr>
          <w:p w14:paraId="33CAD96B" w14:textId="77777777" w:rsidR="00C47DF2" w:rsidRPr="009C6C10" w:rsidRDefault="00C47DF2" w:rsidP="00FF0031">
            <w:pPr>
              <w:jc w:val="right"/>
              <w:rPr>
                <w:rFonts w:cs="Arial"/>
                <w:sz w:val="20"/>
                <w:szCs w:val="20"/>
              </w:rPr>
            </w:pPr>
            <w:r w:rsidRPr="009C6C10">
              <w:rPr>
                <w:rFonts w:cs="Arial"/>
                <w:sz w:val="20"/>
                <w:szCs w:val="20"/>
              </w:rPr>
              <w:t>3,70</w:t>
            </w:r>
          </w:p>
        </w:tc>
        <w:tc>
          <w:tcPr>
            <w:tcW w:w="1114" w:type="pct"/>
            <w:noWrap/>
            <w:vAlign w:val="bottom"/>
            <w:hideMark/>
          </w:tcPr>
          <w:p w14:paraId="0803A5A8" w14:textId="77777777" w:rsidR="00C47DF2" w:rsidRPr="009C6C10" w:rsidRDefault="00C47DF2" w:rsidP="00FF0031">
            <w:pPr>
              <w:jc w:val="right"/>
              <w:rPr>
                <w:rFonts w:cs="Arial"/>
                <w:sz w:val="20"/>
                <w:szCs w:val="20"/>
              </w:rPr>
            </w:pPr>
            <w:r w:rsidRPr="009C6C10">
              <w:rPr>
                <w:rFonts w:cs="Arial"/>
                <w:sz w:val="20"/>
                <w:szCs w:val="20"/>
              </w:rPr>
              <w:t>12,23</w:t>
            </w:r>
          </w:p>
        </w:tc>
        <w:tc>
          <w:tcPr>
            <w:tcW w:w="1312" w:type="pct"/>
            <w:noWrap/>
            <w:vAlign w:val="bottom"/>
            <w:hideMark/>
          </w:tcPr>
          <w:p w14:paraId="0EF6D1F6" w14:textId="77777777" w:rsidR="00C47DF2" w:rsidRPr="009C6C10" w:rsidRDefault="00C47DF2" w:rsidP="00FF0031">
            <w:pPr>
              <w:jc w:val="right"/>
              <w:rPr>
                <w:rFonts w:cs="Arial"/>
                <w:sz w:val="20"/>
                <w:szCs w:val="20"/>
              </w:rPr>
            </w:pPr>
            <w:r w:rsidRPr="009C6C10">
              <w:rPr>
                <w:rFonts w:cs="Arial"/>
                <w:sz w:val="20"/>
                <w:szCs w:val="20"/>
              </w:rPr>
              <w:t>47,58</w:t>
            </w:r>
          </w:p>
        </w:tc>
      </w:tr>
      <w:tr w:rsidR="00C47DF2" w:rsidRPr="009C6C10" w14:paraId="7F2D9EDD" w14:textId="77777777" w:rsidTr="00FF0031">
        <w:trPr>
          <w:trHeight w:val="255"/>
        </w:trPr>
        <w:tc>
          <w:tcPr>
            <w:tcW w:w="1249" w:type="pct"/>
            <w:shd w:val="clear" w:color="auto" w:fill="D9D9D9" w:themeFill="background1" w:themeFillShade="D9"/>
            <w:noWrap/>
            <w:vAlign w:val="center"/>
            <w:hideMark/>
          </w:tcPr>
          <w:p w14:paraId="3DF0814A" w14:textId="77777777" w:rsidR="00C47DF2" w:rsidRPr="009C6C10" w:rsidRDefault="00C47DF2" w:rsidP="00FF0031">
            <w:pPr>
              <w:jc w:val="left"/>
              <w:rPr>
                <w:rFonts w:cs="Arial"/>
                <w:sz w:val="20"/>
                <w:szCs w:val="20"/>
              </w:rPr>
            </w:pPr>
            <w:r w:rsidRPr="009C6C10">
              <w:rPr>
                <w:rFonts w:cs="Arial"/>
                <w:sz w:val="20"/>
                <w:szCs w:val="20"/>
              </w:rPr>
              <w:t>povprečje poletje</w:t>
            </w:r>
          </w:p>
        </w:tc>
        <w:tc>
          <w:tcPr>
            <w:tcW w:w="1325" w:type="pct"/>
            <w:noWrap/>
            <w:vAlign w:val="bottom"/>
            <w:hideMark/>
          </w:tcPr>
          <w:p w14:paraId="4E9CC45B" w14:textId="77777777" w:rsidR="00C47DF2" w:rsidRPr="009C6C10" w:rsidRDefault="00C47DF2" w:rsidP="00FF0031">
            <w:pPr>
              <w:jc w:val="right"/>
              <w:rPr>
                <w:rFonts w:cs="Arial"/>
                <w:sz w:val="20"/>
                <w:szCs w:val="20"/>
              </w:rPr>
            </w:pPr>
            <w:r w:rsidRPr="009C6C10">
              <w:rPr>
                <w:rFonts w:cs="Arial"/>
                <w:sz w:val="20"/>
                <w:szCs w:val="20"/>
              </w:rPr>
              <w:t>3,01</w:t>
            </w:r>
          </w:p>
        </w:tc>
        <w:tc>
          <w:tcPr>
            <w:tcW w:w="1114" w:type="pct"/>
            <w:noWrap/>
            <w:vAlign w:val="bottom"/>
            <w:hideMark/>
          </w:tcPr>
          <w:p w14:paraId="6F25B40B" w14:textId="77777777" w:rsidR="00C47DF2" w:rsidRPr="009C6C10" w:rsidRDefault="00C47DF2" w:rsidP="00FF0031">
            <w:pPr>
              <w:jc w:val="right"/>
              <w:rPr>
                <w:rFonts w:cs="Arial"/>
                <w:sz w:val="20"/>
                <w:szCs w:val="20"/>
              </w:rPr>
            </w:pPr>
            <w:r w:rsidRPr="009C6C10">
              <w:rPr>
                <w:rFonts w:cs="Arial"/>
                <w:sz w:val="20"/>
                <w:szCs w:val="20"/>
              </w:rPr>
              <w:t>8,22</w:t>
            </w:r>
          </w:p>
        </w:tc>
        <w:tc>
          <w:tcPr>
            <w:tcW w:w="1312" w:type="pct"/>
            <w:noWrap/>
            <w:vAlign w:val="bottom"/>
            <w:hideMark/>
          </w:tcPr>
          <w:p w14:paraId="1478F3CC" w14:textId="77777777" w:rsidR="00C47DF2" w:rsidRPr="009C6C10" w:rsidRDefault="00C47DF2" w:rsidP="00FF0031">
            <w:pPr>
              <w:jc w:val="right"/>
              <w:rPr>
                <w:rFonts w:cs="Arial"/>
                <w:sz w:val="20"/>
                <w:szCs w:val="20"/>
              </w:rPr>
            </w:pPr>
            <w:r w:rsidRPr="009C6C10">
              <w:rPr>
                <w:rFonts w:cs="Arial"/>
                <w:sz w:val="20"/>
                <w:szCs w:val="20"/>
              </w:rPr>
              <w:t>30,37</w:t>
            </w:r>
          </w:p>
        </w:tc>
      </w:tr>
      <w:tr w:rsidR="00C47DF2" w:rsidRPr="009C6C10" w14:paraId="39C9A986" w14:textId="77777777" w:rsidTr="00FF0031">
        <w:trPr>
          <w:trHeight w:val="255"/>
        </w:trPr>
        <w:tc>
          <w:tcPr>
            <w:tcW w:w="1249" w:type="pct"/>
            <w:shd w:val="clear" w:color="auto" w:fill="D9D9D9" w:themeFill="background1" w:themeFillShade="D9"/>
            <w:noWrap/>
            <w:vAlign w:val="center"/>
            <w:hideMark/>
          </w:tcPr>
          <w:p w14:paraId="1434889D" w14:textId="77777777" w:rsidR="00C47DF2" w:rsidRPr="009C6C10" w:rsidRDefault="00C47DF2" w:rsidP="00FF0031">
            <w:pPr>
              <w:jc w:val="left"/>
              <w:rPr>
                <w:rFonts w:cs="Arial"/>
                <w:sz w:val="20"/>
                <w:szCs w:val="20"/>
              </w:rPr>
            </w:pPr>
            <w:r w:rsidRPr="009C6C10">
              <w:rPr>
                <w:rFonts w:cs="Arial"/>
                <w:sz w:val="20"/>
                <w:szCs w:val="20"/>
              </w:rPr>
              <w:t>povprečje zima</w:t>
            </w:r>
          </w:p>
        </w:tc>
        <w:tc>
          <w:tcPr>
            <w:tcW w:w="1325" w:type="pct"/>
            <w:noWrap/>
            <w:vAlign w:val="bottom"/>
            <w:hideMark/>
          </w:tcPr>
          <w:p w14:paraId="3E699A1F" w14:textId="77777777" w:rsidR="00C47DF2" w:rsidRPr="009C6C10" w:rsidRDefault="00C47DF2" w:rsidP="00FF0031">
            <w:pPr>
              <w:jc w:val="right"/>
              <w:rPr>
                <w:rFonts w:cs="Arial"/>
                <w:sz w:val="20"/>
                <w:szCs w:val="20"/>
              </w:rPr>
            </w:pPr>
            <w:r w:rsidRPr="009C6C10">
              <w:rPr>
                <w:rFonts w:cs="Arial"/>
                <w:sz w:val="20"/>
                <w:szCs w:val="20"/>
              </w:rPr>
              <w:t>4,39</w:t>
            </w:r>
          </w:p>
        </w:tc>
        <w:tc>
          <w:tcPr>
            <w:tcW w:w="1114" w:type="pct"/>
            <w:noWrap/>
            <w:vAlign w:val="bottom"/>
            <w:hideMark/>
          </w:tcPr>
          <w:p w14:paraId="744A5BBE" w14:textId="77777777" w:rsidR="00C47DF2" w:rsidRPr="009C6C10" w:rsidRDefault="00C47DF2" w:rsidP="00FF0031">
            <w:pPr>
              <w:jc w:val="right"/>
              <w:rPr>
                <w:rFonts w:cs="Arial"/>
                <w:sz w:val="20"/>
                <w:szCs w:val="20"/>
              </w:rPr>
            </w:pPr>
            <w:r w:rsidRPr="009C6C10">
              <w:rPr>
                <w:rFonts w:cs="Arial"/>
                <w:sz w:val="20"/>
                <w:szCs w:val="20"/>
              </w:rPr>
              <w:t>16,16</w:t>
            </w:r>
          </w:p>
        </w:tc>
        <w:tc>
          <w:tcPr>
            <w:tcW w:w="1312" w:type="pct"/>
            <w:noWrap/>
            <w:vAlign w:val="bottom"/>
            <w:hideMark/>
          </w:tcPr>
          <w:p w14:paraId="63AE88F9" w14:textId="77777777" w:rsidR="00C47DF2" w:rsidRPr="009C6C10" w:rsidRDefault="00C47DF2" w:rsidP="00FF0031">
            <w:pPr>
              <w:jc w:val="right"/>
              <w:rPr>
                <w:rFonts w:cs="Arial"/>
                <w:sz w:val="20"/>
                <w:szCs w:val="20"/>
              </w:rPr>
            </w:pPr>
            <w:r w:rsidRPr="009C6C10">
              <w:rPr>
                <w:rFonts w:cs="Arial"/>
                <w:sz w:val="20"/>
                <w:szCs w:val="20"/>
              </w:rPr>
              <w:t>64,37</w:t>
            </w:r>
          </w:p>
        </w:tc>
      </w:tr>
      <w:tr w:rsidR="00C47DF2" w:rsidRPr="009C6C10" w14:paraId="4BE53A5C" w14:textId="77777777" w:rsidTr="00FF0031">
        <w:trPr>
          <w:trHeight w:val="255"/>
        </w:trPr>
        <w:tc>
          <w:tcPr>
            <w:tcW w:w="1249" w:type="pct"/>
            <w:shd w:val="clear" w:color="auto" w:fill="D9D9D9" w:themeFill="background1" w:themeFillShade="D9"/>
            <w:noWrap/>
            <w:vAlign w:val="center"/>
            <w:hideMark/>
          </w:tcPr>
          <w:p w14:paraId="08795732" w14:textId="77777777" w:rsidR="00C47DF2" w:rsidRPr="009C6C10" w:rsidRDefault="00C47DF2" w:rsidP="00FF0031">
            <w:pPr>
              <w:jc w:val="left"/>
              <w:rPr>
                <w:rFonts w:cs="Arial"/>
                <w:sz w:val="20"/>
                <w:szCs w:val="20"/>
              </w:rPr>
            </w:pPr>
            <w:r w:rsidRPr="009C6C10">
              <w:rPr>
                <w:rFonts w:cs="Arial"/>
                <w:sz w:val="20"/>
                <w:szCs w:val="20"/>
              </w:rPr>
              <w:t>najnižji pretok (mesec)</w:t>
            </w:r>
          </w:p>
        </w:tc>
        <w:tc>
          <w:tcPr>
            <w:tcW w:w="1325" w:type="pct"/>
            <w:noWrap/>
            <w:vAlign w:val="bottom"/>
            <w:hideMark/>
          </w:tcPr>
          <w:p w14:paraId="3212C0A7" w14:textId="77777777" w:rsidR="00C47DF2" w:rsidRPr="009C6C10" w:rsidRDefault="00C47DF2" w:rsidP="00FF0031">
            <w:pPr>
              <w:jc w:val="right"/>
              <w:rPr>
                <w:rFonts w:cs="Arial"/>
                <w:sz w:val="20"/>
                <w:szCs w:val="20"/>
              </w:rPr>
            </w:pPr>
            <w:r w:rsidRPr="009C6C10">
              <w:rPr>
                <w:rFonts w:cs="Arial"/>
                <w:sz w:val="20"/>
                <w:szCs w:val="20"/>
              </w:rPr>
              <w:t>1,90 (avgust)</w:t>
            </w:r>
          </w:p>
        </w:tc>
        <w:tc>
          <w:tcPr>
            <w:tcW w:w="1114" w:type="pct"/>
            <w:noWrap/>
            <w:vAlign w:val="bottom"/>
            <w:hideMark/>
          </w:tcPr>
          <w:p w14:paraId="147595F2" w14:textId="77777777" w:rsidR="00C47DF2" w:rsidRPr="009C6C10" w:rsidRDefault="00C47DF2" w:rsidP="00FF0031">
            <w:pPr>
              <w:jc w:val="right"/>
              <w:rPr>
                <w:rFonts w:cs="Arial"/>
                <w:sz w:val="20"/>
                <w:szCs w:val="20"/>
              </w:rPr>
            </w:pPr>
            <w:r w:rsidRPr="009C6C10">
              <w:rPr>
                <w:rFonts w:cs="Arial"/>
                <w:sz w:val="20"/>
                <w:szCs w:val="20"/>
              </w:rPr>
              <w:t>4,08 (avgust)</w:t>
            </w:r>
          </w:p>
        </w:tc>
        <w:tc>
          <w:tcPr>
            <w:tcW w:w="1312" w:type="pct"/>
            <w:noWrap/>
            <w:vAlign w:val="bottom"/>
            <w:hideMark/>
          </w:tcPr>
          <w:p w14:paraId="7E061F21" w14:textId="77777777" w:rsidR="00C47DF2" w:rsidRPr="009C6C10" w:rsidRDefault="00C47DF2" w:rsidP="00FF0031">
            <w:pPr>
              <w:jc w:val="right"/>
              <w:rPr>
                <w:rFonts w:cs="Arial"/>
                <w:sz w:val="20"/>
                <w:szCs w:val="20"/>
              </w:rPr>
            </w:pPr>
            <w:r w:rsidRPr="009C6C10">
              <w:rPr>
                <w:rFonts w:cs="Arial"/>
                <w:sz w:val="20"/>
                <w:szCs w:val="20"/>
              </w:rPr>
              <w:t>17,92 (avgust)</w:t>
            </w:r>
          </w:p>
        </w:tc>
      </w:tr>
      <w:tr w:rsidR="00C47DF2" w:rsidRPr="009C6C10" w14:paraId="0F7C4EEB" w14:textId="77777777" w:rsidTr="00FF0031">
        <w:trPr>
          <w:trHeight w:val="255"/>
        </w:trPr>
        <w:tc>
          <w:tcPr>
            <w:tcW w:w="1249" w:type="pct"/>
            <w:shd w:val="clear" w:color="auto" w:fill="D9D9D9" w:themeFill="background1" w:themeFillShade="D9"/>
            <w:noWrap/>
            <w:vAlign w:val="center"/>
            <w:hideMark/>
          </w:tcPr>
          <w:p w14:paraId="33FCC18D" w14:textId="77777777" w:rsidR="00C47DF2" w:rsidRPr="009C6C10" w:rsidRDefault="00C47DF2" w:rsidP="00FF0031">
            <w:pPr>
              <w:jc w:val="left"/>
              <w:rPr>
                <w:rFonts w:cs="Arial"/>
                <w:sz w:val="20"/>
                <w:szCs w:val="20"/>
              </w:rPr>
            </w:pPr>
            <w:r w:rsidRPr="009C6C10">
              <w:rPr>
                <w:rFonts w:cs="Arial"/>
                <w:sz w:val="20"/>
                <w:szCs w:val="20"/>
              </w:rPr>
              <w:t>najvišji pretok (mesec)</w:t>
            </w:r>
          </w:p>
        </w:tc>
        <w:tc>
          <w:tcPr>
            <w:tcW w:w="1325" w:type="pct"/>
            <w:noWrap/>
            <w:vAlign w:val="bottom"/>
            <w:hideMark/>
          </w:tcPr>
          <w:p w14:paraId="029A07CE" w14:textId="77777777" w:rsidR="00C47DF2" w:rsidRPr="009C6C10" w:rsidRDefault="00C47DF2" w:rsidP="00FF0031">
            <w:pPr>
              <w:jc w:val="right"/>
              <w:rPr>
                <w:rFonts w:cs="Arial"/>
                <w:sz w:val="20"/>
                <w:szCs w:val="20"/>
              </w:rPr>
            </w:pPr>
            <w:r w:rsidRPr="009C6C10">
              <w:rPr>
                <w:rFonts w:cs="Arial"/>
                <w:sz w:val="20"/>
                <w:szCs w:val="20"/>
              </w:rPr>
              <w:t>5,17 (april)</w:t>
            </w:r>
          </w:p>
        </w:tc>
        <w:tc>
          <w:tcPr>
            <w:tcW w:w="1114" w:type="pct"/>
            <w:noWrap/>
            <w:vAlign w:val="bottom"/>
            <w:hideMark/>
          </w:tcPr>
          <w:p w14:paraId="6A2A2B8C" w14:textId="77777777" w:rsidR="00C47DF2" w:rsidRPr="009C6C10" w:rsidRDefault="00C47DF2" w:rsidP="00FF0031">
            <w:pPr>
              <w:jc w:val="right"/>
              <w:rPr>
                <w:rFonts w:cs="Arial"/>
                <w:sz w:val="20"/>
                <w:szCs w:val="20"/>
              </w:rPr>
            </w:pPr>
            <w:r w:rsidRPr="009C6C10">
              <w:rPr>
                <w:rFonts w:cs="Arial"/>
                <w:sz w:val="20"/>
                <w:szCs w:val="20"/>
              </w:rPr>
              <w:t>21,04 (november)</w:t>
            </w:r>
          </w:p>
        </w:tc>
        <w:tc>
          <w:tcPr>
            <w:tcW w:w="1312" w:type="pct"/>
            <w:noWrap/>
            <w:vAlign w:val="bottom"/>
            <w:hideMark/>
          </w:tcPr>
          <w:p w14:paraId="6ED57F2A" w14:textId="77777777" w:rsidR="00C47DF2" w:rsidRPr="009C6C10" w:rsidRDefault="00C47DF2" w:rsidP="00FF0031">
            <w:pPr>
              <w:jc w:val="right"/>
              <w:rPr>
                <w:rFonts w:cs="Arial"/>
                <w:sz w:val="20"/>
                <w:szCs w:val="20"/>
              </w:rPr>
            </w:pPr>
            <w:r w:rsidRPr="009C6C10">
              <w:rPr>
                <w:rFonts w:cs="Arial"/>
                <w:sz w:val="20"/>
                <w:szCs w:val="20"/>
              </w:rPr>
              <w:t>84,37 (november)</w:t>
            </w:r>
          </w:p>
        </w:tc>
      </w:tr>
    </w:tbl>
    <w:p w14:paraId="2EEC4D23" w14:textId="77777777" w:rsidR="00C47DF2" w:rsidRPr="00FB70C6" w:rsidRDefault="00C47DF2" w:rsidP="00C47DF2">
      <w:pPr>
        <w:rPr>
          <w:highlight w:val="yellow"/>
          <w:lang w:eastAsia="sl-SI"/>
        </w:rPr>
      </w:pPr>
    </w:p>
    <w:p w14:paraId="3A58014C" w14:textId="77777777" w:rsidR="00C47DF2" w:rsidRDefault="00C47DF2" w:rsidP="00C47DF2">
      <w:pPr>
        <w:rPr>
          <w:lang w:eastAsia="sl-SI"/>
        </w:rPr>
      </w:pPr>
      <w:r>
        <w:rPr>
          <w:lang w:eastAsia="sl-SI"/>
        </w:rPr>
        <w:t>Postaja Zalošče je najmlajša izmed treh in deluje od leta 2014 brez večjih prekinitev v nizu podatkov.</w:t>
      </w:r>
    </w:p>
    <w:p w14:paraId="5D368252" w14:textId="77777777" w:rsidR="00C47DF2" w:rsidRDefault="00C47DF2" w:rsidP="00C47DF2">
      <w:pPr>
        <w:keepNext/>
        <w:jc w:val="center"/>
      </w:pPr>
      <w:r>
        <w:rPr>
          <w:noProof/>
          <w:lang w:eastAsia="sl-SI"/>
        </w:rPr>
        <w:lastRenderedPageBreak/>
        <w:drawing>
          <wp:inline distT="0" distB="0" distL="0" distR="0" wp14:anchorId="3637AFC4" wp14:editId="46D7C0E7">
            <wp:extent cx="5825719" cy="2861945"/>
            <wp:effectExtent l="0" t="0" r="3810" b="0"/>
            <wp:docPr id="593441283" name="Picture 59344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75">
                      <a:extLst>
                        <a:ext uri="{28A0092B-C50C-407E-A947-70E740481C1C}">
                          <a14:useLocalDpi xmlns:a14="http://schemas.microsoft.com/office/drawing/2010/main" val="0"/>
                        </a:ext>
                      </a:extLst>
                    </a:blip>
                    <a:stretch>
                      <a:fillRect/>
                    </a:stretch>
                  </pic:blipFill>
                  <pic:spPr bwMode="auto">
                    <a:xfrm>
                      <a:off x="0" y="0"/>
                      <a:ext cx="5825719" cy="2861945"/>
                    </a:xfrm>
                    <a:prstGeom prst="rect">
                      <a:avLst/>
                    </a:prstGeom>
                    <a:noFill/>
                  </pic:spPr>
                </pic:pic>
              </a:graphicData>
            </a:graphic>
          </wp:inline>
        </w:drawing>
      </w:r>
    </w:p>
    <w:p w14:paraId="0F326918" w14:textId="69CB7829" w:rsidR="00C47DF2" w:rsidRDefault="00C47DF2" w:rsidP="00C47DF2">
      <w:pPr>
        <w:pStyle w:val="Napis"/>
        <w:rPr>
          <w:lang w:eastAsia="sl-SI"/>
        </w:rPr>
      </w:pPr>
      <w:bookmarkStart w:id="397" w:name="_Ref70573753"/>
      <w:bookmarkStart w:id="398" w:name="_Toc97026879"/>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28</w:t>
      </w:r>
      <w:r w:rsidR="008334B2">
        <w:fldChar w:fldCharType="end"/>
      </w:r>
      <w:bookmarkEnd w:id="397"/>
      <w:r w:rsidRPr="008B34D3">
        <w:t xml:space="preserve">: Povprečni minimalni, povprečni in povprečni maksimalni pretok reke </w:t>
      </w:r>
      <w:r>
        <w:t>Vipave</w:t>
      </w:r>
      <w:r w:rsidRPr="008B34D3">
        <w:t xml:space="preserve"> na hidrogeološki postaji </w:t>
      </w:r>
      <w:r>
        <w:t>Zalošče</w:t>
      </w:r>
      <w:r w:rsidRPr="008B34D3">
        <w:t xml:space="preserve"> za obdobje </w:t>
      </w:r>
      <w:r>
        <w:t>2014 </w:t>
      </w:r>
      <w:r>
        <w:noBreakHyphen/>
        <w:t> </w:t>
      </w:r>
      <w:r w:rsidRPr="008B34D3">
        <w:t>2019.</w:t>
      </w:r>
      <w:bookmarkEnd w:id="398"/>
    </w:p>
    <w:p w14:paraId="1BF68760" w14:textId="60FC4E44" w:rsidR="00C47DF2" w:rsidRDefault="00C47DF2" w:rsidP="00C47DF2">
      <w:pPr>
        <w:pStyle w:val="Napis"/>
        <w:keepNext/>
      </w:pPr>
      <w:bookmarkStart w:id="399" w:name="_Ref70573807"/>
      <w:bookmarkStart w:id="400" w:name="_Toc97026986"/>
      <w:r>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33</w:t>
      </w:r>
      <w:r w:rsidR="00976D80">
        <w:fldChar w:fldCharType="end"/>
      </w:r>
      <w:bookmarkEnd w:id="399"/>
      <w:r>
        <w:t>: Tabelarični prikaz povprečnih minimalnih, srednjih in maksimalnih pretokov na postaji Zalošče (Vipava) na letni in sezonski ravni, vključno z mesecem, ko je bil povprečni pretok najnižji ali najvišji. Podatki zajemajo obdobje 2014 do 2019.</w:t>
      </w:r>
      <w:bookmarkEnd w:id="400"/>
    </w:p>
    <w:tbl>
      <w:tblPr>
        <w:tblStyle w:val="Tabelamrea"/>
        <w:tblW w:w="4997" w:type="pct"/>
        <w:tblInd w:w="5" w:type="dxa"/>
        <w:tblLayout w:type="fixed"/>
        <w:tblLook w:val="04A0" w:firstRow="1" w:lastRow="0" w:firstColumn="1" w:lastColumn="0" w:noHBand="0" w:noVBand="1"/>
      </w:tblPr>
      <w:tblGrid>
        <w:gridCol w:w="2405"/>
        <w:gridCol w:w="2551"/>
        <w:gridCol w:w="2145"/>
        <w:gridCol w:w="2526"/>
      </w:tblGrid>
      <w:tr w:rsidR="00C47DF2" w:rsidRPr="00FA4E2C" w14:paraId="13DCD49A" w14:textId="77777777" w:rsidTr="00FF0031">
        <w:trPr>
          <w:trHeight w:val="255"/>
        </w:trPr>
        <w:tc>
          <w:tcPr>
            <w:tcW w:w="1249" w:type="pct"/>
            <w:tcBorders>
              <w:top w:val="nil"/>
              <w:left w:val="nil"/>
            </w:tcBorders>
            <w:noWrap/>
            <w:hideMark/>
          </w:tcPr>
          <w:p w14:paraId="5BB4368E" w14:textId="77777777" w:rsidR="00C47DF2" w:rsidRPr="00FA4E2C" w:rsidRDefault="00C47DF2" w:rsidP="00FF0031">
            <w:pPr>
              <w:jc w:val="left"/>
            </w:pPr>
          </w:p>
        </w:tc>
        <w:tc>
          <w:tcPr>
            <w:tcW w:w="1325" w:type="pct"/>
            <w:shd w:val="clear" w:color="auto" w:fill="AEAAAA" w:themeFill="background2" w:themeFillShade="BF"/>
            <w:noWrap/>
            <w:vAlign w:val="center"/>
            <w:hideMark/>
          </w:tcPr>
          <w:p w14:paraId="2B9DC6C5" w14:textId="77777777" w:rsidR="00C47DF2" w:rsidRPr="00FA4E2C" w:rsidRDefault="00C47DF2" w:rsidP="00FF0031">
            <w:pPr>
              <w:jc w:val="center"/>
              <w:rPr>
                <w:rFonts w:cs="Arial"/>
                <w:sz w:val="20"/>
                <w:szCs w:val="20"/>
              </w:rPr>
            </w:pPr>
            <w:r w:rsidRPr="00FA4E2C">
              <w:rPr>
                <w:rFonts w:cs="Arial"/>
                <w:sz w:val="20"/>
                <w:szCs w:val="20"/>
              </w:rPr>
              <w:t>minimalni pretok [m</w:t>
            </w:r>
            <w:r w:rsidRPr="00FA4E2C">
              <w:rPr>
                <w:rFonts w:cs="Arial"/>
                <w:sz w:val="20"/>
                <w:szCs w:val="20"/>
                <w:vertAlign w:val="superscript"/>
              </w:rPr>
              <w:t>3</w:t>
            </w:r>
            <w:r w:rsidRPr="00FA4E2C">
              <w:rPr>
                <w:rFonts w:cs="Arial"/>
                <w:sz w:val="20"/>
                <w:szCs w:val="20"/>
              </w:rPr>
              <w:t>/s]</w:t>
            </w:r>
          </w:p>
        </w:tc>
        <w:tc>
          <w:tcPr>
            <w:tcW w:w="1114" w:type="pct"/>
            <w:shd w:val="clear" w:color="auto" w:fill="AEAAAA" w:themeFill="background2" w:themeFillShade="BF"/>
            <w:noWrap/>
            <w:vAlign w:val="center"/>
            <w:hideMark/>
          </w:tcPr>
          <w:p w14:paraId="5EDF3D98" w14:textId="77777777" w:rsidR="00C47DF2" w:rsidRPr="00FA4E2C" w:rsidRDefault="00C47DF2" w:rsidP="00FF0031">
            <w:pPr>
              <w:jc w:val="center"/>
              <w:rPr>
                <w:rFonts w:cs="Arial"/>
                <w:sz w:val="20"/>
                <w:szCs w:val="20"/>
              </w:rPr>
            </w:pPr>
            <w:r w:rsidRPr="00FA4E2C">
              <w:rPr>
                <w:rFonts w:cs="Arial"/>
                <w:sz w:val="20"/>
                <w:szCs w:val="20"/>
              </w:rPr>
              <w:t>srednji pretok [m</w:t>
            </w:r>
            <w:r w:rsidRPr="00FA4E2C">
              <w:rPr>
                <w:rFonts w:cs="Arial"/>
                <w:sz w:val="20"/>
                <w:szCs w:val="20"/>
                <w:vertAlign w:val="superscript"/>
              </w:rPr>
              <w:t>3</w:t>
            </w:r>
            <w:r w:rsidRPr="00FA4E2C">
              <w:rPr>
                <w:rFonts w:cs="Arial"/>
                <w:sz w:val="20"/>
                <w:szCs w:val="20"/>
              </w:rPr>
              <w:t>/s]</w:t>
            </w:r>
          </w:p>
        </w:tc>
        <w:tc>
          <w:tcPr>
            <w:tcW w:w="1312" w:type="pct"/>
            <w:shd w:val="clear" w:color="auto" w:fill="AEAAAA" w:themeFill="background2" w:themeFillShade="BF"/>
            <w:noWrap/>
            <w:vAlign w:val="center"/>
            <w:hideMark/>
          </w:tcPr>
          <w:p w14:paraId="354ADBBE" w14:textId="77777777" w:rsidR="00C47DF2" w:rsidRPr="00FA4E2C" w:rsidRDefault="00C47DF2" w:rsidP="00FF0031">
            <w:pPr>
              <w:jc w:val="center"/>
              <w:rPr>
                <w:rFonts w:cs="Arial"/>
                <w:sz w:val="20"/>
                <w:szCs w:val="20"/>
              </w:rPr>
            </w:pPr>
            <w:r w:rsidRPr="00FA4E2C">
              <w:rPr>
                <w:rFonts w:cs="Arial"/>
                <w:sz w:val="20"/>
                <w:szCs w:val="20"/>
              </w:rPr>
              <w:t>maksimalni pretok [m</w:t>
            </w:r>
            <w:r w:rsidRPr="00FA4E2C">
              <w:rPr>
                <w:rFonts w:cs="Arial"/>
                <w:sz w:val="20"/>
                <w:szCs w:val="20"/>
                <w:vertAlign w:val="superscript"/>
              </w:rPr>
              <w:t>3</w:t>
            </w:r>
            <w:r w:rsidRPr="00FA4E2C">
              <w:rPr>
                <w:rFonts w:cs="Arial"/>
                <w:sz w:val="20"/>
                <w:szCs w:val="20"/>
              </w:rPr>
              <w:t>/s]</w:t>
            </w:r>
          </w:p>
        </w:tc>
      </w:tr>
      <w:tr w:rsidR="00C47DF2" w:rsidRPr="00FA4E2C" w14:paraId="0939182A" w14:textId="77777777" w:rsidTr="00FF0031">
        <w:trPr>
          <w:trHeight w:val="255"/>
        </w:trPr>
        <w:tc>
          <w:tcPr>
            <w:tcW w:w="1249" w:type="pct"/>
            <w:shd w:val="clear" w:color="auto" w:fill="D9D9D9" w:themeFill="background1" w:themeFillShade="D9"/>
            <w:noWrap/>
            <w:vAlign w:val="center"/>
            <w:hideMark/>
          </w:tcPr>
          <w:p w14:paraId="19D4E3DA" w14:textId="77777777" w:rsidR="00C47DF2" w:rsidRPr="00FA4E2C" w:rsidRDefault="00C47DF2" w:rsidP="00FF0031">
            <w:pPr>
              <w:jc w:val="left"/>
              <w:rPr>
                <w:rFonts w:cs="Arial"/>
                <w:sz w:val="20"/>
                <w:szCs w:val="20"/>
              </w:rPr>
            </w:pPr>
            <w:r w:rsidRPr="00FA4E2C">
              <w:rPr>
                <w:rFonts w:cs="Arial"/>
                <w:sz w:val="20"/>
                <w:szCs w:val="20"/>
              </w:rPr>
              <w:t>letno povprečje</w:t>
            </w:r>
          </w:p>
        </w:tc>
        <w:tc>
          <w:tcPr>
            <w:tcW w:w="1325" w:type="pct"/>
            <w:noWrap/>
            <w:vAlign w:val="bottom"/>
            <w:hideMark/>
          </w:tcPr>
          <w:p w14:paraId="1735D5C0" w14:textId="77777777" w:rsidR="00C47DF2" w:rsidRPr="00FA4E2C" w:rsidRDefault="00C47DF2" w:rsidP="00FF0031">
            <w:pPr>
              <w:jc w:val="right"/>
              <w:rPr>
                <w:rFonts w:cs="Arial"/>
                <w:sz w:val="20"/>
                <w:szCs w:val="20"/>
              </w:rPr>
            </w:pPr>
            <w:r w:rsidRPr="00FA4E2C">
              <w:rPr>
                <w:rFonts w:cs="Arial"/>
                <w:sz w:val="20"/>
                <w:szCs w:val="20"/>
              </w:rPr>
              <w:t>3</w:t>
            </w:r>
            <w:r>
              <w:rPr>
                <w:rFonts w:cs="Arial"/>
                <w:sz w:val="20"/>
                <w:szCs w:val="20"/>
              </w:rPr>
              <w:t>,</w:t>
            </w:r>
            <w:r w:rsidRPr="00FA4E2C">
              <w:rPr>
                <w:rFonts w:cs="Arial"/>
                <w:sz w:val="20"/>
                <w:szCs w:val="20"/>
              </w:rPr>
              <w:t>99</w:t>
            </w:r>
          </w:p>
        </w:tc>
        <w:tc>
          <w:tcPr>
            <w:tcW w:w="1114" w:type="pct"/>
            <w:noWrap/>
            <w:vAlign w:val="bottom"/>
            <w:hideMark/>
          </w:tcPr>
          <w:p w14:paraId="0755D908" w14:textId="77777777" w:rsidR="00C47DF2" w:rsidRPr="00FA4E2C" w:rsidRDefault="00C47DF2" w:rsidP="00FF0031">
            <w:pPr>
              <w:jc w:val="right"/>
              <w:rPr>
                <w:rFonts w:cs="Arial"/>
                <w:sz w:val="20"/>
                <w:szCs w:val="20"/>
              </w:rPr>
            </w:pPr>
            <w:r w:rsidRPr="00FA4E2C">
              <w:rPr>
                <w:rFonts w:cs="Arial"/>
                <w:sz w:val="20"/>
                <w:szCs w:val="20"/>
              </w:rPr>
              <w:t>15</w:t>
            </w:r>
            <w:r>
              <w:rPr>
                <w:rFonts w:cs="Arial"/>
                <w:sz w:val="20"/>
                <w:szCs w:val="20"/>
              </w:rPr>
              <w:t>,</w:t>
            </w:r>
            <w:r w:rsidRPr="00FA4E2C">
              <w:rPr>
                <w:rFonts w:cs="Arial"/>
                <w:sz w:val="20"/>
                <w:szCs w:val="20"/>
              </w:rPr>
              <w:t>26</w:t>
            </w:r>
          </w:p>
        </w:tc>
        <w:tc>
          <w:tcPr>
            <w:tcW w:w="1312" w:type="pct"/>
            <w:noWrap/>
            <w:vAlign w:val="bottom"/>
            <w:hideMark/>
          </w:tcPr>
          <w:p w14:paraId="0373B6D1" w14:textId="77777777" w:rsidR="00C47DF2" w:rsidRPr="00FA4E2C" w:rsidRDefault="00C47DF2" w:rsidP="00FF0031">
            <w:pPr>
              <w:jc w:val="right"/>
              <w:rPr>
                <w:rFonts w:cs="Arial"/>
                <w:sz w:val="20"/>
                <w:szCs w:val="20"/>
              </w:rPr>
            </w:pPr>
            <w:r w:rsidRPr="00FA4E2C">
              <w:rPr>
                <w:rFonts w:cs="Arial"/>
                <w:sz w:val="20"/>
                <w:szCs w:val="20"/>
              </w:rPr>
              <w:t>63</w:t>
            </w:r>
            <w:r>
              <w:rPr>
                <w:rFonts w:cs="Arial"/>
                <w:sz w:val="20"/>
                <w:szCs w:val="20"/>
              </w:rPr>
              <w:t>,</w:t>
            </w:r>
            <w:r w:rsidRPr="00FA4E2C">
              <w:rPr>
                <w:rFonts w:cs="Arial"/>
                <w:sz w:val="20"/>
                <w:szCs w:val="20"/>
              </w:rPr>
              <w:t>97</w:t>
            </w:r>
          </w:p>
        </w:tc>
      </w:tr>
      <w:tr w:rsidR="00C47DF2" w:rsidRPr="00FA4E2C" w14:paraId="169E954A" w14:textId="77777777" w:rsidTr="00FF0031">
        <w:trPr>
          <w:trHeight w:val="255"/>
        </w:trPr>
        <w:tc>
          <w:tcPr>
            <w:tcW w:w="1249" w:type="pct"/>
            <w:shd w:val="clear" w:color="auto" w:fill="D9D9D9" w:themeFill="background1" w:themeFillShade="D9"/>
            <w:noWrap/>
            <w:vAlign w:val="center"/>
            <w:hideMark/>
          </w:tcPr>
          <w:p w14:paraId="6E60CB7C" w14:textId="77777777" w:rsidR="00C47DF2" w:rsidRPr="00FA4E2C" w:rsidRDefault="00C47DF2" w:rsidP="00FF0031">
            <w:pPr>
              <w:jc w:val="left"/>
              <w:rPr>
                <w:rFonts w:cs="Arial"/>
                <w:sz w:val="20"/>
                <w:szCs w:val="20"/>
              </w:rPr>
            </w:pPr>
            <w:r w:rsidRPr="00FA4E2C">
              <w:rPr>
                <w:rFonts w:cs="Arial"/>
                <w:sz w:val="20"/>
                <w:szCs w:val="20"/>
              </w:rPr>
              <w:t>povprečje poletje</w:t>
            </w:r>
          </w:p>
        </w:tc>
        <w:tc>
          <w:tcPr>
            <w:tcW w:w="1325" w:type="pct"/>
            <w:noWrap/>
            <w:vAlign w:val="bottom"/>
            <w:hideMark/>
          </w:tcPr>
          <w:p w14:paraId="126B5826" w14:textId="77777777" w:rsidR="00C47DF2" w:rsidRPr="00FA4E2C" w:rsidRDefault="00C47DF2" w:rsidP="00FF0031">
            <w:pPr>
              <w:jc w:val="right"/>
              <w:rPr>
                <w:rFonts w:cs="Arial"/>
                <w:sz w:val="20"/>
                <w:szCs w:val="20"/>
              </w:rPr>
            </w:pPr>
            <w:r w:rsidRPr="00FA4E2C">
              <w:rPr>
                <w:rFonts w:cs="Arial"/>
                <w:sz w:val="20"/>
                <w:szCs w:val="20"/>
              </w:rPr>
              <w:t>3</w:t>
            </w:r>
            <w:r>
              <w:rPr>
                <w:rFonts w:cs="Arial"/>
                <w:sz w:val="20"/>
                <w:szCs w:val="20"/>
              </w:rPr>
              <w:t>,</w:t>
            </w:r>
            <w:r w:rsidRPr="00FA4E2C">
              <w:rPr>
                <w:rFonts w:cs="Arial"/>
                <w:sz w:val="20"/>
                <w:szCs w:val="20"/>
              </w:rPr>
              <w:t>02</w:t>
            </w:r>
          </w:p>
        </w:tc>
        <w:tc>
          <w:tcPr>
            <w:tcW w:w="1114" w:type="pct"/>
            <w:noWrap/>
            <w:vAlign w:val="bottom"/>
            <w:hideMark/>
          </w:tcPr>
          <w:p w14:paraId="3B216646" w14:textId="77777777" w:rsidR="00C47DF2" w:rsidRPr="00FA4E2C" w:rsidRDefault="00C47DF2" w:rsidP="00FF0031">
            <w:pPr>
              <w:jc w:val="right"/>
              <w:rPr>
                <w:rFonts w:cs="Arial"/>
                <w:sz w:val="20"/>
                <w:szCs w:val="20"/>
              </w:rPr>
            </w:pPr>
            <w:r w:rsidRPr="00FA4E2C">
              <w:rPr>
                <w:rFonts w:cs="Arial"/>
                <w:sz w:val="20"/>
                <w:szCs w:val="20"/>
              </w:rPr>
              <w:t>8</w:t>
            </w:r>
            <w:r>
              <w:rPr>
                <w:rFonts w:cs="Arial"/>
                <w:sz w:val="20"/>
                <w:szCs w:val="20"/>
              </w:rPr>
              <w:t>,</w:t>
            </w:r>
            <w:r w:rsidRPr="00FA4E2C">
              <w:rPr>
                <w:rFonts w:cs="Arial"/>
                <w:sz w:val="20"/>
                <w:szCs w:val="20"/>
              </w:rPr>
              <w:t>58</w:t>
            </w:r>
          </w:p>
        </w:tc>
        <w:tc>
          <w:tcPr>
            <w:tcW w:w="1312" w:type="pct"/>
            <w:noWrap/>
            <w:vAlign w:val="bottom"/>
            <w:hideMark/>
          </w:tcPr>
          <w:p w14:paraId="0B5D5550" w14:textId="77777777" w:rsidR="00C47DF2" w:rsidRPr="00FA4E2C" w:rsidRDefault="00C47DF2" w:rsidP="00FF0031">
            <w:pPr>
              <w:jc w:val="right"/>
              <w:rPr>
                <w:rFonts w:cs="Arial"/>
                <w:sz w:val="20"/>
                <w:szCs w:val="20"/>
              </w:rPr>
            </w:pPr>
            <w:r w:rsidRPr="00FA4E2C">
              <w:rPr>
                <w:rFonts w:cs="Arial"/>
                <w:sz w:val="20"/>
                <w:szCs w:val="20"/>
              </w:rPr>
              <w:t>36</w:t>
            </w:r>
            <w:r>
              <w:rPr>
                <w:rFonts w:cs="Arial"/>
                <w:sz w:val="20"/>
                <w:szCs w:val="20"/>
              </w:rPr>
              <w:t>,</w:t>
            </w:r>
            <w:r w:rsidRPr="00FA4E2C">
              <w:rPr>
                <w:rFonts w:cs="Arial"/>
                <w:sz w:val="20"/>
                <w:szCs w:val="20"/>
              </w:rPr>
              <w:t>94</w:t>
            </w:r>
          </w:p>
        </w:tc>
      </w:tr>
      <w:tr w:rsidR="00C47DF2" w:rsidRPr="00FA4E2C" w14:paraId="5AD4DAD3" w14:textId="77777777" w:rsidTr="00FF0031">
        <w:trPr>
          <w:trHeight w:val="255"/>
        </w:trPr>
        <w:tc>
          <w:tcPr>
            <w:tcW w:w="1249" w:type="pct"/>
            <w:shd w:val="clear" w:color="auto" w:fill="D9D9D9" w:themeFill="background1" w:themeFillShade="D9"/>
            <w:noWrap/>
            <w:vAlign w:val="center"/>
            <w:hideMark/>
          </w:tcPr>
          <w:p w14:paraId="5CD1E656" w14:textId="77777777" w:rsidR="00C47DF2" w:rsidRPr="00FA4E2C" w:rsidRDefault="00C47DF2" w:rsidP="00FF0031">
            <w:pPr>
              <w:jc w:val="left"/>
              <w:rPr>
                <w:rFonts w:cs="Arial"/>
                <w:sz w:val="20"/>
                <w:szCs w:val="20"/>
              </w:rPr>
            </w:pPr>
            <w:r w:rsidRPr="00FA4E2C">
              <w:rPr>
                <w:rFonts w:cs="Arial"/>
                <w:sz w:val="20"/>
                <w:szCs w:val="20"/>
              </w:rPr>
              <w:t>povprečje zima</w:t>
            </w:r>
          </w:p>
        </w:tc>
        <w:tc>
          <w:tcPr>
            <w:tcW w:w="1325" w:type="pct"/>
            <w:noWrap/>
            <w:vAlign w:val="bottom"/>
            <w:hideMark/>
          </w:tcPr>
          <w:p w14:paraId="7B7E62C1" w14:textId="77777777" w:rsidR="00C47DF2" w:rsidRPr="00FA4E2C" w:rsidRDefault="00C47DF2" w:rsidP="00FF0031">
            <w:pPr>
              <w:jc w:val="right"/>
              <w:rPr>
                <w:rFonts w:cs="Arial"/>
                <w:sz w:val="20"/>
                <w:szCs w:val="20"/>
              </w:rPr>
            </w:pPr>
            <w:r w:rsidRPr="00FA4E2C">
              <w:rPr>
                <w:rFonts w:cs="Arial"/>
                <w:sz w:val="20"/>
                <w:szCs w:val="20"/>
              </w:rPr>
              <w:t>4</w:t>
            </w:r>
            <w:r>
              <w:rPr>
                <w:rFonts w:cs="Arial"/>
                <w:sz w:val="20"/>
                <w:szCs w:val="20"/>
              </w:rPr>
              <w:t>,</w:t>
            </w:r>
            <w:r w:rsidRPr="00FA4E2C">
              <w:rPr>
                <w:rFonts w:cs="Arial"/>
                <w:sz w:val="20"/>
                <w:szCs w:val="20"/>
              </w:rPr>
              <w:t>96</w:t>
            </w:r>
          </w:p>
        </w:tc>
        <w:tc>
          <w:tcPr>
            <w:tcW w:w="1114" w:type="pct"/>
            <w:noWrap/>
            <w:vAlign w:val="bottom"/>
            <w:hideMark/>
          </w:tcPr>
          <w:p w14:paraId="3A9F8D6F" w14:textId="77777777" w:rsidR="00C47DF2" w:rsidRPr="00FA4E2C" w:rsidRDefault="00C47DF2" w:rsidP="00FF0031">
            <w:pPr>
              <w:jc w:val="right"/>
              <w:rPr>
                <w:rFonts w:cs="Arial"/>
                <w:sz w:val="20"/>
                <w:szCs w:val="20"/>
              </w:rPr>
            </w:pPr>
            <w:r w:rsidRPr="00FA4E2C">
              <w:rPr>
                <w:rFonts w:cs="Arial"/>
                <w:sz w:val="20"/>
                <w:szCs w:val="20"/>
              </w:rPr>
              <w:t>21</w:t>
            </w:r>
            <w:r>
              <w:rPr>
                <w:rFonts w:cs="Arial"/>
                <w:sz w:val="20"/>
                <w:szCs w:val="20"/>
              </w:rPr>
              <w:t>,</w:t>
            </w:r>
            <w:r w:rsidRPr="00FA4E2C">
              <w:rPr>
                <w:rFonts w:cs="Arial"/>
                <w:sz w:val="20"/>
                <w:szCs w:val="20"/>
              </w:rPr>
              <w:t>95</w:t>
            </w:r>
          </w:p>
        </w:tc>
        <w:tc>
          <w:tcPr>
            <w:tcW w:w="1312" w:type="pct"/>
            <w:noWrap/>
            <w:vAlign w:val="bottom"/>
            <w:hideMark/>
          </w:tcPr>
          <w:p w14:paraId="1601B6F7" w14:textId="77777777" w:rsidR="00C47DF2" w:rsidRPr="00FA4E2C" w:rsidRDefault="00C47DF2" w:rsidP="00FF0031">
            <w:pPr>
              <w:jc w:val="right"/>
              <w:rPr>
                <w:rFonts w:cs="Arial"/>
                <w:sz w:val="20"/>
                <w:szCs w:val="20"/>
              </w:rPr>
            </w:pPr>
            <w:r w:rsidRPr="00FA4E2C">
              <w:rPr>
                <w:rFonts w:cs="Arial"/>
                <w:sz w:val="20"/>
                <w:szCs w:val="20"/>
              </w:rPr>
              <w:t>91</w:t>
            </w:r>
            <w:r>
              <w:rPr>
                <w:rFonts w:cs="Arial"/>
                <w:sz w:val="20"/>
                <w:szCs w:val="20"/>
              </w:rPr>
              <w:t>,</w:t>
            </w:r>
            <w:r w:rsidRPr="00FA4E2C">
              <w:rPr>
                <w:rFonts w:cs="Arial"/>
                <w:sz w:val="20"/>
                <w:szCs w:val="20"/>
              </w:rPr>
              <w:t>00</w:t>
            </w:r>
          </w:p>
        </w:tc>
      </w:tr>
      <w:tr w:rsidR="00C47DF2" w:rsidRPr="00FA4E2C" w14:paraId="55F3DD0E" w14:textId="77777777" w:rsidTr="00FF0031">
        <w:trPr>
          <w:trHeight w:val="255"/>
        </w:trPr>
        <w:tc>
          <w:tcPr>
            <w:tcW w:w="1249" w:type="pct"/>
            <w:shd w:val="clear" w:color="auto" w:fill="D9D9D9" w:themeFill="background1" w:themeFillShade="D9"/>
            <w:noWrap/>
            <w:vAlign w:val="center"/>
            <w:hideMark/>
          </w:tcPr>
          <w:p w14:paraId="32DBBA3A" w14:textId="77777777" w:rsidR="00C47DF2" w:rsidRPr="00FA4E2C" w:rsidRDefault="00C47DF2" w:rsidP="00FF0031">
            <w:pPr>
              <w:jc w:val="left"/>
              <w:rPr>
                <w:rFonts w:cs="Arial"/>
                <w:sz w:val="20"/>
                <w:szCs w:val="20"/>
              </w:rPr>
            </w:pPr>
            <w:r w:rsidRPr="00FA4E2C">
              <w:rPr>
                <w:rFonts w:cs="Arial"/>
                <w:sz w:val="20"/>
                <w:szCs w:val="20"/>
              </w:rPr>
              <w:t>najnižji pretok (mesec)</w:t>
            </w:r>
          </w:p>
        </w:tc>
        <w:tc>
          <w:tcPr>
            <w:tcW w:w="1325" w:type="pct"/>
            <w:noWrap/>
            <w:vAlign w:val="bottom"/>
            <w:hideMark/>
          </w:tcPr>
          <w:p w14:paraId="32841A4A" w14:textId="77777777" w:rsidR="00C47DF2" w:rsidRPr="00FA4E2C" w:rsidRDefault="00C47DF2" w:rsidP="00FF0031">
            <w:pPr>
              <w:jc w:val="right"/>
              <w:rPr>
                <w:rFonts w:cs="Arial"/>
                <w:sz w:val="20"/>
                <w:szCs w:val="20"/>
              </w:rPr>
            </w:pPr>
            <w:r w:rsidRPr="00FA4E2C">
              <w:rPr>
                <w:rFonts w:cs="Arial"/>
                <w:sz w:val="20"/>
                <w:szCs w:val="20"/>
              </w:rPr>
              <w:t>2</w:t>
            </w:r>
            <w:r>
              <w:rPr>
                <w:rFonts w:cs="Arial"/>
                <w:sz w:val="20"/>
                <w:szCs w:val="20"/>
              </w:rPr>
              <w:t>,</w:t>
            </w:r>
            <w:r w:rsidRPr="00FA4E2C">
              <w:rPr>
                <w:rFonts w:cs="Arial"/>
                <w:sz w:val="20"/>
                <w:szCs w:val="20"/>
              </w:rPr>
              <w:t>03 (avgust)</w:t>
            </w:r>
          </w:p>
        </w:tc>
        <w:tc>
          <w:tcPr>
            <w:tcW w:w="1114" w:type="pct"/>
            <w:noWrap/>
            <w:vAlign w:val="bottom"/>
            <w:hideMark/>
          </w:tcPr>
          <w:p w14:paraId="10F14CD9" w14:textId="77777777" w:rsidR="00C47DF2" w:rsidRPr="00FA4E2C" w:rsidRDefault="00C47DF2" w:rsidP="00FF0031">
            <w:pPr>
              <w:jc w:val="right"/>
              <w:rPr>
                <w:rFonts w:cs="Arial"/>
                <w:sz w:val="20"/>
                <w:szCs w:val="20"/>
              </w:rPr>
            </w:pPr>
            <w:r w:rsidRPr="00FA4E2C">
              <w:rPr>
                <w:rFonts w:cs="Arial"/>
                <w:sz w:val="20"/>
                <w:szCs w:val="20"/>
              </w:rPr>
              <w:t>4</w:t>
            </w:r>
            <w:r>
              <w:rPr>
                <w:rFonts w:cs="Arial"/>
                <w:sz w:val="20"/>
                <w:szCs w:val="20"/>
              </w:rPr>
              <w:t>,</w:t>
            </w:r>
            <w:r w:rsidRPr="00FA4E2C">
              <w:rPr>
                <w:rFonts w:cs="Arial"/>
                <w:sz w:val="20"/>
                <w:szCs w:val="20"/>
              </w:rPr>
              <w:t>42 (avgust)</w:t>
            </w:r>
          </w:p>
        </w:tc>
        <w:tc>
          <w:tcPr>
            <w:tcW w:w="1312" w:type="pct"/>
            <w:noWrap/>
            <w:vAlign w:val="bottom"/>
            <w:hideMark/>
          </w:tcPr>
          <w:p w14:paraId="141DCAA5" w14:textId="77777777" w:rsidR="00C47DF2" w:rsidRPr="00FA4E2C" w:rsidRDefault="00C47DF2" w:rsidP="00FF0031">
            <w:pPr>
              <w:jc w:val="right"/>
              <w:rPr>
                <w:rFonts w:cs="Arial"/>
                <w:sz w:val="20"/>
                <w:szCs w:val="20"/>
              </w:rPr>
            </w:pPr>
            <w:r w:rsidRPr="00FA4E2C">
              <w:rPr>
                <w:rFonts w:cs="Arial"/>
                <w:sz w:val="20"/>
                <w:szCs w:val="20"/>
              </w:rPr>
              <w:t>14</w:t>
            </w:r>
            <w:r>
              <w:rPr>
                <w:rFonts w:cs="Arial"/>
                <w:sz w:val="20"/>
                <w:szCs w:val="20"/>
              </w:rPr>
              <w:t>,</w:t>
            </w:r>
            <w:r w:rsidRPr="00FA4E2C">
              <w:rPr>
                <w:rFonts w:cs="Arial"/>
                <w:sz w:val="20"/>
                <w:szCs w:val="20"/>
              </w:rPr>
              <w:t>41 (avgust)</w:t>
            </w:r>
          </w:p>
        </w:tc>
      </w:tr>
      <w:tr w:rsidR="00C47DF2" w:rsidRPr="00FA4E2C" w14:paraId="1AD3200A" w14:textId="77777777" w:rsidTr="00FF0031">
        <w:trPr>
          <w:trHeight w:val="255"/>
        </w:trPr>
        <w:tc>
          <w:tcPr>
            <w:tcW w:w="1249" w:type="pct"/>
            <w:shd w:val="clear" w:color="auto" w:fill="D9D9D9" w:themeFill="background1" w:themeFillShade="D9"/>
            <w:noWrap/>
            <w:vAlign w:val="center"/>
            <w:hideMark/>
          </w:tcPr>
          <w:p w14:paraId="07743602" w14:textId="77777777" w:rsidR="00C47DF2" w:rsidRPr="00FA4E2C" w:rsidRDefault="00C47DF2" w:rsidP="00FF0031">
            <w:pPr>
              <w:jc w:val="left"/>
              <w:rPr>
                <w:rFonts w:cs="Arial"/>
                <w:sz w:val="20"/>
                <w:szCs w:val="20"/>
              </w:rPr>
            </w:pPr>
            <w:r w:rsidRPr="00FA4E2C">
              <w:rPr>
                <w:rFonts w:cs="Arial"/>
                <w:sz w:val="20"/>
                <w:szCs w:val="20"/>
              </w:rPr>
              <w:t>najvišji pretok (mesec)</w:t>
            </w:r>
          </w:p>
        </w:tc>
        <w:tc>
          <w:tcPr>
            <w:tcW w:w="1325" w:type="pct"/>
            <w:noWrap/>
            <w:vAlign w:val="bottom"/>
            <w:hideMark/>
          </w:tcPr>
          <w:p w14:paraId="1048AEFD" w14:textId="77777777" w:rsidR="00C47DF2" w:rsidRPr="00FA4E2C" w:rsidRDefault="00C47DF2" w:rsidP="00FF0031">
            <w:pPr>
              <w:jc w:val="right"/>
              <w:rPr>
                <w:rFonts w:cs="Arial"/>
                <w:sz w:val="20"/>
                <w:szCs w:val="20"/>
              </w:rPr>
            </w:pPr>
            <w:r w:rsidRPr="00FA4E2C">
              <w:rPr>
                <w:rFonts w:cs="Arial"/>
                <w:sz w:val="20"/>
                <w:szCs w:val="20"/>
              </w:rPr>
              <w:t>7</w:t>
            </w:r>
            <w:r>
              <w:rPr>
                <w:rFonts w:cs="Arial"/>
                <w:sz w:val="20"/>
                <w:szCs w:val="20"/>
              </w:rPr>
              <w:t>,</w:t>
            </w:r>
            <w:r w:rsidRPr="00FA4E2C">
              <w:rPr>
                <w:rFonts w:cs="Arial"/>
                <w:sz w:val="20"/>
                <w:szCs w:val="20"/>
              </w:rPr>
              <w:t>57 (februar)</w:t>
            </w:r>
          </w:p>
        </w:tc>
        <w:tc>
          <w:tcPr>
            <w:tcW w:w="1114" w:type="pct"/>
            <w:noWrap/>
            <w:vAlign w:val="bottom"/>
            <w:hideMark/>
          </w:tcPr>
          <w:p w14:paraId="4F6DE598" w14:textId="77777777" w:rsidR="00C47DF2" w:rsidRPr="00FA4E2C" w:rsidRDefault="00C47DF2" w:rsidP="00FF0031">
            <w:pPr>
              <w:jc w:val="right"/>
              <w:rPr>
                <w:rFonts w:cs="Arial"/>
                <w:sz w:val="20"/>
                <w:szCs w:val="20"/>
              </w:rPr>
            </w:pPr>
            <w:r w:rsidRPr="00FA4E2C">
              <w:rPr>
                <w:rFonts w:cs="Arial"/>
                <w:sz w:val="20"/>
                <w:szCs w:val="20"/>
              </w:rPr>
              <w:t>33</w:t>
            </w:r>
            <w:r>
              <w:rPr>
                <w:rFonts w:cs="Arial"/>
                <w:sz w:val="20"/>
                <w:szCs w:val="20"/>
              </w:rPr>
              <w:t>,</w:t>
            </w:r>
            <w:r w:rsidRPr="00FA4E2C">
              <w:rPr>
                <w:rFonts w:cs="Arial"/>
                <w:sz w:val="20"/>
                <w:szCs w:val="20"/>
              </w:rPr>
              <w:t>32 (februar)</w:t>
            </w:r>
          </w:p>
        </w:tc>
        <w:tc>
          <w:tcPr>
            <w:tcW w:w="1312" w:type="pct"/>
            <w:noWrap/>
            <w:vAlign w:val="bottom"/>
            <w:hideMark/>
          </w:tcPr>
          <w:p w14:paraId="460DCF36" w14:textId="77777777" w:rsidR="00C47DF2" w:rsidRPr="00FA4E2C" w:rsidRDefault="00C47DF2" w:rsidP="00FF0031">
            <w:pPr>
              <w:jc w:val="right"/>
              <w:rPr>
                <w:rFonts w:cs="Arial"/>
                <w:sz w:val="20"/>
                <w:szCs w:val="20"/>
              </w:rPr>
            </w:pPr>
            <w:r w:rsidRPr="00FA4E2C">
              <w:rPr>
                <w:rFonts w:cs="Arial"/>
                <w:sz w:val="20"/>
                <w:szCs w:val="20"/>
              </w:rPr>
              <w:t>134</w:t>
            </w:r>
            <w:r>
              <w:rPr>
                <w:rFonts w:cs="Arial"/>
                <w:sz w:val="20"/>
                <w:szCs w:val="20"/>
              </w:rPr>
              <w:t>,</w:t>
            </w:r>
            <w:r w:rsidRPr="00FA4E2C">
              <w:rPr>
                <w:rFonts w:cs="Arial"/>
                <w:sz w:val="20"/>
                <w:szCs w:val="20"/>
              </w:rPr>
              <w:t>71 (februar)</w:t>
            </w:r>
          </w:p>
        </w:tc>
      </w:tr>
    </w:tbl>
    <w:p w14:paraId="3080D5CF" w14:textId="77777777" w:rsidR="00C47DF2" w:rsidRPr="00FB70C6" w:rsidRDefault="00C47DF2" w:rsidP="00C47DF2">
      <w:pPr>
        <w:rPr>
          <w:highlight w:val="yellow"/>
          <w:lang w:eastAsia="sl-SI"/>
        </w:rPr>
      </w:pPr>
    </w:p>
    <w:p w14:paraId="59972630" w14:textId="77777777" w:rsidR="00C47DF2" w:rsidRDefault="00C47DF2" w:rsidP="00C47DF2">
      <w:pPr>
        <w:rPr>
          <w:lang w:eastAsia="sl-SI"/>
        </w:rPr>
      </w:pPr>
      <w:r>
        <w:rPr>
          <w:lang w:eastAsia="sl-SI"/>
        </w:rPr>
        <w:t>Hidrološka postaja Miren I deluje od 2004, večmesečna vrzel v podatkih je le od aprila do konca leta 2015.</w:t>
      </w:r>
    </w:p>
    <w:p w14:paraId="16A0DDED" w14:textId="77777777" w:rsidR="00C47DF2" w:rsidRDefault="00C47DF2" w:rsidP="00C47DF2">
      <w:pPr>
        <w:keepNext/>
        <w:jc w:val="center"/>
      </w:pPr>
      <w:r>
        <w:rPr>
          <w:noProof/>
          <w:lang w:eastAsia="sl-SI"/>
        </w:rPr>
        <w:lastRenderedPageBreak/>
        <w:drawing>
          <wp:inline distT="0" distB="0" distL="0" distR="0" wp14:anchorId="793FFC46" wp14:editId="5E1025EC">
            <wp:extent cx="5825719" cy="2861945"/>
            <wp:effectExtent l="0" t="0" r="3810" b="0"/>
            <wp:docPr id="593441284" name="Picture 59344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176">
                      <a:extLst>
                        <a:ext uri="{28A0092B-C50C-407E-A947-70E740481C1C}">
                          <a14:useLocalDpi xmlns:a14="http://schemas.microsoft.com/office/drawing/2010/main" val="0"/>
                        </a:ext>
                      </a:extLst>
                    </a:blip>
                    <a:stretch>
                      <a:fillRect/>
                    </a:stretch>
                  </pic:blipFill>
                  <pic:spPr bwMode="auto">
                    <a:xfrm>
                      <a:off x="0" y="0"/>
                      <a:ext cx="5825719" cy="2861945"/>
                    </a:xfrm>
                    <a:prstGeom prst="rect">
                      <a:avLst/>
                    </a:prstGeom>
                    <a:noFill/>
                  </pic:spPr>
                </pic:pic>
              </a:graphicData>
            </a:graphic>
          </wp:inline>
        </w:drawing>
      </w:r>
    </w:p>
    <w:p w14:paraId="346E8273" w14:textId="4C96931C" w:rsidR="00C47DF2" w:rsidRDefault="00C47DF2" w:rsidP="00C47DF2">
      <w:pPr>
        <w:pStyle w:val="Napis"/>
        <w:rPr>
          <w:lang w:eastAsia="sl-SI"/>
        </w:rPr>
      </w:pPr>
      <w:bookmarkStart w:id="401" w:name="_Ref70573754"/>
      <w:bookmarkStart w:id="402" w:name="_Toc97026880"/>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29</w:t>
      </w:r>
      <w:r w:rsidR="008334B2">
        <w:fldChar w:fldCharType="end"/>
      </w:r>
      <w:bookmarkEnd w:id="401"/>
      <w:r w:rsidRPr="008B34D3">
        <w:t xml:space="preserve">: Povprečni minimalni, povprečni in povprečni maksimalni pretok reke </w:t>
      </w:r>
      <w:r>
        <w:t>Vipave</w:t>
      </w:r>
      <w:r w:rsidRPr="008B34D3">
        <w:t xml:space="preserve"> na hidrogeološki postaji </w:t>
      </w:r>
      <w:r>
        <w:t>Miren I</w:t>
      </w:r>
      <w:r w:rsidRPr="008B34D3">
        <w:t xml:space="preserve"> za obdobje </w:t>
      </w:r>
      <w:r>
        <w:t>2004 </w:t>
      </w:r>
      <w:r>
        <w:noBreakHyphen/>
        <w:t> </w:t>
      </w:r>
      <w:r w:rsidRPr="008B34D3">
        <w:t>2019.</w:t>
      </w:r>
      <w:bookmarkEnd w:id="402"/>
    </w:p>
    <w:p w14:paraId="0E8F35D8" w14:textId="7C99A43C" w:rsidR="00C47DF2" w:rsidRDefault="00C47DF2" w:rsidP="00C47DF2">
      <w:pPr>
        <w:pStyle w:val="Napis"/>
        <w:keepNext/>
      </w:pPr>
      <w:bookmarkStart w:id="403" w:name="_Ref70573809"/>
      <w:bookmarkStart w:id="404" w:name="_Toc97026987"/>
      <w:r>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34</w:t>
      </w:r>
      <w:r w:rsidR="00976D80">
        <w:fldChar w:fldCharType="end"/>
      </w:r>
      <w:bookmarkEnd w:id="403"/>
      <w:r>
        <w:t>: Tabelarični prikaz povprečnih minimalnih, srednjih in maksimalnih pretokov na postaji Miren I (Vipava) na letni in sezonski ravni, vključno z mesecem, ko je bil povprečni pretok najnižji ali najvišji. Podatki zajemajo obdobje 2004 do 2019.</w:t>
      </w:r>
      <w:bookmarkEnd w:id="404"/>
    </w:p>
    <w:tbl>
      <w:tblPr>
        <w:tblStyle w:val="Tabelamrea"/>
        <w:tblW w:w="4997" w:type="pct"/>
        <w:tblInd w:w="5" w:type="dxa"/>
        <w:tblLayout w:type="fixed"/>
        <w:tblLook w:val="04A0" w:firstRow="1" w:lastRow="0" w:firstColumn="1" w:lastColumn="0" w:noHBand="0" w:noVBand="1"/>
      </w:tblPr>
      <w:tblGrid>
        <w:gridCol w:w="2405"/>
        <w:gridCol w:w="2551"/>
        <w:gridCol w:w="2145"/>
        <w:gridCol w:w="2526"/>
      </w:tblGrid>
      <w:tr w:rsidR="00C47DF2" w:rsidRPr="00FA4E2C" w14:paraId="087ACA77" w14:textId="77777777" w:rsidTr="00FF0031">
        <w:trPr>
          <w:trHeight w:val="255"/>
        </w:trPr>
        <w:tc>
          <w:tcPr>
            <w:tcW w:w="1249" w:type="pct"/>
            <w:tcBorders>
              <w:top w:val="nil"/>
              <w:left w:val="nil"/>
            </w:tcBorders>
            <w:noWrap/>
            <w:hideMark/>
          </w:tcPr>
          <w:p w14:paraId="27115E8F" w14:textId="77777777" w:rsidR="00C47DF2" w:rsidRPr="00FA4E2C" w:rsidRDefault="00C47DF2" w:rsidP="00FF0031">
            <w:pPr>
              <w:jc w:val="left"/>
            </w:pPr>
          </w:p>
        </w:tc>
        <w:tc>
          <w:tcPr>
            <w:tcW w:w="1325" w:type="pct"/>
            <w:shd w:val="clear" w:color="auto" w:fill="AEAAAA" w:themeFill="background2" w:themeFillShade="BF"/>
            <w:noWrap/>
            <w:vAlign w:val="center"/>
            <w:hideMark/>
          </w:tcPr>
          <w:p w14:paraId="60656B8A" w14:textId="77777777" w:rsidR="00C47DF2" w:rsidRPr="00FA4E2C" w:rsidRDefault="00C47DF2" w:rsidP="00FF0031">
            <w:pPr>
              <w:jc w:val="center"/>
              <w:rPr>
                <w:rFonts w:cs="Arial"/>
                <w:sz w:val="20"/>
                <w:szCs w:val="20"/>
              </w:rPr>
            </w:pPr>
            <w:r w:rsidRPr="00FA4E2C">
              <w:rPr>
                <w:rFonts w:cs="Arial"/>
                <w:sz w:val="20"/>
                <w:szCs w:val="20"/>
              </w:rPr>
              <w:t>minimalni pretok [m</w:t>
            </w:r>
            <w:r w:rsidRPr="00FA4E2C">
              <w:rPr>
                <w:rFonts w:cs="Arial"/>
                <w:sz w:val="20"/>
                <w:szCs w:val="20"/>
                <w:vertAlign w:val="superscript"/>
              </w:rPr>
              <w:t>3</w:t>
            </w:r>
            <w:r w:rsidRPr="00FA4E2C">
              <w:rPr>
                <w:rFonts w:cs="Arial"/>
                <w:sz w:val="20"/>
                <w:szCs w:val="20"/>
              </w:rPr>
              <w:t>/s]</w:t>
            </w:r>
          </w:p>
        </w:tc>
        <w:tc>
          <w:tcPr>
            <w:tcW w:w="1114" w:type="pct"/>
            <w:shd w:val="clear" w:color="auto" w:fill="AEAAAA" w:themeFill="background2" w:themeFillShade="BF"/>
            <w:noWrap/>
            <w:vAlign w:val="center"/>
            <w:hideMark/>
          </w:tcPr>
          <w:p w14:paraId="2DDB73F0" w14:textId="77777777" w:rsidR="00C47DF2" w:rsidRPr="00FA4E2C" w:rsidRDefault="00C47DF2" w:rsidP="00FF0031">
            <w:pPr>
              <w:jc w:val="center"/>
              <w:rPr>
                <w:rFonts w:cs="Arial"/>
                <w:sz w:val="20"/>
                <w:szCs w:val="20"/>
              </w:rPr>
            </w:pPr>
            <w:r w:rsidRPr="00FA4E2C">
              <w:rPr>
                <w:rFonts w:cs="Arial"/>
                <w:sz w:val="20"/>
                <w:szCs w:val="20"/>
              </w:rPr>
              <w:t>srednji pretok [m</w:t>
            </w:r>
            <w:r w:rsidRPr="00FA4E2C">
              <w:rPr>
                <w:rFonts w:cs="Arial"/>
                <w:sz w:val="20"/>
                <w:szCs w:val="20"/>
                <w:vertAlign w:val="superscript"/>
              </w:rPr>
              <w:t>3</w:t>
            </w:r>
            <w:r w:rsidRPr="00FA4E2C">
              <w:rPr>
                <w:rFonts w:cs="Arial"/>
                <w:sz w:val="20"/>
                <w:szCs w:val="20"/>
              </w:rPr>
              <w:t>/s]</w:t>
            </w:r>
          </w:p>
        </w:tc>
        <w:tc>
          <w:tcPr>
            <w:tcW w:w="1312" w:type="pct"/>
            <w:shd w:val="clear" w:color="auto" w:fill="AEAAAA" w:themeFill="background2" w:themeFillShade="BF"/>
            <w:noWrap/>
            <w:vAlign w:val="center"/>
            <w:hideMark/>
          </w:tcPr>
          <w:p w14:paraId="56FB79C1" w14:textId="77777777" w:rsidR="00C47DF2" w:rsidRPr="00FA4E2C" w:rsidRDefault="00C47DF2" w:rsidP="00FF0031">
            <w:pPr>
              <w:jc w:val="center"/>
              <w:rPr>
                <w:rFonts w:cs="Arial"/>
                <w:sz w:val="20"/>
                <w:szCs w:val="20"/>
              </w:rPr>
            </w:pPr>
            <w:r w:rsidRPr="00FA4E2C">
              <w:rPr>
                <w:rFonts w:cs="Arial"/>
                <w:sz w:val="20"/>
                <w:szCs w:val="20"/>
              </w:rPr>
              <w:t>maksimalni pretok [m</w:t>
            </w:r>
            <w:r w:rsidRPr="00FA4E2C">
              <w:rPr>
                <w:rFonts w:cs="Arial"/>
                <w:sz w:val="20"/>
                <w:szCs w:val="20"/>
                <w:vertAlign w:val="superscript"/>
              </w:rPr>
              <w:t>3</w:t>
            </w:r>
            <w:r w:rsidRPr="00FA4E2C">
              <w:rPr>
                <w:rFonts w:cs="Arial"/>
                <w:sz w:val="20"/>
                <w:szCs w:val="20"/>
              </w:rPr>
              <w:t>/s]</w:t>
            </w:r>
          </w:p>
        </w:tc>
      </w:tr>
      <w:tr w:rsidR="00C47DF2" w:rsidRPr="00FA4E2C" w14:paraId="68CE5287" w14:textId="77777777" w:rsidTr="00FF0031">
        <w:trPr>
          <w:trHeight w:val="255"/>
        </w:trPr>
        <w:tc>
          <w:tcPr>
            <w:tcW w:w="1249" w:type="pct"/>
            <w:shd w:val="clear" w:color="auto" w:fill="D9D9D9" w:themeFill="background1" w:themeFillShade="D9"/>
            <w:noWrap/>
            <w:vAlign w:val="center"/>
            <w:hideMark/>
          </w:tcPr>
          <w:p w14:paraId="69B5F98A" w14:textId="77777777" w:rsidR="00C47DF2" w:rsidRPr="00FA4E2C" w:rsidRDefault="00C47DF2" w:rsidP="00FF0031">
            <w:pPr>
              <w:jc w:val="left"/>
              <w:rPr>
                <w:rFonts w:cs="Arial"/>
                <w:sz w:val="20"/>
                <w:szCs w:val="20"/>
              </w:rPr>
            </w:pPr>
            <w:r w:rsidRPr="00FA4E2C">
              <w:rPr>
                <w:rFonts w:cs="Arial"/>
                <w:sz w:val="20"/>
                <w:szCs w:val="20"/>
              </w:rPr>
              <w:t>letno povprečje</w:t>
            </w:r>
          </w:p>
        </w:tc>
        <w:tc>
          <w:tcPr>
            <w:tcW w:w="1325" w:type="pct"/>
            <w:noWrap/>
            <w:vAlign w:val="bottom"/>
            <w:hideMark/>
          </w:tcPr>
          <w:p w14:paraId="053319D3" w14:textId="77777777" w:rsidR="00C47DF2" w:rsidRPr="00FA4E2C" w:rsidRDefault="00C47DF2" w:rsidP="00FF0031">
            <w:pPr>
              <w:jc w:val="right"/>
              <w:rPr>
                <w:rFonts w:cs="Arial"/>
                <w:sz w:val="20"/>
                <w:szCs w:val="20"/>
              </w:rPr>
            </w:pPr>
            <w:r w:rsidRPr="00FA4E2C">
              <w:rPr>
                <w:rFonts w:cs="Arial"/>
                <w:sz w:val="20"/>
                <w:szCs w:val="20"/>
              </w:rPr>
              <w:t>4</w:t>
            </w:r>
            <w:r>
              <w:rPr>
                <w:rFonts w:cs="Arial"/>
                <w:sz w:val="20"/>
                <w:szCs w:val="20"/>
              </w:rPr>
              <w:t>,</w:t>
            </w:r>
            <w:r w:rsidRPr="00FA4E2C">
              <w:rPr>
                <w:rFonts w:cs="Arial"/>
                <w:sz w:val="20"/>
                <w:szCs w:val="20"/>
              </w:rPr>
              <w:t>56</w:t>
            </w:r>
          </w:p>
        </w:tc>
        <w:tc>
          <w:tcPr>
            <w:tcW w:w="1114" w:type="pct"/>
            <w:noWrap/>
            <w:vAlign w:val="bottom"/>
            <w:hideMark/>
          </w:tcPr>
          <w:p w14:paraId="14725C57" w14:textId="77777777" w:rsidR="00C47DF2" w:rsidRPr="00FA4E2C" w:rsidRDefault="00C47DF2" w:rsidP="00FF0031">
            <w:pPr>
              <w:jc w:val="right"/>
              <w:rPr>
                <w:rFonts w:cs="Arial"/>
                <w:sz w:val="20"/>
                <w:szCs w:val="20"/>
              </w:rPr>
            </w:pPr>
            <w:r w:rsidRPr="00FA4E2C">
              <w:rPr>
                <w:rFonts w:cs="Arial"/>
                <w:sz w:val="20"/>
                <w:szCs w:val="20"/>
              </w:rPr>
              <w:t>18</w:t>
            </w:r>
            <w:r>
              <w:rPr>
                <w:rFonts w:cs="Arial"/>
                <w:sz w:val="20"/>
                <w:szCs w:val="20"/>
              </w:rPr>
              <w:t>,</w:t>
            </w:r>
            <w:r w:rsidRPr="00FA4E2C">
              <w:rPr>
                <w:rFonts w:cs="Arial"/>
                <w:sz w:val="20"/>
                <w:szCs w:val="20"/>
              </w:rPr>
              <w:t>14</w:t>
            </w:r>
          </w:p>
        </w:tc>
        <w:tc>
          <w:tcPr>
            <w:tcW w:w="1312" w:type="pct"/>
            <w:noWrap/>
            <w:vAlign w:val="bottom"/>
            <w:hideMark/>
          </w:tcPr>
          <w:p w14:paraId="024D414A" w14:textId="77777777" w:rsidR="00C47DF2" w:rsidRPr="00FA4E2C" w:rsidRDefault="00C47DF2" w:rsidP="00FF0031">
            <w:pPr>
              <w:jc w:val="right"/>
              <w:rPr>
                <w:rFonts w:cs="Arial"/>
                <w:sz w:val="20"/>
                <w:szCs w:val="20"/>
              </w:rPr>
            </w:pPr>
            <w:r w:rsidRPr="00FA4E2C">
              <w:rPr>
                <w:rFonts w:cs="Arial"/>
                <w:sz w:val="20"/>
                <w:szCs w:val="20"/>
              </w:rPr>
              <w:t>78</w:t>
            </w:r>
            <w:r>
              <w:rPr>
                <w:rFonts w:cs="Arial"/>
                <w:sz w:val="20"/>
                <w:szCs w:val="20"/>
              </w:rPr>
              <w:t>,</w:t>
            </w:r>
            <w:r w:rsidRPr="00FA4E2C">
              <w:rPr>
                <w:rFonts w:cs="Arial"/>
                <w:sz w:val="20"/>
                <w:szCs w:val="20"/>
              </w:rPr>
              <w:t>85</w:t>
            </w:r>
          </w:p>
        </w:tc>
      </w:tr>
      <w:tr w:rsidR="00C47DF2" w:rsidRPr="00FA4E2C" w14:paraId="6A58BB6F" w14:textId="77777777" w:rsidTr="00FF0031">
        <w:trPr>
          <w:trHeight w:val="255"/>
        </w:trPr>
        <w:tc>
          <w:tcPr>
            <w:tcW w:w="1249" w:type="pct"/>
            <w:shd w:val="clear" w:color="auto" w:fill="D9D9D9" w:themeFill="background1" w:themeFillShade="D9"/>
            <w:noWrap/>
            <w:vAlign w:val="center"/>
            <w:hideMark/>
          </w:tcPr>
          <w:p w14:paraId="4E40EA0C" w14:textId="77777777" w:rsidR="00C47DF2" w:rsidRPr="00FA4E2C" w:rsidRDefault="00C47DF2" w:rsidP="00FF0031">
            <w:pPr>
              <w:jc w:val="left"/>
              <w:rPr>
                <w:rFonts w:cs="Arial"/>
                <w:sz w:val="20"/>
                <w:szCs w:val="20"/>
              </w:rPr>
            </w:pPr>
            <w:r w:rsidRPr="00FA4E2C">
              <w:rPr>
                <w:rFonts w:cs="Arial"/>
                <w:sz w:val="20"/>
                <w:szCs w:val="20"/>
              </w:rPr>
              <w:t>povprečje poletje</w:t>
            </w:r>
          </w:p>
        </w:tc>
        <w:tc>
          <w:tcPr>
            <w:tcW w:w="1325" w:type="pct"/>
            <w:noWrap/>
            <w:vAlign w:val="bottom"/>
            <w:hideMark/>
          </w:tcPr>
          <w:p w14:paraId="2B5FB982" w14:textId="77777777" w:rsidR="00C47DF2" w:rsidRPr="00FA4E2C" w:rsidRDefault="00C47DF2" w:rsidP="00FF0031">
            <w:pPr>
              <w:jc w:val="right"/>
              <w:rPr>
                <w:rFonts w:cs="Arial"/>
                <w:sz w:val="20"/>
                <w:szCs w:val="20"/>
              </w:rPr>
            </w:pPr>
            <w:r w:rsidRPr="00FA4E2C">
              <w:rPr>
                <w:rFonts w:cs="Arial"/>
                <w:sz w:val="20"/>
                <w:szCs w:val="20"/>
              </w:rPr>
              <w:t>3</w:t>
            </w:r>
            <w:r>
              <w:rPr>
                <w:rFonts w:cs="Arial"/>
                <w:sz w:val="20"/>
                <w:szCs w:val="20"/>
              </w:rPr>
              <w:t>,</w:t>
            </w:r>
            <w:r w:rsidRPr="00FA4E2C">
              <w:rPr>
                <w:rFonts w:cs="Arial"/>
                <w:sz w:val="20"/>
                <w:szCs w:val="20"/>
              </w:rPr>
              <w:t>53</w:t>
            </w:r>
          </w:p>
        </w:tc>
        <w:tc>
          <w:tcPr>
            <w:tcW w:w="1114" w:type="pct"/>
            <w:noWrap/>
            <w:vAlign w:val="bottom"/>
            <w:hideMark/>
          </w:tcPr>
          <w:p w14:paraId="125C8054" w14:textId="77777777" w:rsidR="00C47DF2" w:rsidRPr="00FA4E2C" w:rsidRDefault="00C47DF2" w:rsidP="00FF0031">
            <w:pPr>
              <w:jc w:val="right"/>
              <w:rPr>
                <w:rFonts w:cs="Arial"/>
                <w:sz w:val="20"/>
                <w:szCs w:val="20"/>
              </w:rPr>
            </w:pPr>
            <w:r w:rsidRPr="00FA4E2C">
              <w:rPr>
                <w:rFonts w:cs="Arial"/>
                <w:sz w:val="20"/>
                <w:szCs w:val="20"/>
              </w:rPr>
              <w:t>10</w:t>
            </w:r>
            <w:r>
              <w:rPr>
                <w:rFonts w:cs="Arial"/>
                <w:sz w:val="20"/>
                <w:szCs w:val="20"/>
              </w:rPr>
              <w:t>,</w:t>
            </w:r>
            <w:r w:rsidRPr="00FA4E2C">
              <w:rPr>
                <w:rFonts w:cs="Arial"/>
                <w:sz w:val="20"/>
                <w:szCs w:val="20"/>
              </w:rPr>
              <w:t>99</w:t>
            </w:r>
          </w:p>
        </w:tc>
        <w:tc>
          <w:tcPr>
            <w:tcW w:w="1312" w:type="pct"/>
            <w:noWrap/>
            <w:vAlign w:val="bottom"/>
            <w:hideMark/>
          </w:tcPr>
          <w:p w14:paraId="01B3D0AA" w14:textId="77777777" w:rsidR="00C47DF2" w:rsidRPr="00FA4E2C" w:rsidRDefault="00C47DF2" w:rsidP="00FF0031">
            <w:pPr>
              <w:jc w:val="right"/>
              <w:rPr>
                <w:rFonts w:cs="Arial"/>
                <w:sz w:val="20"/>
                <w:szCs w:val="20"/>
              </w:rPr>
            </w:pPr>
            <w:r w:rsidRPr="00FA4E2C">
              <w:rPr>
                <w:rFonts w:cs="Arial"/>
                <w:sz w:val="20"/>
                <w:szCs w:val="20"/>
              </w:rPr>
              <w:t>44</w:t>
            </w:r>
            <w:r>
              <w:rPr>
                <w:rFonts w:cs="Arial"/>
                <w:sz w:val="20"/>
                <w:szCs w:val="20"/>
              </w:rPr>
              <w:t>,</w:t>
            </w:r>
            <w:r w:rsidRPr="00FA4E2C">
              <w:rPr>
                <w:rFonts w:cs="Arial"/>
                <w:sz w:val="20"/>
                <w:szCs w:val="20"/>
              </w:rPr>
              <w:t>33</w:t>
            </w:r>
          </w:p>
        </w:tc>
      </w:tr>
      <w:tr w:rsidR="00C47DF2" w:rsidRPr="00FA4E2C" w14:paraId="02311E0D" w14:textId="77777777" w:rsidTr="00FF0031">
        <w:trPr>
          <w:trHeight w:val="255"/>
        </w:trPr>
        <w:tc>
          <w:tcPr>
            <w:tcW w:w="1249" w:type="pct"/>
            <w:shd w:val="clear" w:color="auto" w:fill="D9D9D9" w:themeFill="background1" w:themeFillShade="D9"/>
            <w:noWrap/>
            <w:vAlign w:val="center"/>
            <w:hideMark/>
          </w:tcPr>
          <w:p w14:paraId="691B7B93" w14:textId="77777777" w:rsidR="00C47DF2" w:rsidRPr="00FA4E2C" w:rsidRDefault="00C47DF2" w:rsidP="00FF0031">
            <w:pPr>
              <w:jc w:val="left"/>
              <w:rPr>
                <w:rFonts w:cs="Arial"/>
                <w:sz w:val="20"/>
                <w:szCs w:val="20"/>
              </w:rPr>
            </w:pPr>
            <w:r w:rsidRPr="00FA4E2C">
              <w:rPr>
                <w:rFonts w:cs="Arial"/>
                <w:sz w:val="20"/>
                <w:szCs w:val="20"/>
              </w:rPr>
              <w:t>povprečje zima</w:t>
            </w:r>
          </w:p>
        </w:tc>
        <w:tc>
          <w:tcPr>
            <w:tcW w:w="1325" w:type="pct"/>
            <w:noWrap/>
            <w:vAlign w:val="bottom"/>
            <w:hideMark/>
          </w:tcPr>
          <w:p w14:paraId="5E60969C" w14:textId="77777777" w:rsidR="00C47DF2" w:rsidRPr="00FA4E2C" w:rsidRDefault="00C47DF2" w:rsidP="00FF0031">
            <w:pPr>
              <w:jc w:val="right"/>
              <w:rPr>
                <w:rFonts w:cs="Arial"/>
                <w:sz w:val="20"/>
                <w:szCs w:val="20"/>
              </w:rPr>
            </w:pPr>
            <w:r w:rsidRPr="00FA4E2C">
              <w:rPr>
                <w:rFonts w:cs="Arial"/>
                <w:sz w:val="20"/>
                <w:szCs w:val="20"/>
              </w:rPr>
              <w:t>5</w:t>
            </w:r>
            <w:r>
              <w:rPr>
                <w:rFonts w:cs="Arial"/>
                <w:sz w:val="20"/>
                <w:szCs w:val="20"/>
              </w:rPr>
              <w:t>,</w:t>
            </w:r>
            <w:r w:rsidRPr="00FA4E2C">
              <w:rPr>
                <w:rFonts w:cs="Arial"/>
                <w:sz w:val="20"/>
                <w:szCs w:val="20"/>
              </w:rPr>
              <w:t>54</w:t>
            </w:r>
          </w:p>
        </w:tc>
        <w:tc>
          <w:tcPr>
            <w:tcW w:w="1114" w:type="pct"/>
            <w:noWrap/>
            <w:vAlign w:val="bottom"/>
            <w:hideMark/>
          </w:tcPr>
          <w:p w14:paraId="3A7EC134" w14:textId="77777777" w:rsidR="00C47DF2" w:rsidRPr="00FA4E2C" w:rsidRDefault="00C47DF2" w:rsidP="00FF0031">
            <w:pPr>
              <w:jc w:val="right"/>
              <w:rPr>
                <w:rFonts w:cs="Arial"/>
                <w:sz w:val="20"/>
                <w:szCs w:val="20"/>
              </w:rPr>
            </w:pPr>
            <w:r w:rsidRPr="00FA4E2C">
              <w:rPr>
                <w:rFonts w:cs="Arial"/>
                <w:sz w:val="20"/>
                <w:szCs w:val="20"/>
              </w:rPr>
              <w:t>25</w:t>
            </w:r>
            <w:r>
              <w:rPr>
                <w:rFonts w:cs="Arial"/>
                <w:sz w:val="20"/>
                <w:szCs w:val="20"/>
              </w:rPr>
              <w:t>,</w:t>
            </w:r>
            <w:r w:rsidRPr="00FA4E2C">
              <w:rPr>
                <w:rFonts w:cs="Arial"/>
                <w:sz w:val="20"/>
                <w:szCs w:val="20"/>
              </w:rPr>
              <w:t>11</w:t>
            </w:r>
          </w:p>
        </w:tc>
        <w:tc>
          <w:tcPr>
            <w:tcW w:w="1312" w:type="pct"/>
            <w:noWrap/>
            <w:vAlign w:val="bottom"/>
            <w:hideMark/>
          </w:tcPr>
          <w:p w14:paraId="2BC6BC43" w14:textId="77777777" w:rsidR="00C47DF2" w:rsidRPr="00FA4E2C" w:rsidRDefault="00C47DF2" w:rsidP="00FF0031">
            <w:pPr>
              <w:jc w:val="right"/>
              <w:rPr>
                <w:rFonts w:cs="Arial"/>
                <w:sz w:val="20"/>
                <w:szCs w:val="20"/>
              </w:rPr>
            </w:pPr>
            <w:r w:rsidRPr="00FA4E2C">
              <w:rPr>
                <w:rFonts w:cs="Arial"/>
                <w:sz w:val="20"/>
                <w:szCs w:val="20"/>
              </w:rPr>
              <w:t>112</w:t>
            </w:r>
            <w:r>
              <w:rPr>
                <w:rFonts w:cs="Arial"/>
                <w:sz w:val="20"/>
                <w:szCs w:val="20"/>
              </w:rPr>
              <w:t>,</w:t>
            </w:r>
            <w:r w:rsidRPr="00FA4E2C">
              <w:rPr>
                <w:rFonts w:cs="Arial"/>
                <w:sz w:val="20"/>
                <w:szCs w:val="20"/>
              </w:rPr>
              <w:t>49</w:t>
            </w:r>
          </w:p>
        </w:tc>
      </w:tr>
      <w:tr w:rsidR="00C47DF2" w:rsidRPr="00FA4E2C" w14:paraId="3F53F489" w14:textId="77777777" w:rsidTr="00FF0031">
        <w:trPr>
          <w:trHeight w:val="255"/>
        </w:trPr>
        <w:tc>
          <w:tcPr>
            <w:tcW w:w="1249" w:type="pct"/>
            <w:shd w:val="clear" w:color="auto" w:fill="D9D9D9" w:themeFill="background1" w:themeFillShade="D9"/>
            <w:noWrap/>
            <w:vAlign w:val="center"/>
            <w:hideMark/>
          </w:tcPr>
          <w:p w14:paraId="315A85AE" w14:textId="77777777" w:rsidR="00C47DF2" w:rsidRPr="00FA4E2C" w:rsidRDefault="00C47DF2" w:rsidP="00FF0031">
            <w:pPr>
              <w:jc w:val="left"/>
              <w:rPr>
                <w:rFonts w:cs="Arial"/>
                <w:sz w:val="20"/>
                <w:szCs w:val="20"/>
              </w:rPr>
            </w:pPr>
            <w:r w:rsidRPr="00FA4E2C">
              <w:rPr>
                <w:rFonts w:cs="Arial"/>
                <w:sz w:val="20"/>
                <w:szCs w:val="20"/>
              </w:rPr>
              <w:t>najnižji pretok (mesec)</w:t>
            </w:r>
          </w:p>
        </w:tc>
        <w:tc>
          <w:tcPr>
            <w:tcW w:w="1325" w:type="pct"/>
            <w:noWrap/>
            <w:vAlign w:val="bottom"/>
            <w:hideMark/>
          </w:tcPr>
          <w:p w14:paraId="78C73D73" w14:textId="77777777" w:rsidR="00C47DF2" w:rsidRPr="00FA4E2C" w:rsidRDefault="00C47DF2" w:rsidP="00FF0031">
            <w:pPr>
              <w:jc w:val="right"/>
              <w:rPr>
                <w:rFonts w:cs="Arial"/>
                <w:sz w:val="20"/>
                <w:szCs w:val="20"/>
              </w:rPr>
            </w:pPr>
            <w:r w:rsidRPr="00FA4E2C">
              <w:rPr>
                <w:rFonts w:cs="Arial"/>
                <w:sz w:val="20"/>
                <w:szCs w:val="20"/>
              </w:rPr>
              <w:t>2</w:t>
            </w:r>
            <w:r>
              <w:rPr>
                <w:rFonts w:cs="Arial"/>
                <w:sz w:val="20"/>
                <w:szCs w:val="20"/>
              </w:rPr>
              <w:t>,</w:t>
            </w:r>
            <w:r w:rsidRPr="00FA4E2C">
              <w:rPr>
                <w:rFonts w:cs="Arial"/>
                <w:sz w:val="20"/>
                <w:szCs w:val="20"/>
              </w:rPr>
              <w:t>15 (avgust)</w:t>
            </w:r>
          </w:p>
        </w:tc>
        <w:tc>
          <w:tcPr>
            <w:tcW w:w="1114" w:type="pct"/>
            <w:noWrap/>
            <w:vAlign w:val="bottom"/>
            <w:hideMark/>
          </w:tcPr>
          <w:p w14:paraId="0E8D626F" w14:textId="77777777" w:rsidR="00C47DF2" w:rsidRPr="00FA4E2C" w:rsidRDefault="00C47DF2" w:rsidP="00FF0031">
            <w:pPr>
              <w:jc w:val="right"/>
              <w:rPr>
                <w:rFonts w:cs="Arial"/>
                <w:sz w:val="20"/>
                <w:szCs w:val="20"/>
              </w:rPr>
            </w:pPr>
            <w:r w:rsidRPr="00FA4E2C">
              <w:rPr>
                <w:rFonts w:cs="Arial"/>
                <w:sz w:val="20"/>
                <w:szCs w:val="20"/>
              </w:rPr>
              <w:t>4</w:t>
            </w:r>
            <w:r>
              <w:rPr>
                <w:rFonts w:cs="Arial"/>
                <w:sz w:val="20"/>
                <w:szCs w:val="20"/>
              </w:rPr>
              <w:t>,</w:t>
            </w:r>
            <w:r w:rsidRPr="00FA4E2C">
              <w:rPr>
                <w:rFonts w:cs="Arial"/>
                <w:sz w:val="20"/>
                <w:szCs w:val="20"/>
              </w:rPr>
              <w:t>72 (avgust)</w:t>
            </w:r>
          </w:p>
        </w:tc>
        <w:tc>
          <w:tcPr>
            <w:tcW w:w="1312" w:type="pct"/>
            <w:noWrap/>
            <w:vAlign w:val="bottom"/>
            <w:hideMark/>
          </w:tcPr>
          <w:p w14:paraId="61060753" w14:textId="77777777" w:rsidR="00C47DF2" w:rsidRPr="00FA4E2C" w:rsidRDefault="00C47DF2" w:rsidP="00FF0031">
            <w:pPr>
              <w:jc w:val="right"/>
              <w:rPr>
                <w:rFonts w:cs="Arial"/>
                <w:sz w:val="20"/>
                <w:szCs w:val="20"/>
              </w:rPr>
            </w:pPr>
            <w:r w:rsidRPr="00FA4E2C">
              <w:rPr>
                <w:rFonts w:cs="Arial"/>
                <w:sz w:val="20"/>
                <w:szCs w:val="20"/>
              </w:rPr>
              <w:t>14</w:t>
            </w:r>
            <w:r>
              <w:rPr>
                <w:rFonts w:cs="Arial"/>
                <w:sz w:val="20"/>
                <w:szCs w:val="20"/>
              </w:rPr>
              <w:t>,</w:t>
            </w:r>
            <w:r w:rsidRPr="00FA4E2C">
              <w:rPr>
                <w:rFonts w:cs="Arial"/>
                <w:sz w:val="20"/>
                <w:szCs w:val="20"/>
              </w:rPr>
              <w:t>23 (avgust)</w:t>
            </w:r>
          </w:p>
        </w:tc>
      </w:tr>
      <w:tr w:rsidR="00C47DF2" w:rsidRPr="00FA4E2C" w14:paraId="6132B3C3" w14:textId="77777777" w:rsidTr="00FF0031">
        <w:trPr>
          <w:trHeight w:val="255"/>
        </w:trPr>
        <w:tc>
          <w:tcPr>
            <w:tcW w:w="1249" w:type="pct"/>
            <w:shd w:val="clear" w:color="auto" w:fill="D9D9D9" w:themeFill="background1" w:themeFillShade="D9"/>
            <w:noWrap/>
            <w:vAlign w:val="center"/>
            <w:hideMark/>
          </w:tcPr>
          <w:p w14:paraId="12D90F81" w14:textId="77777777" w:rsidR="00C47DF2" w:rsidRPr="00FA4E2C" w:rsidRDefault="00C47DF2" w:rsidP="00FF0031">
            <w:pPr>
              <w:jc w:val="left"/>
              <w:rPr>
                <w:rFonts w:cs="Arial"/>
                <w:sz w:val="20"/>
                <w:szCs w:val="20"/>
              </w:rPr>
            </w:pPr>
            <w:r w:rsidRPr="00FA4E2C">
              <w:rPr>
                <w:rFonts w:cs="Arial"/>
                <w:sz w:val="20"/>
                <w:szCs w:val="20"/>
              </w:rPr>
              <w:t>najvišji pretok (mesec)</w:t>
            </w:r>
          </w:p>
        </w:tc>
        <w:tc>
          <w:tcPr>
            <w:tcW w:w="1325" w:type="pct"/>
            <w:noWrap/>
            <w:vAlign w:val="bottom"/>
            <w:hideMark/>
          </w:tcPr>
          <w:p w14:paraId="2C347246" w14:textId="77777777" w:rsidR="00C47DF2" w:rsidRPr="00FA4E2C" w:rsidRDefault="00C47DF2" w:rsidP="00FF0031">
            <w:pPr>
              <w:jc w:val="right"/>
              <w:rPr>
                <w:rFonts w:cs="Arial"/>
                <w:sz w:val="20"/>
                <w:szCs w:val="20"/>
              </w:rPr>
            </w:pPr>
            <w:r w:rsidRPr="00FA4E2C">
              <w:rPr>
                <w:rFonts w:cs="Arial"/>
                <w:sz w:val="20"/>
                <w:szCs w:val="20"/>
              </w:rPr>
              <w:t>6</w:t>
            </w:r>
            <w:r>
              <w:rPr>
                <w:rFonts w:cs="Arial"/>
                <w:sz w:val="20"/>
                <w:szCs w:val="20"/>
              </w:rPr>
              <w:t>,</w:t>
            </w:r>
            <w:r w:rsidRPr="00FA4E2C">
              <w:rPr>
                <w:rFonts w:cs="Arial"/>
                <w:sz w:val="20"/>
                <w:szCs w:val="20"/>
              </w:rPr>
              <w:t>74 (december)</w:t>
            </w:r>
          </w:p>
        </w:tc>
        <w:tc>
          <w:tcPr>
            <w:tcW w:w="1114" w:type="pct"/>
            <w:noWrap/>
            <w:vAlign w:val="bottom"/>
            <w:hideMark/>
          </w:tcPr>
          <w:p w14:paraId="7310B9EC" w14:textId="77777777" w:rsidR="00C47DF2" w:rsidRPr="00FA4E2C" w:rsidRDefault="00C47DF2" w:rsidP="00FF0031">
            <w:pPr>
              <w:jc w:val="right"/>
              <w:rPr>
                <w:rFonts w:cs="Arial"/>
                <w:sz w:val="20"/>
                <w:szCs w:val="20"/>
              </w:rPr>
            </w:pPr>
            <w:r w:rsidRPr="00FA4E2C">
              <w:rPr>
                <w:rFonts w:cs="Arial"/>
                <w:sz w:val="20"/>
                <w:szCs w:val="20"/>
              </w:rPr>
              <w:t>34</w:t>
            </w:r>
            <w:r>
              <w:rPr>
                <w:rFonts w:cs="Arial"/>
                <w:sz w:val="20"/>
                <w:szCs w:val="20"/>
              </w:rPr>
              <w:t>,</w:t>
            </w:r>
            <w:r w:rsidRPr="00FA4E2C">
              <w:rPr>
                <w:rFonts w:cs="Arial"/>
                <w:sz w:val="20"/>
                <w:szCs w:val="20"/>
              </w:rPr>
              <w:t>02 (december)</w:t>
            </w:r>
          </w:p>
        </w:tc>
        <w:tc>
          <w:tcPr>
            <w:tcW w:w="1312" w:type="pct"/>
            <w:noWrap/>
            <w:vAlign w:val="bottom"/>
            <w:hideMark/>
          </w:tcPr>
          <w:p w14:paraId="63B99269" w14:textId="77777777" w:rsidR="00C47DF2" w:rsidRPr="00FA4E2C" w:rsidRDefault="00C47DF2" w:rsidP="00FF0031">
            <w:pPr>
              <w:jc w:val="right"/>
              <w:rPr>
                <w:rFonts w:cs="Arial"/>
                <w:sz w:val="20"/>
                <w:szCs w:val="20"/>
              </w:rPr>
            </w:pPr>
            <w:r w:rsidRPr="00FA4E2C">
              <w:rPr>
                <w:rFonts w:cs="Arial"/>
                <w:sz w:val="20"/>
                <w:szCs w:val="20"/>
              </w:rPr>
              <w:t>157</w:t>
            </w:r>
            <w:r>
              <w:rPr>
                <w:rFonts w:cs="Arial"/>
                <w:sz w:val="20"/>
                <w:szCs w:val="20"/>
              </w:rPr>
              <w:t>,</w:t>
            </w:r>
            <w:r w:rsidRPr="00FA4E2C">
              <w:rPr>
                <w:rFonts w:cs="Arial"/>
                <w:sz w:val="20"/>
                <w:szCs w:val="20"/>
              </w:rPr>
              <w:t>24 (december)</w:t>
            </w:r>
          </w:p>
        </w:tc>
      </w:tr>
    </w:tbl>
    <w:p w14:paraId="71273613" w14:textId="77777777" w:rsidR="00C47DF2" w:rsidRDefault="00C47DF2" w:rsidP="00C47DF2"/>
    <w:p w14:paraId="085268DF" w14:textId="77777777" w:rsidR="00C47DF2" w:rsidRDefault="00C47DF2" w:rsidP="00C47DF2">
      <w:r>
        <w:t xml:space="preserve">Zelo pomemben vodni vir je tudi akumulacijsko jezero </w:t>
      </w:r>
      <w:proofErr w:type="spellStart"/>
      <w:r>
        <w:t>Vogršček</w:t>
      </w:r>
      <w:proofErr w:type="spellEnd"/>
      <w:r>
        <w:t xml:space="preserve">, ki je bilo zgrajeno za potrebe namakanja v Vipavski dolini, vendar ne deluje po pričakovanjih. V sklopu </w:t>
      </w:r>
      <w:r w:rsidRPr="005431BB">
        <w:t>Idejn</w:t>
      </w:r>
      <w:r>
        <w:t>e</w:t>
      </w:r>
      <w:r w:rsidRPr="005431BB">
        <w:t xml:space="preserve"> zasnov</w:t>
      </w:r>
      <w:r>
        <w:t>e</w:t>
      </w:r>
      <w:r w:rsidRPr="005431BB">
        <w:t xml:space="preserve"> (IDZ) za Primarno cevovod za namakanje zgornje Vipavske doline</w:t>
      </w:r>
      <w:r>
        <w:t xml:space="preserve"> </w:t>
      </w:r>
      <w:r w:rsidRPr="005431BB">
        <w:t xml:space="preserve">je bila izvedena analiza kakovosti in količine vode akumulacije </w:t>
      </w:r>
      <w:proofErr w:type="spellStart"/>
      <w:r w:rsidRPr="005431BB">
        <w:t>Vogršček</w:t>
      </w:r>
      <w:proofErr w:type="spellEnd"/>
      <w:r w:rsidRPr="005431BB">
        <w:t xml:space="preserve"> (IZVRS, 2020) in tehnološki elaborat za namakalni sistem (UL BF, 2020)</w:t>
      </w:r>
      <w:r>
        <w:t xml:space="preserve">, ki je pokazala, </w:t>
      </w:r>
      <w:r w:rsidRPr="005431BB">
        <w:t>da je na voljo še približno 3,5 milijona m</w:t>
      </w:r>
      <w:r>
        <w:rPr>
          <w:vertAlign w:val="superscript"/>
        </w:rPr>
        <w:t>3</w:t>
      </w:r>
      <w:r w:rsidRPr="005431BB">
        <w:t xml:space="preserve"> vode, ki bi lahko bila koriščena za namakanje.</w:t>
      </w:r>
    </w:p>
    <w:p w14:paraId="5C8DF120" w14:textId="5A343DF9" w:rsidR="00C47DF2" w:rsidRDefault="00C47DF2" w:rsidP="00C47DF2">
      <w:r>
        <w:t>Državna hidrološka postaja deluje od leta 1989 z nekaj manjšimi vrzeli v podatkih. Ker se nahaja pod zajetjem je vzdrževan stalen minimalen pretok v vseh obdobjih, hkrati pa je relativno stalen tudi povprečni pretok (</w:t>
      </w:r>
      <w:r>
        <w:fldChar w:fldCharType="begin"/>
      </w:r>
      <w:r>
        <w:instrText xml:space="preserve"> REF _Ref70573754 \h </w:instrText>
      </w:r>
      <w:r>
        <w:fldChar w:fldCharType="separate"/>
      </w:r>
      <w:r w:rsidR="004700D5">
        <w:t xml:space="preserve">Slika </w:t>
      </w:r>
      <w:r w:rsidR="004700D5">
        <w:rPr>
          <w:noProof/>
        </w:rPr>
        <w:t>6</w:t>
      </w:r>
      <w:r w:rsidR="004700D5">
        <w:t>.</w:t>
      </w:r>
      <w:r w:rsidR="004700D5">
        <w:rPr>
          <w:noProof/>
        </w:rPr>
        <w:t>30</w:t>
      </w:r>
      <w:r>
        <w:fldChar w:fldCharType="end"/>
      </w:r>
      <w:r>
        <w:t xml:space="preserve"> in </w:t>
      </w:r>
      <w:r>
        <w:fldChar w:fldCharType="begin"/>
      </w:r>
      <w:r>
        <w:instrText xml:space="preserve"> REF _Ref70948351 \h </w:instrText>
      </w:r>
      <w:r>
        <w:fldChar w:fldCharType="separate"/>
      </w:r>
      <w:r w:rsidR="004700D5">
        <w:t xml:space="preserve">Preglednica </w:t>
      </w:r>
      <w:r w:rsidR="004700D5">
        <w:rPr>
          <w:noProof/>
        </w:rPr>
        <w:t>6</w:t>
      </w:r>
      <w:r w:rsidR="004700D5">
        <w:t>.</w:t>
      </w:r>
      <w:r w:rsidR="004700D5">
        <w:rPr>
          <w:noProof/>
        </w:rPr>
        <w:t>35</w:t>
      </w:r>
      <w:r>
        <w:fldChar w:fldCharType="end"/>
      </w:r>
      <w:r>
        <w:t>).</w:t>
      </w:r>
    </w:p>
    <w:p w14:paraId="4C6848B8" w14:textId="77777777" w:rsidR="00C47DF2" w:rsidRDefault="00C47DF2" w:rsidP="00C47DF2">
      <w:pPr>
        <w:keepNext/>
        <w:jc w:val="center"/>
      </w:pPr>
      <w:r>
        <w:rPr>
          <w:noProof/>
          <w:lang w:eastAsia="sl-SI"/>
        </w:rPr>
        <w:lastRenderedPageBreak/>
        <w:drawing>
          <wp:inline distT="0" distB="0" distL="0" distR="0" wp14:anchorId="61E67038" wp14:editId="2C8BBDEE">
            <wp:extent cx="5825719" cy="2861944"/>
            <wp:effectExtent l="0" t="0" r="3810" b="0"/>
            <wp:docPr id="593441285" name="Picture 59344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77">
                      <a:extLst>
                        <a:ext uri="{28A0092B-C50C-407E-A947-70E740481C1C}">
                          <a14:useLocalDpi xmlns:a14="http://schemas.microsoft.com/office/drawing/2010/main" val="0"/>
                        </a:ext>
                      </a:extLst>
                    </a:blip>
                    <a:stretch>
                      <a:fillRect/>
                    </a:stretch>
                  </pic:blipFill>
                  <pic:spPr bwMode="auto">
                    <a:xfrm>
                      <a:off x="0" y="0"/>
                      <a:ext cx="5825719" cy="2861944"/>
                    </a:xfrm>
                    <a:prstGeom prst="rect">
                      <a:avLst/>
                    </a:prstGeom>
                    <a:noFill/>
                  </pic:spPr>
                </pic:pic>
              </a:graphicData>
            </a:graphic>
          </wp:inline>
        </w:drawing>
      </w:r>
    </w:p>
    <w:p w14:paraId="57BA8A7E" w14:textId="65D5C3FD" w:rsidR="00C47DF2" w:rsidRDefault="00C47DF2" w:rsidP="00C47DF2">
      <w:pPr>
        <w:pStyle w:val="Napis"/>
        <w:rPr>
          <w:lang w:eastAsia="sl-SI"/>
        </w:rPr>
      </w:pPr>
      <w:bookmarkStart w:id="405" w:name="_Toc97026881"/>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30</w:t>
      </w:r>
      <w:r w:rsidR="008334B2">
        <w:fldChar w:fldCharType="end"/>
      </w:r>
      <w:r w:rsidRPr="008B34D3">
        <w:t xml:space="preserve">: Povprečni minimalni, povprečni in povprečni maksimalni pretok </w:t>
      </w:r>
      <w:r>
        <w:t xml:space="preserve">potoka pod zajetjem </w:t>
      </w:r>
      <w:proofErr w:type="spellStart"/>
      <w:r>
        <w:t>Vogršček</w:t>
      </w:r>
      <w:proofErr w:type="spellEnd"/>
      <w:r>
        <w:t xml:space="preserve"> </w:t>
      </w:r>
      <w:r w:rsidRPr="008B34D3">
        <w:t xml:space="preserve">na hidrogeološki postaji </w:t>
      </w:r>
      <w:proofErr w:type="spellStart"/>
      <w:r>
        <w:t>BezovljakI</w:t>
      </w:r>
      <w:proofErr w:type="spellEnd"/>
      <w:r w:rsidRPr="008B34D3">
        <w:t xml:space="preserve"> za obdobje </w:t>
      </w:r>
      <w:r>
        <w:t>2004 </w:t>
      </w:r>
      <w:r>
        <w:noBreakHyphen/>
        <w:t> </w:t>
      </w:r>
      <w:r w:rsidRPr="008B34D3">
        <w:t>2019.</w:t>
      </w:r>
      <w:bookmarkEnd w:id="405"/>
    </w:p>
    <w:p w14:paraId="2A5FE0D6" w14:textId="471425EF" w:rsidR="00C47DF2" w:rsidRDefault="00C47DF2" w:rsidP="00C47DF2">
      <w:pPr>
        <w:pStyle w:val="Napis"/>
        <w:keepNext/>
      </w:pPr>
      <w:bookmarkStart w:id="406" w:name="_Ref70948351"/>
      <w:bookmarkStart w:id="407" w:name="_Toc97026988"/>
      <w:r>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35</w:t>
      </w:r>
      <w:r w:rsidR="00976D80">
        <w:fldChar w:fldCharType="end"/>
      </w:r>
      <w:bookmarkEnd w:id="406"/>
      <w:r>
        <w:t>: Tabelarični prikaz povprečnih minimalnih, srednjih in maksimalnih pretokov na postaji Miren I (Vipava) na letni in sezonski ravni, vključno z mesecem, ko je bil povprečni pretok najnižji ali najvišji. Podatki zajemajo obdobje 2004 do 2019.</w:t>
      </w:r>
      <w:bookmarkEnd w:id="407"/>
    </w:p>
    <w:tbl>
      <w:tblPr>
        <w:tblStyle w:val="Tabelamrea"/>
        <w:tblW w:w="4997" w:type="pct"/>
        <w:tblInd w:w="5" w:type="dxa"/>
        <w:tblLayout w:type="fixed"/>
        <w:tblLook w:val="04A0" w:firstRow="1" w:lastRow="0" w:firstColumn="1" w:lastColumn="0" w:noHBand="0" w:noVBand="1"/>
      </w:tblPr>
      <w:tblGrid>
        <w:gridCol w:w="2405"/>
        <w:gridCol w:w="2551"/>
        <w:gridCol w:w="2145"/>
        <w:gridCol w:w="2526"/>
      </w:tblGrid>
      <w:tr w:rsidR="00C47DF2" w:rsidRPr="00E45561" w14:paraId="25BEA855" w14:textId="77777777" w:rsidTr="00FF0031">
        <w:trPr>
          <w:trHeight w:val="255"/>
        </w:trPr>
        <w:tc>
          <w:tcPr>
            <w:tcW w:w="1249" w:type="pct"/>
            <w:tcBorders>
              <w:top w:val="nil"/>
              <w:left w:val="nil"/>
            </w:tcBorders>
            <w:noWrap/>
            <w:hideMark/>
          </w:tcPr>
          <w:p w14:paraId="3B413C26" w14:textId="77777777" w:rsidR="00C47DF2" w:rsidRPr="00E45561" w:rsidRDefault="00C47DF2" w:rsidP="00FF0031">
            <w:pPr>
              <w:jc w:val="left"/>
              <w:rPr>
                <w:rFonts w:cs="Arial"/>
              </w:rPr>
            </w:pPr>
          </w:p>
        </w:tc>
        <w:tc>
          <w:tcPr>
            <w:tcW w:w="1325" w:type="pct"/>
            <w:shd w:val="clear" w:color="auto" w:fill="AEAAAA" w:themeFill="background2" w:themeFillShade="BF"/>
            <w:noWrap/>
            <w:vAlign w:val="center"/>
            <w:hideMark/>
          </w:tcPr>
          <w:p w14:paraId="50AD3F71" w14:textId="77777777" w:rsidR="00C47DF2" w:rsidRPr="00E45561" w:rsidRDefault="00C47DF2" w:rsidP="00FF0031">
            <w:pPr>
              <w:jc w:val="center"/>
              <w:rPr>
                <w:rFonts w:cs="Arial"/>
                <w:sz w:val="20"/>
                <w:szCs w:val="20"/>
              </w:rPr>
            </w:pPr>
            <w:r w:rsidRPr="00E45561">
              <w:rPr>
                <w:rFonts w:cs="Arial"/>
                <w:sz w:val="20"/>
                <w:szCs w:val="20"/>
              </w:rPr>
              <w:t>minimalni pretok [m</w:t>
            </w:r>
            <w:r w:rsidRPr="00E45561">
              <w:rPr>
                <w:rFonts w:cs="Arial"/>
                <w:sz w:val="20"/>
                <w:szCs w:val="20"/>
                <w:vertAlign w:val="superscript"/>
              </w:rPr>
              <w:t>3</w:t>
            </w:r>
            <w:r w:rsidRPr="00E45561">
              <w:rPr>
                <w:rFonts w:cs="Arial"/>
                <w:sz w:val="20"/>
                <w:szCs w:val="20"/>
              </w:rPr>
              <w:t>/s]</w:t>
            </w:r>
          </w:p>
        </w:tc>
        <w:tc>
          <w:tcPr>
            <w:tcW w:w="1114" w:type="pct"/>
            <w:shd w:val="clear" w:color="auto" w:fill="AEAAAA" w:themeFill="background2" w:themeFillShade="BF"/>
            <w:noWrap/>
            <w:vAlign w:val="center"/>
            <w:hideMark/>
          </w:tcPr>
          <w:p w14:paraId="2167B063" w14:textId="77777777" w:rsidR="00C47DF2" w:rsidRPr="00E45561" w:rsidRDefault="00C47DF2" w:rsidP="00FF0031">
            <w:pPr>
              <w:jc w:val="center"/>
              <w:rPr>
                <w:rFonts w:cs="Arial"/>
                <w:sz w:val="20"/>
                <w:szCs w:val="20"/>
              </w:rPr>
            </w:pPr>
            <w:r w:rsidRPr="00E45561">
              <w:rPr>
                <w:rFonts w:cs="Arial"/>
                <w:sz w:val="20"/>
                <w:szCs w:val="20"/>
              </w:rPr>
              <w:t>srednji pretok [m</w:t>
            </w:r>
            <w:r w:rsidRPr="00E45561">
              <w:rPr>
                <w:rFonts w:cs="Arial"/>
                <w:sz w:val="20"/>
                <w:szCs w:val="20"/>
                <w:vertAlign w:val="superscript"/>
              </w:rPr>
              <w:t>3</w:t>
            </w:r>
            <w:r w:rsidRPr="00E45561">
              <w:rPr>
                <w:rFonts w:cs="Arial"/>
                <w:sz w:val="20"/>
                <w:szCs w:val="20"/>
              </w:rPr>
              <w:t>/s]</w:t>
            </w:r>
          </w:p>
        </w:tc>
        <w:tc>
          <w:tcPr>
            <w:tcW w:w="1312" w:type="pct"/>
            <w:shd w:val="clear" w:color="auto" w:fill="AEAAAA" w:themeFill="background2" w:themeFillShade="BF"/>
            <w:noWrap/>
            <w:vAlign w:val="center"/>
            <w:hideMark/>
          </w:tcPr>
          <w:p w14:paraId="21E693BE" w14:textId="77777777" w:rsidR="00C47DF2" w:rsidRPr="00E45561" w:rsidRDefault="00C47DF2" w:rsidP="00FF0031">
            <w:pPr>
              <w:jc w:val="center"/>
              <w:rPr>
                <w:rFonts w:cs="Arial"/>
                <w:sz w:val="20"/>
                <w:szCs w:val="20"/>
              </w:rPr>
            </w:pPr>
            <w:r w:rsidRPr="00E45561">
              <w:rPr>
                <w:rFonts w:cs="Arial"/>
                <w:sz w:val="20"/>
                <w:szCs w:val="20"/>
              </w:rPr>
              <w:t>maksimalni pretok [m</w:t>
            </w:r>
            <w:r w:rsidRPr="00E45561">
              <w:rPr>
                <w:rFonts w:cs="Arial"/>
                <w:sz w:val="20"/>
                <w:szCs w:val="20"/>
                <w:vertAlign w:val="superscript"/>
              </w:rPr>
              <w:t>3</w:t>
            </w:r>
            <w:r w:rsidRPr="00E45561">
              <w:rPr>
                <w:rFonts w:cs="Arial"/>
                <w:sz w:val="20"/>
                <w:szCs w:val="20"/>
              </w:rPr>
              <w:t>/s]</w:t>
            </w:r>
          </w:p>
        </w:tc>
      </w:tr>
      <w:tr w:rsidR="00C47DF2" w:rsidRPr="00E45561" w14:paraId="232EEA3D" w14:textId="77777777" w:rsidTr="00FF0031">
        <w:trPr>
          <w:trHeight w:val="255"/>
        </w:trPr>
        <w:tc>
          <w:tcPr>
            <w:tcW w:w="1249" w:type="pct"/>
            <w:shd w:val="clear" w:color="auto" w:fill="D9D9D9" w:themeFill="background1" w:themeFillShade="D9"/>
            <w:noWrap/>
            <w:vAlign w:val="center"/>
            <w:hideMark/>
          </w:tcPr>
          <w:p w14:paraId="1E4C8339" w14:textId="77777777" w:rsidR="00C47DF2" w:rsidRPr="00E45561" w:rsidRDefault="00C47DF2" w:rsidP="00FF0031">
            <w:pPr>
              <w:jc w:val="left"/>
              <w:rPr>
                <w:rFonts w:cs="Arial"/>
                <w:sz w:val="20"/>
                <w:szCs w:val="20"/>
              </w:rPr>
            </w:pPr>
            <w:r w:rsidRPr="00E45561">
              <w:rPr>
                <w:rFonts w:cs="Arial"/>
                <w:sz w:val="20"/>
                <w:szCs w:val="20"/>
              </w:rPr>
              <w:t>letno povprečje</w:t>
            </w:r>
          </w:p>
        </w:tc>
        <w:tc>
          <w:tcPr>
            <w:tcW w:w="1325" w:type="pct"/>
            <w:noWrap/>
            <w:vAlign w:val="bottom"/>
            <w:hideMark/>
          </w:tcPr>
          <w:p w14:paraId="7852D9FA" w14:textId="77777777" w:rsidR="00C47DF2" w:rsidRPr="00E45561" w:rsidRDefault="00C47DF2" w:rsidP="00FF0031">
            <w:pPr>
              <w:jc w:val="right"/>
              <w:rPr>
                <w:rFonts w:cs="Arial"/>
                <w:sz w:val="20"/>
                <w:szCs w:val="20"/>
              </w:rPr>
            </w:pPr>
            <w:r w:rsidRPr="00E45561">
              <w:rPr>
                <w:rFonts w:cs="Arial"/>
                <w:sz w:val="20"/>
                <w:szCs w:val="20"/>
              </w:rPr>
              <w:t>0</w:t>
            </w:r>
            <w:r>
              <w:rPr>
                <w:rFonts w:cs="Arial"/>
                <w:sz w:val="20"/>
                <w:szCs w:val="20"/>
              </w:rPr>
              <w:t>,</w:t>
            </w:r>
            <w:r w:rsidRPr="00E45561">
              <w:rPr>
                <w:rFonts w:cs="Arial"/>
                <w:sz w:val="20"/>
                <w:szCs w:val="20"/>
              </w:rPr>
              <w:t>03</w:t>
            </w:r>
          </w:p>
        </w:tc>
        <w:tc>
          <w:tcPr>
            <w:tcW w:w="1114" w:type="pct"/>
            <w:noWrap/>
            <w:vAlign w:val="bottom"/>
            <w:hideMark/>
          </w:tcPr>
          <w:p w14:paraId="1D813579" w14:textId="77777777" w:rsidR="00C47DF2" w:rsidRPr="00E45561" w:rsidRDefault="00C47DF2" w:rsidP="00FF0031">
            <w:pPr>
              <w:jc w:val="right"/>
              <w:rPr>
                <w:rFonts w:cs="Arial"/>
                <w:sz w:val="20"/>
                <w:szCs w:val="20"/>
              </w:rPr>
            </w:pPr>
            <w:r w:rsidRPr="00E45561">
              <w:rPr>
                <w:rFonts w:cs="Arial"/>
                <w:sz w:val="20"/>
                <w:szCs w:val="20"/>
              </w:rPr>
              <w:t>0</w:t>
            </w:r>
            <w:r>
              <w:rPr>
                <w:rFonts w:cs="Arial"/>
                <w:sz w:val="20"/>
                <w:szCs w:val="20"/>
              </w:rPr>
              <w:t>,</w:t>
            </w:r>
            <w:r w:rsidRPr="00E45561">
              <w:rPr>
                <w:rFonts w:cs="Arial"/>
                <w:sz w:val="20"/>
                <w:szCs w:val="20"/>
              </w:rPr>
              <w:t>16</w:t>
            </w:r>
          </w:p>
        </w:tc>
        <w:tc>
          <w:tcPr>
            <w:tcW w:w="1312" w:type="pct"/>
            <w:noWrap/>
            <w:vAlign w:val="bottom"/>
            <w:hideMark/>
          </w:tcPr>
          <w:p w14:paraId="00ED1AEF" w14:textId="77777777" w:rsidR="00C47DF2" w:rsidRPr="00E45561" w:rsidRDefault="00C47DF2" w:rsidP="00FF0031">
            <w:pPr>
              <w:jc w:val="right"/>
              <w:rPr>
                <w:rFonts w:cs="Arial"/>
                <w:sz w:val="20"/>
                <w:szCs w:val="20"/>
              </w:rPr>
            </w:pPr>
            <w:r w:rsidRPr="00E45561">
              <w:rPr>
                <w:rFonts w:cs="Arial"/>
                <w:sz w:val="20"/>
                <w:szCs w:val="20"/>
              </w:rPr>
              <w:t>0</w:t>
            </w:r>
            <w:r>
              <w:rPr>
                <w:rFonts w:cs="Arial"/>
                <w:sz w:val="20"/>
                <w:szCs w:val="20"/>
              </w:rPr>
              <w:t>,</w:t>
            </w:r>
            <w:r w:rsidRPr="00E45561">
              <w:rPr>
                <w:rFonts w:cs="Arial"/>
                <w:sz w:val="20"/>
                <w:szCs w:val="20"/>
              </w:rPr>
              <w:t>74</w:t>
            </w:r>
          </w:p>
        </w:tc>
      </w:tr>
      <w:tr w:rsidR="00C47DF2" w:rsidRPr="00E45561" w14:paraId="5CDB5488" w14:textId="77777777" w:rsidTr="00FF0031">
        <w:trPr>
          <w:trHeight w:val="255"/>
        </w:trPr>
        <w:tc>
          <w:tcPr>
            <w:tcW w:w="1249" w:type="pct"/>
            <w:shd w:val="clear" w:color="auto" w:fill="D9D9D9" w:themeFill="background1" w:themeFillShade="D9"/>
            <w:noWrap/>
            <w:vAlign w:val="center"/>
            <w:hideMark/>
          </w:tcPr>
          <w:p w14:paraId="59DCEE77" w14:textId="77777777" w:rsidR="00C47DF2" w:rsidRPr="00E45561" w:rsidRDefault="00C47DF2" w:rsidP="00FF0031">
            <w:pPr>
              <w:jc w:val="left"/>
              <w:rPr>
                <w:rFonts w:cs="Arial"/>
                <w:sz w:val="20"/>
                <w:szCs w:val="20"/>
              </w:rPr>
            </w:pPr>
            <w:r w:rsidRPr="00E45561">
              <w:rPr>
                <w:rFonts w:cs="Arial"/>
                <w:sz w:val="20"/>
                <w:szCs w:val="20"/>
              </w:rPr>
              <w:t>povprečje poletje</w:t>
            </w:r>
          </w:p>
        </w:tc>
        <w:tc>
          <w:tcPr>
            <w:tcW w:w="1325" w:type="pct"/>
            <w:noWrap/>
            <w:vAlign w:val="bottom"/>
            <w:hideMark/>
          </w:tcPr>
          <w:p w14:paraId="0BB53B70" w14:textId="77777777" w:rsidR="00C47DF2" w:rsidRPr="00E45561" w:rsidRDefault="00C47DF2" w:rsidP="00FF0031">
            <w:pPr>
              <w:jc w:val="right"/>
              <w:rPr>
                <w:rFonts w:cs="Arial"/>
                <w:sz w:val="20"/>
                <w:szCs w:val="20"/>
              </w:rPr>
            </w:pPr>
            <w:r w:rsidRPr="00E45561">
              <w:rPr>
                <w:rFonts w:cs="Arial"/>
                <w:sz w:val="20"/>
                <w:szCs w:val="20"/>
              </w:rPr>
              <w:t>0</w:t>
            </w:r>
            <w:r>
              <w:rPr>
                <w:rFonts w:cs="Arial"/>
                <w:sz w:val="20"/>
                <w:szCs w:val="20"/>
              </w:rPr>
              <w:t>,</w:t>
            </w:r>
            <w:r w:rsidRPr="00E45561">
              <w:rPr>
                <w:rFonts w:cs="Arial"/>
                <w:sz w:val="20"/>
                <w:szCs w:val="20"/>
              </w:rPr>
              <w:t>04</w:t>
            </w:r>
          </w:p>
        </w:tc>
        <w:tc>
          <w:tcPr>
            <w:tcW w:w="1114" w:type="pct"/>
            <w:noWrap/>
            <w:vAlign w:val="bottom"/>
            <w:hideMark/>
          </w:tcPr>
          <w:p w14:paraId="42B5FE92" w14:textId="77777777" w:rsidR="00C47DF2" w:rsidRPr="00E45561" w:rsidRDefault="00C47DF2" w:rsidP="00FF0031">
            <w:pPr>
              <w:jc w:val="right"/>
              <w:rPr>
                <w:rFonts w:cs="Arial"/>
                <w:sz w:val="20"/>
                <w:szCs w:val="20"/>
              </w:rPr>
            </w:pPr>
            <w:r w:rsidRPr="00E45561">
              <w:rPr>
                <w:rFonts w:cs="Arial"/>
                <w:sz w:val="20"/>
                <w:szCs w:val="20"/>
              </w:rPr>
              <w:t>0</w:t>
            </w:r>
            <w:r>
              <w:rPr>
                <w:rFonts w:cs="Arial"/>
                <w:sz w:val="20"/>
                <w:szCs w:val="20"/>
              </w:rPr>
              <w:t>,</w:t>
            </w:r>
            <w:r w:rsidRPr="00E45561">
              <w:rPr>
                <w:rFonts w:cs="Arial"/>
                <w:sz w:val="20"/>
                <w:szCs w:val="20"/>
              </w:rPr>
              <w:t>10</w:t>
            </w:r>
          </w:p>
        </w:tc>
        <w:tc>
          <w:tcPr>
            <w:tcW w:w="1312" w:type="pct"/>
            <w:noWrap/>
            <w:vAlign w:val="bottom"/>
            <w:hideMark/>
          </w:tcPr>
          <w:p w14:paraId="5AF3FA6F" w14:textId="77777777" w:rsidR="00C47DF2" w:rsidRPr="00E45561" w:rsidRDefault="00C47DF2" w:rsidP="00FF0031">
            <w:pPr>
              <w:jc w:val="right"/>
              <w:rPr>
                <w:rFonts w:cs="Arial"/>
                <w:sz w:val="20"/>
                <w:szCs w:val="20"/>
              </w:rPr>
            </w:pPr>
            <w:r w:rsidRPr="00E45561">
              <w:rPr>
                <w:rFonts w:cs="Arial"/>
                <w:sz w:val="20"/>
                <w:szCs w:val="20"/>
              </w:rPr>
              <w:t>0</w:t>
            </w:r>
            <w:r>
              <w:rPr>
                <w:rFonts w:cs="Arial"/>
                <w:sz w:val="20"/>
                <w:szCs w:val="20"/>
              </w:rPr>
              <w:t>,</w:t>
            </w:r>
            <w:r w:rsidRPr="00E45561">
              <w:rPr>
                <w:rFonts w:cs="Arial"/>
                <w:sz w:val="20"/>
                <w:szCs w:val="20"/>
              </w:rPr>
              <w:t>48</w:t>
            </w:r>
          </w:p>
        </w:tc>
      </w:tr>
      <w:tr w:rsidR="00C47DF2" w:rsidRPr="00E45561" w14:paraId="364A60F0" w14:textId="77777777" w:rsidTr="00FF0031">
        <w:trPr>
          <w:trHeight w:val="255"/>
        </w:trPr>
        <w:tc>
          <w:tcPr>
            <w:tcW w:w="1249" w:type="pct"/>
            <w:shd w:val="clear" w:color="auto" w:fill="D9D9D9" w:themeFill="background1" w:themeFillShade="D9"/>
            <w:noWrap/>
            <w:vAlign w:val="center"/>
            <w:hideMark/>
          </w:tcPr>
          <w:p w14:paraId="6546C7EF" w14:textId="77777777" w:rsidR="00C47DF2" w:rsidRPr="00E45561" w:rsidRDefault="00C47DF2" w:rsidP="00FF0031">
            <w:pPr>
              <w:jc w:val="left"/>
              <w:rPr>
                <w:rFonts w:cs="Arial"/>
                <w:sz w:val="20"/>
                <w:szCs w:val="20"/>
              </w:rPr>
            </w:pPr>
            <w:r w:rsidRPr="00E45561">
              <w:rPr>
                <w:rFonts w:cs="Arial"/>
                <w:sz w:val="20"/>
                <w:szCs w:val="20"/>
              </w:rPr>
              <w:t>povprečje zima</w:t>
            </w:r>
          </w:p>
        </w:tc>
        <w:tc>
          <w:tcPr>
            <w:tcW w:w="1325" w:type="pct"/>
            <w:noWrap/>
            <w:vAlign w:val="bottom"/>
            <w:hideMark/>
          </w:tcPr>
          <w:p w14:paraId="6771168E" w14:textId="77777777" w:rsidR="00C47DF2" w:rsidRPr="00E45561" w:rsidRDefault="00C47DF2" w:rsidP="00FF0031">
            <w:pPr>
              <w:jc w:val="right"/>
              <w:rPr>
                <w:rFonts w:cs="Arial"/>
                <w:sz w:val="20"/>
                <w:szCs w:val="20"/>
              </w:rPr>
            </w:pPr>
            <w:r w:rsidRPr="00E45561">
              <w:rPr>
                <w:rFonts w:cs="Arial"/>
                <w:sz w:val="20"/>
                <w:szCs w:val="20"/>
              </w:rPr>
              <w:t>0</w:t>
            </w:r>
            <w:r>
              <w:rPr>
                <w:rFonts w:cs="Arial"/>
                <w:sz w:val="20"/>
                <w:szCs w:val="20"/>
              </w:rPr>
              <w:t>,</w:t>
            </w:r>
            <w:r w:rsidRPr="00E45561">
              <w:rPr>
                <w:rFonts w:cs="Arial"/>
                <w:sz w:val="20"/>
                <w:szCs w:val="20"/>
              </w:rPr>
              <w:t>03</w:t>
            </w:r>
          </w:p>
        </w:tc>
        <w:tc>
          <w:tcPr>
            <w:tcW w:w="1114" w:type="pct"/>
            <w:noWrap/>
            <w:vAlign w:val="bottom"/>
            <w:hideMark/>
          </w:tcPr>
          <w:p w14:paraId="787B33A7" w14:textId="77777777" w:rsidR="00C47DF2" w:rsidRPr="00E45561" w:rsidRDefault="00C47DF2" w:rsidP="00FF0031">
            <w:pPr>
              <w:jc w:val="right"/>
              <w:rPr>
                <w:rFonts w:cs="Arial"/>
                <w:sz w:val="20"/>
                <w:szCs w:val="20"/>
              </w:rPr>
            </w:pPr>
            <w:r w:rsidRPr="00E45561">
              <w:rPr>
                <w:rFonts w:cs="Arial"/>
                <w:sz w:val="20"/>
                <w:szCs w:val="20"/>
              </w:rPr>
              <w:t>0</w:t>
            </w:r>
            <w:r>
              <w:rPr>
                <w:rFonts w:cs="Arial"/>
                <w:sz w:val="20"/>
                <w:szCs w:val="20"/>
              </w:rPr>
              <w:t>,</w:t>
            </w:r>
            <w:r w:rsidRPr="00E45561">
              <w:rPr>
                <w:rFonts w:cs="Arial"/>
                <w:sz w:val="20"/>
                <w:szCs w:val="20"/>
              </w:rPr>
              <w:t>22</w:t>
            </w:r>
          </w:p>
        </w:tc>
        <w:tc>
          <w:tcPr>
            <w:tcW w:w="1312" w:type="pct"/>
            <w:noWrap/>
            <w:vAlign w:val="bottom"/>
            <w:hideMark/>
          </w:tcPr>
          <w:p w14:paraId="2979875A" w14:textId="77777777" w:rsidR="00C47DF2" w:rsidRPr="00E45561" w:rsidRDefault="00C47DF2" w:rsidP="00FF0031">
            <w:pPr>
              <w:jc w:val="right"/>
              <w:rPr>
                <w:rFonts w:cs="Arial"/>
                <w:sz w:val="20"/>
                <w:szCs w:val="20"/>
              </w:rPr>
            </w:pPr>
            <w:r w:rsidRPr="00E45561">
              <w:rPr>
                <w:rFonts w:cs="Arial"/>
                <w:sz w:val="20"/>
                <w:szCs w:val="20"/>
              </w:rPr>
              <w:t>1</w:t>
            </w:r>
            <w:r>
              <w:rPr>
                <w:rFonts w:cs="Arial"/>
                <w:sz w:val="20"/>
                <w:szCs w:val="20"/>
              </w:rPr>
              <w:t>,</w:t>
            </w:r>
            <w:r w:rsidRPr="00E45561">
              <w:rPr>
                <w:rFonts w:cs="Arial"/>
                <w:sz w:val="20"/>
                <w:szCs w:val="20"/>
              </w:rPr>
              <w:t>01</w:t>
            </w:r>
          </w:p>
        </w:tc>
      </w:tr>
      <w:tr w:rsidR="00C47DF2" w:rsidRPr="00E45561" w14:paraId="10C4C597" w14:textId="77777777" w:rsidTr="00FF0031">
        <w:trPr>
          <w:trHeight w:val="255"/>
        </w:trPr>
        <w:tc>
          <w:tcPr>
            <w:tcW w:w="1249" w:type="pct"/>
            <w:shd w:val="clear" w:color="auto" w:fill="D9D9D9" w:themeFill="background1" w:themeFillShade="D9"/>
            <w:noWrap/>
            <w:vAlign w:val="center"/>
            <w:hideMark/>
          </w:tcPr>
          <w:p w14:paraId="5E759779" w14:textId="77777777" w:rsidR="00C47DF2" w:rsidRPr="00E45561" w:rsidRDefault="00C47DF2" w:rsidP="00FF0031">
            <w:pPr>
              <w:jc w:val="left"/>
              <w:rPr>
                <w:rFonts w:cs="Arial"/>
                <w:sz w:val="20"/>
                <w:szCs w:val="20"/>
              </w:rPr>
            </w:pPr>
            <w:r w:rsidRPr="00E45561">
              <w:rPr>
                <w:rFonts w:cs="Arial"/>
                <w:sz w:val="20"/>
                <w:szCs w:val="20"/>
              </w:rPr>
              <w:t>najnižji pretok (mesec)</w:t>
            </w:r>
          </w:p>
        </w:tc>
        <w:tc>
          <w:tcPr>
            <w:tcW w:w="1325" w:type="pct"/>
            <w:noWrap/>
            <w:vAlign w:val="bottom"/>
            <w:hideMark/>
          </w:tcPr>
          <w:p w14:paraId="6040F750" w14:textId="77777777" w:rsidR="00C47DF2" w:rsidRPr="00E45561" w:rsidRDefault="00C47DF2" w:rsidP="00FF0031">
            <w:pPr>
              <w:jc w:val="right"/>
              <w:rPr>
                <w:rFonts w:cs="Arial"/>
                <w:sz w:val="20"/>
                <w:szCs w:val="20"/>
              </w:rPr>
            </w:pPr>
            <w:r w:rsidRPr="00E45561">
              <w:rPr>
                <w:rFonts w:cs="Arial"/>
                <w:sz w:val="20"/>
                <w:szCs w:val="20"/>
              </w:rPr>
              <w:t>/*</w:t>
            </w:r>
          </w:p>
        </w:tc>
        <w:tc>
          <w:tcPr>
            <w:tcW w:w="1114" w:type="pct"/>
            <w:noWrap/>
            <w:vAlign w:val="bottom"/>
            <w:hideMark/>
          </w:tcPr>
          <w:p w14:paraId="375CA9A8" w14:textId="77777777" w:rsidR="00C47DF2" w:rsidRPr="00E45561" w:rsidRDefault="00C47DF2" w:rsidP="00FF0031">
            <w:pPr>
              <w:jc w:val="right"/>
              <w:rPr>
                <w:rFonts w:cs="Arial"/>
                <w:sz w:val="20"/>
                <w:szCs w:val="20"/>
              </w:rPr>
            </w:pPr>
            <w:r w:rsidRPr="00E45561">
              <w:rPr>
                <w:rFonts w:cs="Arial"/>
                <w:sz w:val="20"/>
                <w:szCs w:val="20"/>
              </w:rPr>
              <w:t>0,07 (julij, avgust)</w:t>
            </w:r>
          </w:p>
        </w:tc>
        <w:tc>
          <w:tcPr>
            <w:tcW w:w="1312" w:type="pct"/>
            <w:noWrap/>
            <w:vAlign w:val="bottom"/>
            <w:hideMark/>
          </w:tcPr>
          <w:p w14:paraId="78E55397" w14:textId="77777777" w:rsidR="00C47DF2" w:rsidRPr="00E45561" w:rsidRDefault="00C47DF2" w:rsidP="00FF0031">
            <w:pPr>
              <w:jc w:val="right"/>
              <w:rPr>
                <w:rFonts w:cs="Arial"/>
                <w:sz w:val="20"/>
                <w:szCs w:val="20"/>
              </w:rPr>
            </w:pPr>
            <w:r w:rsidRPr="00E45561">
              <w:rPr>
                <w:rFonts w:cs="Arial"/>
                <w:sz w:val="20"/>
                <w:szCs w:val="20"/>
              </w:rPr>
              <w:t>0,19 (avgust)</w:t>
            </w:r>
          </w:p>
        </w:tc>
      </w:tr>
      <w:tr w:rsidR="00C47DF2" w:rsidRPr="00E45561" w14:paraId="67B93DB7" w14:textId="77777777" w:rsidTr="00FF0031">
        <w:trPr>
          <w:trHeight w:val="255"/>
        </w:trPr>
        <w:tc>
          <w:tcPr>
            <w:tcW w:w="1249" w:type="pct"/>
            <w:shd w:val="clear" w:color="auto" w:fill="D9D9D9" w:themeFill="background1" w:themeFillShade="D9"/>
            <w:noWrap/>
            <w:vAlign w:val="center"/>
            <w:hideMark/>
          </w:tcPr>
          <w:p w14:paraId="67DCDD89" w14:textId="77777777" w:rsidR="00C47DF2" w:rsidRPr="00E45561" w:rsidRDefault="00C47DF2" w:rsidP="00FF0031">
            <w:pPr>
              <w:jc w:val="left"/>
              <w:rPr>
                <w:rFonts w:cs="Arial"/>
                <w:sz w:val="20"/>
                <w:szCs w:val="20"/>
              </w:rPr>
            </w:pPr>
            <w:r w:rsidRPr="00E45561">
              <w:rPr>
                <w:rFonts w:cs="Arial"/>
                <w:sz w:val="20"/>
                <w:szCs w:val="20"/>
              </w:rPr>
              <w:t>najvišji pretok (mesec)</w:t>
            </w:r>
          </w:p>
        </w:tc>
        <w:tc>
          <w:tcPr>
            <w:tcW w:w="1325" w:type="pct"/>
            <w:noWrap/>
            <w:vAlign w:val="bottom"/>
            <w:hideMark/>
          </w:tcPr>
          <w:p w14:paraId="1F2BCD01" w14:textId="77777777" w:rsidR="00C47DF2" w:rsidRPr="00E45561" w:rsidRDefault="00C47DF2" w:rsidP="00FF0031">
            <w:pPr>
              <w:jc w:val="right"/>
              <w:rPr>
                <w:rFonts w:cs="Arial"/>
                <w:sz w:val="20"/>
                <w:szCs w:val="20"/>
              </w:rPr>
            </w:pPr>
            <w:r w:rsidRPr="00E45561">
              <w:rPr>
                <w:rFonts w:cs="Arial"/>
                <w:sz w:val="20"/>
                <w:szCs w:val="20"/>
              </w:rPr>
              <w:t>/*</w:t>
            </w:r>
          </w:p>
        </w:tc>
        <w:tc>
          <w:tcPr>
            <w:tcW w:w="1114" w:type="pct"/>
            <w:noWrap/>
            <w:vAlign w:val="bottom"/>
            <w:hideMark/>
          </w:tcPr>
          <w:p w14:paraId="6E6458FB" w14:textId="77777777" w:rsidR="00C47DF2" w:rsidRPr="00E45561" w:rsidRDefault="00C47DF2" w:rsidP="00FF0031">
            <w:pPr>
              <w:jc w:val="right"/>
              <w:rPr>
                <w:rFonts w:cs="Arial"/>
                <w:sz w:val="20"/>
                <w:szCs w:val="20"/>
              </w:rPr>
            </w:pPr>
            <w:r w:rsidRPr="00E45561">
              <w:rPr>
                <w:rFonts w:cs="Arial"/>
                <w:sz w:val="20"/>
                <w:szCs w:val="20"/>
              </w:rPr>
              <w:t>0,33 (december)</w:t>
            </w:r>
          </w:p>
        </w:tc>
        <w:tc>
          <w:tcPr>
            <w:tcW w:w="1312" w:type="pct"/>
            <w:noWrap/>
            <w:vAlign w:val="bottom"/>
            <w:hideMark/>
          </w:tcPr>
          <w:p w14:paraId="1AB6892D" w14:textId="77777777" w:rsidR="00C47DF2" w:rsidRPr="00E45561" w:rsidRDefault="00C47DF2" w:rsidP="00FF0031">
            <w:pPr>
              <w:jc w:val="right"/>
              <w:rPr>
                <w:rFonts w:cs="Arial"/>
                <w:sz w:val="20"/>
                <w:szCs w:val="20"/>
              </w:rPr>
            </w:pPr>
            <w:r w:rsidRPr="00E45561">
              <w:rPr>
                <w:rFonts w:cs="Arial"/>
                <w:sz w:val="20"/>
                <w:szCs w:val="20"/>
              </w:rPr>
              <w:t>1,47 (december)</w:t>
            </w:r>
          </w:p>
        </w:tc>
      </w:tr>
    </w:tbl>
    <w:p w14:paraId="4881826D" w14:textId="77777777" w:rsidR="00C47DF2" w:rsidRPr="005431BB" w:rsidRDefault="00C47DF2" w:rsidP="00C47DF2">
      <w:pPr>
        <w:rPr>
          <w:sz w:val="18"/>
          <w:szCs w:val="18"/>
        </w:rPr>
      </w:pPr>
      <w:r w:rsidRPr="005431BB">
        <w:rPr>
          <w:sz w:val="18"/>
          <w:szCs w:val="18"/>
        </w:rPr>
        <w:t>*Minimalni pretok je reguliran s pregrado in je skozi celo leto dokaj konstanten (0,03 - 0,04 m</w:t>
      </w:r>
      <w:r w:rsidRPr="005431BB">
        <w:rPr>
          <w:sz w:val="18"/>
          <w:szCs w:val="18"/>
          <w:vertAlign w:val="superscript"/>
        </w:rPr>
        <w:t>3</w:t>
      </w:r>
      <w:r w:rsidRPr="005431BB">
        <w:rPr>
          <w:sz w:val="18"/>
          <w:szCs w:val="18"/>
        </w:rPr>
        <w:t>)</w:t>
      </w:r>
    </w:p>
    <w:p w14:paraId="2B756D7C" w14:textId="77777777" w:rsidR="00C47DF2" w:rsidRPr="00E9100B" w:rsidRDefault="00C47DF2" w:rsidP="00C47DF2"/>
    <w:p w14:paraId="52F5F860" w14:textId="77777777" w:rsidR="00C47DF2" w:rsidRPr="00E9100B" w:rsidRDefault="00C47DF2" w:rsidP="00C47DF2">
      <w:pPr>
        <w:pStyle w:val="Naslov5"/>
      </w:pPr>
      <w:r w:rsidRPr="00E9100B">
        <w:t>Ocena količinskega stanja površinskih voda</w:t>
      </w:r>
    </w:p>
    <w:p w14:paraId="41465BE8" w14:textId="77777777" w:rsidR="00C47DF2" w:rsidRPr="00FA4E2C" w:rsidRDefault="00C47DF2" w:rsidP="00C47DF2">
      <w:r w:rsidRPr="00FA4E2C">
        <w:t xml:space="preserve">Za oceno količinskega stanja površinskih voda smo uporabili rezultate </w:t>
      </w:r>
      <w:proofErr w:type="spellStart"/>
      <w:r w:rsidRPr="00FA4E2C">
        <w:t>vodobilančnega</w:t>
      </w:r>
      <w:proofErr w:type="spellEnd"/>
      <w:r w:rsidRPr="00FA4E2C">
        <w:t xml:space="preserve"> modela </w:t>
      </w:r>
      <w:proofErr w:type="spellStart"/>
      <w:r w:rsidRPr="00FA4E2C">
        <w:t>mGROWA</w:t>
      </w:r>
      <w:proofErr w:type="spellEnd"/>
      <w:r w:rsidRPr="00FA4E2C">
        <w:t>-SI (ARSO, 2020</w:t>
      </w:r>
      <w:r>
        <w:t>f</w:t>
      </w:r>
      <w:r w:rsidRPr="00FA4E2C">
        <w:t xml:space="preserve">). Skupni odtok je del vodne bilance in predstavlja količino vode, ki doseže površje in odteče površinsko ali pa se nato infiltrira v tla ter napaja podzemno vodo. Dobimo ga iz količine padavin, ki jim odštejemo </w:t>
      </w:r>
      <w:proofErr w:type="spellStart"/>
      <w:r w:rsidRPr="00FA4E2C">
        <w:t>evapotranspiracijo</w:t>
      </w:r>
      <w:proofErr w:type="spellEnd"/>
      <w:r w:rsidRPr="00FA4E2C">
        <w:t>.</w:t>
      </w:r>
    </w:p>
    <w:p w14:paraId="4340B5BD" w14:textId="67E1E01F" w:rsidR="00C47DF2" w:rsidRPr="00BE57D9" w:rsidRDefault="00C47DF2" w:rsidP="00C47DF2">
      <w:r w:rsidRPr="00BE57D9">
        <w:t xml:space="preserve">V referenčnem obdobju je povprečni skupni odtok na širšem območju občine 1350 mm na leto (približno 450 mm v poletnih mesecih in 900 mm v zimskih), </w:t>
      </w:r>
      <w:r w:rsidRPr="00A925FD">
        <w:t>z višjimi vrednostmi na planoti Trnovsko – Banjški planoti in nižjimi vrednostmi v Vipavski dolini na jugu (</w:t>
      </w:r>
      <w:r>
        <w:fldChar w:fldCharType="begin"/>
      </w:r>
      <w:r>
        <w:instrText xml:space="preserve"> REF _Ref67656425 \h </w:instrText>
      </w:r>
      <w:r>
        <w:fldChar w:fldCharType="separate"/>
      </w:r>
      <w:r w:rsidR="004700D5">
        <w:t xml:space="preserve">Slika </w:t>
      </w:r>
      <w:r w:rsidR="004700D5">
        <w:rPr>
          <w:noProof/>
        </w:rPr>
        <w:t>6</w:t>
      </w:r>
      <w:r w:rsidR="004700D5">
        <w:t>.</w:t>
      </w:r>
      <w:r w:rsidR="004700D5">
        <w:rPr>
          <w:noProof/>
        </w:rPr>
        <w:t>32</w:t>
      </w:r>
      <w:r>
        <w:fldChar w:fldCharType="end"/>
      </w:r>
      <w:r>
        <w:t>)</w:t>
      </w:r>
      <w:r w:rsidRPr="00A925FD">
        <w:t>. Do povišanih vrednosti na območju mest prihaja najverjetneje zaradi modelske napake, saj model na območju mest ni najbolj zanesljiv. Največ skupnega odtoka je v mesecu oktobru</w:t>
      </w:r>
      <w:r w:rsidRPr="00BE57D9">
        <w:t xml:space="preserve"> (v povprečju približno 190 mm/mesec) in najmanj v juliju (v povprečju približno </w:t>
      </w:r>
      <w:r>
        <w:t>40</w:t>
      </w:r>
      <w:r w:rsidRPr="00BE57D9">
        <w:t> mm</w:t>
      </w:r>
      <w:r>
        <w:t>/mesec</w:t>
      </w:r>
      <w:r w:rsidRPr="00BE57D9">
        <w:t>) (</w:t>
      </w:r>
      <w:r>
        <w:fldChar w:fldCharType="begin"/>
      </w:r>
      <w:r>
        <w:instrText xml:space="preserve"> REF _Ref67656416 \h </w:instrText>
      </w:r>
      <w:r>
        <w:fldChar w:fldCharType="separate"/>
      </w:r>
      <w:r w:rsidR="004700D5">
        <w:t xml:space="preserve">Slika </w:t>
      </w:r>
      <w:r w:rsidR="004700D5">
        <w:rPr>
          <w:noProof/>
        </w:rPr>
        <w:t>6</w:t>
      </w:r>
      <w:r w:rsidR="004700D5">
        <w:t>.</w:t>
      </w:r>
      <w:r w:rsidR="004700D5">
        <w:rPr>
          <w:noProof/>
        </w:rPr>
        <w:t>33</w:t>
      </w:r>
      <w:r>
        <w:fldChar w:fldCharType="end"/>
      </w:r>
      <w:r w:rsidRPr="00BE57D9">
        <w:t>)</w:t>
      </w:r>
    </w:p>
    <w:p w14:paraId="2488E110" w14:textId="77777777" w:rsidR="00C47DF2" w:rsidRPr="00FB70C6" w:rsidRDefault="00C47DF2" w:rsidP="00C47DF2">
      <w:pPr>
        <w:rPr>
          <w:highlight w:val="yellow"/>
        </w:rPr>
      </w:pPr>
    </w:p>
    <w:p w14:paraId="322EEEA4" w14:textId="77777777" w:rsidR="00C47DF2" w:rsidRDefault="00C47DF2" w:rsidP="00C47DF2">
      <w:pPr>
        <w:keepNext/>
        <w:jc w:val="center"/>
      </w:pPr>
      <w:r>
        <w:rPr>
          <w:noProof/>
          <w:lang w:eastAsia="sl-SI"/>
        </w:rPr>
        <w:lastRenderedPageBreak/>
        <w:drawing>
          <wp:inline distT="0" distB="0" distL="0" distR="0" wp14:anchorId="2B494875" wp14:editId="08021C38">
            <wp:extent cx="3324627" cy="4701397"/>
            <wp:effectExtent l="0" t="0" r="9525" b="4445"/>
            <wp:docPr id="593441286" name="Picture 59344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bwMode="auto">
                    <a:xfrm>
                      <a:off x="0" y="0"/>
                      <a:ext cx="3333985" cy="4714630"/>
                    </a:xfrm>
                    <a:prstGeom prst="rect">
                      <a:avLst/>
                    </a:prstGeom>
                    <a:noFill/>
                  </pic:spPr>
                </pic:pic>
              </a:graphicData>
            </a:graphic>
          </wp:inline>
        </w:drawing>
      </w:r>
    </w:p>
    <w:p w14:paraId="4D85DC86" w14:textId="47F2206E" w:rsidR="00C47DF2" w:rsidRDefault="00C47DF2" w:rsidP="00C47DF2">
      <w:pPr>
        <w:pStyle w:val="Napis"/>
      </w:pPr>
      <w:bookmarkStart w:id="408" w:name="_Ref67656425"/>
      <w:bookmarkStart w:id="409" w:name="_Toc97026882"/>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31</w:t>
      </w:r>
      <w:r w:rsidR="008334B2">
        <w:fldChar w:fldCharType="end"/>
      </w:r>
      <w:bookmarkEnd w:id="408"/>
      <w:r w:rsidRPr="00EC1DE6">
        <w:t xml:space="preserve">: Modelirani skupni odtok v poletni polovici leta (april - september) v referenčnem obdobju 1981 2010 za območje občine </w:t>
      </w:r>
      <w:r>
        <w:t>Nova Gorica</w:t>
      </w:r>
      <w:r w:rsidRPr="00EC1DE6">
        <w:t xml:space="preserve"> in okolice po podnebnem scenariju RCP8.5.</w:t>
      </w:r>
      <w:bookmarkEnd w:id="409"/>
    </w:p>
    <w:p w14:paraId="2369DD71" w14:textId="77777777" w:rsidR="00C47DF2" w:rsidRDefault="00C47DF2" w:rsidP="00C47DF2">
      <w:pPr>
        <w:keepNext/>
        <w:jc w:val="center"/>
      </w:pPr>
      <w:r>
        <w:rPr>
          <w:noProof/>
          <w:lang w:eastAsia="sl-SI"/>
        </w:rPr>
        <w:drawing>
          <wp:inline distT="0" distB="0" distL="0" distR="0" wp14:anchorId="45950CD3" wp14:editId="54015221">
            <wp:extent cx="4796447" cy="2331234"/>
            <wp:effectExtent l="0" t="0" r="4445" b="0"/>
            <wp:docPr id="593441287" name="Picture 59344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179">
                      <a:extLst>
                        <a:ext uri="{28A0092B-C50C-407E-A947-70E740481C1C}">
                          <a14:useLocalDpi xmlns:a14="http://schemas.microsoft.com/office/drawing/2010/main" val="0"/>
                        </a:ext>
                      </a:extLst>
                    </a:blip>
                    <a:stretch>
                      <a:fillRect/>
                    </a:stretch>
                  </pic:blipFill>
                  <pic:spPr bwMode="auto">
                    <a:xfrm>
                      <a:off x="0" y="0"/>
                      <a:ext cx="4820184" cy="2342771"/>
                    </a:xfrm>
                    <a:prstGeom prst="rect">
                      <a:avLst/>
                    </a:prstGeom>
                    <a:noFill/>
                  </pic:spPr>
                </pic:pic>
              </a:graphicData>
            </a:graphic>
          </wp:inline>
        </w:drawing>
      </w:r>
    </w:p>
    <w:p w14:paraId="2F610CF2" w14:textId="6747BA5A" w:rsidR="00C47DF2" w:rsidRPr="004D0BDB" w:rsidRDefault="00C47DF2" w:rsidP="00C47DF2">
      <w:pPr>
        <w:pStyle w:val="Napis"/>
        <w:jc w:val="left"/>
      </w:pPr>
      <w:bookmarkStart w:id="410" w:name="_Ref67656416"/>
      <w:bookmarkStart w:id="411" w:name="_Toc97026883"/>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32</w:t>
      </w:r>
      <w:r w:rsidR="008334B2">
        <w:fldChar w:fldCharType="end"/>
      </w:r>
      <w:bookmarkEnd w:id="410"/>
      <w:r>
        <w:t>:</w:t>
      </w:r>
      <w:r w:rsidRPr="007652BC">
        <w:t xml:space="preserve"> Povprečna mesečna količina skupnega odtoka s širšega območja občine </w:t>
      </w:r>
      <w:r>
        <w:t>Nova Gorica</w:t>
      </w:r>
      <w:r w:rsidRPr="007652BC">
        <w:t xml:space="preserve"> v referenčnem obdobju 1981-2010</w:t>
      </w:r>
      <w:bookmarkEnd w:id="411"/>
    </w:p>
    <w:p w14:paraId="393A7209" w14:textId="77777777" w:rsidR="00C47DF2" w:rsidRDefault="00C47DF2" w:rsidP="00C47DF2">
      <w:pPr>
        <w:pStyle w:val="Naslov5"/>
      </w:pPr>
      <w:r w:rsidRPr="00A45342">
        <w:lastRenderedPageBreak/>
        <w:t>Kemijsko stanje površinskih voda</w:t>
      </w:r>
    </w:p>
    <w:p w14:paraId="1235A01C" w14:textId="77777777" w:rsidR="00C47DF2" w:rsidRPr="00090CF7" w:rsidRDefault="00C47DF2" w:rsidP="00C47DF2">
      <w:pPr>
        <w:rPr>
          <w:lang w:eastAsia="sl-SI"/>
        </w:rPr>
      </w:pPr>
      <w:r>
        <w:rPr>
          <w:lang w:eastAsia="sl-SI"/>
        </w:rPr>
        <w:t xml:space="preserve">Na reki Soči se meri kemijsko stanje na več različnih mestih in med leti nekoliko variirajo. Na merilnem mestu Solkanov jez je bilo kemijsko stanje v letu 2016 </w:t>
      </w:r>
      <w:r w:rsidRPr="00090CF7">
        <w:t>(ARSO, 2018</w:t>
      </w:r>
      <w:r>
        <w:t>a</w:t>
      </w:r>
      <w:r w:rsidRPr="00090CF7">
        <w:t>)</w:t>
      </w:r>
      <w:r>
        <w:t xml:space="preserve">, 2017 </w:t>
      </w:r>
      <w:r w:rsidRPr="00090CF7">
        <w:t>(ARSO, 2018</w:t>
      </w:r>
      <w:r>
        <w:t>b</w:t>
      </w:r>
      <w:r w:rsidRPr="00090CF7">
        <w:t>)</w:t>
      </w:r>
      <w:r>
        <w:t xml:space="preserve">, </w:t>
      </w:r>
      <w:r w:rsidRPr="00090CF7">
        <w:t>2018 (ARSO, 2019)</w:t>
      </w:r>
      <w:r>
        <w:t xml:space="preserve"> in </w:t>
      </w:r>
      <w:r w:rsidRPr="00090CF7">
        <w:t>2019 (ARSO, 2020</w:t>
      </w:r>
      <w:r>
        <w:t>c</w:t>
      </w:r>
      <w:r w:rsidRPr="00090CF7">
        <w:t>)</w:t>
      </w:r>
      <w:r>
        <w:t xml:space="preserve"> dobro. Leta 2016 je bilo zaradi živega srebra, leta 2017 in 2018 pa tudi zaradi bromiranega </w:t>
      </w:r>
      <w:proofErr w:type="spellStart"/>
      <w:r>
        <w:t>difeniletera</w:t>
      </w:r>
      <w:proofErr w:type="spellEnd"/>
      <w:r>
        <w:t xml:space="preserve"> slabo kemijsko stanje </w:t>
      </w:r>
      <w:proofErr w:type="spellStart"/>
      <w:r>
        <w:t>biota</w:t>
      </w:r>
      <w:proofErr w:type="spellEnd"/>
      <w:r>
        <w:t xml:space="preserve">. Leta 2019 podatkov o kemijskem stanju </w:t>
      </w:r>
      <w:proofErr w:type="spellStart"/>
      <w:r>
        <w:t>biota</w:t>
      </w:r>
      <w:proofErr w:type="spellEnd"/>
      <w:r>
        <w:t xml:space="preserve"> ni, vendar je bilo na </w:t>
      </w:r>
      <w:proofErr w:type="spellStart"/>
      <w:r>
        <w:t>gorvodnem</w:t>
      </w:r>
      <w:proofErr w:type="spellEnd"/>
      <w:r>
        <w:t xml:space="preserve"> merilnem mestu pod tovarno Salonit Anhovo stanje prav tako slabo. Ekološko stanje Soče na merilnem mestu Solkanov jez je bilo v obdobju 2016 - 2019 dobro (</w:t>
      </w:r>
      <w:r w:rsidRPr="00090CF7">
        <w:t>ARSO, 2018</w:t>
      </w:r>
      <w:r>
        <w:t>c;</w:t>
      </w:r>
      <w:r w:rsidRPr="00090CF7">
        <w:t xml:space="preserve"> ARSO, 2018</w:t>
      </w:r>
      <w:r>
        <w:t>d</w:t>
      </w:r>
      <w:r w:rsidRPr="00090CF7">
        <w:t>; ARSO, 2020</w:t>
      </w:r>
      <w:r>
        <w:t xml:space="preserve">d; </w:t>
      </w:r>
      <w:r w:rsidRPr="00090CF7">
        <w:t>ARSO, 20</w:t>
      </w:r>
      <w:r>
        <w:t>20e</w:t>
      </w:r>
      <w:r w:rsidRPr="00090CF7">
        <w:t>)</w:t>
      </w:r>
      <w:r>
        <w:t>.</w:t>
      </w:r>
    </w:p>
    <w:p w14:paraId="2E4C07AC" w14:textId="77777777" w:rsidR="00C47DF2" w:rsidRPr="00090CF7" w:rsidRDefault="00C47DF2" w:rsidP="00C47DF2">
      <w:r w:rsidRPr="00090CF7">
        <w:t>Kemijsko stanje Vipave se meri na dveh mestih in sicer na merilnem mestu Velike Žablje znotraj občine Ajdovščina in na merilnem mestu Miren tik preden Vipava prečka državno mejo. Kemijsko stanje v letih med 2009 in 2013 je bilo na obeh merilnih mestih dobro (ARSO, 2017), prav tako v letih 2016 (ARSO, 2018</w:t>
      </w:r>
      <w:r>
        <w:t>a</w:t>
      </w:r>
      <w:r w:rsidRPr="00090CF7">
        <w:t>) in 2018 (ARSO, 2019). V letih 2017 (ARSO, 2018</w:t>
      </w:r>
      <w:r>
        <w:t>b</w:t>
      </w:r>
      <w:r w:rsidRPr="00090CF7">
        <w:t>) in 2019 (ARSO, 2020</w:t>
      </w:r>
      <w:r>
        <w:t>d</w:t>
      </w:r>
      <w:r w:rsidRPr="00090CF7">
        <w:t>) je bilo kemijsko stanje merjeno le na merilnem mestu Miren, kjer je bilo stanje dobro. Ekološko stanje je bilo v obdobju 2009</w:t>
      </w:r>
      <w:r>
        <w:t xml:space="preserve"> </w:t>
      </w:r>
      <w:r w:rsidRPr="00090CF7">
        <w:t>-</w:t>
      </w:r>
      <w:r>
        <w:t xml:space="preserve"> </w:t>
      </w:r>
      <w:r w:rsidRPr="00090CF7">
        <w:t>201</w:t>
      </w:r>
      <w:r>
        <w:t>9</w:t>
      </w:r>
      <w:r w:rsidRPr="00090CF7">
        <w:t xml:space="preserve"> v reki Vipava dobro (ARSO, 2016; ARSO, 2018</w:t>
      </w:r>
      <w:r>
        <w:t>c;</w:t>
      </w:r>
      <w:r w:rsidRPr="00090CF7">
        <w:t xml:space="preserve"> ARSO, 2018</w:t>
      </w:r>
      <w:r>
        <w:t>d</w:t>
      </w:r>
      <w:r w:rsidRPr="00090CF7">
        <w:t>; ARSO, 2020</w:t>
      </w:r>
      <w:r>
        <w:t xml:space="preserve">d; </w:t>
      </w:r>
      <w:r w:rsidRPr="00090CF7">
        <w:t>ARSO, 20</w:t>
      </w:r>
      <w:r>
        <w:t>20e</w:t>
      </w:r>
      <w:r w:rsidRPr="00090CF7">
        <w:t>).</w:t>
      </w:r>
    </w:p>
    <w:p w14:paraId="35CF1F7C" w14:textId="77777777" w:rsidR="00C47DF2" w:rsidRPr="00FB70C6" w:rsidRDefault="00C47DF2" w:rsidP="00C47DF2">
      <w:pPr>
        <w:rPr>
          <w:highlight w:val="yellow"/>
        </w:rPr>
      </w:pPr>
    </w:p>
    <w:p w14:paraId="65F7B541" w14:textId="77777777" w:rsidR="00C47DF2" w:rsidRPr="00271072" w:rsidRDefault="00C47DF2" w:rsidP="004B7E4D">
      <w:pPr>
        <w:pStyle w:val="Naslov4"/>
      </w:pPr>
      <w:bookmarkStart w:id="412" w:name="_Ref73364471"/>
      <w:r w:rsidRPr="00271072">
        <w:t>Podzemne vode</w:t>
      </w:r>
      <w:bookmarkEnd w:id="412"/>
    </w:p>
    <w:p w14:paraId="6AF17D51" w14:textId="77777777" w:rsidR="00C47DF2" w:rsidRPr="00A925FD" w:rsidRDefault="00C47DF2" w:rsidP="00C47DF2">
      <w:r w:rsidRPr="00A925FD">
        <w:t>Mestna občina Nova Gorica se večinsko nahaja znotraj vodnega telesa podzemne vode Goriška Brda in Trnovsko Banjška planota (</w:t>
      </w:r>
      <w:proofErr w:type="spellStart"/>
      <w:r w:rsidRPr="00A925FD">
        <w:t>VTPodV</w:t>
      </w:r>
      <w:proofErr w:type="spellEnd"/>
      <w:r w:rsidRPr="00A925FD">
        <w:t xml:space="preserve"> 6021), skrajno južni del občine pa sega tudi na območje vodnega telesa Obala in Kras z Brkini (</w:t>
      </w:r>
      <w:proofErr w:type="spellStart"/>
      <w:r w:rsidRPr="00A925FD">
        <w:t>VTPodV</w:t>
      </w:r>
      <w:proofErr w:type="spellEnd"/>
      <w:r w:rsidRPr="00A925FD">
        <w:t xml:space="preserve"> 5019)</w:t>
      </w:r>
    </w:p>
    <w:p w14:paraId="4D616C2F" w14:textId="44BA7445" w:rsidR="00C47DF2" w:rsidRPr="00EE5D49" w:rsidRDefault="00C47DF2" w:rsidP="00C47DF2">
      <w:r w:rsidRPr="00EE5D49">
        <w:t>Širše območje občine Nova Gorica se hidrogeološko gledano deli na karbonatno Trnovsko-Banjško planoto na severu, ki predstavlja nizko do srednje izdatne vodonosnike, ki med seboj niso nujno povezani, z vmesnimi območji, kjer izdanja fliš, za katerega so značilni lokalni in omejeni viri podzemne vode. V Vipavski dolini pa gre v glavnem za rečne nanose odložene na flišno podlago, ki ne predstavljajo večjih virov podzemne vode (</w:t>
      </w:r>
      <w:r w:rsidRPr="00EE5D49">
        <w:fldChar w:fldCharType="begin"/>
      </w:r>
      <w:r w:rsidRPr="00EE5D49">
        <w:instrText xml:space="preserve"> REF _Ref70948298 \h </w:instrText>
      </w:r>
      <w:r>
        <w:instrText xml:space="preserve"> \* MERGEFORMAT </w:instrText>
      </w:r>
      <w:r w:rsidRPr="00EE5D49">
        <w:fldChar w:fldCharType="separate"/>
      </w:r>
      <w:r w:rsidR="004700D5">
        <w:t xml:space="preserve">Slika </w:t>
      </w:r>
      <w:r w:rsidR="004700D5">
        <w:rPr>
          <w:noProof/>
        </w:rPr>
        <w:t>6.34</w:t>
      </w:r>
      <w:r w:rsidRPr="00EE5D49">
        <w:fldChar w:fldCharType="end"/>
      </w:r>
      <w:r w:rsidRPr="00EE5D49">
        <w:t>).</w:t>
      </w:r>
    </w:p>
    <w:p w14:paraId="2D80264F" w14:textId="77777777" w:rsidR="00C47DF2" w:rsidRDefault="00C47DF2" w:rsidP="00C47DF2">
      <w:pPr>
        <w:keepNext/>
        <w:jc w:val="center"/>
      </w:pPr>
      <w:r>
        <w:rPr>
          <w:noProof/>
          <w:lang w:eastAsia="sl-SI"/>
        </w:rPr>
        <w:lastRenderedPageBreak/>
        <w:drawing>
          <wp:inline distT="0" distB="0" distL="0" distR="0" wp14:anchorId="31C370EC" wp14:editId="51B8A842">
            <wp:extent cx="4999512" cy="7260657"/>
            <wp:effectExtent l="0" t="0" r="0" b="0"/>
            <wp:docPr id="593441288" name="Picture 59344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bwMode="auto">
                    <a:xfrm>
                      <a:off x="0" y="0"/>
                      <a:ext cx="5007161" cy="7271766"/>
                    </a:xfrm>
                    <a:prstGeom prst="rect">
                      <a:avLst/>
                    </a:prstGeom>
                    <a:noFill/>
                  </pic:spPr>
                </pic:pic>
              </a:graphicData>
            </a:graphic>
          </wp:inline>
        </w:drawing>
      </w:r>
    </w:p>
    <w:p w14:paraId="284A795F" w14:textId="3AA4F5E5" w:rsidR="00C47DF2" w:rsidRPr="00D81FCC" w:rsidRDefault="00C47DF2" w:rsidP="00C47DF2">
      <w:pPr>
        <w:pStyle w:val="Napis"/>
        <w:rPr>
          <w:noProof/>
          <w:lang w:eastAsia="sl-SI"/>
        </w:rPr>
      </w:pPr>
      <w:bookmarkStart w:id="413" w:name="_Ref70948298"/>
      <w:bookmarkStart w:id="414" w:name="_Toc97026884"/>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33</w:t>
      </w:r>
      <w:r w:rsidR="008334B2">
        <w:fldChar w:fldCharType="end"/>
      </w:r>
      <w:bookmarkEnd w:id="413"/>
      <w:r w:rsidRPr="00D81FCC">
        <w:t xml:space="preserve">: Hidrogeološka karta </w:t>
      </w:r>
      <w:r>
        <w:t xml:space="preserve">širšega območja Mestne </w:t>
      </w:r>
      <w:r w:rsidRPr="00D81FCC">
        <w:t xml:space="preserve">občine </w:t>
      </w:r>
      <w:r>
        <w:t>Nova Gorica.</w:t>
      </w:r>
      <w:bookmarkEnd w:id="414"/>
    </w:p>
    <w:p w14:paraId="4C1EEEBA" w14:textId="77777777" w:rsidR="00C47DF2" w:rsidRPr="00FB70C6" w:rsidRDefault="00C47DF2" w:rsidP="00C47DF2">
      <w:pPr>
        <w:pStyle w:val="Napis"/>
        <w:rPr>
          <w:highlight w:val="yellow"/>
        </w:rPr>
      </w:pPr>
    </w:p>
    <w:p w14:paraId="59B93EC5" w14:textId="77777777" w:rsidR="00C47DF2" w:rsidRPr="00BE57D9" w:rsidRDefault="00C47DF2" w:rsidP="00C47DF2">
      <w:pPr>
        <w:pStyle w:val="Naslov5"/>
      </w:pPr>
      <w:r w:rsidRPr="00BE57D9">
        <w:lastRenderedPageBreak/>
        <w:t>Ocena količinskega stanja podzemnih voda</w:t>
      </w:r>
    </w:p>
    <w:p w14:paraId="32A9E64E" w14:textId="77777777" w:rsidR="00C47DF2" w:rsidRPr="00BE70B1" w:rsidRDefault="00C47DF2" w:rsidP="00C47DF2">
      <w:r w:rsidRPr="00BE70B1">
        <w:t>Obnovljiva količina podzemne vode plitvih vodonosnikov za vodno telo podzemne vode Goriška brda in Trnovsko-Banjška planota v letu 2018 znaša slabih 660 milijonov m</w:t>
      </w:r>
      <w:r w:rsidRPr="00BE70B1">
        <w:rPr>
          <w:vertAlign w:val="superscript"/>
        </w:rPr>
        <w:t>3</w:t>
      </w:r>
      <w:r w:rsidRPr="00BE70B1">
        <w:t>. Povprečno napajanje podzemne vode za vodno telo je bilo v letu 2018 360 mm. Tridesetletno povprečje (1981-2010) celotne Slovenije je 289 mm</w:t>
      </w:r>
      <w:r>
        <w:t>. Ocena obnovljive količine je izračunana na podlagi rezultatov GROWA-SI</w:t>
      </w:r>
      <w:r w:rsidRPr="00BE70B1">
        <w:t xml:space="preserve"> (</w:t>
      </w:r>
      <w:proofErr w:type="spellStart"/>
      <w:r w:rsidRPr="00BE70B1">
        <w:t>Andjelov</w:t>
      </w:r>
      <w:proofErr w:type="spellEnd"/>
      <w:r w:rsidRPr="00BE70B1">
        <w:t xml:space="preserve"> et </w:t>
      </w:r>
      <w:proofErr w:type="spellStart"/>
      <w:r w:rsidRPr="00BE70B1">
        <w:t>al</w:t>
      </w:r>
      <w:proofErr w:type="spellEnd"/>
      <w:r w:rsidRPr="00BE70B1">
        <w:t xml:space="preserve">., 2016; </w:t>
      </w:r>
      <w:proofErr w:type="spellStart"/>
      <w:r w:rsidRPr="00BE70B1">
        <w:t>Andjelov</w:t>
      </w:r>
      <w:proofErr w:type="spellEnd"/>
      <w:r w:rsidRPr="00BE70B1">
        <w:t xml:space="preserve"> et </w:t>
      </w:r>
      <w:proofErr w:type="spellStart"/>
      <w:r w:rsidRPr="00BE70B1">
        <w:t>al</w:t>
      </w:r>
      <w:proofErr w:type="spellEnd"/>
      <w:r w:rsidRPr="00BE70B1">
        <w:t>., 20</w:t>
      </w:r>
      <w:r>
        <w:t>20</w:t>
      </w:r>
      <w:r w:rsidRPr="00BE70B1">
        <w:t>).</w:t>
      </w:r>
    </w:p>
    <w:p w14:paraId="3AF516E7" w14:textId="77777777" w:rsidR="00C47DF2" w:rsidRPr="008D11DB" w:rsidRDefault="00C47DF2" w:rsidP="00C47DF2">
      <w:r w:rsidRPr="008D11DB">
        <w:t xml:space="preserve">Količinsko stanje podzemnih voda v občini Nova Gorica smo ocenili s pomočjo rezultatov </w:t>
      </w:r>
      <w:proofErr w:type="spellStart"/>
      <w:r w:rsidRPr="008D11DB">
        <w:t>vodobilančnega</w:t>
      </w:r>
      <w:proofErr w:type="spellEnd"/>
      <w:r w:rsidRPr="008D11DB">
        <w:t xml:space="preserve"> modela </w:t>
      </w:r>
      <w:proofErr w:type="spellStart"/>
      <w:r w:rsidRPr="008D11DB">
        <w:t>mGROWA</w:t>
      </w:r>
      <w:proofErr w:type="spellEnd"/>
      <w:r w:rsidRPr="008D11DB">
        <w:t>-SI (</w:t>
      </w:r>
      <w:proofErr w:type="spellStart"/>
      <w:r w:rsidRPr="008D11DB">
        <w:t>ARSO</w:t>
      </w:r>
      <w:r>
        <w:t>f</w:t>
      </w:r>
      <w:proofErr w:type="spellEnd"/>
      <w:r w:rsidRPr="008D11DB">
        <w:t>, 2020) in sicer smo za analizo vzeli napajane podzemne vode.</w:t>
      </w:r>
    </w:p>
    <w:p w14:paraId="677C6A37" w14:textId="715340D9" w:rsidR="00C47DF2" w:rsidRDefault="00C47DF2" w:rsidP="00C47DF2">
      <w:r w:rsidRPr="00C51121">
        <w:t>V referenčnem obdobju 1981-2010 je povprečno letno napajanje podzemne vode približno 470 mm</w:t>
      </w:r>
      <w:r>
        <w:t xml:space="preserve"> (v poletni polovici leta približni 155 mm, v zimski 315 mm)</w:t>
      </w:r>
      <w:r w:rsidRPr="00C51121">
        <w:t>. Porazdelitev je podobna kot pri skupnem odtoku in sicer več na Trnovsko-Banjški planoti in manj v Vipavski dolini na jugu. Anomalije v okolici mest so najverjetneje posledica nenatančnosti modela v okolici mest. V poletnih mesecih niha v povprečju med 1</w:t>
      </w:r>
      <w:r>
        <w:t>5</w:t>
      </w:r>
      <w:r w:rsidRPr="00C51121">
        <w:t xml:space="preserve"> in </w:t>
      </w:r>
      <w:r>
        <w:t>40</w:t>
      </w:r>
      <w:r w:rsidRPr="00C51121">
        <w:t xml:space="preserve"> mm, v povprečju približno </w:t>
      </w:r>
      <w:r>
        <w:t>25</w:t>
      </w:r>
      <w:r w:rsidRPr="00C51121">
        <w:t> mm</w:t>
      </w:r>
      <w:r>
        <w:t>/mesec</w:t>
      </w:r>
      <w:r w:rsidRPr="00C51121">
        <w:t xml:space="preserve"> (</w:t>
      </w:r>
      <w:r>
        <w:fldChar w:fldCharType="begin"/>
      </w:r>
      <w:r>
        <w:instrText xml:space="preserve"> REF _Ref70948275 \h </w:instrText>
      </w:r>
      <w:r>
        <w:fldChar w:fldCharType="separate"/>
      </w:r>
      <w:r w:rsidR="004700D5">
        <w:t xml:space="preserve">Slika </w:t>
      </w:r>
      <w:r w:rsidR="004700D5">
        <w:rPr>
          <w:noProof/>
        </w:rPr>
        <w:t>6</w:t>
      </w:r>
      <w:r w:rsidR="004700D5">
        <w:t>.</w:t>
      </w:r>
      <w:r w:rsidR="004700D5">
        <w:rPr>
          <w:noProof/>
        </w:rPr>
        <w:t>35</w:t>
      </w:r>
      <w:r>
        <w:fldChar w:fldCharType="end"/>
      </w:r>
      <w:r w:rsidRPr="00910ECE">
        <w:t>). V zimskih mesecih pa je razpon med 35 mm in 70 mm, s povprečjem 53 mm/mesec. Napajanja podzemne vode je največ v oktobru (približno 66 mm/mesec) in najmanj v juliju (približno 17 mm) (</w:t>
      </w:r>
      <w:r>
        <w:fldChar w:fldCharType="begin"/>
      </w:r>
      <w:r>
        <w:instrText xml:space="preserve"> REF _Ref70948268 \h </w:instrText>
      </w:r>
      <w:r>
        <w:fldChar w:fldCharType="separate"/>
      </w:r>
      <w:r w:rsidR="004700D5">
        <w:t xml:space="preserve">Slika </w:t>
      </w:r>
      <w:r w:rsidR="004700D5">
        <w:rPr>
          <w:noProof/>
        </w:rPr>
        <w:t>6</w:t>
      </w:r>
      <w:r w:rsidR="004700D5">
        <w:t>.</w:t>
      </w:r>
      <w:r w:rsidR="004700D5">
        <w:rPr>
          <w:noProof/>
        </w:rPr>
        <w:t>36</w:t>
      </w:r>
      <w:r>
        <w:fldChar w:fldCharType="end"/>
      </w:r>
      <w:r w:rsidRPr="00910ECE">
        <w:t>).</w:t>
      </w:r>
    </w:p>
    <w:p w14:paraId="2B03B911" w14:textId="77777777" w:rsidR="00C47DF2" w:rsidRDefault="00C47DF2" w:rsidP="00C47DF2">
      <w:pPr>
        <w:keepNext/>
        <w:jc w:val="center"/>
      </w:pPr>
      <w:r w:rsidRPr="00936DC2">
        <w:rPr>
          <w:noProof/>
        </w:rPr>
        <w:lastRenderedPageBreak/>
        <w:t xml:space="preserve"> </w:t>
      </w:r>
      <w:r>
        <w:rPr>
          <w:noProof/>
          <w:lang w:eastAsia="sl-SI"/>
        </w:rPr>
        <w:drawing>
          <wp:inline distT="0" distB="0" distL="0" distR="0" wp14:anchorId="10D1311F" wp14:editId="341BD7E0">
            <wp:extent cx="3333985" cy="4714183"/>
            <wp:effectExtent l="0" t="0" r="0" b="0"/>
            <wp:docPr id="593441289" name="Picture 59344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bwMode="auto">
                    <a:xfrm>
                      <a:off x="0" y="0"/>
                      <a:ext cx="3333985" cy="4714183"/>
                    </a:xfrm>
                    <a:prstGeom prst="rect">
                      <a:avLst/>
                    </a:prstGeom>
                    <a:noFill/>
                  </pic:spPr>
                </pic:pic>
              </a:graphicData>
            </a:graphic>
          </wp:inline>
        </w:drawing>
      </w:r>
    </w:p>
    <w:p w14:paraId="48DF8908" w14:textId="07C997F6" w:rsidR="00C47DF2" w:rsidRPr="00E13329" w:rsidRDefault="00C47DF2" w:rsidP="00C47DF2">
      <w:pPr>
        <w:pStyle w:val="Napis"/>
        <w:rPr>
          <w:noProof/>
        </w:rPr>
      </w:pPr>
      <w:bookmarkStart w:id="415" w:name="_Ref70948275"/>
      <w:bookmarkStart w:id="416" w:name="_Toc97026885"/>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34</w:t>
      </w:r>
      <w:r w:rsidR="008334B2">
        <w:fldChar w:fldCharType="end"/>
      </w:r>
      <w:bookmarkEnd w:id="415"/>
      <w:r w:rsidRPr="00EC1DE6">
        <w:t>:</w:t>
      </w:r>
      <w:r w:rsidRPr="00E13329">
        <w:t xml:space="preserve"> </w:t>
      </w:r>
      <w:r>
        <w:t>Modelirano n</w:t>
      </w:r>
      <w:r w:rsidRPr="00E13329">
        <w:t>apajanje podzemne vode v poletni polovici leta v referenčnem obdobju 1981-2010 za</w:t>
      </w:r>
      <w:r>
        <w:t xml:space="preserve"> širše</w:t>
      </w:r>
      <w:r w:rsidRPr="00E13329">
        <w:t xml:space="preserve"> območje občine </w:t>
      </w:r>
      <w:r>
        <w:t>Nova Gorica z okolico po podnebnem scenariju RCP8.5.</w:t>
      </w:r>
      <w:bookmarkEnd w:id="416"/>
    </w:p>
    <w:p w14:paraId="4298D92A" w14:textId="77777777" w:rsidR="00C47DF2" w:rsidRDefault="00C47DF2" w:rsidP="00C47DF2">
      <w:pPr>
        <w:keepNext/>
        <w:jc w:val="center"/>
      </w:pPr>
      <w:r>
        <w:rPr>
          <w:noProof/>
          <w:lang w:eastAsia="sl-SI"/>
        </w:rPr>
        <w:drawing>
          <wp:inline distT="0" distB="0" distL="0" distR="0" wp14:anchorId="3AB5B585" wp14:editId="2B35756F">
            <wp:extent cx="4796447" cy="2331234"/>
            <wp:effectExtent l="0" t="0" r="4445" b="0"/>
            <wp:docPr id="593441290" name="Picture 59344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179">
                      <a:extLst>
                        <a:ext uri="{28A0092B-C50C-407E-A947-70E740481C1C}">
                          <a14:useLocalDpi xmlns:a14="http://schemas.microsoft.com/office/drawing/2010/main" val="0"/>
                        </a:ext>
                      </a:extLst>
                    </a:blip>
                    <a:stretch>
                      <a:fillRect/>
                    </a:stretch>
                  </pic:blipFill>
                  <pic:spPr bwMode="auto">
                    <a:xfrm>
                      <a:off x="0" y="0"/>
                      <a:ext cx="4820184" cy="2342771"/>
                    </a:xfrm>
                    <a:prstGeom prst="rect">
                      <a:avLst/>
                    </a:prstGeom>
                    <a:noFill/>
                  </pic:spPr>
                </pic:pic>
              </a:graphicData>
            </a:graphic>
          </wp:inline>
        </w:drawing>
      </w:r>
    </w:p>
    <w:p w14:paraId="7CCFF140" w14:textId="36630E8B" w:rsidR="00C47DF2" w:rsidRPr="002D46CD" w:rsidRDefault="00C47DF2" w:rsidP="00C47DF2">
      <w:pPr>
        <w:pStyle w:val="Napis"/>
        <w:rPr>
          <w:noProof/>
        </w:rPr>
      </w:pPr>
      <w:bookmarkStart w:id="417" w:name="_Ref70948268"/>
      <w:bookmarkStart w:id="418" w:name="_Toc97026886"/>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35</w:t>
      </w:r>
      <w:r w:rsidR="008334B2">
        <w:fldChar w:fldCharType="end"/>
      </w:r>
      <w:bookmarkEnd w:id="417"/>
      <w:r w:rsidRPr="00936DC2">
        <w:t xml:space="preserve"> </w:t>
      </w:r>
      <w:r>
        <w:t>Povprečna mesečna vsota napajanja podzemne vode na območju občine Nova Gorica v referenčnem obdobju 1981</w:t>
      </w:r>
      <w:r>
        <w:noBreakHyphen/>
        <w:t>2010.</w:t>
      </w:r>
      <w:bookmarkEnd w:id="418"/>
    </w:p>
    <w:p w14:paraId="50673203" w14:textId="77777777" w:rsidR="00C47DF2" w:rsidRPr="004D0BDB" w:rsidRDefault="00C47DF2" w:rsidP="00C47DF2">
      <w:pPr>
        <w:pStyle w:val="Naslov5"/>
      </w:pPr>
      <w:bookmarkStart w:id="419" w:name="_Ref68073060"/>
      <w:r w:rsidRPr="004D0BDB">
        <w:lastRenderedPageBreak/>
        <w:t>Zaledja virov podzemn</w:t>
      </w:r>
      <w:r>
        <w:t>e</w:t>
      </w:r>
      <w:r w:rsidRPr="004D0BDB">
        <w:t xml:space="preserve"> vod</w:t>
      </w:r>
      <w:r>
        <w:t>e</w:t>
      </w:r>
      <w:bookmarkEnd w:id="419"/>
    </w:p>
    <w:p w14:paraId="21F69068" w14:textId="77777777" w:rsidR="00C47DF2" w:rsidRDefault="00C47DF2" w:rsidP="00C47DF2">
      <w:pPr>
        <w:rPr>
          <w:lang w:eastAsia="sl-SI"/>
        </w:rPr>
      </w:pPr>
      <w:r w:rsidRPr="00671C72">
        <w:rPr>
          <w:lang w:eastAsia="sl-SI"/>
        </w:rPr>
        <w:t xml:space="preserve">Za potrebe analize vodnega stresa podzemen vode smo območje razdelili na več zaledji virov podzemne vode. Zaledja virov podzemnih vod so bila določena na podlagi topografske karte, geoloških ter hidrogeoloških lastnosti območja in obstoječa vodovarstvena območja. Na podlagi teh zaledji je bilo tudi definirano širše območje Mestne občine Nova Gorica, zlasti zaradi zaledja </w:t>
      </w:r>
      <w:proofErr w:type="spellStart"/>
      <w:r>
        <w:rPr>
          <w:lang w:eastAsia="sl-SI"/>
        </w:rPr>
        <w:t>Mrzlek</w:t>
      </w:r>
      <w:proofErr w:type="spellEnd"/>
      <w:r w:rsidRPr="00671C72">
        <w:rPr>
          <w:lang w:eastAsia="sl-SI"/>
        </w:rPr>
        <w:t>, ki predstavlja glavni vir pitne vode za MONG in okoliške občine.</w:t>
      </w:r>
    </w:p>
    <w:p w14:paraId="0B0EAE2A" w14:textId="4F07EB14" w:rsidR="00C47DF2" w:rsidRPr="008E6569" w:rsidRDefault="00C47DF2" w:rsidP="00C47DF2">
      <w:pPr>
        <w:rPr>
          <w:lang w:eastAsia="sl-SI"/>
        </w:rPr>
      </w:pPr>
      <w:r>
        <w:rPr>
          <w:lang w:eastAsia="sl-SI"/>
        </w:rPr>
        <w:t>Širše območje je razdeljeno na štiri zaledja z oznakami od 0 do 3 (</w:t>
      </w:r>
      <w:r>
        <w:rPr>
          <w:lang w:eastAsia="sl-SI"/>
        </w:rPr>
        <w:fldChar w:fldCharType="begin"/>
      </w:r>
      <w:r>
        <w:rPr>
          <w:lang w:eastAsia="sl-SI"/>
        </w:rPr>
        <w:instrText xml:space="preserve"> REF _Ref67660823 \h </w:instrText>
      </w:r>
      <w:r>
        <w:rPr>
          <w:lang w:eastAsia="sl-SI"/>
        </w:rPr>
      </w:r>
      <w:r>
        <w:rPr>
          <w:lang w:eastAsia="sl-SI"/>
        </w:rPr>
        <w:fldChar w:fldCharType="separate"/>
      </w:r>
      <w:r w:rsidR="004700D5">
        <w:t xml:space="preserve">Slika </w:t>
      </w:r>
      <w:r w:rsidR="004700D5">
        <w:rPr>
          <w:noProof/>
        </w:rPr>
        <w:t>6</w:t>
      </w:r>
      <w:r w:rsidR="004700D5">
        <w:t>.</w:t>
      </w:r>
      <w:r w:rsidR="004700D5">
        <w:rPr>
          <w:noProof/>
        </w:rPr>
        <w:t>37</w:t>
      </w:r>
      <w:r>
        <w:rPr>
          <w:lang w:eastAsia="sl-SI"/>
        </w:rPr>
        <w:fldChar w:fldCharType="end"/>
      </w:r>
      <w:r>
        <w:rPr>
          <w:lang w:eastAsia="sl-SI"/>
        </w:rPr>
        <w:t xml:space="preserve"> in </w:t>
      </w:r>
      <w:r>
        <w:rPr>
          <w:lang w:eastAsia="sl-SI"/>
        </w:rPr>
        <w:fldChar w:fldCharType="begin"/>
      </w:r>
      <w:r>
        <w:rPr>
          <w:lang w:eastAsia="sl-SI"/>
        </w:rPr>
        <w:instrText xml:space="preserve"> REF _Ref73355167 \h </w:instrText>
      </w:r>
      <w:r>
        <w:rPr>
          <w:lang w:eastAsia="sl-SI"/>
        </w:rPr>
      </w:r>
      <w:r>
        <w:rPr>
          <w:lang w:eastAsia="sl-SI"/>
        </w:rPr>
        <w:fldChar w:fldCharType="separate"/>
      </w:r>
      <w:r w:rsidR="004700D5">
        <w:t xml:space="preserve">Slika </w:t>
      </w:r>
      <w:r w:rsidR="004700D5">
        <w:rPr>
          <w:noProof/>
        </w:rPr>
        <w:t>6</w:t>
      </w:r>
      <w:r w:rsidR="004700D5">
        <w:t>.</w:t>
      </w:r>
      <w:r w:rsidR="004700D5">
        <w:rPr>
          <w:noProof/>
        </w:rPr>
        <w:t>41</w:t>
      </w:r>
      <w:r>
        <w:rPr>
          <w:lang w:eastAsia="sl-SI"/>
        </w:rPr>
        <w:fldChar w:fldCharType="end"/>
      </w:r>
      <w:r>
        <w:rPr>
          <w:lang w:eastAsia="sl-SI"/>
        </w:rPr>
        <w:t xml:space="preserve">), ki segajo čez meje same občine zaradi hidrogeoloških značilnosti in lokacij odvzemov vode za potrebe občine, </w:t>
      </w:r>
      <w:r w:rsidRPr="008E6569">
        <w:rPr>
          <w:lang w:eastAsia="sl-SI"/>
        </w:rPr>
        <w:t>vendar ne čez državno mejo, ker tam nimamo podatkov o napajanju podzemne vode.</w:t>
      </w:r>
    </w:p>
    <w:p w14:paraId="4D3C4691" w14:textId="58346ACA" w:rsidR="00C47DF2" w:rsidRPr="000B744F" w:rsidRDefault="00C47DF2" w:rsidP="00C47DF2">
      <w:pPr>
        <w:rPr>
          <w:lang w:eastAsia="sl-SI"/>
        </w:rPr>
      </w:pPr>
      <w:r w:rsidRPr="008E6569">
        <w:rPr>
          <w:lang w:eastAsia="sl-SI"/>
        </w:rPr>
        <w:fldChar w:fldCharType="begin"/>
      </w:r>
      <w:r w:rsidRPr="008E6569">
        <w:rPr>
          <w:lang w:eastAsia="sl-SI"/>
        </w:rPr>
        <w:instrText xml:space="preserve"> REF _Ref68599518 \h  \* MERGEFORMAT </w:instrText>
      </w:r>
      <w:r w:rsidRPr="008E6569">
        <w:rPr>
          <w:lang w:eastAsia="sl-SI"/>
        </w:rPr>
      </w:r>
      <w:r w:rsidRPr="008E6569">
        <w:rPr>
          <w:lang w:eastAsia="sl-SI"/>
        </w:rPr>
        <w:fldChar w:fldCharType="separate"/>
      </w:r>
      <w:r w:rsidR="004700D5" w:rsidRPr="000B744F">
        <w:t xml:space="preserve">Preglednica </w:t>
      </w:r>
      <w:r w:rsidR="004700D5">
        <w:rPr>
          <w:noProof/>
        </w:rPr>
        <w:t>6.36</w:t>
      </w:r>
      <w:r w:rsidRPr="008E6569">
        <w:rPr>
          <w:lang w:eastAsia="sl-SI"/>
        </w:rPr>
        <w:fldChar w:fldCharType="end"/>
      </w:r>
      <w:r w:rsidRPr="008E6569">
        <w:rPr>
          <w:lang w:eastAsia="sl-SI"/>
        </w:rPr>
        <w:t xml:space="preserve"> prikazuje količino napajanja </w:t>
      </w:r>
      <w:r w:rsidRPr="000B744F">
        <w:rPr>
          <w:lang w:eastAsia="sl-SI"/>
        </w:rPr>
        <w:t>podzemne vode po posameznih zaledjih v referenčnem obdobju za poletne mesece in zimske mesece. Vidimo lahko, da je količina napajanja v zimskih mesecih dva- do tri-krat večja od napajanja v poletni polovici leta.</w:t>
      </w:r>
    </w:p>
    <w:p w14:paraId="1C6C0331" w14:textId="3062F968" w:rsidR="00C47DF2" w:rsidRPr="000B744F" w:rsidRDefault="00C47DF2" w:rsidP="00C47DF2">
      <w:pPr>
        <w:pStyle w:val="Napis"/>
        <w:keepNext/>
      </w:pPr>
      <w:bookmarkStart w:id="420" w:name="_Ref68599518"/>
      <w:bookmarkStart w:id="421" w:name="_Toc97026989"/>
      <w:r w:rsidRPr="000B744F">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36</w:t>
      </w:r>
      <w:r w:rsidR="00976D80">
        <w:fldChar w:fldCharType="end"/>
      </w:r>
      <w:bookmarkEnd w:id="420"/>
      <w:r w:rsidRPr="000B744F">
        <w:t>: Povprečno napajanje podzemne vode na sezono v referenčnem obdobju po zaledjih.</w:t>
      </w:r>
      <w:bookmarkEnd w:id="421"/>
    </w:p>
    <w:tbl>
      <w:tblPr>
        <w:tblStyle w:val="Tabelamrea"/>
        <w:tblW w:w="0" w:type="auto"/>
        <w:tblLook w:val="04A0" w:firstRow="1" w:lastRow="0" w:firstColumn="1" w:lastColumn="0" w:noHBand="0" w:noVBand="1"/>
      </w:tblPr>
      <w:tblGrid>
        <w:gridCol w:w="2122"/>
        <w:gridCol w:w="3685"/>
        <w:gridCol w:w="3821"/>
      </w:tblGrid>
      <w:tr w:rsidR="00C47DF2" w:rsidRPr="000B744F" w14:paraId="77B2CA86" w14:textId="77777777" w:rsidTr="00FF0031">
        <w:tc>
          <w:tcPr>
            <w:tcW w:w="2122" w:type="dxa"/>
            <w:shd w:val="clear" w:color="auto" w:fill="AEAAAA" w:themeFill="background2" w:themeFillShade="BF"/>
          </w:tcPr>
          <w:p w14:paraId="76C33275" w14:textId="77777777" w:rsidR="00C47DF2" w:rsidRPr="000B744F" w:rsidRDefault="00C47DF2" w:rsidP="00FF0031">
            <w:pPr>
              <w:jc w:val="center"/>
              <w:rPr>
                <w:lang w:eastAsia="sl-SI"/>
              </w:rPr>
            </w:pPr>
            <w:r w:rsidRPr="000B744F">
              <w:rPr>
                <w:lang w:eastAsia="sl-SI"/>
              </w:rPr>
              <w:t>Zaledje</w:t>
            </w:r>
          </w:p>
        </w:tc>
        <w:tc>
          <w:tcPr>
            <w:tcW w:w="3685" w:type="dxa"/>
            <w:shd w:val="clear" w:color="auto" w:fill="AEAAAA" w:themeFill="background2" w:themeFillShade="BF"/>
          </w:tcPr>
          <w:p w14:paraId="3973B388" w14:textId="77777777" w:rsidR="00C47DF2" w:rsidRPr="000B744F" w:rsidRDefault="00C47DF2" w:rsidP="00FF0031">
            <w:pPr>
              <w:jc w:val="center"/>
              <w:rPr>
                <w:lang w:eastAsia="sl-SI"/>
              </w:rPr>
            </w:pPr>
            <w:r w:rsidRPr="000B744F">
              <w:rPr>
                <w:lang w:eastAsia="sl-SI"/>
              </w:rPr>
              <w:t>Povprečje poletje [*10</w:t>
            </w:r>
            <w:r w:rsidRPr="000B744F">
              <w:rPr>
                <w:vertAlign w:val="superscript"/>
                <w:lang w:eastAsia="sl-SI"/>
              </w:rPr>
              <w:t>6</w:t>
            </w:r>
            <w:r w:rsidRPr="000B744F">
              <w:rPr>
                <w:lang w:eastAsia="sl-SI"/>
              </w:rPr>
              <w:t xml:space="preserve"> m</w:t>
            </w:r>
            <w:r w:rsidRPr="000B744F">
              <w:rPr>
                <w:vertAlign w:val="superscript"/>
                <w:lang w:eastAsia="sl-SI"/>
              </w:rPr>
              <w:t>3</w:t>
            </w:r>
            <w:r w:rsidRPr="000B744F">
              <w:rPr>
                <w:lang w:eastAsia="sl-SI"/>
              </w:rPr>
              <w:t>]</w:t>
            </w:r>
          </w:p>
        </w:tc>
        <w:tc>
          <w:tcPr>
            <w:tcW w:w="3821" w:type="dxa"/>
            <w:shd w:val="clear" w:color="auto" w:fill="AEAAAA" w:themeFill="background2" w:themeFillShade="BF"/>
          </w:tcPr>
          <w:p w14:paraId="26BB3A28" w14:textId="77777777" w:rsidR="00C47DF2" w:rsidRPr="000B744F" w:rsidRDefault="00C47DF2" w:rsidP="00FF0031">
            <w:pPr>
              <w:jc w:val="center"/>
              <w:rPr>
                <w:lang w:eastAsia="sl-SI"/>
              </w:rPr>
            </w:pPr>
            <w:r w:rsidRPr="000B744F">
              <w:rPr>
                <w:lang w:eastAsia="sl-SI"/>
              </w:rPr>
              <w:t>Povprečje zima [*10</w:t>
            </w:r>
            <w:r w:rsidRPr="000B744F">
              <w:rPr>
                <w:vertAlign w:val="superscript"/>
                <w:lang w:eastAsia="sl-SI"/>
              </w:rPr>
              <w:t>6</w:t>
            </w:r>
            <w:r w:rsidRPr="000B744F">
              <w:rPr>
                <w:lang w:eastAsia="sl-SI"/>
              </w:rPr>
              <w:t xml:space="preserve"> m</w:t>
            </w:r>
            <w:r w:rsidRPr="000B744F">
              <w:rPr>
                <w:vertAlign w:val="superscript"/>
                <w:lang w:eastAsia="sl-SI"/>
              </w:rPr>
              <w:t>3</w:t>
            </w:r>
            <w:r w:rsidRPr="000B744F">
              <w:rPr>
                <w:lang w:eastAsia="sl-SI"/>
              </w:rPr>
              <w:t>]</w:t>
            </w:r>
          </w:p>
        </w:tc>
      </w:tr>
      <w:tr w:rsidR="00C47DF2" w:rsidRPr="000B744F" w14:paraId="2652BD53" w14:textId="77777777" w:rsidTr="00FF0031">
        <w:tc>
          <w:tcPr>
            <w:tcW w:w="2122" w:type="dxa"/>
            <w:shd w:val="clear" w:color="auto" w:fill="BFBFBF" w:themeFill="background1" w:themeFillShade="BF"/>
          </w:tcPr>
          <w:p w14:paraId="21106726" w14:textId="77777777" w:rsidR="00C47DF2" w:rsidRPr="000B744F" w:rsidRDefault="00C47DF2" w:rsidP="00FF0031">
            <w:pPr>
              <w:jc w:val="center"/>
              <w:rPr>
                <w:lang w:eastAsia="sl-SI"/>
              </w:rPr>
            </w:pPr>
            <w:r w:rsidRPr="000B744F">
              <w:rPr>
                <w:lang w:eastAsia="sl-SI"/>
              </w:rPr>
              <w:t>0</w:t>
            </w:r>
          </w:p>
        </w:tc>
        <w:tc>
          <w:tcPr>
            <w:tcW w:w="3685" w:type="dxa"/>
          </w:tcPr>
          <w:p w14:paraId="0D51E903" w14:textId="77777777" w:rsidR="00C47DF2" w:rsidRPr="000B744F" w:rsidRDefault="00C47DF2" w:rsidP="00FF0031">
            <w:pPr>
              <w:jc w:val="right"/>
              <w:rPr>
                <w:lang w:eastAsia="sl-SI"/>
              </w:rPr>
            </w:pPr>
            <w:r w:rsidRPr="000B744F">
              <w:rPr>
                <w:lang w:eastAsia="sl-SI"/>
              </w:rPr>
              <w:t>49,5</w:t>
            </w:r>
            <w:r>
              <w:rPr>
                <w:lang w:eastAsia="sl-SI"/>
              </w:rPr>
              <w:t>3</w:t>
            </w:r>
          </w:p>
        </w:tc>
        <w:tc>
          <w:tcPr>
            <w:tcW w:w="3821" w:type="dxa"/>
          </w:tcPr>
          <w:p w14:paraId="1A64C127" w14:textId="77777777" w:rsidR="00C47DF2" w:rsidRPr="000B744F" w:rsidRDefault="00C47DF2" w:rsidP="00FF0031">
            <w:pPr>
              <w:jc w:val="right"/>
              <w:rPr>
                <w:lang w:eastAsia="sl-SI"/>
              </w:rPr>
            </w:pPr>
            <w:r w:rsidRPr="000B744F">
              <w:rPr>
                <w:lang w:eastAsia="sl-SI"/>
              </w:rPr>
              <w:t>90,3</w:t>
            </w:r>
            <w:r>
              <w:rPr>
                <w:lang w:eastAsia="sl-SI"/>
              </w:rPr>
              <w:t>5</w:t>
            </w:r>
          </w:p>
        </w:tc>
      </w:tr>
      <w:tr w:rsidR="00C47DF2" w:rsidRPr="000B744F" w14:paraId="30329240" w14:textId="77777777" w:rsidTr="00FF0031">
        <w:tc>
          <w:tcPr>
            <w:tcW w:w="2122" w:type="dxa"/>
            <w:shd w:val="clear" w:color="auto" w:fill="BFBFBF" w:themeFill="background1" w:themeFillShade="BF"/>
          </w:tcPr>
          <w:p w14:paraId="4F35EFEB" w14:textId="77777777" w:rsidR="00C47DF2" w:rsidRPr="000B744F" w:rsidRDefault="00C47DF2" w:rsidP="00FF0031">
            <w:pPr>
              <w:jc w:val="center"/>
              <w:rPr>
                <w:lang w:eastAsia="sl-SI"/>
              </w:rPr>
            </w:pPr>
            <w:r w:rsidRPr="000B744F">
              <w:rPr>
                <w:lang w:eastAsia="sl-SI"/>
              </w:rPr>
              <w:t>1</w:t>
            </w:r>
          </w:p>
        </w:tc>
        <w:tc>
          <w:tcPr>
            <w:tcW w:w="3685" w:type="dxa"/>
          </w:tcPr>
          <w:p w14:paraId="6341F13F" w14:textId="77777777" w:rsidR="00C47DF2" w:rsidRPr="000B744F" w:rsidRDefault="00C47DF2" w:rsidP="00FF0031">
            <w:pPr>
              <w:jc w:val="right"/>
              <w:rPr>
                <w:lang w:eastAsia="sl-SI"/>
              </w:rPr>
            </w:pPr>
            <w:r w:rsidRPr="000B744F">
              <w:rPr>
                <w:lang w:eastAsia="sl-SI"/>
              </w:rPr>
              <w:t>0,1</w:t>
            </w:r>
            <w:r>
              <w:rPr>
                <w:lang w:eastAsia="sl-SI"/>
              </w:rPr>
              <w:t>2</w:t>
            </w:r>
          </w:p>
        </w:tc>
        <w:tc>
          <w:tcPr>
            <w:tcW w:w="3821" w:type="dxa"/>
          </w:tcPr>
          <w:p w14:paraId="73D0E6C9" w14:textId="77777777" w:rsidR="00C47DF2" w:rsidRPr="000B744F" w:rsidRDefault="00C47DF2" w:rsidP="00FF0031">
            <w:pPr>
              <w:jc w:val="right"/>
              <w:rPr>
                <w:lang w:eastAsia="sl-SI"/>
              </w:rPr>
            </w:pPr>
            <w:r w:rsidRPr="000B744F">
              <w:rPr>
                <w:lang w:eastAsia="sl-SI"/>
              </w:rPr>
              <w:t>0,2</w:t>
            </w:r>
            <w:r>
              <w:rPr>
                <w:lang w:eastAsia="sl-SI"/>
              </w:rPr>
              <w:t>7</w:t>
            </w:r>
          </w:p>
        </w:tc>
      </w:tr>
      <w:tr w:rsidR="00C47DF2" w:rsidRPr="000B744F" w14:paraId="2A231C99" w14:textId="77777777" w:rsidTr="00FF0031">
        <w:tc>
          <w:tcPr>
            <w:tcW w:w="2122" w:type="dxa"/>
            <w:shd w:val="clear" w:color="auto" w:fill="BFBFBF" w:themeFill="background1" w:themeFillShade="BF"/>
          </w:tcPr>
          <w:p w14:paraId="1F216403" w14:textId="77777777" w:rsidR="00C47DF2" w:rsidRPr="000B744F" w:rsidRDefault="00C47DF2" w:rsidP="00FF0031">
            <w:pPr>
              <w:jc w:val="center"/>
              <w:rPr>
                <w:lang w:eastAsia="sl-SI"/>
              </w:rPr>
            </w:pPr>
            <w:r w:rsidRPr="000B744F">
              <w:rPr>
                <w:lang w:eastAsia="sl-SI"/>
              </w:rPr>
              <w:t>2</w:t>
            </w:r>
          </w:p>
        </w:tc>
        <w:tc>
          <w:tcPr>
            <w:tcW w:w="3685" w:type="dxa"/>
          </w:tcPr>
          <w:p w14:paraId="5F069ADC" w14:textId="77777777" w:rsidR="00C47DF2" w:rsidRPr="000B744F" w:rsidRDefault="00C47DF2" w:rsidP="00FF0031">
            <w:pPr>
              <w:jc w:val="right"/>
              <w:rPr>
                <w:lang w:eastAsia="sl-SI"/>
              </w:rPr>
            </w:pPr>
            <w:r w:rsidRPr="000B744F">
              <w:rPr>
                <w:lang w:eastAsia="sl-SI"/>
              </w:rPr>
              <w:t>0,2</w:t>
            </w:r>
            <w:r>
              <w:rPr>
                <w:lang w:eastAsia="sl-SI"/>
              </w:rPr>
              <w:t>3</w:t>
            </w:r>
          </w:p>
        </w:tc>
        <w:tc>
          <w:tcPr>
            <w:tcW w:w="3821" w:type="dxa"/>
          </w:tcPr>
          <w:p w14:paraId="1B6FC69C" w14:textId="77777777" w:rsidR="00C47DF2" w:rsidRPr="000B744F" w:rsidRDefault="00C47DF2" w:rsidP="00FF0031">
            <w:pPr>
              <w:jc w:val="right"/>
              <w:rPr>
                <w:lang w:eastAsia="sl-SI"/>
              </w:rPr>
            </w:pPr>
            <w:r w:rsidRPr="000B744F">
              <w:rPr>
                <w:lang w:eastAsia="sl-SI"/>
              </w:rPr>
              <w:t>0,4</w:t>
            </w:r>
            <w:r>
              <w:rPr>
                <w:lang w:eastAsia="sl-SI"/>
              </w:rPr>
              <w:t>4</w:t>
            </w:r>
          </w:p>
        </w:tc>
      </w:tr>
      <w:tr w:rsidR="00C47DF2" w14:paraId="284F52FA" w14:textId="77777777" w:rsidTr="00FF0031">
        <w:tc>
          <w:tcPr>
            <w:tcW w:w="2122" w:type="dxa"/>
            <w:shd w:val="clear" w:color="auto" w:fill="BFBFBF" w:themeFill="background1" w:themeFillShade="BF"/>
          </w:tcPr>
          <w:p w14:paraId="200CEFD4" w14:textId="77777777" w:rsidR="00C47DF2" w:rsidRPr="000B744F" w:rsidRDefault="00C47DF2" w:rsidP="00FF0031">
            <w:pPr>
              <w:jc w:val="center"/>
              <w:rPr>
                <w:lang w:eastAsia="sl-SI"/>
              </w:rPr>
            </w:pPr>
            <w:r w:rsidRPr="000B744F">
              <w:rPr>
                <w:lang w:eastAsia="sl-SI"/>
              </w:rPr>
              <w:t>3</w:t>
            </w:r>
          </w:p>
        </w:tc>
        <w:tc>
          <w:tcPr>
            <w:tcW w:w="3685" w:type="dxa"/>
          </w:tcPr>
          <w:p w14:paraId="2B594E1E" w14:textId="77777777" w:rsidR="00C47DF2" w:rsidRPr="000B744F" w:rsidRDefault="00C47DF2" w:rsidP="00FF0031">
            <w:pPr>
              <w:jc w:val="right"/>
              <w:rPr>
                <w:lang w:eastAsia="sl-SI"/>
              </w:rPr>
            </w:pPr>
            <w:r w:rsidRPr="000B744F">
              <w:rPr>
                <w:lang w:eastAsia="sl-SI"/>
              </w:rPr>
              <w:t>0,8</w:t>
            </w:r>
            <w:r>
              <w:rPr>
                <w:lang w:eastAsia="sl-SI"/>
              </w:rPr>
              <w:t>4</w:t>
            </w:r>
          </w:p>
        </w:tc>
        <w:tc>
          <w:tcPr>
            <w:tcW w:w="3821" w:type="dxa"/>
          </w:tcPr>
          <w:p w14:paraId="1C168DEC" w14:textId="77777777" w:rsidR="00C47DF2" w:rsidRDefault="00C47DF2" w:rsidP="00FF0031">
            <w:pPr>
              <w:jc w:val="right"/>
              <w:rPr>
                <w:lang w:eastAsia="sl-SI"/>
              </w:rPr>
            </w:pPr>
            <w:r w:rsidRPr="000B744F">
              <w:rPr>
                <w:lang w:eastAsia="sl-SI"/>
              </w:rPr>
              <w:t>1,5</w:t>
            </w:r>
            <w:r>
              <w:rPr>
                <w:lang w:eastAsia="sl-SI"/>
              </w:rPr>
              <w:t>5</w:t>
            </w:r>
          </w:p>
        </w:tc>
      </w:tr>
    </w:tbl>
    <w:p w14:paraId="062F1C29" w14:textId="77777777" w:rsidR="00C47DF2" w:rsidRPr="003F1A64" w:rsidRDefault="00C47DF2" w:rsidP="00C47DF2">
      <w:pPr>
        <w:rPr>
          <w:lang w:eastAsia="sl-SI"/>
        </w:rPr>
      </w:pPr>
    </w:p>
    <w:p w14:paraId="5858147B" w14:textId="77777777" w:rsidR="00C47DF2" w:rsidRDefault="00C47DF2" w:rsidP="00C47DF2">
      <w:pPr>
        <w:keepNext/>
        <w:jc w:val="center"/>
      </w:pPr>
      <w:r>
        <w:rPr>
          <w:noProof/>
          <w:lang w:eastAsia="sl-SI"/>
        </w:rPr>
        <w:lastRenderedPageBreak/>
        <w:drawing>
          <wp:inline distT="0" distB="0" distL="0" distR="0" wp14:anchorId="1B73B22D" wp14:editId="3CE6DA9F">
            <wp:extent cx="3724275" cy="5266045"/>
            <wp:effectExtent l="0" t="0" r="0" b="0"/>
            <wp:docPr id="593441291" name="Picture 59344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bwMode="auto">
                    <a:xfrm>
                      <a:off x="0" y="0"/>
                      <a:ext cx="3727536" cy="5270656"/>
                    </a:xfrm>
                    <a:prstGeom prst="rect">
                      <a:avLst/>
                    </a:prstGeom>
                    <a:noFill/>
                  </pic:spPr>
                </pic:pic>
              </a:graphicData>
            </a:graphic>
          </wp:inline>
        </w:drawing>
      </w:r>
    </w:p>
    <w:p w14:paraId="46168661" w14:textId="4D9C46EC" w:rsidR="00C47DF2" w:rsidRPr="004D0BDB" w:rsidRDefault="00C47DF2" w:rsidP="00C47DF2">
      <w:pPr>
        <w:pStyle w:val="Napis"/>
        <w:rPr>
          <w:lang w:eastAsia="sl-SI"/>
        </w:rPr>
      </w:pPr>
      <w:bookmarkStart w:id="422" w:name="_Ref67660823"/>
      <w:bookmarkStart w:id="423" w:name="_Toc97026887"/>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36</w:t>
      </w:r>
      <w:r w:rsidR="008334B2">
        <w:fldChar w:fldCharType="end"/>
      </w:r>
      <w:bookmarkEnd w:id="422"/>
      <w:r>
        <w:t xml:space="preserve">: </w:t>
      </w:r>
      <w:r w:rsidRPr="00E84A70">
        <w:t xml:space="preserve">Zaledja in viri podzemne vode uporabljeni v analizi. Zaledja so označena z rdečimi številkami od 0 do </w:t>
      </w:r>
      <w:r>
        <w:t>3</w:t>
      </w:r>
      <w:r w:rsidRPr="00E84A70">
        <w:t>.</w:t>
      </w:r>
      <w:bookmarkEnd w:id="423"/>
    </w:p>
    <w:p w14:paraId="692E0CF4" w14:textId="77777777" w:rsidR="00C47DF2" w:rsidRPr="00A925FD" w:rsidRDefault="00C47DF2" w:rsidP="00C47DF2">
      <w:pPr>
        <w:pStyle w:val="Naslov5"/>
        <w:ind w:left="0" w:firstLine="0"/>
      </w:pPr>
      <w:r w:rsidRPr="00A925FD">
        <w:t>Kemijsko stanje podzemnih voda</w:t>
      </w:r>
    </w:p>
    <w:p w14:paraId="26B3E50D" w14:textId="082EF3CB" w:rsidR="00C47DF2" w:rsidRPr="00441993" w:rsidRDefault="00C47DF2" w:rsidP="00C47DF2">
      <w:r w:rsidRPr="00441993">
        <w:t xml:space="preserve">Večinski del Mestne </w:t>
      </w:r>
      <w:r w:rsidR="005E7A42">
        <w:t>o</w:t>
      </w:r>
      <w:r w:rsidRPr="00441993">
        <w:t>bčine Nova Gorica se nahaja znotraj vodnega telesa podzemne vode Goriška Brda in Trnovsko Banjška planota (</w:t>
      </w:r>
      <w:proofErr w:type="spellStart"/>
      <w:r w:rsidRPr="00441993">
        <w:t>VTPodV</w:t>
      </w:r>
      <w:proofErr w:type="spellEnd"/>
      <w:r w:rsidRPr="00441993">
        <w:t xml:space="preserve"> 6021). Stanje vodnega telesa podzemne vode je od leta 2006 do 20</w:t>
      </w:r>
      <w:r>
        <w:t>20</w:t>
      </w:r>
      <w:r w:rsidRPr="00441993">
        <w:t xml:space="preserve"> dobro (</w:t>
      </w:r>
      <w:proofErr w:type="spellStart"/>
      <w:r w:rsidRPr="00441993">
        <w:t>ARSOb</w:t>
      </w:r>
      <w:proofErr w:type="spellEnd"/>
      <w:r w:rsidRPr="00441993">
        <w:t xml:space="preserve">, 2020). V sklopu državnega monitoringa kakovosti podzemnih voda je na območju občine </w:t>
      </w:r>
      <w:r>
        <w:t xml:space="preserve">Nova Gorica merilno mesto </w:t>
      </w:r>
      <w:proofErr w:type="spellStart"/>
      <w:r>
        <w:t>Mrzlek</w:t>
      </w:r>
      <w:proofErr w:type="spellEnd"/>
      <w:r>
        <w:t xml:space="preserve"> (črpališče vodarne </w:t>
      </w:r>
      <w:proofErr w:type="spellStart"/>
      <w:r>
        <w:t>Mrzlek</w:t>
      </w:r>
      <w:proofErr w:type="spellEnd"/>
      <w:r>
        <w:t>). Merilna mesta na širšem območju so še štiri v okolici vasi Mren (Miren 0330, Miren 2, Miren 13A in Vrtina NG-Č) in vasi Orehovlje (Orehovlje).</w:t>
      </w:r>
    </w:p>
    <w:p w14:paraId="5E66F997" w14:textId="1C2C8DEC" w:rsidR="00C47DF2" w:rsidRPr="00FB70C6" w:rsidRDefault="005E7A42" w:rsidP="00C47DF2">
      <w:pPr>
        <w:rPr>
          <w:highlight w:val="yellow"/>
        </w:rPr>
      </w:pPr>
      <w:r>
        <w:t>Mestna o</w:t>
      </w:r>
      <w:r w:rsidR="00C47DF2" w:rsidRPr="00441993">
        <w:t xml:space="preserve">bčina </w:t>
      </w:r>
      <w:r w:rsidR="00C47DF2">
        <w:t>Nova Gorica</w:t>
      </w:r>
      <w:r w:rsidR="00C47DF2" w:rsidRPr="00441993">
        <w:t xml:space="preserve"> se nahaja znotraj vodnega telesa podzemne vode Obala in Kras z Brkini (</w:t>
      </w:r>
      <w:proofErr w:type="spellStart"/>
      <w:r w:rsidR="00C47DF2" w:rsidRPr="00441993">
        <w:t>VTPodV</w:t>
      </w:r>
      <w:proofErr w:type="spellEnd"/>
      <w:r w:rsidR="00C47DF2" w:rsidRPr="00441993">
        <w:t xml:space="preserve"> 5019). Analize kemijskega stanja se v zadnjih letih (2006 do 2019) izvajajo na treh državnih merilnih mestih: Rižana – izvir </w:t>
      </w:r>
      <w:proofErr w:type="spellStart"/>
      <w:r w:rsidR="00C47DF2" w:rsidRPr="00441993">
        <w:t>Zvroček</w:t>
      </w:r>
      <w:proofErr w:type="spellEnd"/>
      <w:r w:rsidR="00C47DF2" w:rsidRPr="00441993">
        <w:t xml:space="preserve">, Bistrica – Ilirska Bistrica in na Brestovici. V letih 2007 in 2008 je bila analiza izvedena tudi na merilnih mestih </w:t>
      </w:r>
      <w:proofErr w:type="spellStart"/>
      <w:r w:rsidR="00C47DF2" w:rsidRPr="00441993">
        <w:t>Korentan</w:t>
      </w:r>
      <w:proofErr w:type="spellEnd"/>
      <w:r w:rsidR="00C47DF2" w:rsidRPr="00441993">
        <w:t>, Antonov izvir – Mahniči in Droga. V obdobju od 2006 do 20</w:t>
      </w:r>
      <w:r w:rsidR="00C47DF2">
        <w:t>20</w:t>
      </w:r>
      <w:r w:rsidR="00C47DF2" w:rsidRPr="00441993">
        <w:t xml:space="preserve"> je bilo kemijsko stanje vodnega telesa podzemne vode Obala in Kras z Brkini dobro (ARSO, 2020b).</w:t>
      </w:r>
    </w:p>
    <w:p w14:paraId="2F81F5D7" w14:textId="77777777" w:rsidR="00C47DF2" w:rsidRPr="00FB70C6" w:rsidRDefault="00C47DF2" w:rsidP="00C47DF2">
      <w:pPr>
        <w:rPr>
          <w:highlight w:val="yellow"/>
        </w:rPr>
      </w:pPr>
    </w:p>
    <w:p w14:paraId="27C106BC" w14:textId="77777777" w:rsidR="00C47DF2" w:rsidRDefault="00C47DF2" w:rsidP="00C47DF2">
      <w:pPr>
        <w:pStyle w:val="Naslov4"/>
      </w:pPr>
      <w:bookmarkStart w:id="424" w:name="_Ref70489466"/>
      <w:r w:rsidRPr="00EE5D49">
        <w:t>Raba vode</w:t>
      </w:r>
      <w:bookmarkEnd w:id="424"/>
    </w:p>
    <w:p w14:paraId="332C14AB" w14:textId="77777777" w:rsidR="00C47DF2" w:rsidRDefault="00C47DF2" w:rsidP="00C47DF2">
      <w:pPr>
        <w:rPr>
          <w:lang w:eastAsia="sl-SI"/>
        </w:rPr>
      </w:pPr>
      <w:r>
        <w:t>Pri analizi rabe vode smo na širšem območju občine Nova Gorica upoštevali 173 vodni dovoljenj (</w:t>
      </w:r>
      <w:r w:rsidRPr="0017271F">
        <w:rPr>
          <w:lang w:eastAsia="sl-SI"/>
        </w:rPr>
        <w:t>DRSV, 2021</w:t>
      </w:r>
      <w:r>
        <w:rPr>
          <w:lang w:eastAsia="sl-SI"/>
        </w:rPr>
        <w:t>). Upoštevana so bila vodna dovoljenja, pri katerih je bil podatek o predvidenem odvzemu vode. Tako na primer podeljeni koncesiji za hidroelektrarno Solkan nista upoštevani v sami analizi, saj ni podatka o količinskem odvzemu vode. Voda se zajema iz 4 definiranih tipov vodnega vira: vodotoki in zadrževalniki za površinske vode in vodnjaki oziroma vrtine ter izviri za podzemne vode. Površinske vode skupno predstavljajo 68 %, podzemne pa 32 % upoštevanih vodnih dovoljenj.</w:t>
      </w:r>
    </w:p>
    <w:p w14:paraId="3D21AAB4" w14:textId="2E6FA84F" w:rsidR="00C47DF2" w:rsidRPr="00FB70C6" w:rsidRDefault="00C47DF2" w:rsidP="00C47DF2">
      <w:pPr>
        <w:rPr>
          <w:highlight w:val="yellow"/>
          <w:lang w:eastAsia="sl-SI"/>
        </w:rPr>
      </w:pPr>
      <w:r>
        <w:t>Številčno največ podeljenih je vodnih pravic za namakanje (62 %), nato za oskrbo s pitno vodo, ki jo izvaja gospodarska javna služba (21 %). Dovoljenja za male hidroelektrarne predstavljajo 5 % upoštevanih vodnih pravic, voda za druge namene 4 %, dovoljenja za lastno oskrbo s pitno vodo in pridobivanje toplote pa po 3 %. Nekaj vodnih dovoljenj je podeljenih še za vodo za vzrejo vodnih organizmov in tehnološke namene (</w:t>
      </w:r>
      <w:r>
        <w:fldChar w:fldCharType="begin"/>
      </w:r>
      <w:r>
        <w:instrText xml:space="preserve"> REF _Ref73430674 \h </w:instrText>
      </w:r>
      <w:r>
        <w:fldChar w:fldCharType="separate"/>
      </w:r>
      <w:r w:rsidR="004700D5">
        <w:t xml:space="preserve">Slika </w:t>
      </w:r>
      <w:r w:rsidR="004700D5">
        <w:rPr>
          <w:noProof/>
        </w:rPr>
        <w:t>6</w:t>
      </w:r>
      <w:r w:rsidR="004700D5">
        <w:t>.</w:t>
      </w:r>
      <w:r w:rsidR="004700D5">
        <w:rPr>
          <w:noProof/>
        </w:rPr>
        <w:t>38</w:t>
      </w:r>
      <w:r>
        <w:fldChar w:fldCharType="end"/>
      </w:r>
      <w:r>
        <w:t>).</w:t>
      </w:r>
    </w:p>
    <w:p w14:paraId="4F9E9946" w14:textId="77777777" w:rsidR="00C47DF2" w:rsidRDefault="00C47DF2" w:rsidP="00C47DF2">
      <w:pPr>
        <w:keepNext/>
        <w:jc w:val="center"/>
      </w:pPr>
      <w:r>
        <w:rPr>
          <w:noProof/>
          <w:lang w:eastAsia="sl-SI"/>
        </w:rPr>
        <w:drawing>
          <wp:inline distT="0" distB="0" distL="0" distR="0" wp14:anchorId="1A8DFBF7" wp14:editId="7F5DE18C">
            <wp:extent cx="5348886" cy="3620925"/>
            <wp:effectExtent l="0" t="0" r="444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bwMode="auto">
                    <a:xfrm>
                      <a:off x="0" y="0"/>
                      <a:ext cx="5348886" cy="3620925"/>
                    </a:xfrm>
                    <a:prstGeom prst="rect">
                      <a:avLst/>
                    </a:prstGeom>
                    <a:noFill/>
                  </pic:spPr>
                </pic:pic>
              </a:graphicData>
            </a:graphic>
          </wp:inline>
        </w:drawing>
      </w:r>
    </w:p>
    <w:p w14:paraId="126B0320" w14:textId="27198B23" w:rsidR="00C47DF2" w:rsidRPr="00FB70C6" w:rsidRDefault="00C47DF2" w:rsidP="00C47DF2">
      <w:pPr>
        <w:pStyle w:val="Napis"/>
        <w:rPr>
          <w:highlight w:val="yellow"/>
          <w:lang w:eastAsia="sl-SI"/>
        </w:rPr>
      </w:pPr>
      <w:bookmarkStart w:id="425" w:name="_Ref73430674"/>
      <w:bookmarkStart w:id="426" w:name="_Toc97026888"/>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37</w:t>
      </w:r>
      <w:r w:rsidR="008334B2">
        <w:fldChar w:fldCharType="end"/>
      </w:r>
      <w:bookmarkEnd w:id="425"/>
      <w:r w:rsidRPr="00BD1F9A">
        <w:t>: Tip vodnega vir - število podeljenih vodnih dovoljenj in koncesij glede na vse rabe vode</w:t>
      </w:r>
      <w:bookmarkEnd w:id="426"/>
    </w:p>
    <w:p w14:paraId="2E639D4C" w14:textId="77777777" w:rsidR="00C47DF2" w:rsidRPr="00FB70C6" w:rsidRDefault="00C47DF2" w:rsidP="00C47DF2">
      <w:pPr>
        <w:rPr>
          <w:highlight w:val="yellow"/>
          <w:lang w:eastAsia="sl-SI"/>
        </w:rPr>
      </w:pPr>
    </w:p>
    <w:p w14:paraId="3E9628B4" w14:textId="77777777" w:rsidR="00C47DF2" w:rsidRPr="00C950EB" w:rsidRDefault="00C47DF2" w:rsidP="00C47DF2">
      <w:pPr>
        <w:pStyle w:val="Naslov5"/>
      </w:pPr>
      <w:r w:rsidRPr="00C950EB">
        <w:t>Raba površinske vode</w:t>
      </w:r>
    </w:p>
    <w:p w14:paraId="21A44ECB" w14:textId="77777777" w:rsidR="00C47DF2" w:rsidRPr="00260C8B" w:rsidRDefault="00C47DF2" w:rsidP="00C47DF2">
      <w:pPr>
        <w:rPr>
          <w:lang w:eastAsia="sl-SI"/>
        </w:rPr>
      </w:pPr>
      <w:r w:rsidRPr="00260C8B">
        <w:rPr>
          <w:lang w:eastAsia="sl-SI"/>
        </w:rPr>
        <w:t xml:space="preserve">Rabo površinske vode smo razdelili glede na vodotoke in sicer na Vipava, Soča, zajetje </w:t>
      </w:r>
      <w:proofErr w:type="spellStart"/>
      <w:r w:rsidRPr="00260C8B">
        <w:rPr>
          <w:lang w:eastAsia="sl-SI"/>
        </w:rPr>
        <w:t>Vogršček</w:t>
      </w:r>
      <w:proofErr w:type="spellEnd"/>
      <w:r w:rsidRPr="00260C8B">
        <w:rPr>
          <w:lang w:eastAsia="sl-SI"/>
        </w:rPr>
        <w:t xml:space="preserve"> in ostali (manjši pritoki z malo rabe). Upoštevali smo le vodna dovoljenja in koncesije, ki so imeli podatke o odvzemu v l/s ali m</w:t>
      </w:r>
      <w:r w:rsidRPr="00260C8B">
        <w:rPr>
          <w:vertAlign w:val="superscript"/>
          <w:lang w:eastAsia="sl-SI"/>
        </w:rPr>
        <w:t>3</w:t>
      </w:r>
      <w:r w:rsidRPr="00260C8B">
        <w:rPr>
          <w:lang w:eastAsia="sl-SI"/>
        </w:rPr>
        <w:t>/s, saj nam ti omogočajo nadaljnjo analizo in primerjavo s pretoki rek.</w:t>
      </w:r>
    </w:p>
    <w:p w14:paraId="376F8D93" w14:textId="77777777" w:rsidR="00C47DF2" w:rsidRPr="00B7429F" w:rsidRDefault="00C47DF2" w:rsidP="00C47DF2">
      <w:r w:rsidRPr="00B7429F">
        <w:rPr>
          <w:lang w:eastAsia="sl-SI"/>
        </w:rPr>
        <w:lastRenderedPageBreak/>
        <w:t>Skupno smo v analizi upoštevali 119 vodnih pravic, 10 od tega je izpustov v vodotoke, 109 pa zajemov iz vodotokov ali zadrževalnikov. Količinsko največ vode se zajame za male hidroelektrarne (70</w:t>
      </w:r>
      <w:r w:rsidRPr="00B7429F">
        <w:t> %), vendar se vsa zajeta voda tudi izpusti nazaj v vodotoke. 27 % zajete vode se porabi za druge namene, pri čemer se enaka količina tudi izpusti nazaj v Sočo. Drugi največji porabnik je namakanje kmetijskih in drugih površin, ki predstavlja 4 % zajete vode in je nič ne izpušča nazaj v vodotoke. Za namakanje se porabi 2,7 % zajete vode, za tehnološke namene pa manj kot 1 %.</w:t>
      </w:r>
    </w:p>
    <w:p w14:paraId="4D971359" w14:textId="62CE9715" w:rsidR="00C47DF2" w:rsidRPr="00B7429F" w:rsidRDefault="00C47DF2" w:rsidP="00C47DF2">
      <w:r w:rsidRPr="00B7429F">
        <w:fldChar w:fldCharType="begin"/>
      </w:r>
      <w:r w:rsidRPr="00B7429F">
        <w:instrText xml:space="preserve"> REF _Ref71034287 \h </w:instrText>
      </w:r>
      <w:r>
        <w:instrText xml:space="preserve"> \* MERGEFORMAT </w:instrText>
      </w:r>
      <w:r w:rsidRPr="00B7429F">
        <w:fldChar w:fldCharType="separate"/>
      </w:r>
      <w:r w:rsidR="004700D5">
        <w:t xml:space="preserve">Slika </w:t>
      </w:r>
      <w:r w:rsidR="004700D5">
        <w:rPr>
          <w:noProof/>
        </w:rPr>
        <w:t>6.39</w:t>
      </w:r>
      <w:r w:rsidRPr="00B7429F">
        <w:fldChar w:fldCharType="end"/>
      </w:r>
      <w:r w:rsidRPr="00B7429F">
        <w:t xml:space="preserve"> prikazuje shematični prikaz odvzema in izpusta vode glede na vodotok in namen rabe vode</w:t>
      </w:r>
      <w:r>
        <w:t xml:space="preserve"> ter število vodnih dovoljenj za posamezno rabo (bele številke)</w:t>
      </w:r>
      <w:r w:rsidRPr="00B7429F">
        <w:t xml:space="preserve">. Območja vodotokov so razdeljena na območje Vipave med hidrološko postajo Dolenje in Zalošče, Vipava med hidrološko postajo Zalošče in Miren I, zajetje </w:t>
      </w:r>
      <w:proofErr w:type="spellStart"/>
      <w:r w:rsidRPr="00B7429F">
        <w:t>Vogršček</w:t>
      </w:r>
      <w:proofErr w:type="spellEnd"/>
      <w:r w:rsidRPr="00B7429F">
        <w:t>, Soča in ostali manjši vodotoki (</w:t>
      </w:r>
      <w:r w:rsidRPr="00B7429F">
        <w:fldChar w:fldCharType="begin"/>
      </w:r>
      <w:r w:rsidRPr="00B7429F">
        <w:instrText xml:space="preserve"> REF _Ref71098975 \h </w:instrText>
      </w:r>
      <w:r>
        <w:instrText xml:space="preserve"> \* MERGEFORMAT </w:instrText>
      </w:r>
      <w:r w:rsidRPr="00B7429F">
        <w:fldChar w:fldCharType="separate"/>
      </w:r>
      <w:r w:rsidR="004700D5">
        <w:t xml:space="preserve">Slika </w:t>
      </w:r>
      <w:r w:rsidR="004700D5">
        <w:rPr>
          <w:noProof/>
        </w:rPr>
        <w:t>6.40</w:t>
      </w:r>
      <w:r w:rsidRPr="00B7429F">
        <w:fldChar w:fldCharType="end"/>
      </w:r>
      <w:r w:rsidRPr="00B7429F">
        <w:t xml:space="preserve">). </w:t>
      </w:r>
      <w:r w:rsidRPr="00B7429F">
        <w:fldChar w:fldCharType="begin"/>
      </w:r>
      <w:r w:rsidRPr="00B7429F">
        <w:instrText xml:space="preserve"> REF _Ref71098975 \h </w:instrText>
      </w:r>
      <w:r>
        <w:instrText xml:space="preserve"> \* MERGEFORMAT </w:instrText>
      </w:r>
      <w:r w:rsidRPr="00B7429F">
        <w:fldChar w:fldCharType="separate"/>
      </w:r>
      <w:r w:rsidR="004700D5">
        <w:t xml:space="preserve">Slika </w:t>
      </w:r>
      <w:r w:rsidR="004700D5">
        <w:rPr>
          <w:noProof/>
        </w:rPr>
        <w:t>6.40</w:t>
      </w:r>
      <w:r w:rsidRPr="00B7429F">
        <w:fldChar w:fldCharType="end"/>
      </w:r>
      <w:r w:rsidRPr="00B7429F">
        <w:t xml:space="preserve"> prikazuje tudi lokacije odvzemov in vrsto rabe in hidrološka merilna mesta.</w:t>
      </w:r>
    </w:p>
    <w:p w14:paraId="37CE1A18" w14:textId="77777777" w:rsidR="00C47DF2" w:rsidRDefault="00C47DF2" w:rsidP="00C47DF2">
      <w:pPr>
        <w:keepNext/>
        <w:jc w:val="center"/>
      </w:pPr>
      <w:r>
        <w:rPr>
          <w:noProof/>
          <w:lang w:eastAsia="sl-SI"/>
        </w:rPr>
        <w:drawing>
          <wp:inline distT="0" distB="0" distL="0" distR="0" wp14:anchorId="4F36C3FE" wp14:editId="4FA2A541">
            <wp:extent cx="5806913" cy="3219432"/>
            <wp:effectExtent l="0" t="0" r="3810" b="635"/>
            <wp:docPr id="593441292" name="Picture 59344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0" y="0"/>
                      <a:ext cx="5806913" cy="3219432"/>
                    </a:xfrm>
                    <a:prstGeom prst="rect">
                      <a:avLst/>
                    </a:prstGeom>
                    <a:noFill/>
                    <a:ln>
                      <a:noFill/>
                    </a:ln>
                    <a:extLst>
                      <a:ext uri="{53640926-AAD7-44D8-BBD7-CCE9431645EC}">
                        <a14:shadowObscured xmlns:a14="http://schemas.microsoft.com/office/drawing/2010/main"/>
                      </a:ext>
                    </a:extLst>
                  </pic:spPr>
                </pic:pic>
              </a:graphicData>
            </a:graphic>
          </wp:inline>
        </w:drawing>
      </w:r>
    </w:p>
    <w:p w14:paraId="78CBDF9C" w14:textId="73758534" w:rsidR="00C47DF2" w:rsidRPr="00CC5212" w:rsidRDefault="00C47DF2" w:rsidP="00C47DF2">
      <w:pPr>
        <w:pStyle w:val="Napis"/>
        <w:rPr>
          <w:rFonts w:ascii="Trebuchet MS" w:hAnsi="Trebuchet MS"/>
          <w:noProof/>
        </w:rPr>
      </w:pPr>
      <w:bookmarkStart w:id="427" w:name="_Ref71034287"/>
      <w:bookmarkStart w:id="428" w:name="_Toc97026889"/>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38</w:t>
      </w:r>
      <w:r w:rsidR="008334B2">
        <w:fldChar w:fldCharType="end"/>
      </w:r>
      <w:bookmarkEnd w:id="427"/>
      <w:r>
        <w:t xml:space="preserve">: Shematični prikaz rabe površinske vode po vodotokih (Vipava med hidrološko postajo Dolenje in Zalošče, Vipava med hidrološko postajo Zalošče in Miren I, zajetje </w:t>
      </w:r>
      <w:proofErr w:type="spellStart"/>
      <w:r>
        <w:t>Vogršček</w:t>
      </w:r>
      <w:proofErr w:type="spellEnd"/>
      <w:r>
        <w:t>, Soča in ostali manjši vodotoki) in število vodnih dovoljenj za posamezno rabo (bele številke).</w:t>
      </w:r>
      <w:bookmarkEnd w:id="428"/>
    </w:p>
    <w:p w14:paraId="404E5C28" w14:textId="77777777" w:rsidR="00C47DF2" w:rsidRDefault="00C47DF2" w:rsidP="00C47DF2">
      <w:pPr>
        <w:keepNext/>
        <w:jc w:val="center"/>
      </w:pPr>
      <w:r>
        <w:rPr>
          <w:noProof/>
          <w:lang w:eastAsia="sl-SI"/>
        </w:rPr>
        <w:lastRenderedPageBreak/>
        <w:drawing>
          <wp:inline distT="0" distB="0" distL="0" distR="0" wp14:anchorId="29AC76EA" wp14:editId="2DAA8FF2">
            <wp:extent cx="4200525" cy="5939453"/>
            <wp:effectExtent l="0" t="0" r="0" b="4445"/>
            <wp:docPr id="593441293" name="Picture 59344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bwMode="auto">
                    <a:xfrm>
                      <a:off x="0" y="0"/>
                      <a:ext cx="4205509" cy="5946500"/>
                    </a:xfrm>
                    <a:prstGeom prst="rect">
                      <a:avLst/>
                    </a:prstGeom>
                    <a:noFill/>
                  </pic:spPr>
                </pic:pic>
              </a:graphicData>
            </a:graphic>
          </wp:inline>
        </w:drawing>
      </w:r>
    </w:p>
    <w:p w14:paraId="1932475F" w14:textId="01C0F63E" w:rsidR="00C47DF2" w:rsidRPr="00F942CA" w:rsidRDefault="00C47DF2" w:rsidP="00C47DF2">
      <w:pPr>
        <w:pStyle w:val="Napis"/>
        <w:rPr>
          <w:rFonts w:ascii="Trebuchet MS" w:hAnsi="Trebuchet MS"/>
          <w:noProof/>
        </w:rPr>
      </w:pPr>
      <w:bookmarkStart w:id="429" w:name="_Ref71098975"/>
      <w:bookmarkStart w:id="430" w:name="_Toc97026890"/>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39</w:t>
      </w:r>
      <w:r w:rsidR="008334B2">
        <w:fldChar w:fldCharType="end"/>
      </w:r>
      <w:bookmarkEnd w:id="429"/>
      <w:r>
        <w:t>: Lokacijski prikaz hidroloških merilnih mest</w:t>
      </w:r>
      <w:r>
        <w:rPr>
          <w:noProof/>
        </w:rPr>
        <w:t xml:space="preserve"> in rab površinske vode po vrsti rabe ter območji uporabljenh v analizi.</w:t>
      </w:r>
      <w:bookmarkEnd w:id="430"/>
    </w:p>
    <w:p w14:paraId="38E8BD03" w14:textId="77777777" w:rsidR="00C47DF2" w:rsidRPr="00C950EB" w:rsidRDefault="00C47DF2" w:rsidP="00C47DF2">
      <w:pPr>
        <w:pStyle w:val="Naslov5"/>
      </w:pPr>
      <w:r w:rsidRPr="00C950EB">
        <w:t>Raba podzemne vode</w:t>
      </w:r>
    </w:p>
    <w:p w14:paraId="53A7EA17" w14:textId="77777777" w:rsidR="00C47DF2" w:rsidRPr="00180981" w:rsidRDefault="00C47DF2" w:rsidP="00C47DF2">
      <w:pPr>
        <w:rPr>
          <w:lang w:eastAsia="sl-SI"/>
        </w:rPr>
      </w:pPr>
      <w:r w:rsidRPr="00180981">
        <w:rPr>
          <w:lang w:eastAsia="sl-SI"/>
        </w:rPr>
        <w:t>V analizi je bilo upoštevanih 54 vodnih dovoljenj, ki vključujejo tudi zajetja, ki jih uporablja gospodarska javna služba za oskrbo s pitno vodo. Upoštevana so dovoljenja, pri katerih smo razpolagali s podatki o predvidenem ali dejanskem letnem odvzemu podzemne vode. Dve vodni dovoljenji sta podeljeni za zajem in izpust vode za pridobivanje toplote in nista bilo upoštevani v količinski analizi rabe podzemne vode. Tretjina dovoljenj zajema vodo iz vrtin ali vodnjakov, ostalo gre za zajeme na izvirih. Skupni letni odvzem znaša dobrih 7,5 milijonov m</w:t>
      </w:r>
      <w:r w:rsidRPr="00180981">
        <w:rPr>
          <w:vertAlign w:val="superscript"/>
          <w:lang w:eastAsia="sl-SI"/>
        </w:rPr>
        <w:t>3</w:t>
      </w:r>
      <w:r w:rsidRPr="00180981">
        <w:rPr>
          <w:lang w:eastAsia="sl-SI"/>
        </w:rPr>
        <w:t>. Večina vode se porabi za oskrbo s pitno vodo, 0,06 % pa za namakanje in druge namene.</w:t>
      </w:r>
    </w:p>
    <w:p w14:paraId="6BCC5190" w14:textId="233B8F52" w:rsidR="00C47DF2" w:rsidRPr="001009B1" w:rsidRDefault="00C47DF2" w:rsidP="00C47DF2">
      <w:pPr>
        <w:rPr>
          <w:lang w:eastAsia="sl-SI"/>
        </w:rPr>
      </w:pPr>
      <w:r w:rsidRPr="001009B1">
        <w:rPr>
          <w:lang w:eastAsia="sl-SI"/>
        </w:rPr>
        <w:lastRenderedPageBreak/>
        <w:fldChar w:fldCharType="begin"/>
      </w:r>
      <w:r w:rsidRPr="001009B1">
        <w:rPr>
          <w:lang w:eastAsia="sl-SI"/>
        </w:rPr>
        <w:instrText xml:space="preserve"> REF _Ref73355167 \h </w:instrText>
      </w:r>
      <w:r>
        <w:rPr>
          <w:lang w:eastAsia="sl-SI"/>
        </w:rPr>
        <w:instrText xml:space="preserve"> \* MERGEFORMAT </w:instrText>
      </w:r>
      <w:r w:rsidRPr="001009B1">
        <w:rPr>
          <w:lang w:eastAsia="sl-SI"/>
        </w:rPr>
      </w:r>
      <w:r w:rsidRPr="001009B1">
        <w:rPr>
          <w:lang w:eastAsia="sl-SI"/>
        </w:rPr>
        <w:fldChar w:fldCharType="separate"/>
      </w:r>
      <w:r w:rsidR="004700D5">
        <w:t xml:space="preserve">Slika </w:t>
      </w:r>
      <w:r w:rsidR="004700D5">
        <w:rPr>
          <w:noProof/>
        </w:rPr>
        <w:t>6.41</w:t>
      </w:r>
      <w:r w:rsidRPr="001009B1">
        <w:rPr>
          <w:lang w:eastAsia="sl-SI"/>
        </w:rPr>
        <w:fldChar w:fldCharType="end"/>
      </w:r>
      <w:r w:rsidRPr="001009B1">
        <w:rPr>
          <w:lang w:eastAsia="sl-SI"/>
        </w:rPr>
        <w:t xml:space="preserve"> prikazuje prostorsko porazdelitev vodnih dovoljenj uporabljenih v analizi in vodna zaledja, ki so bila izdelana na podlagi geološke, hidrogeološke in topografske karte za potrebe izračuna vodnega stresa podzemne vode (poglavje</w:t>
      </w:r>
      <w:r>
        <w:rPr>
          <w:lang w:eastAsia="sl-SI"/>
        </w:rPr>
        <w:t xml:space="preserve"> </w:t>
      </w:r>
      <w:r>
        <w:rPr>
          <w:lang w:eastAsia="sl-SI"/>
        </w:rPr>
        <w:fldChar w:fldCharType="begin"/>
      </w:r>
      <w:r>
        <w:rPr>
          <w:lang w:eastAsia="sl-SI"/>
        </w:rPr>
        <w:instrText xml:space="preserve"> REF _Ref73364471 \r \h </w:instrText>
      </w:r>
      <w:r>
        <w:rPr>
          <w:lang w:eastAsia="sl-SI"/>
        </w:rPr>
      </w:r>
      <w:r>
        <w:rPr>
          <w:lang w:eastAsia="sl-SI"/>
        </w:rPr>
        <w:fldChar w:fldCharType="separate"/>
      </w:r>
      <w:r w:rsidR="004700D5">
        <w:rPr>
          <w:lang w:eastAsia="sl-SI"/>
        </w:rPr>
        <w:t>6.5.3.2</w:t>
      </w:r>
      <w:r>
        <w:rPr>
          <w:lang w:eastAsia="sl-SI"/>
        </w:rPr>
        <w:fldChar w:fldCharType="end"/>
      </w:r>
      <w:r w:rsidRPr="001009B1">
        <w:rPr>
          <w:lang w:eastAsia="sl-SI"/>
        </w:rPr>
        <w:t>).</w:t>
      </w:r>
    </w:p>
    <w:p w14:paraId="18620005" w14:textId="24A62CD2" w:rsidR="00C47DF2" w:rsidRPr="001009B1" w:rsidRDefault="00C47DF2" w:rsidP="00C47DF2">
      <w:pPr>
        <w:rPr>
          <w:lang w:eastAsia="sl-SI"/>
        </w:rPr>
      </w:pPr>
      <w:r w:rsidRPr="001009B1">
        <w:rPr>
          <w:lang w:eastAsia="sl-SI"/>
        </w:rPr>
        <w:fldChar w:fldCharType="begin"/>
      </w:r>
      <w:r w:rsidRPr="001009B1">
        <w:rPr>
          <w:lang w:eastAsia="sl-SI"/>
        </w:rPr>
        <w:instrText xml:space="preserve"> REF _Ref50059320 \h  \* MERGEFORMAT </w:instrText>
      </w:r>
      <w:r w:rsidRPr="001009B1">
        <w:rPr>
          <w:lang w:eastAsia="sl-SI"/>
        </w:rPr>
      </w:r>
      <w:r w:rsidRPr="001009B1">
        <w:rPr>
          <w:lang w:eastAsia="sl-SI"/>
        </w:rPr>
        <w:fldChar w:fldCharType="separate"/>
      </w:r>
      <w:r w:rsidR="004700D5" w:rsidRPr="001009B1">
        <w:t xml:space="preserve">Preglednica </w:t>
      </w:r>
      <w:r w:rsidR="004700D5">
        <w:rPr>
          <w:noProof/>
        </w:rPr>
        <w:t>6.37</w:t>
      </w:r>
      <w:r w:rsidRPr="001009B1">
        <w:rPr>
          <w:lang w:eastAsia="sl-SI"/>
        </w:rPr>
        <w:fldChar w:fldCharType="end"/>
      </w:r>
      <w:r w:rsidRPr="001009B1">
        <w:rPr>
          <w:lang w:eastAsia="sl-SI"/>
        </w:rPr>
        <w:t xml:space="preserve"> prikazuje skupni seštevek predvidene rabe podzemne vode po vodnih dovoljenjih po zaledjih.</w:t>
      </w:r>
    </w:p>
    <w:p w14:paraId="02A7794A" w14:textId="604DC73D" w:rsidR="00C47DF2" w:rsidRPr="001009B1" w:rsidRDefault="00C47DF2" w:rsidP="00C47DF2">
      <w:pPr>
        <w:pStyle w:val="Napis"/>
        <w:keepNext/>
      </w:pPr>
      <w:bookmarkStart w:id="431" w:name="_Ref50059320"/>
      <w:bookmarkStart w:id="432" w:name="_Toc97026990"/>
      <w:r w:rsidRPr="001009B1">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37</w:t>
      </w:r>
      <w:r w:rsidR="00976D80">
        <w:fldChar w:fldCharType="end"/>
      </w:r>
      <w:bookmarkEnd w:id="431"/>
      <w:r w:rsidRPr="001009B1">
        <w:t>: Skupni seštevek predvidenih odvzemov podzemne vode na sezono po zaledjih.</w:t>
      </w:r>
      <w:bookmarkEnd w:id="432"/>
    </w:p>
    <w:tbl>
      <w:tblPr>
        <w:tblStyle w:val="Tabelamrea"/>
        <w:tblW w:w="0" w:type="auto"/>
        <w:tblLook w:val="04A0" w:firstRow="1" w:lastRow="0" w:firstColumn="1" w:lastColumn="0" w:noHBand="0" w:noVBand="1"/>
      </w:tblPr>
      <w:tblGrid>
        <w:gridCol w:w="1413"/>
        <w:gridCol w:w="2835"/>
        <w:gridCol w:w="2835"/>
      </w:tblGrid>
      <w:tr w:rsidR="00C47DF2" w:rsidRPr="005B3794" w14:paraId="570261D2" w14:textId="77777777" w:rsidTr="00FF0031">
        <w:tc>
          <w:tcPr>
            <w:tcW w:w="1413" w:type="dxa"/>
          </w:tcPr>
          <w:p w14:paraId="6DE4CB92" w14:textId="77777777" w:rsidR="00C47DF2" w:rsidRPr="005B3794" w:rsidRDefault="00C47DF2" w:rsidP="00FF0031">
            <w:pPr>
              <w:rPr>
                <w:b/>
                <w:bCs/>
                <w:lang w:eastAsia="sl-SI"/>
              </w:rPr>
            </w:pPr>
            <w:r w:rsidRPr="005B3794">
              <w:rPr>
                <w:b/>
                <w:bCs/>
              </w:rPr>
              <w:t>Zaledje</w:t>
            </w:r>
          </w:p>
        </w:tc>
        <w:tc>
          <w:tcPr>
            <w:tcW w:w="2835" w:type="dxa"/>
          </w:tcPr>
          <w:p w14:paraId="7D628903" w14:textId="77777777" w:rsidR="00C47DF2" w:rsidRPr="005B3794" w:rsidRDefault="00C47DF2" w:rsidP="00FF0031">
            <w:pPr>
              <w:rPr>
                <w:b/>
                <w:bCs/>
                <w:lang w:eastAsia="sl-SI"/>
              </w:rPr>
            </w:pPr>
            <w:r w:rsidRPr="005B3794">
              <w:rPr>
                <w:b/>
                <w:bCs/>
                <w:lang w:eastAsia="sl-SI"/>
              </w:rPr>
              <w:t>Raba podzemne vode [m</w:t>
            </w:r>
            <w:r w:rsidRPr="005B3794">
              <w:rPr>
                <w:b/>
                <w:bCs/>
                <w:vertAlign w:val="superscript"/>
                <w:lang w:eastAsia="sl-SI"/>
              </w:rPr>
              <w:t>3</w:t>
            </w:r>
            <w:r w:rsidRPr="005B3794">
              <w:rPr>
                <w:b/>
                <w:bCs/>
                <w:lang w:eastAsia="sl-SI"/>
              </w:rPr>
              <w:t>/zima]</w:t>
            </w:r>
          </w:p>
        </w:tc>
        <w:tc>
          <w:tcPr>
            <w:tcW w:w="2835" w:type="dxa"/>
          </w:tcPr>
          <w:p w14:paraId="482F3B4A" w14:textId="77777777" w:rsidR="00C47DF2" w:rsidRPr="005B3794" w:rsidRDefault="00C47DF2" w:rsidP="00FF0031">
            <w:pPr>
              <w:rPr>
                <w:b/>
                <w:bCs/>
                <w:lang w:eastAsia="sl-SI"/>
              </w:rPr>
            </w:pPr>
            <w:r w:rsidRPr="005B3794">
              <w:rPr>
                <w:b/>
                <w:bCs/>
                <w:lang w:eastAsia="sl-SI"/>
              </w:rPr>
              <w:t>Raba podzemne vode [m</w:t>
            </w:r>
            <w:r w:rsidRPr="005B3794">
              <w:rPr>
                <w:b/>
                <w:bCs/>
                <w:vertAlign w:val="superscript"/>
                <w:lang w:eastAsia="sl-SI"/>
              </w:rPr>
              <w:t>3</w:t>
            </w:r>
            <w:r w:rsidRPr="005B3794">
              <w:rPr>
                <w:b/>
                <w:bCs/>
                <w:lang w:eastAsia="sl-SI"/>
              </w:rPr>
              <w:t>/zima]</w:t>
            </w:r>
          </w:p>
        </w:tc>
      </w:tr>
      <w:tr w:rsidR="00C47DF2" w:rsidRPr="005B3794" w14:paraId="02FF7212" w14:textId="77777777" w:rsidTr="00FF0031">
        <w:tc>
          <w:tcPr>
            <w:tcW w:w="1413" w:type="dxa"/>
          </w:tcPr>
          <w:p w14:paraId="116F8A43" w14:textId="77777777" w:rsidR="00C47DF2" w:rsidRPr="005B3794" w:rsidRDefault="00C47DF2" w:rsidP="00FF0031">
            <w:pPr>
              <w:jc w:val="center"/>
              <w:rPr>
                <w:lang w:eastAsia="sl-SI"/>
              </w:rPr>
            </w:pPr>
            <w:r w:rsidRPr="005B3794">
              <w:t>0</w:t>
            </w:r>
          </w:p>
        </w:tc>
        <w:tc>
          <w:tcPr>
            <w:tcW w:w="2835" w:type="dxa"/>
            <w:vAlign w:val="bottom"/>
          </w:tcPr>
          <w:p w14:paraId="7F17DF10" w14:textId="77777777" w:rsidR="00C47DF2" w:rsidRPr="005B3794" w:rsidRDefault="00C47DF2" w:rsidP="00FF0031">
            <w:pPr>
              <w:jc w:val="right"/>
              <w:rPr>
                <w:lang w:eastAsia="sl-SI"/>
              </w:rPr>
            </w:pPr>
            <w:r w:rsidRPr="005B3794">
              <w:rPr>
                <w:rFonts w:ascii="Calibri" w:hAnsi="Calibri" w:cs="Calibri"/>
                <w:color w:val="000000"/>
              </w:rPr>
              <w:t>3 447 807</w:t>
            </w:r>
          </w:p>
        </w:tc>
        <w:tc>
          <w:tcPr>
            <w:tcW w:w="2835" w:type="dxa"/>
            <w:vAlign w:val="bottom"/>
          </w:tcPr>
          <w:p w14:paraId="51D567E4" w14:textId="77777777" w:rsidR="00C47DF2" w:rsidRPr="005B3794" w:rsidRDefault="00C47DF2" w:rsidP="00FF0031">
            <w:pPr>
              <w:jc w:val="right"/>
            </w:pPr>
            <w:r w:rsidRPr="005B3794">
              <w:rPr>
                <w:rFonts w:ascii="Calibri" w:hAnsi="Calibri" w:cs="Calibri"/>
                <w:color w:val="000000"/>
              </w:rPr>
              <w:t>3 692 910</w:t>
            </w:r>
          </w:p>
        </w:tc>
      </w:tr>
      <w:tr w:rsidR="00C47DF2" w:rsidRPr="005B3794" w14:paraId="0339AA6A" w14:textId="77777777" w:rsidTr="00FF0031">
        <w:tc>
          <w:tcPr>
            <w:tcW w:w="1413" w:type="dxa"/>
          </w:tcPr>
          <w:p w14:paraId="1CC7C0A8" w14:textId="77777777" w:rsidR="00C47DF2" w:rsidRPr="005B3794" w:rsidRDefault="00C47DF2" w:rsidP="00FF0031">
            <w:pPr>
              <w:jc w:val="center"/>
              <w:rPr>
                <w:lang w:eastAsia="sl-SI"/>
              </w:rPr>
            </w:pPr>
            <w:r w:rsidRPr="005B3794">
              <w:t>1</w:t>
            </w:r>
          </w:p>
        </w:tc>
        <w:tc>
          <w:tcPr>
            <w:tcW w:w="2835" w:type="dxa"/>
            <w:vAlign w:val="bottom"/>
          </w:tcPr>
          <w:p w14:paraId="3636B5A4" w14:textId="77777777" w:rsidR="00C47DF2" w:rsidRPr="005B3794" w:rsidRDefault="00C47DF2" w:rsidP="00FF0031">
            <w:pPr>
              <w:jc w:val="right"/>
              <w:rPr>
                <w:lang w:eastAsia="sl-SI"/>
              </w:rPr>
            </w:pPr>
            <w:r w:rsidRPr="005B3794">
              <w:rPr>
                <w:rFonts w:ascii="Calibri" w:hAnsi="Calibri" w:cs="Calibri"/>
                <w:color w:val="000000"/>
              </w:rPr>
              <w:t>18 392</w:t>
            </w:r>
          </w:p>
        </w:tc>
        <w:tc>
          <w:tcPr>
            <w:tcW w:w="2835" w:type="dxa"/>
            <w:vAlign w:val="bottom"/>
          </w:tcPr>
          <w:p w14:paraId="6BE31F6E" w14:textId="77777777" w:rsidR="00C47DF2" w:rsidRPr="005B3794" w:rsidRDefault="00C47DF2" w:rsidP="00FF0031">
            <w:pPr>
              <w:jc w:val="right"/>
            </w:pPr>
            <w:r w:rsidRPr="005B3794">
              <w:rPr>
                <w:rFonts w:ascii="Calibri" w:hAnsi="Calibri" w:cs="Calibri"/>
                <w:color w:val="000000"/>
              </w:rPr>
              <w:t>18 392</w:t>
            </w:r>
          </w:p>
        </w:tc>
      </w:tr>
      <w:tr w:rsidR="00C47DF2" w:rsidRPr="005B3794" w14:paraId="46A5557A" w14:textId="77777777" w:rsidTr="00FF0031">
        <w:tc>
          <w:tcPr>
            <w:tcW w:w="1413" w:type="dxa"/>
          </w:tcPr>
          <w:p w14:paraId="564B43E7" w14:textId="77777777" w:rsidR="00C47DF2" w:rsidRPr="005B3794" w:rsidRDefault="00C47DF2" w:rsidP="00FF0031">
            <w:pPr>
              <w:jc w:val="center"/>
              <w:rPr>
                <w:lang w:eastAsia="sl-SI"/>
              </w:rPr>
            </w:pPr>
            <w:r w:rsidRPr="005B3794">
              <w:t>2</w:t>
            </w:r>
          </w:p>
        </w:tc>
        <w:tc>
          <w:tcPr>
            <w:tcW w:w="2835" w:type="dxa"/>
            <w:vAlign w:val="bottom"/>
          </w:tcPr>
          <w:p w14:paraId="2078D2E2" w14:textId="77777777" w:rsidR="00C47DF2" w:rsidRPr="005B3794" w:rsidRDefault="00C47DF2" w:rsidP="00FF0031">
            <w:pPr>
              <w:jc w:val="right"/>
              <w:rPr>
                <w:lang w:eastAsia="sl-SI"/>
              </w:rPr>
            </w:pPr>
            <w:r w:rsidRPr="005B3794">
              <w:rPr>
                <w:rFonts w:ascii="Calibri" w:hAnsi="Calibri" w:cs="Calibri"/>
                <w:color w:val="000000"/>
              </w:rPr>
              <w:t>59 637</w:t>
            </w:r>
          </w:p>
        </w:tc>
        <w:tc>
          <w:tcPr>
            <w:tcW w:w="2835" w:type="dxa"/>
            <w:vAlign w:val="bottom"/>
          </w:tcPr>
          <w:p w14:paraId="563EEA0A" w14:textId="77777777" w:rsidR="00C47DF2" w:rsidRPr="005B3794" w:rsidRDefault="00C47DF2" w:rsidP="00FF0031">
            <w:pPr>
              <w:jc w:val="right"/>
            </w:pPr>
            <w:r w:rsidRPr="005B3794">
              <w:rPr>
                <w:rFonts w:ascii="Calibri" w:hAnsi="Calibri" w:cs="Calibri"/>
                <w:color w:val="000000"/>
              </w:rPr>
              <w:t>59 637</w:t>
            </w:r>
          </w:p>
        </w:tc>
      </w:tr>
      <w:tr w:rsidR="00C47DF2" w:rsidRPr="00FB70C6" w14:paraId="467E5DF7" w14:textId="77777777" w:rsidTr="00FF0031">
        <w:tc>
          <w:tcPr>
            <w:tcW w:w="1413" w:type="dxa"/>
          </w:tcPr>
          <w:p w14:paraId="4FCD0CF9" w14:textId="77777777" w:rsidR="00C47DF2" w:rsidRPr="005B3794" w:rsidRDefault="00C47DF2" w:rsidP="00FF0031">
            <w:pPr>
              <w:jc w:val="center"/>
              <w:rPr>
                <w:lang w:eastAsia="sl-SI"/>
              </w:rPr>
            </w:pPr>
            <w:r w:rsidRPr="005B3794">
              <w:t>3</w:t>
            </w:r>
          </w:p>
        </w:tc>
        <w:tc>
          <w:tcPr>
            <w:tcW w:w="2835" w:type="dxa"/>
            <w:vAlign w:val="bottom"/>
          </w:tcPr>
          <w:p w14:paraId="08779CA1" w14:textId="77777777" w:rsidR="00C47DF2" w:rsidRPr="005B3794" w:rsidRDefault="00C47DF2" w:rsidP="00FF0031">
            <w:pPr>
              <w:jc w:val="right"/>
              <w:rPr>
                <w:lang w:eastAsia="sl-SI"/>
              </w:rPr>
            </w:pPr>
            <w:r w:rsidRPr="005B3794">
              <w:rPr>
                <w:rFonts w:ascii="Calibri" w:hAnsi="Calibri" w:cs="Calibri"/>
                <w:color w:val="000000"/>
              </w:rPr>
              <w:t>23 799</w:t>
            </w:r>
          </w:p>
        </w:tc>
        <w:tc>
          <w:tcPr>
            <w:tcW w:w="2835" w:type="dxa"/>
            <w:vAlign w:val="bottom"/>
          </w:tcPr>
          <w:p w14:paraId="6FC07CBD" w14:textId="77777777" w:rsidR="00C47DF2" w:rsidRPr="005B3794" w:rsidRDefault="00C47DF2" w:rsidP="00FF0031">
            <w:pPr>
              <w:jc w:val="right"/>
            </w:pPr>
            <w:r w:rsidRPr="005B3794">
              <w:rPr>
                <w:rFonts w:ascii="Calibri" w:hAnsi="Calibri" w:cs="Calibri"/>
                <w:color w:val="000000"/>
              </w:rPr>
              <w:t>23 799</w:t>
            </w:r>
          </w:p>
        </w:tc>
      </w:tr>
    </w:tbl>
    <w:p w14:paraId="78E79795" w14:textId="77777777" w:rsidR="00C47DF2" w:rsidRDefault="00C47DF2" w:rsidP="00C47DF2">
      <w:pPr>
        <w:rPr>
          <w:noProof/>
          <w:lang w:eastAsia="sl-SI"/>
        </w:rPr>
      </w:pPr>
    </w:p>
    <w:p w14:paraId="67AF1A93" w14:textId="77777777" w:rsidR="00C47DF2" w:rsidRDefault="00C47DF2" w:rsidP="00C47DF2">
      <w:pPr>
        <w:keepNext/>
      </w:pPr>
      <w:r>
        <w:rPr>
          <w:noProof/>
          <w:lang w:eastAsia="sl-SI"/>
        </w:rPr>
        <w:drawing>
          <wp:inline distT="0" distB="0" distL="0" distR="0" wp14:anchorId="2AB339B8" wp14:editId="03610EE2">
            <wp:extent cx="5293894" cy="433285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5309386" cy="4345529"/>
                    </a:xfrm>
                    <a:prstGeom prst="rect">
                      <a:avLst/>
                    </a:prstGeom>
                    <a:noFill/>
                  </pic:spPr>
                </pic:pic>
              </a:graphicData>
            </a:graphic>
          </wp:inline>
        </w:drawing>
      </w:r>
    </w:p>
    <w:p w14:paraId="439B6586" w14:textId="74689EEB" w:rsidR="00C47DF2" w:rsidRPr="00FB70C6" w:rsidRDefault="00C47DF2" w:rsidP="00C47DF2">
      <w:pPr>
        <w:pStyle w:val="Napis"/>
        <w:rPr>
          <w:highlight w:val="yellow"/>
          <w:lang w:eastAsia="sl-SI"/>
        </w:rPr>
      </w:pPr>
      <w:bookmarkStart w:id="433" w:name="_Ref73355167"/>
      <w:bookmarkStart w:id="434" w:name="_Toc97026891"/>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40</w:t>
      </w:r>
      <w:r w:rsidR="008334B2">
        <w:fldChar w:fldCharType="end"/>
      </w:r>
      <w:bookmarkEnd w:id="433"/>
      <w:r>
        <w:t>:</w:t>
      </w:r>
      <w:r w:rsidRPr="002A7286">
        <w:t xml:space="preserve"> Vrsta rabe podzemne vode in predvidene </w:t>
      </w:r>
      <w:r>
        <w:t>poletna</w:t>
      </w:r>
      <w:r w:rsidRPr="002A7286">
        <w:t xml:space="preserve"> količin</w:t>
      </w:r>
      <w:r>
        <w:t>a</w:t>
      </w:r>
      <w:r w:rsidRPr="002A7286">
        <w:t xml:space="preserve"> odvzete vode [m3/</w:t>
      </w:r>
      <w:r>
        <w:t>poletje</w:t>
      </w:r>
      <w:r w:rsidRPr="002A7286">
        <w:t>] po zaledjih.</w:t>
      </w:r>
      <w:bookmarkEnd w:id="434"/>
    </w:p>
    <w:p w14:paraId="3B92A3A4" w14:textId="77777777" w:rsidR="00C47DF2" w:rsidRPr="00C950EB" w:rsidRDefault="00C47DF2" w:rsidP="00C47DF2">
      <w:pPr>
        <w:pStyle w:val="Naslov5"/>
      </w:pPr>
      <w:r w:rsidRPr="00C950EB">
        <w:t>Raba podzemne vode za potrebe pitne vode</w:t>
      </w:r>
    </w:p>
    <w:p w14:paraId="039C9BE1" w14:textId="3795032F" w:rsidR="00C47DF2" w:rsidRPr="00FB70C6" w:rsidRDefault="00C47DF2" w:rsidP="00C47DF2">
      <w:pPr>
        <w:rPr>
          <w:highlight w:val="yellow"/>
        </w:rPr>
      </w:pPr>
      <w:r w:rsidRPr="005B3794">
        <w:t xml:space="preserve">Večina (99,9 %) podzemne vode je namenjena za oskrbo s pitno vodo, ki jo izvaja gospodarska javna </w:t>
      </w:r>
      <w:r>
        <w:t xml:space="preserve">služba. </w:t>
      </w:r>
      <w:r w:rsidRPr="004E4DF2">
        <w:t>Javno vodovodno omrežje v občin</w:t>
      </w:r>
      <w:r>
        <w:t>ah MO</w:t>
      </w:r>
      <w:r w:rsidRPr="004E4DF2">
        <w:t xml:space="preserve"> Nova Gorica</w:t>
      </w:r>
      <w:r>
        <w:t xml:space="preserve">, Šempeter - Vrtojba, </w:t>
      </w:r>
      <w:r>
        <w:lastRenderedPageBreak/>
        <w:t>Miren – Kostanjevica, Renče – Vogrsko in Brda</w:t>
      </w:r>
      <w:r w:rsidRPr="004E4DF2">
        <w:t xml:space="preserve"> upravlja podjetje Vodovod in kanalizacija Nova Gorica </w:t>
      </w:r>
      <w:proofErr w:type="spellStart"/>
      <w:r w:rsidRPr="004E4DF2">
        <w:t>d.d</w:t>
      </w:r>
      <w:proofErr w:type="spellEnd"/>
      <w:r w:rsidRPr="004E4DF2">
        <w:t>. (VIK</w:t>
      </w:r>
      <w:r>
        <w:t>-NG</w:t>
      </w:r>
      <w:r w:rsidRPr="004E4DF2">
        <w:t xml:space="preserve">). Njihovo omrežje sestavlja več vodooskrbnih sistemov in sicer: </w:t>
      </w:r>
      <w:proofErr w:type="spellStart"/>
      <w:r w:rsidRPr="004E4DF2">
        <w:t>Mrzlek</w:t>
      </w:r>
      <w:proofErr w:type="spellEnd"/>
      <w:r w:rsidRPr="004E4DF2">
        <w:t>, Hubelj, Kromberk, Grgar, Čepovan-Trnovo, Osek-Vitovlje, Ozeljan, Bate-Banjšice, Dol pri Čepovanu, Sveta Gora in Sveto, Golo Brdo iz Italije (</w:t>
      </w:r>
      <w:r w:rsidRPr="004E4DF2">
        <w:fldChar w:fldCharType="begin"/>
      </w:r>
      <w:r w:rsidRPr="004E4DF2">
        <w:instrText xml:space="preserve"> REF _Ref50041475 \h  \* MERGEFORMAT </w:instrText>
      </w:r>
      <w:r w:rsidRPr="004E4DF2">
        <w:fldChar w:fldCharType="separate"/>
      </w:r>
      <w:r w:rsidR="004700D5" w:rsidRPr="009E35DC">
        <w:t xml:space="preserve">Preglednica </w:t>
      </w:r>
      <w:r w:rsidR="004700D5">
        <w:rPr>
          <w:noProof/>
        </w:rPr>
        <w:t>6.38</w:t>
      </w:r>
      <w:r w:rsidRPr="004E4DF2">
        <w:fldChar w:fldCharType="end"/>
      </w:r>
      <w:r w:rsidRPr="004E4DF2">
        <w:t>)</w:t>
      </w:r>
      <w:r>
        <w:t xml:space="preserve"> (</w:t>
      </w:r>
      <w:r>
        <w:fldChar w:fldCharType="begin"/>
      </w:r>
      <w:r>
        <w:instrText xml:space="preserve"> REF _Ref71104434 \h </w:instrText>
      </w:r>
      <w:r>
        <w:fldChar w:fldCharType="separate"/>
      </w:r>
      <w:r w:rsidR="004700D5">
        <w:t xml:space="preserve">Slika </w:t>
      </w:r>
      <w:r w:rsidR="004700D5">
        <w:rPr>
          <w:noProof/>
        </w:rPr>
        <w:t>6</w:t>
      </w:r>
      <w:r w:rsidR="004700D5">
        <w:t>.</w:t>
      </w:r>
      <w:r w:rsidR="004700D5">
        <w:rPr>
          <w:noProof/>
        </w:rPr>
        <w:t>42</w:t>
      </w:r>
      <w:r>
        <w:fldChar w:fldCharType="end"/>
      </w:r>
      <w:r>
        <w:t>) (Hvalič, 2021)</w:t>
      </w:r>
      <w:r w:rsidRPr="004E4DF2">
        <w:t>.</w:t>
      </w:r>
    </w:p>
    <w:p w14:paraId="2A14BD4A" w14:textId="157E87B3" w:rsidR="00C47DF2" w:rsidRPr="00FB70C6" w:rsidRDefault="00C47DF2" w:rsidP="00C47DF2">
      <w:pPr>
        <w:pStyle w:val="Napis"/>
        <w:keepNext/>
        <w:rPr>
          <w:highlight w:val="yellow"/>
        </w:rPr>
      </w:pPr>
      <w:bookmarkStart w:id="435" w:name="_Ref50041475"/>
      <w:bookmarkStart w:id="436" w:name="_Toc97026991"/>
      <w:r w:rsidRPr="009E35DC">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38</w:t>
      </w:r>
      <w:r w:rsidR="00976D80">
        <w:fldChar w:fldCharType="end"/>
      </w:r>
      <w:bookmarkEnd w:id="435"/>
      <w:r w:rsidRPr="009E35DC">
        <w:t xml:space="preserve">: Aktivni in rezervni vodni viri, ki jih uporablja podjetje Vodovod in kanalizacija Nova Gorica </w:t>
      </w:r>
      <w:proofErr w:type="spellStart"/>
      <w:r w:rsidRPr="009E35DC">
        <w:t>d.d</w:t>
      </w:r>
      <w:proofErr w:type="spellEnd"/>
      <w:r w:rsidRPr="009E35DC">
        <w:t xml:space="preserve">. za oskrbo s pitno </w:t>
      </w:r>
      <w:r w:rsidRPr="00DF10A4">
        <w:t>vodo.</w:t>
      </w:r>
      <w:bookmarkEnd w:id="436"/>
    </w:p>
    <w:tbl>
      <w:tblPr>
        <w:tblStyle w:val="Tabelamrea"/>
        <w:tblW w:w="5000" w:type="pct"/>
        <w:tblLook w:val="04A0" w:firstRow="1" w:lastRow="0" w:firstColumn="1" w:lastColumn="0" w:noHBand="0" w:noVBand="1"/>
      </w:tblPr>
      <w:tblGrid>
        <w:gridCol w:w="2431"/>
        <w:gridCol w:w="2064"/>
        <w:gridCol w:w="1143"/>
        <w:gridCol w:w="1023"/>
        <w:gridCol w:w="2967"/>
      </w:tblGrid>
      <w:tr w:rsidR="00C47DF2" w:rsidRPr="00FB70C6" w14:paraId="6EAA0E2B" w14:textId="77777777" w:rsidTr="00FF0031">
        <w:trPr>
          <w:trHeight w:val="615"/>
        </w:trPr>
        <w:tc>
          <w:tcPr>
            <w:tcW w:w="1128" w:type="pct"/>
            <w:shd w:val="clear" w:color="auto" w:fill="D9D9D9" w:themeFill="background1" w:themeFillShade="D9"/>
            <w:hideMark/>
          </w:tcPr>
          <w:p w14:paraId="78AE7C59" w14:textId="77777777" w:rsidR="00C47DF2" w:rsidRPr="009E35DC" w:rsidRDefault="00C47DF2" w:rsidP="00FF0031">
            <w:pPr>
              <w:rPr>
                <w:b/>
                <w:bCs/>
              </w:rPr>
            </w:pPr>
            <w:r w:rsidRPr="009E35DC">
              <w:rPr>
                <w:b/>
                <w:bCs/>
              </w:rPr>
              <w:t>Ime</w:t>
            </w:r>
          </w:p>
        </w:tc>
        <w:tc>
          <w:tcPr>
            <w:tcW w:w="1066" w:type="pct"/>
            <w:shd w:val="clear" w:color="auto" w:fill="D9D9D9" w:themeFill="background1" w:themeFillShade="D9"/>
            <w:hideMark/>
          </w:tcPr>
          <w:p w14:paraId="58E55293" w14:textId="77777777" w:rsidR="00C47DF2" w:rsidRPr="009E35DC" w:rsidRDefault="00C47DF2" w:rsidP="00FF0031">
            <w:pPr>
              <w:rPr>
                <w:b/>
                <w:bCs/>
              </w:rPr>
            </w:pPr>
            <w:r w:rsidRPr="009E35DC">
              <w:rPr>
                <w:b/>
                <w:bCs/>
              </w:rPr>
              <w:t>Vodooskrbni sistem</w:t>
            </w:r>
          </w:p>
        </w:tc>
        <w:tc>
          <w:tcPr>
            <w:tcW w:w="669" w:type="pct"/>
            <w:shd w:val="clear" w:color="auto" w:fill="D9D9D9" w:themeFill="background1" w:themeFillShade="D9"/>
            <w:hideMark/>
          </w:tcPr>
          <w:p w14:paraId="709DAF23" w14:textId="1C3EB6B5" w:rsidR="00C47DF2" w:rsidRPr="009E35DC" w:rsidRDefault="00C47DF2" w:rsidP="00FF0031">
            <w:pPr>
              <w:rPr>
                <w:b/>
                <w:bCs/>
              </w:rPr>
            </w:pPr>
            <w:r w:rsidRPr="009E35DC">
              <w:rPr>
                <w:b/>
                <w:bCs/>
              </w:rPr>
              <w:t>Zaledje (</w:t>
            </w:r>
            <w:r>
              <w:rPr>
                <w:b/>
                <w:bCs/>
              </w:rPr>
              <w:fldChar w:fldCharType="begin"/>
            </w:r>
            <w:r>
              <w:rPr>
                <w:b/>
                <w:bCs/>
              </w:rPr>
              <w:instrText xml:space="preserve"> REF _Ref67656674 \h </w:instrText>
            </w:r>
            <w:r>
              <w:rPr>
                <w:b/>
                <w:bCs/>
              </w:rPr>
            </w:r>
            <w:r>
              <w:rPr>
                <w:b/>
                <w:bCs/>
              </w:rPr>
              <w:fldChar w:fldCharType="separate"/>
            </w:r>
            <w:r w:rsidR="004700D5">
              <w:t xml:space="preserve">Slika </w:t>
            </w:r>
            <w:r w:rsidR="004700D5">
              <w:rPr>
                <w:noProof/>
              </w:rPr>
              <w:t>6</w:t>
            </w:r>
            <w:r w:rsidR="004700D5">
              <w:t>.</w:t>
            </w:r>
            <w:r w:rsidR="004700D5">
              <w:rPr>
                <w:noProof/>
              </w:rPr>
              <w:t>27</w:t>
            </w:r>
            <w:r>
              <w:rPr>
                <w:b/>
                <w:bCs/>
              </w:rPr>
              <w:fldChar w:fldCharType="end"/>
            </w:r>
            <w:r w:rsidRPr="009E35DC">
              <w:t>)</w:t>
            </w:r>
          </w:p>
        </w:tc>
        <w:tc>
          <w:tcPr>
            <w:tcW w:w="521" w:type="pct"/>
            <w:shd w:val="clear" w:color="auto" w:fill="D9D9D9" w:themeFill="background1" w:themeFillShade="D9"/>
            <w:hideMark/>
          </w:tcPr>
          <w:p w14:paraId="6C54B478" w14:textId="77777777" w:rsidR="00C47DF2" w:rsidRPr="009E35DC" w:rsidRDefault="00C47DF2" w:rsidP="00FF0031">
            <w:pPr>
              <w:rPr>
                <w:b/>
                <w:bCs/>
              </w:rPr>
            </w:pPr>
            <w:r w:rsidRPr="009E35DC">
              <w:rPr>
                <w:b/>
                <w:bCs/>
              </w:rPr>
              <w:t>Status rabe</w:t>
            </w:r>
          </w:p>
        </w:tc>
        <w:tc>
          <w:tcPr>
            <w:tcW w:w="1616" w:type="pct"/>
            <w:shd w:val="clear" w:color="auto" w:fill="D9D9D9" w:themeFill="background1" w:themeFillShade="D9"/>
          </w:tcPr>
          <w:p w14:paraId="089C4906" w14:textId="77777777" w:rsidR="00C47DF2" w:rsidRPr="009E35DC" w:rsidRDefault="00C47DF2" w:rsidP="00FF0031">
            <w:pPr>
              <w:rPr>
                <w:b/>
                <w:bCs/>
              </w:rPr>
            </w:pPr>
            <w:r w:rsidRPr="009E35DC">
              <w:rPr>
                <w:b/>
                <w:bCs/>
              </w:rPr>
              <w:t>Priprava vode</w:t>
            </w:r>
          </w:p>
        </w:tc>
      </w:tr>
      <w:tr w:rsidR="00C47DF2" w:rsidRPr="00FB70C6" w14:paraId="480D1369" w14:textId="77777777" w:rsidTr="00FF0031">
        <w:trPr>
          <w:trHeight w:val="300"/>
        </w:trPr>
        <w:tc>
          <w:tcPr>
            <w:tcW w:w="1128" w:type="pct"/>
            <w:shd w:val="clear" w:color="auto" w:fill="F2F2F2" w:themeFill="background1" w:themeFillShade="F2"/>
            <w:noWrap/>
            <w:vAlign w:val="center"/>
          </w:tcPr>
          <w:p w14:paraId="0CEE8129" w14:textId="77777777" w:rsidR="00C47DF2" w:rsidRPr="002C0269" w:rsidRDefault="00C47DF2" w:rsidP="00FF0031">
            <w:pPr>
              <w:jc w:val="left"/>
              <w:rPr>
                <w:highlight w:val="yellow"/>
              </w:rPr>
            </w:pPr>
            <w:proofErr w:type="spellStart"/>
            <w:r w:rsidRPr="002C0269">
              <w:rPr>
                <w:rFonts w:cs="Calibri"/>
                <w:color w:val="000000"/>
              </w:rPr>
              <w:t>Rijavcevo</w:t>
            </w:r>
            <w:proofErr w:type="spellEnd"/>
            <w:r w:rsidRPr="002C0269">
              <w:rPr>
                <w:rFonts w:cs="Calibri"/>
                <w:color w:val="000000"/>
              </w:rPr>
              <w:t xml:space="preserve"> - </w:t>
            </w:r>
            <w:proofErr w:type="spellStart"/>
            <w:r w:rsidRPr="002C0269">
              <w:rPr>
                <w:rFonts w:cs="Calibri"/>
                <w:color w:val="000000"/>
              </w:rPr>
              <w:t>Banjscek</w:t>
            </w:r>
            <w:proofErr w:type="spellEnd"/>
            <w:r w:rsidRPr="002C0269">
              <w:rPr>
                <w:rFonts w:cs="Calibri"/>
                <w:color w:val="000000"/>
              </w:rPr>
              <w:t xml:space="preserve"> 1</w:t>
            </w:r>
          </w:p>
        </w:tc>
        <w:tc>
          <w:tcPr>
            <w:tcW w:w="1066" w:type="pct"/>
            <w:noWrap/>
            <w:vAlign w:val="center"/>
            <w:hideMark/>
          </w:tcPr>
          <w:p w14:paraId="34DDA6FC" w14:textId="77777777" w:rsidR="00C47DF2" w:rsidRPr="002C0269" w:rsidRDefault="00C47DF2" w:rsidP="00FF0031">
            <w:pPr>
              <w:jc w:val="left"/>
              <w:rPr>
                <w:highlight w:val="yellow"/>
              </w:rPr>
            </w:pPr>
            <w:r w:rsidRPr="002C0269">
              <w:rPr>
                <w:rFonts w:cs="Calibri"/>
                <w:color w:val="000000"/>
              </w:rPr>
              <w:t>Bate</w:t>
            </w:r>
          </w:p>
        </w:tc>
        <w:tc>
          <w:tcPr>
            <w:tcW w:w="669" w:type="pct"/>
            <w:noWrap/>
            <w:vAlign w:val="center"/>
          </w:tcPr>
          <w:p w14:paraId="365BE804" w14:textId="77777777" w:rsidR="00C47DF2" w:rsidRPr="007D1FEC" w:rsidRDefault="00C47DF2" w:rsidP="00FF0031">
            <w:pPr>
              <w:jc w:val="left"/>
            </w:pPr>
            <w:r w:rsidRPr="007D1FEC">
              <w:t>0</w:t>
            </w:r>
          </w:p>
        </w:tc>
        <w:tc>
          <w:tcPr>
            <w:tcW w:w="521" w:type="pct"/>
            <w:noWrap/>
            <w:vAlign w:val="center"/>
            <w:hideMark/>
          </w:tcPr>
          <w:p w14:paraId="7EE0AC74"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0C44D787" w14:textId="77777777" w:rsidR="00C47DF2" w:rsidRPr="002C0269" w:rsidRDefault="00C47DF2" w:rsidP="00FF0031">
            <w:pPr>
              <w:jc w:val="left"/>
              <w:rPr>
                <w:highlight w:val="yellow"/>
              </w:rPr>
            </w:pPr>
            <w:r w:rsidRPr="002C0269">
              <w:rPr>
                <w:rFonts w:cs="Calibri"/>
                <w:color w:val="000000"/>
              </w:rPr>
              <w:t xml:space="preserve">tlačni filtri, dezinfekcija z UV žarnicami, </w:t>
            </w:r>
            <w:proofErr w:type="spellStart"/>
            <w:r w:rsidRPr="002C0269">
              <w:rPr>
                <w:rFonts w:cs="Calibri"/>
                <w:color w:val="000000"/>
              </w:rPr>
              <w:t>hipoklor</w:t>
            </w:r>
            <w:proofErr w:type="spellEnd"/>
          </w:p>
        </w:tc>
      </w:tr>
      <w:tr w:rsidR="00C47DF2" w:rsidRPr="00FB70C6" w14:paraId="31A11AA0" w14:textId="77777777" w:rsidTr="00FF0031">
        <w:trPr>
          <w:trHeight w:val="300"/>
        </w:trPr>
        <w:tc>
          <w:tcPr>
            <w:tcW w:w="1128" w:type="pct"/>
            <w:shd w:val="clear" w:color="auto" w:fill="F2F2F2" w:themeFill="background1" w:themeFillShade="F2"/>
            <w:noWrap/>
            <w:vAlign w:val="center"/>
          </w:tcPr>
          <w:p w14:paraId="38AE73EB" w14:textId="77777777" w:rsidR="00C47DF2" w:rsidRPr="002C0269" w:rsidRDefault="00C47DF2" w:rsidP="00FF0031">
            <w:pPr>
              <w:jc w:val="left"/>
              <w:rPr>
                <w:highlight w:val="yellow"/>
              </w:rPr>
            </w:pPr>
            <w:proofErr w:type="spellStart"/>
            <w:r w:rsidRPr="002C0269">
              <w:rPr>
                <w:rFonts w:cs="Calibri"/>
                <w:color w:val="000000"/>
              </w:rPr>
              <w:t>Podcelo</w:t>
            </w:r>
            <w:proofErr w:type="spellEnd"/>
            <w:r w:rsidRPr="002C0269">
              <w:rPr>
                <w:rFonts w:cs="Calibri"/>
                <w:color w:val="000000"/>
              </w:rPr>
              <w:t xml:space="preserve"> - </w:t>
            </w:r>
            <w:proofErr w:type="spellStart"/>
            <w:r w:rsidRPr="002C0269">
              <w:rPr>
                <w:rFonts w:cs="Calibri"/>
                <w:color w:val="000000"/>
              </w:rPr>
              <w:t>Banjscek</w:t>
            </w:r>
            <w:proofErr w:type="spellEnd"/>
            <w:r w:rsidRPr="002C0269">
              <w:rPr>
                <w:rFonts w:cs="Calibri"/>
                <w:color w:val="000000"/>
              </w:rPr>
              <w:t xml:space="preserve"> 2</w:t>
            </w:r>
          </w:p>
        </w:tc>
        <w:tc>
          <w:tcPr>
            <w:tcW w:w="1066" w:type="pct"/>
            <w:noWrap/>
            <w:vAlign w:val="center"/>
            <w:hideMark/>
          </w:tcPr>
          <w:p w14:paraId="17A1D0DF" w14:textId="77777777" w:rsidR="00C47DF2" w:rsidRPr="002C0269" w:rsidRDefault="00C47DF2" w:rsidP="00FF0031">
            <w:pPr>
              <w:jc w:val="left"/>
              <w:rPr>
                <w:highlight w:val="yellow"/>
              </w:rPr>
            </w:pPr>
            <w:r w:rsidRPr="002C0269">
              <w:rPr>
                <w:rFonts w:cs="Calibri"/>
                <w:color w:val="000000"/>
              </w:rPr>
              <w:t>Bate</w:t>
            </w:r>
          </w:p>
        </w:tc>
        <w:tc>
          <w:tcPr>
            <w:tcW w:w="669" w:type="pct"/>
            <w:noWrap/>
            <w:vAlign w:val="center"/>
          </w:tcPr>
          <w:p w14:paraId="35D6ADF7" w14:textId="77777777" w:rsidR="00C47DF2" w:rsidRPr="007D1FEC" w:rsidRDefault="00C47DF2" w:rsidP="00FF0031">
            <w:pPr>
              <w:jc w:val="left"/>
            </w:pPr>
            <w:r w:rsidRPr="007D1FEC">
              <w:t>0</w:t>
            </w:r>
          </w:p>
        </w:tc>
        <w:tc>
          <w:tcPr>
            <w:tcW w:w="521" w:type="pct"/>
            <w:noWrap/>
            <w:vAlign w:val="center"/>
            <w:hideMark/>
          </w:tcPr>
          <w:p w14:paraId="07DCA3FE"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368BF0C9" w14:textId="77777777" w:rsidR="00C47DF2" w:rsidRPr="002C0269" w:rsidRDefault="00C47DF2" w:rsidP="00FF0031">
            <w:pPr>
              <w:jc w:val="left"/>
              <w:rPr>
                <w:highlight w:val="yellow"/>
              </w:rPr>
            </w:pPr>
            <w:r w:rsidRPr="002C0269">
              <w:rPr>
                <w:rFonts w:cs="Calibri"/>
                <w:color w:val="000000"/>
              </w:rPr>
              <w:t xml:space="preserve">tlačni filtri, dezinfekcija z UV žarnicami, </w:t>
            </w:r>
            <w:proofErr w:type="spellStart"/>
            <w:r w:rsidRPr="002C0269">
              <w:rPr>
                <w:rFonts w:cs="Calibri"/>
                <w:color w:val="000000"/>
              </w:rPr>
              <w:t>hipoklor</w:t>
            </w:r>
            <w:proofErr w:type="spellEnd"/>
          </w:p>
        </w:tc>
      </w:tr>
      <w:tr w:rsidR="00C47DF2" w:rsidRPr="00FB70C6" w14:paraId="26A82863" w14:textId="77777777" w:rsidTr="00FF0031">
        <w:trPr>
          <w:trHeight w:val="300"/>
        </w:trPr>
        <w:tc>
          <w:tcPr>
            <w:tcW w:w="1128" w:type="pct"/>
            <w:shd w:val="clear" w:color="auto" w:fill="F2F2F2" w:themeFill="background1" w:themeFillShade="F2"/>
            <w:noWrap/>
            <w:vAlign w:val="center"/>
          </w:tcPr>
          <w:p w14:paraId="0C872A2B" w14:textId="77777777" w:rsidR="00C47DF2" w:rsidRPr="002C0269" w:rsidRDefault="00C47DF2" w:rsidP="00FF0031">
            <w:pPr>
              <w:jc w:val="left"/>
              <w:rPr>
                <w:highlight w:val="yellow"/>
              </w:rPr>
            </w:pPr>
            <w:r w:rsidRPr="002C0269">
              <w:rPr>
                <w:rFonts w:cs="Calibri"/>
                <w:color w:val="000000"/>
              </w:rPr>
              <w:t xml:space="preserve">Zbirnik 1 </w:t>
            </w:r>
            <w:proofErr w:type="spellStart"/>
            <w:r w:rsidRPr="002C0269">
              <w:rPr>
                <w:rFonts w:cs="Calibri"/>
                <w:color w:val="000000"/>
              </w:rPr>
              <w:t>Mocila</w:t>
            </w:r>
            <w:proofErr w:type="spellEnd"/>
          </w:p>
        </w:tc>
        <w:tc>
          <w:tcPr>
            <w:tcW w:w="1066" w:type="pct"/>
            <w:noWrap/>
            <w:vAlign w:val="center"/>
            <w:hideMark/>
          </w:tcPr>
          <w:p w14:paraId="38697662" w14:textId="77777777" w:rsidR="00C47DF2" w:rsidRPr="002C0269" w:rsidRDefault="00C47DF2" w:rsidP="00FF0031">
            <w:pPr>
              <w:jc w:val="left"/>
              <w:rPr>
                <w:highlight w:val="yellow"/>
              </w:rPr>
            </w:pPr>
            <w:proofErr w:type="spellStart"/>
            <w:r w:rsidRPr="002C0269">
              <w:rPr>
                <w:rFonts w:cs="Calibri"/>
                <w:color w:val="000000"/>
              </w:rPr>
              <w:t>Cepovan</w:t>
            </w:r>
            <w:proofErr w:type="spellEnd"/>
            <w:r w:rsidRPr="002C0269">
              <w:rPr>
                <w:rFonts w:cs="Calibri"/>
                <w:color w:val="000000"/>
              </w:rPr>
              <w:t xml:space="preserve"> - Lokve</w:t>
            </w:r>
          </w:p>
        </w:tc>
        <w:tc>
          <w:tcPr>
            <w:tcW w:w="669" w:type="pct"/>
            <w:noWrap/>
            <w:vAlign w:val="center"/>
          </w:tcPr>
          <w:p w14:paraId="40EF615F" w14:textId="77777777" w:rsidR="00C47DF2" w:rsidRPr="007D1FEC" w:rsidRDefault="00C47DF2" w:rsidP="00FF0031">
            <w:pPr>
              <w:jc w:val="left"/>
            </w:pPr>
            <w:r w:rsidRPr="007D1FEC">
              <w:t>3</w:t>
            </w:r>
          </w:p>
        </w:tc>
        <w:tc>
          <w:tcPr>
            <w:tcW w:w="521" w:type="pct"/>
            <w:noWrap/>
            <w:vAlign w:val="center"/>
            <w:hideMark/>
          </w:tcPr>
          <w:p w14:paraId="3A775633"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0F32B075" w14:textId="77777777" w:rsidR="00C47DF2" w:rsidRPr="002C0269" w:rsidRDefault="00C47DF2" w:rsidP="00FF0031">
            <w:pPr>
              <w:jc w:val="left"/>
              <w:rPr>
                <w:highlight w:val="yellow"/>
              </w:rPr>
            </w:pPr>
            <w:r w:rsidRPr="002C0269">
              <w:rPr>
                <w:rFonts w:cs="Calibri"/>
                <w:color w:val="000000"/>
              </w:rPr>
              <w:t>tlačni filtri, dezinfekcija z UV žarnicami, plinski klor</w:t>
            </w:r>
          </w:p>
        </w:tc>
      </w:tr>
      <w:tr w:rsidR="00C47DF2" w:rsidRPr="00FB70C6" w14:paraId="5F7E3C57" w14:textId="77777777" w:rsidTr="00FF0031">
        <w:trPr>
          <w:trHeight w:val="300"/>
        </w:trPr>
        <w:tc>
          <w:tcPr>
            <w:tcW w:w="1128" w:type="pct"/>
            <w:shd w:val="clear" w:color="auto" w:fill="F2F2F2" w:themeFill="background1" w:themeFillShade="F2"/>
            <w:noWrap/>
            <w:vAlign w:val="center"/>
          </w:tcPr>
          <w:p w14:paraId="1C221411" w14:textId="77777777" w:rsidR="00C47DF2" w:rsidRPr="002C0269" w:rsidRDefault="00C47DF2" w:rsidP="00FF0031">
            <w:pPr>
              <w:jc w:val="left"/>
              <w:rPr>
                <w:highlight w:val="yellow"/>
              </w:rPr>
            </w:pPr>
            <w:r w:rsidRPr="002C0269">
              <w:rPr>
                <w:rFonts w:cs="Calibri"/>
                <w:color w:val="000000"/>
              </w:rPr>
              <w:t xml:space="preserve">Zbirnik 2 </w:t>
            </w:r>
            <w:proofErr w:type="spellStart"/>
            <w:r w:rsidRPr="002C0269">
              <w:rPr>
                <w:rFonts w:cs="Calibri"/>
                <w:color w:val="000000"/>
              </w:rPr>
              <w:t>Mocila</w:t>
            </w:r>
            <w:proofErr w:type="spellEnd"/>
          </w:p>
        </w:tc>
        <w:tc>
          <w:tcPr>
            <w:tcW w:w="1066" w:type="pct"/>
            <w:noWrap/>
            <w:vAlign w:val="center"/>
            <w:hideMark/>
          </w:tcPr>
          <w:p w14:paraId="62688932" w14:textId="77777777" w:rsidR="00C47DF2" w:rsidRPr="002C0269" w:rsidRDefault="00C47DF2" w:rsidP="00FF0031">
            <w:pPr>
              <w:jc w:val="left"/>
              <w:rPr>
                <w:highlight w:val="yellow"/>
              </w:rPr>
            </w:pPr>
            <w:proofErr w:type="spellStart"/>
            <w:r w:rsidRPr="002C0269">
              <w:rPr>
                <w:rFonts w:cs="Calibri"/>
                <w:color w:val="000000"/>
              </w:rPr>
              <w:t>Cepovan</w:t>
            </w:r>
            <w:proofErr w:type="spellEnd"/>
            <w:r w:rsidRPr="002C0269">
              <w:rPr>
                <w:rFonts w:cs="Calibri"/>
                <w:color w:val="000000"/>
              </w:rPr>
              <w:t xml:space="preserve"> - Lokve</w:t>
            </w:r>
          </w:p>
        </w:tc>
        <w:tc>
          <w:tcPr>
            <w:tcW w:w="669" w:type="pct"/>
            <w:noWrap/>
            <w:vAlign w:val="center"/>
          </w:tcPr>
          <w:p w14:paraId="5F6425C5" w14:textId="77777777" w:rsidR="00C47DF2" w:rsidRPr="007D1FEC" w:rsidRDefault="00C47DF2" w:rsidP="00FF0031">
            <w:pPr>
              <w:jc w:val="left"/>
            </w:pPr>
            <w:r w:rsidRPr="007D1FEC">
              <w:t>3</w:t>
            </w:r>
          </w:p>
        </w:tc>
        <w:tc>
          <w:tcPr>
            <w:tcW w:w="521" w:type="pct"/>
            <w:noWrap/>
            <w:vAlign w:val="center"/>
            <w:hideMark/>
          </w:tcPr>
          <w:p w14:paraId="2009D1E8"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33C674DE" w14:textId="77777777" w:rsidR="00C47DF2" w:rsidRPr="002C0269" w:rsidRDefault="00C47DF2" w:rsidP="00FF0031">
            <w:pPr>
              <w:jc w:val="left"/>
              <w:rPr>
                <w:highlight w:val="yellow"/>
              </w:rPr>
            </w:pPr>
            <w:r w:rsidRPr="002C0269">
              <w:rPr>
                <w:rFonts w:cs="Calibri"/>
                <w:color w:val="000000"/>
              </w:rPr>
              <w:t xml:space="preserve">tlačni filtri, dezinfekcija z UV žarnicami, </w:t>
            </w:r>
            <w:proofErr w:type="spellStart"/>
            <w:r w:rsidRPr="002C0269">
              <w:rPr>
                <w:rFonts w:cs="Calibri"/>
                <w:color w:val="000000"/>
              </w:rPr>
              <w:t>hipoklor</w:t>
            </w:r>
            <w:proofErr w:type="spellEnd"/>
          </w:p>
        </w:tc>
      </w:tr>
      <w:tr w:rsidR="00C47DF2" w:rsidRPr="00FB70C6" w14:paraId="4F7B69A8" w14:textId="77777777" w:rsidTr="00FF0031">
        <w:trPr>
          <w:trHeight w:val="300"/>
        </w:trPr>
        <w:tc>
          <w:tcPr>
            <w:tcW w:w="1128" w:type="pct"/>
            <w:shd w:val="clear" w:color="auto" w:fill="F2F2F2" w:themeFill="background1" w:themeFillShade="F2"/>
            <w:noWrap/>
            <w:vAlign w:val="center"/>
          </w:tcPr>
          <w:p w14:paraId="08DDD1B1" w14:textId="77777777" w:rsidR="00C47DF2" w:rsidRPr="002C0269" w:rsidRDefault="00C47DF2" w:rsidP="00FF0031">
            <w:pPr>
              <w:jc w:val="left"/>
              <w:rPr>
                <w:highlight w:val="yellow"/>
              </w:rPr>
            </w:pPr>
            <w:proofErr w:type="spellStart"/>
            <w:r w:rsidRPr="002C0269">
              <w:rPr>
                <w:rFonts w:cs="Calibri"/>
                <w:color w:val="000000"/>
              </w:rPr>
              <w:t>Mocila</w:t>
            </w:r>
            <w:proofErr w:type="spellEnd"/>
            <w:r w:rsidRPr="002C0269">
              <w:rPr>
                <w:rFonts w:cs="Calibri"/>
                <w:color w:val="000000"/>
              </w:rPr>
              <w:t xml:space="preserve"> 1</w:t>
            </w:r>
          </w:p>
        </w:tc>
        <w:tc>
          <w:tcPr>
            <w:tcW w:w="1066" w:type="pct"/>
            <w:noWrap/>
            <w:vAlign w:val="center"/>
            <w:hideMark/>
          </w:tcPr>
          <w:p w14:paraId="40C21EFC" w14:textId="77777777" w:rsidR="00C47DF2" w:rsidRPr="002C0269" w:rsidRDefault="00C47DF2" w:rsidP="00FF0031">
            <w:pPr>
              <w:jc w:val="left"/>
              <w:rPr>
                <w:highlight w:val="yellow"/>
              </w:rPr>
            </w:pPr>
            <w:proofErr w:type="spellStart"/>
            <w:r w:rsidRPr="002C0269">
              <w:rPr>
                <w:rFonts w:cs="Calibri"/>
                <w:color w:val="000000"/>
              </w:rPr>
              <w:t>Cepovan</w:t>
            </w:r>
            <w:proofErr w:type="spellEnd"/>
            <w:r w:rsidRPr="002C0269">
              <w:rPr>
                <w:rFonts w:cs="Calibri"/>
                <w:color w:val="000000"/>
              </w:rPr>
              <w:t xml:space="preserve"> - Lokve</w:t>
            </w:r>
          </w:p>
        </w:tc>
        <w:tc>
          <w:tcPr>
            <w:tcW w:w="669" w:type="pct"/>
            <w:noWrap/>
            <w:vAlign w:val="center"/>
          </w:tcPr>
          <w:p w14:paraId="722B7F69" w14:textId="77777777" w:rsidR="00C47DF2" w:rsidRPr="007D1FEC" w:rsidRDefault="00C47DF2" w:rsidP="00FF0031">
            <w:pPr>
              <w:jc w:val="left"/>
            </w:pPr>
            <w:r w:rsidRPr="007D1FEC">
              <w:t>3</w:t>
            </w:r>
          </w:p>
        </w:tc>
        <w:tc>
          <w:tcPr>
            <w:tcW w:w="521" w:type="pct"/>
            <w:noWrap/>
            <w:vAlign w:val="center"/>
            <w:hideMark/>
          </w:tcPr>
          <w:p w14:paraId="09C3E57F"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3B47E07A" w14:textId="77777777" w:rsidR="00C47DF2" w:rsidRPr="002C0269" w:rsidRDefault="00C47DF2" w:rsidP="00FF0031">
            <w:pPr>
              <w:jc w:val="left"/>
              <w:rPr>
                <w:highlight w:val="yellow"/>
              </w:rPr>
            </w:pPr>
            <w:r w:rsidRPr="002C0269">
              <w:rPr>
                <w:rFonts w:cs="Calibri"/>
                <w:color w:val="000000"/>
              </w:rPr>
              <w:t xml:space="preserve">tlačni filtri, dezinfekcija z UV žarnicami, </w:t>
            </w:r>
            <w:proofErr w:type="spellStart"/>
            <w:r w:rsidRPr="002C0269">
              <w:rPr>
                <w:rFonts w:cs="Calibri"/>
                <w:color w:val="000000"/>
              </w:rPr>
              <w:t>hipoklor</w:t>
            </w:r>
            <w:proofErr w:type="spellEnd"/>
          </w:p>
        </w:tc>
      </w:tr>
      <w:tr w:rsidR="00C47DF2" w:rsidRPr="00FB70C6" w14:paraId="4AB605A2" w14:textId="77777777" w:rsidTr="00FF0031">
        <w:trPr>
          <w:trHeight w:val="300"/>
        </w:trPr>
        <w:tc>
          <w:tcPr>
            <w:tcW w:w="1128" w:type="pct"/>
            <w:shd w:val="clear" w:color="auto" w:fill="F2F2F2" w:themeFill="background1" w:themeFillShade="F2"/>
            <w:noWrap/>
            <w:vAlign w:val="center"/>
          </w:tcPr>
          <w:p w14:paraId="4C913ADB" w14:textId="77777777" w:rsidR="00C47DF2" w:rsidRPr="002C0269" w:rsidRDefault="00C47DF2" w:rsidP="00FF0031">
            <w:pPr>
              <w:jc w:val="left"/>
              <w:rPr>
                <w:highlight w:val="yellow"/>
              </w:rPr>
            </w:pPr>
            <w:proofErr w:type="spellStart"/>
            <w:r w:rsidRPr="002C0269">
              <w:rPr>
                <w:rFonts w:cs="Calibri"/>
                <w:color w:val="000000"/>
              </w:rPr>
              <w:t>Mocila</w:t>
            </w:r>
            <w:proofErr w:type="spellEnd"/>
            <w:r w:rsidRPr="002C0269">
              <w:rPr>
                <w:rFonts w:cs="Calibri"/>
                <w:color w:val="000000"/>
              </w:rPr>
              <w:t xml:space="preserve"> 2</w:t>
            </w:r>
          </w:p>
        </w:tc>
        <w:tc>
          <w:tcPr>
            <w:tcW w:w="1066" w:type="pct"/>
            <w:noWrap/>
            <w:vAlign w:val="center"/>
            <w:hideMark/>
          </w:tcPr>
          <w:p w14:paraId="7A8BC1D1" w14:textId="77777777" w:rsidR="00C47DF2" w:rsidRPr="002C0269" w:rsidRDefault="00C47DF2" w:rsidP="00FF0031">
            <w:pPr>
              <w:jc w:val="left"/>
              <w:rPr>
                <w:highlight w:val="yellow"/>
              </w:rPr>
            </w:pPr>
            <w:proofErr w:type="spellStart"/>
            <w:r w:rsidRPr="002C0269">
              <w:rPr>
                <w:rFonts w:cs="Calibri"/>
                <w:color w:val="000000"/>
              </w:rPr>
              <w:t>Cepovan</w:t>
            </w:r>
            <w:proofErr w:type="spellEnd"/>
            <w:r w:rsidRPr="002C0269">
              <w:rPr>
                <w:rFonts w:cs="Calibri"/>
                <w:color w:val="000000"/>
              </w:rPr>
              <w:t xml:space="preserve"> - Lokve</w:t>
            </w:r>
          </w:p>
        </w:tc>
        <w:tc>
          <w:tcPr>
            <w:tcW w:w="669" w:type="pct"/>
            <w:noWrap/>
            <w:vAlign w:val="center"/>
          </w:tcPr>
          <w:p w14:paraId="5E975C18" w14:textId="77777777" w:rsidR="00C47DF2" w:rsidRPr="007D1FEC" w:rsidRDefault="00C47DF2" w:rsidP="00FF0031">
            <w:pPr>
              <w:jc w:val="left"/>
            </w:pPr>
            <w:r w:rsidRPr="007D1FEC">
              <w:t>3</w:t>
            </w:r>
          </w:p>
        </w:tc>
        <w:tc>
          <w:tcPr>
            <w:tcW w:w="521" w:type="pct"/>
            <w:noWrap/>
            <w:vAlign w:val="center"/>
            <w:hideMark/>
          </w:tcPr>
          <w:p w14:paraId="6FB4F795"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0C8AFA6E" w14:textId="77777777" w:rsidR="00C47DF2" w:rsidRPr="002C0269" w:rsidRDefault="00C47DF2" w:rsidP="00FF0031">
            <w:pPr>
              <w:jc w:val="left"/>
              <w:rPr>
                <w:highlight w:val="yellow"/>
              </w:rPr>
            </w:pPr>
            <w:r w:rsidRPr="002C0269">
              <w:rPr>
                <w:rFonts w:cs="Calibri"/>
                <w:color w:val="000000"/>
              </w:rPr>
              <w:t xml:space="preserve">tlačni filtri, dezinfekcija z UV žarnicami, </w:t>
            </w:r>
            <w:proofErr w:type="spellStart"/>
            <w:r w:rsidRPr="002C0269">
              <w:rPr>
                <w:rFonts w:cs="Calibri"/>
                <w:color w:val="000000"/>
              </w:rPr>
              <w:t>hipoklor</w:t>
            </w:r>
            <w:proofErr w:type="spellEnd"/>
          </w:p>
        </w:tc>
      </w:tr>
      <w:tr w:rsidR="00C47DF2" w:rsidRPr="00FB70C6" w14:paraId="447E34D5" w14:textId="77777777" w:rsidTr="00FF0031">
        <w:trPr>
          <w:trHeight w:val="300"/>
        </w:trPr>
        <w:tc>
          <w:tcPr>
            <w:tcW w:w="1128" w:type="pct"/>
            <w:shd w:val="clear" w:color="auto" w:fill="F2F2F2" w:themeFill="background1" w:themeFillShade="F2"/>
            <w:noWrap/>
            <w:vAlign w:val="center"/>
          </w:tcPr>
          <w:p w14:paraId="4402F01E" w14:textId="77777777" w:rsidR="00C47DF2" w:rsidRPr="002C0269" w:rsidRDefault="00C47DF2" w:rsidP="00FF0031">
            <w:pPr>
              <w:jc w:val="left"/>
              <w:rPr>
                <w:highlight w:val="yellow"/>
              </w:rPr>
            </w:pPr>
            <w:proofErr w:type="spellStart"/>
            <w:r w:rsidRPr="002C0269">
              <w:rPr>
                <w:rFonts w:cs="Calibri"/>
                <w:color w:val="000000"/>
              </w:rPr>
              <w:t>Mocila</w:t>
            </w:r>
            <w:proofErr w:type="spellEnd"/>
            <w:r w:rsidRPr="002C0269">
              <w:rPr>
                <w:rFonts w:cs="Calibri"/>
                <w:color w:val="000000"/>
              </w:rPr>
              <w:t xml:space="preserve"> 3</w:t>
            </w:r>
          </w:p>
        </w:tc>
        <w:tc>
          <w:tcPr>
            <w:tcW w:w="1066" w:type="pct"/>
            <w:noWrap/>
            <w:vAlign w:val="center"/>
            <w:hideMark/>
          </w:tcPr>
          <w:p w14:paraId="3FC287B0" w14:textId="77777777" w:rsidR="00C47DF2" w:rsidRPr="002C0269" w:rsidRDefault="00C47DF2" w:rsidP="00FF0031">
            <w:pPr>
              <w:jc w:val="left"/>
              <w:rPr>
                <w:highlight w:val="yellow"/>
              </w:rPr>
            </w:pPr>
            <w:proofErr w:type="spellStart"/>
            <w:r w:rsidRPr="002C0269">
              <w:rPr>
                <w:rFonts w:cs="Calibri"/>
                <w:color w:val="000000"/>
              </w:rPr>
              <w:t>Cepovan</w:t>
            </w:r>
            <w:proofErr w:type="spellEnd"/>
            <w:r w:rsidRPr="002C0269">
              <w:rPr>
                <w:rFonts w:cs="Calibri"/>
                <w:color w:val="000000"/>
              </w:rPr>
              <w:t xml:space="preserve"> - Lokve</w:t>
            </w:r>
          </w:p>
        </w:tc>
        <w:tc>
          <w:tcPr>
            <w:tcW w:w="669" w:type="pct"/>
            <w:noWrap/>
            <w:vAlign w:val="center"/>
          </w:tcPr>
          <w:p w14:paraId="24DC4E25" w14:textId="77777777" w:rsidR="00C47DF2" w:rsidRPr="007D1FEC" w:rsidRDefault="00C47DF2" w:rsidP="00FF0031">
            <w:pPr>
              <w:jc w:val="left"/>
            </w:pPr>
            <w:r w:rsidRPr="007D1FEC">
              <w:t>3</w:t>
            </w:r>
          </w:p>
        </w:tc>
        <w:tc>
          <w:tcPr>
            <w:tcW w:w="521" w:type="pct"/>
            <w:noWrap/>
            <w:vAlign w:val="center"/>
            <w:hideMark/>
          </w:tcPr>
          <w:p w14:paraId="32AEA7CD"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71682C73" w14:textId="77777777" w:rsidR="00C47DF2" w:rsidRPr="002C0269" w:rsidRDefault="00C47DF2" w:rsidP="00FF0031">
            <w:pPr>
              <w:jc w:val="left"/>
              <w:rPr>
                <w:highlight w:val="yellow"/>
              </w:rPr>
            </w:pPr>
            <w:r w:rsidRPr="002C0269">
              <w:rPr>
                <w:rFonts w:cs="Calibri"/>
                <w:color w:val="000000"/>
              </w:rPr>
              <w:t xml:space="preserve">tlačni filtri, dezinfekcija z UV žarnicami, </w:t>
            </w:r>
            <w:proofErr w:type="spellStart"/>
            <w:r w:rsidRPr="002C0269">
              <w:rPr>
                <w:rFonts w:cs="Calibri"/>
                <w:color w:val="000000"/>
              </w:rPr>
              <w:t>hipoklor</w:t>
            </w:r>
            <w:proofErr w:type="spellEnd"/>
          </w:p>
        </w:tc>
      </w:tr>
      <w:tr w:rsidR="00C47DF2" w:rsidRPr="00FB70C6" w14:paraId="1A082C2E" w14:textId="77777777" w:rsidTr="00FF0031">
        <w:trPr>
          <w:trHeight w:val="300"/>
        </w:trPr>
        <w:tc>
          <w:tcPr>
            <w:tcW w:w="1128" w:type="pct"/>
            <w:shd w:val="clear" w:color="auto" w:fill="F2F2F2" w:themeFill="background1" w:themeFillShade="F2"/>
            <w:noWrap/>
            <w:vAlign w:val="center"/>
          </w:tcPr>
          <w:p w14:paraId="38BDAF5D" w14:textId="77777777" w:rsidR="00C47DF2" w:rsidRPr="002C0269" w:rsidRDefault="00C47DF2" w:rsidP="00FF0031">
            <w:pPr>
              <w:jc w:val="left"/>
              <w:rPr>
                <w:highlight w:val="yellow"/>
              </w:rPr>
            </w:pPr>
            <w:proofErr w:type="spellStart"/>
            <w:r w:rsidRPr="002C0269">
              <w:rPr>
                <w:rFonts w:cs="Calibri"/>
                <w:color w:val="000000"/>
              </w:rPr>
              <w:t>Cepovan</w:t>
            </w:r>
            <w:proofErr w:type="spellEnd"/>
            <w:r w:rsidRPr="002C0269">
              <w:rPr>
                <w:rFonts w:cs="Calibri"/>
                <w:color w:val="000000"/>
              </w:rPr>
              <w:t xml:space="preserve"> - </w:t>
            </w:r>
            <w:proofErr w:type="spellStart"/>
            <w:r w:rsidRPr="002C0269">
              <w:rPr>
                <w:rFonts w:cs="Calibri"/>
                <w:color w:val="000000"/>
              </w:rPr>
              <w:t>Pustale</w:t>
            </w:r>
            <w:proofErr w:type="spellEnd"/>
          </w:p>
        </w:tc>
        <w:tc>
          <w:tcPr>
            <w:tcW w:w="1066" w:type="pct"/>
            <w:noWrap/>
            <w:vAlign w:val="center"/>
            <w:hideMark/>
          </w:tcPr>
          <w:p w14:paraId="5FFD5069" w14:textId="77777777" w:rsidR="00C47DF2" w:rsidRPr="002C0269" w:rsidRDefault="00C47DF2" w:rsidP="00FF0031">
            <w:pPr>
              <w:jc w:val="left"/>
              <w:rPr>
                <w:highlight w:val="yellow"/>
              </w:rPr>
            </w:pPr>
            <w:proofErr w:type="spellStart"/>
            <w:r w:rsidRPr="002C0269">
              <w:rPr>
                <w:rFonts w:cs="Calibri"/>
                <w:color w:val="000000"/>
              </w:rPr>
              <w:t>Cepovan</w:t>
            </w:r>
            <w:proofErr w:type="spellEnd"/>
            <w:r w:rsidRPr="002C0269">
              <w:rPr>
                <w:rFonts w:cs="Calibri"/>
                <w:color w:val="000000"/>
              </w:rPr>
              <w:t xml:space="preserve"> - Lokve</w:t>
            </w:r>
          </w:p>
        </w:tc>
        <w:tc>
          <w:tcPr>
            <w:tcW w:w="669" w:type="pct"/>
            <w:noWrap/>
            <w:vAlign w:val="center"/>
          </w:tcPr>
          <w:p w14:paraId="1402ACE1" w14:textId="77777777" w:rsidR="00C47DF2" w:rsidRPr="007D1FEC" w:rsidRDefault="00C47DF2" w:rsidP="00FF0031">
            <w:pPr>
              <w:jc w:val="left"/>
            </w:pPr>
            <w:r w:rsidRPr="007D1FEC">
              <w:t>3</w:t>
            </w:r>
          </w:p>
        </w:tc>
        <w:tc>
          <w:tcPr>
            <w:tcW w:w="521" w:type="pct"/>
            <w:noWrap/>
            <w:vAlign w:val="center"/>
            <w:hideMark/>
          </w:tcPr>
          <w:p w14:paraId="45AEFA52"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64C5F9AC" w14:textId="77777777" w:rsidR="00C47DF2" w:rsidRPr="002C0269" w:rsidRDefault="00C47DF2" w:rsidP="00FF0031">
            <w:pPr>
              <w:jc w:val="left"/>
              <w:rPr>
                <w:highlight w:val="yellow"/>
              </w:rPr>
            </w:pPr>
            <w:r w:rsidRPr="002C0269">
              <w:rPr>
                <w:rFonts w:cs="Calibri"/>
                <w:color w:val="000000"/>
              </w:rPr>
              <w:t xml:space="preserve">tlačni filtri, dezinfekcija z UV žarnicami, </w:t>
            </w:r>
            <w:proofErr w:type="spellStart"/>
            <w:r w:rsidRPr="002C0269">
              <w:rPr>
                <w:rFonts w:cs="Calibri"/>
                <w:color w:val="000000"/>
              </w:rPr>
              <w:t>hipoklor</w:t>
            </w:r>
            <w:proofErr w:type="spellEnd"/>
          </w:p>
        </w:tc>
      </w:tr>
      <w:tr w:rsidR="00C47DF2" w:rsidRPr="00FB70C6" w14:paraId="23C87C76" w14:textId="77777777" w:rsidTr="00FF0031">
        <w:trPr>
          <w:trHeight w:val="300"/>
        </w:trPr>
        <w:tc>
          <w:tcPr>
            <w:tcW w:w="1128" w:type="pct"/>
            <w:shd w:val="clear" w:color="auto" w:fill="F2F2F2" w:themeFill="background1" w:themeFillShade="F2"/>
            <w:noWrap/>
            <w:vAlign w:val="center"/>
          </w:tcPr>
          <w:p w14:paraId="46939B61" w14:textId="77777777" w:rsidR="00C47DF2" w:rsidRPr="002C0269" w:rsidRDefault="00C47DF2" w:rsidP="00FF0031">
            <w:pPr>
              <w:jc w:val="left"/>
              <w:rPr>
                <w:highlight w:val="yellow"/>
              </w:rPr>
            </w:pPr>
            <w:r w:rsidRPr="002C0269">
              <w:rPr>
                <w:rFonts w:cs="Calibri"/>
                <w:color w:val="000000"/>
              </w:rPr>
              <w:t xml:space="preserve">Dol pri </w:t>
            </w:r>
            <w:proofErr w:type="spellStart"/>
            <w:r w:rsidRPr="002C0269">
              <w:rPr>
                <w:rFonts w:cs="Calibri"/>
                <w:color w:val="000000"/>
              </w:rPr>
              <w:t>Cepovanu</w:t>
            </w:r>
            <w:proofErr w:type="spellEnd"/>
          </w:p>
        </w:tc>
        <w:tc>
          <w:tcPr>
            <w:tcW w:w="1066" w:type="pct"/>
            <w:noWrap/>
            <w:vAlign w:val="center"/>
            <w:hideMark/>
          </w:tcPr>
          <w:p w14:paraId="27BCBAB2" w14:textId="77777777" w:rsidR="00C47DF2" w:rsidRPr="002C0269" w:rsidRDefault="00C47DF2" w:rsidP="00FF0031">
            <w:pPr>
              <w:jc w:val="left"/>
              <w:rPr>
                <w:highlight w:val="yellow"/>
              </w:rPr>
            </w:pPr>
            <w:r w:rsidRPr="002C0269">
              <w:rPr>
                <w:rFonts w:cs="Calibri"/>
                <w:color w:val="000000"/>
              </w:rPr>
              <w:t xml:space="preserve">Dol - </w:t>
            </w:r>
            <w:proofErr w:type="spellStart"/>
            <w:r w:rsidRPr="002C0269">
              <w:rPr>
                <w:rFonts w:cs="Calibri"/>
                <w:color w:val="000000"/>
              </w:rPr>
              <w:t>Cepovan</w:t>
            </w:r>
            <w:proofErr w:type="spellEnd"/>
          </w:p>
        </w:tc>
        <w:tc>
          <w:tcPr>
            <w:tcW w:w="669" w:type="pct"/>
            <w:noWrap/>
            <w:vAlign w:val="center"/>
          </w:tcPr>
          <w:p w14:paraId="0E530C11" w14:textId="77777777" w:rsidR="00C47DF2" w:rsidRPr="007D1FEC" w:rsidRDefault="00C47DF2" w:rsidP="00FF0031">
            <w:pPr>
              <w:jc w:val="left"/>
            </w:pPr>
            <w:r w:rsidRPr="007D1FEC">
              <w:t>3</w:t>
            </w:r>
          </w:p>
        </w:tc>
        <w:tc>
          <w:tcPr>
            <w:tcW w:w="521" w:type="pct"/>
            <w:noWrap/>
            <w:vAlign w:val="center"/>
            <w:hideMark/>
          </w:tcPr>
          <w:p w14:paraId="2302B401"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39C05D4F" w14:textId="77777777" w:rsidR="00C47DF2" w:rsidRPr="002C0269" w:rsidRDefault="00C47DF2" w:rsidP="00FF0031">
            <w:pPr>
              <w:jc w:val="left"/>
              <w:rPr>
                <w:highlight w:val="yellow"/>
              </w:rPr>
            </w:pPr>
            <w:r w:rsidRPr="002C0269">
              <w:rPr>
                <w:rFonts w:cs="Calibri"/>
                <w:color w:val="000000"/>
              </w:rPr>
              <w:t xml:space="preserve">tlačni filtri, dezinfekcija z UV žarnicami, </w:t>
            </w:r>
            <w:proofErr w:type="spellStart"/>
            <w:r w:rsidRPr="002C0269">
              <w:rPr>
                <w:rFonts w:cs="Calibri"/>
                <w:color w:val="000000"/>
              </w:rPr>
              <w:t>hipoklor</w:t>
            </w:r>
            <w:proofErr w:type="spellEnd"/>
          </w:p>
        </w:tc>
      </w:tr>
      <w:tr w:rsidR="00C47DF2" w:rsidRPr="00FB70C6" w14:paraId="6A024CBE" w14:textId="77777777" w:rsidTr="00FF0031">
        <w:trPr>
          <w:trHeight w:val="300"/>
        </w:trPr>
        <w:tc>
          <w:tcPr>
            <w:tcW w:w="1128" w:type="pct"/>
            <w:shd w:val="clear" w:color="auto" w:fill="F2F2F2" w:themeFill="background1" w:themeFillShade="F2"/>
            <w:noWrap/>
            <w:vAlign w:val="center"/>
          </w:tcPr>
          <w:p w14:paraId="5D5B8FC2" w14:textId="77777777" w:rsidR="00C47DF2" w:rsidRPr="002C0269" w:rsidRDefault="00C47DF2" w:rsidP="00FF0031">
            <w:pPr>
              <w:jc w:val="left"/>
              <w:rPr>
                <w:highlight w:val="yellow"/>
              </w:rPr>
            </w:pPr>
            <w:r w:rsidRPr="002C0269">
              <w:rPr>
                <w:rFonts w:cs="Calibri"/>
                <w:color w:val="000000"/>
              </w:rPr>
              <w:t>Jerebica</w:t>
            </w:r>
          </w:p>
        </w:tc>
        <w:tc>
          <w:tcPr>
            <w:tcW w:w="1066" w:type="pct"/>
            <w:noWrap/>
            <w:vAlign w:val="center"/>
            <w:hideMark/>
          </w:tcPr>
          <w:p w14:paraId="1CA6FDF7" w14:textId="77777777" w:rsidR="00C47DF2" w:rsidRPr="002C0269" w:rsidRDefault="00C47DF2" w:rsidP="00FF0031">
            <w:pPr>
              <w:jc w:val="left"/>
              <w:rPr>
                <w:highlight w:val="yellow"/>
              </w:rPr>
            </w:pPr>
            <w:r w:rsidRPr="002C0269">
              <w:rPr>
                <w:rFonts w:cs="Calibri"/>
                <w:color w:val="000000"/>
              </w:rPr>
              <w:t>Kromberk</w:t>
            </w:r>
          </w:p>
        </w:tc>
        <w:tc>
          <w:tcPr>
            <w:tcW w:w="669" w:type="pct"/>
            <w:noWrap/>
            <w:vAlign w:val="center"/>
          </w:tcPr>
          <w:p w14:paraId="4D69A334" w14:textId="77777777" w:rsidR="00C47DF2" w:rsidRPr="007D1FEC" w:rsidRDefault="00C47DF2" w:rsidP="00FF0031">
            <w:pPr>
              <w:jc w:val="left"/>
            </w:pPr>
            <w:r w:rsidRPr="007D1FEC">
              <w:t>/</w:t>
            </w:r>
          </w:p>
        </w:tc>
        <w:tc>
          <w:tcPr>
            <w:tcW w:w="521" w:type="pct"/>
            <w:noWrap/>
            <w:vAlign w:val="center"/>
            <w:hideMark/>
          </w:tcPr>
          <w:p w14:paraId="68A6DDC0"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6496031D" w14:textId="77777777" w:rsidR="00C47DF2" w:rsidRPr="002C0269" w:rsidRDefault="00C47DF2" w:rsidP="00FF0031">
            <w:pPr>
              <w:jc w:val="left"/>
              <w:rPr>
                <w:highlight w:val="yellow"/>
              </w:rPr>
            </w:pPr>
            <w:r w:rsidRPr="002C0269">
              <w:rPr>
                <w:rFonts w:cs="Calibri"/>
                <w:color w:val="000000"/>
              </w:rPr>
              <w:t xml:space="preserve">plinski klor, del </w:t>
            </w:r>
            <w:proofErr w:type="spellStart"/>
            <w:r w:rsidRPr="002C0269">
              <w:rPr>
                <w:rFonts w:cs="Calibri"/>
                <w:color w:val="000000"/>
              </w:rPr>
              <w:t>hipoklor</w:t>
            </w:r>
            <w:proofErr w:type="spellEnd"/>
          </w:p>
        </w:tc>
      </w:tr>
      <w:tr w:rsidR="00C47DF2" w:rsidRPr="00FB70C6" w14:paraId="29C899FA" w14:textId="77777777" w:rsidTr="00FF0031">
        <w:trPr>
          <w:trHeight w:val="300"/>
        </w:trPr>
        <w:tc>
          <w:tcPr>
            <w:tcW w:w="1128" w:type="pct"/>
            <w:shd w:val="clear" w:color="auto" w:fill="F2F2F2" w:themeFill="background1" w:themeFillShade="F2"/>
            <w:noWrap/>
            <w:vAlign w:val="center"/>
          </w:tcPr>
          <w:p w14:paraId="754713B9" w14:textId="77777777" w:rsidR="00C47DF2" w:rsidRPr="002C0269" w:rsidRDefault="00C47DF2" w:rsidP="00FF0031">
            <w:pPr>
              <w:jc w:val="left"/>
              <w:rPr>
                <w:highlight w:val="yellow"/>
              </w:rPr>
            </w:pPr>
            <w:proofErr w:type="spellStart"/>
            <w:r w:rsidRPr="002C0269">
              <w:rPr>
                <w:rFonts w:cs="Calibri"/>
                <w:color w:val="000000"/>
              </w:rPr>
              <w:t>Perivnik</w:t>
            </w:r>
            <w:proofErr w:type="spellEnd"/>
            <w:r w:rsidRPr="002C0269">
              <w:rPr>
                <w:rFonts w:cs="Calibri"/>
                <w:color w:val="000000"/>
              </w:rPr>
              <w:t xml:space="preserve"> gornji</w:t>
            </w:r>
          </w:p>
        </w:tc>
        <w:tc>
          <w:tcPr>
            <w:tcW w:w="1066" w:type="pct"/>
            <w:noWrap/>
            <w:vAlign w:val="center"/>
            <w:hideMark/>
          </w:tcPr>
          <w:p w14:paraId="42CCA654" w14:textId="77777777" w:rsidR="00C47DF2" w:rsidRPr="002C0269" w:rsidRDefault="00C47DF2" w:rsidP="00FF0031">
            <w:pPr>
              <w:jc w:val="left"/>
              <w:rPr>
                <w:highlight w:val="yellow"/>
              </w:rPr>
            </w:pPr>
            <w:r w:rsidRPr="002C0269">
              <w:rPr>
                <w:rFonts w:cs="Calibri"/>
                <w:color w:val="000000"/>
              </w:rPr>
              <w:t>Kromberk</w:t>
            </w:r>
          </w:p>
        </w:tc>
        <w:tc>
          <w:tcPr>
            <w:tcW w:w="669" w:type="pct"/>
            <w:noWrap/>
            <w:vAlign w:val="center"/>
          </w:tcPr>
          <w:p w14:paraId="4015C3C0" w14:textId="77777777" w:rsidR="00C47DF2" w:rsidRPr="007D1FEC" w:rsidRDefault="00C47DF2" w:rsidP="00FF0031">
            <w:pPr>
              <w:jc w:val="left"/>
            </w:pPr>
            <w:r w:rsidRPr="007D1FEC">
              <w:t>/</w:t>
            </w:r>
          </w:p>
        </w:tc>
        <w:tc>
          <w:tcPr>
            <w:tcW w:w="521" w:type="pct"/>
            <w:noWrap/>
            <w:vAlign w:val="center"/>
            <w:hideMark/>
          </w:tcPr>
          <w:p w14:paraId="1E03716C"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0522F974" w14:textId="77777777" w:rsidR="00C47DF2" w:rsidRPr="002C0269" w:rsidRDefault="00C47DF2" w:rsidP="00FF0031">
            <w:pPr>
              <w:jc w:val="left"/>
              <w:rPr>
                <w:highlight w:val="yellow"/>
              </w:rPr>
            </w:pPr>
            <w:r w:rsidRPr="002C0269">
              <w:rPr>
                <w:rFonts w:cs="Calibri"/>
                <w:color w:val="000000"/>
              </w:rPr>
              <w:t>plinski klor</w:t>
            </w:r>
          </w:p>
        </w:tc>
      </w:tr>
      <w:tr w:rsidR="00C47DF2" w:rsidRPr="00FB70C6" w14:paraId="302F49A3" w14:textId="77777777" w:rsidTr="00FF0031">
        <w:trPr>
          <w:trHeight w:val="300"/>
        </w:trPr>
        <w:tc>
          <w:tcPr>
            <w:tcW w:w="1128" w:type="pct"/>
            <w:shd w:val="clear" w:color="auto" w:fill="F2F2F2" w:themeFill="background1" w:themeFillShade="F2"/>
            <w:noWrap/>
            <w:vAlign w:val="center"/>
          </w:tcPr>
          <w:p w14:paraId="0FC7E690" w14:textId="77777777" w:rsidR="00C47DF2" w:rsidRPr="002C0269" w:rsidRDefault="00C47DF2" w:rsidP="00FF0031">
            <w:pPr>
              <w:jc w:val="left"/>
              <w:rPr>
                <w:highlight w:val="yellow"/>
              </w:rPr>
            </w:pPr>
            <w:proofErr w:type="spellStart"/>
            <w:r w:rsidRPr="002C0269">
              <w:rPr>
                <w:rFonts w:cs="Calibri"/>
                <w:color w:val="000000"/>
              </w:rPr>
              <w:t>Perivnik</w:t>
            </w:r>
            <w:proofErr w:type="spellEnd"/>
            <w:r w:rsidRPr="002C0269">
              <w:rPr>
                <w:rFonts w:cs="Calibri"/>
                <w:color w:val="000000"/>
              </w:rPr>
              <w:t xml:space="preserve"> srednji</w:t>
            </w:r>
          </w:p>
        </w:tc>
        <w:tc>
          <w:tcPr>
            <w:tcW w:w="1066" w:type="pct"/>
            <w:noWrap/>
            <w:vAlign w:val="center"/>
          </w:tcPr>
          <w:p w14:paraId="02E4D485" w14:textId="77777777" w:rsidR="00C47DF2" w:rsidRPr="002C0269" w:rsidRDefault="00C47DF2" w:rsidP="00FF0031">
            <w:pPr>
              <w:jc w:val="left"/>
              <w:rPr>
                <w:highlight w:val="yellow"/>
              </w:rPr>
            </w:pPr>
            <w:r w:rsidRPr="002C0269">
              <w:rPr>
                <w:rFonts w:cs="Calibri"/>
                <w:color w:val="000000"/>
              </w:rPr>
              <w:t>Kromberk</w:t>
            </w:r>
          </w:p>
        </w:tc>
        <w:tc>
          <w:tcPr>
            <w:tcW w:w="669" w:type="pct"/>
            <w:noWrap/>
            <w:vAlign w:val="center"/>
          </w:tcPr>
          <w:p w14:paraId="1FB99A41" w14:textId="77777777" w:rsidR="00C47DF2" w:rsidRPr="007D1FEC" w:rsidRDefault="00C47DF2" w:rsidP="00FF0031">
            <w:pPr>
              <w:jc w:val="left"/>
            </w:pPr>
            <w:r w:rsidRPr="007D1FEC">
              <w:t>/</w:t>
            </w:r>
          </w:p>
        </w:tc>
        <w:tc>
          <w:tcPr>
            <w:tcW w:w="521" w:type="pct"/>
            <w:noWrap/>
            <w:vAlign w:val="center"/>
          </w:tcPr>
          <w:p w14:paraId="2E5F8256"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2117FC1B" w14:textId="77777777" w:rsidR="00C47DF2" w:rsidRPr="002C0269" w:rsidRDefault="00C47DF2" w:rsidP="00FF0031">
            <w:pPr>
              <w:jc w:val="left"/>
              <w:rPr>
                <w:rFonts w:cs="Calibri"/>
                <w:color w:val="000000"/>
                <w:highlight w:val="yellow"/>
              </w:rPr>
            </w:pPr>
            <w:r w:rsidRPr="002C0269">
              <w:rPr>
                <w:rFonts w:cs="Calibri"/>
                <w:color w:val="000000"/>
              </w:rPr>
              <w:t>plinski klor</w:t>
            </w:r>
          </w:p>
        </w:tc>
      </w:tr>
      <w:tr w:rsidR="00C47DF2" w:rsidRPr="00FB70C6" w14:paraId="02C12EFB" w14:textId="77777777" w:rsidTr="00FF0031">
        <w:trPr>
          <w:trHeight w:val="300"/>
        </w:trPr>
        <w:tc>
          <w:tcPr>
            <w:tcW w:w="1128" w:type="pct"/>
            <w:shd w:val="clear" w:color="auto" w:fill="F2F2F2" w:themeFill="background1" w:themeFillShade="F2"/>
            <w:noWrap/>
            <w:vAlign w:val="center"/>
          </w:tcPr>
          <w:p w14:paraId="2128C40A" w14:textId="77777777" w:rsidR="00C47DF2" w:rsidRPr="002C0269" w:rsidRDefault="00C47DF2" w:rsidP="00FF0031">
            <w:pPr>
              <w:jc w:val="left"/>
              <w:rPr>
                <w:highlight w:val="yellow"/>
              </w:rPr>
            </w:pPr>
            <w:proofErr w:type="spellStart"/>
            <w:r w:rsidRPr="002C0269">
              <w:rPr>
                <w:rFonts w:cs="Calibri"/>
                <w:color w:val="000000"/>
              </w:rPr>
              <w:t>Perivnik</w:t>
            </w:r>
            <w:proofErr w:type="spellEnd"/>
            <w:r w:rsidRPr="002C0269">
              <w:rPr>
                <w:rFonts w:cs="Calibri"/>
                <w:color w:val="000000"/>
              </w:rPr>
              <w:t xml:space="preserve"> spodnji</w:t>
            </w:r>
          </w:p>
        </w:tc>
        <w:tc>
          <w:tcPr>
            <w:tcW w:w="1066" w:type="pct"/>
            <w:noWrap/>
            <w:vAlign w:val="center"/>
          </w:tcPr>
          <w:p w14:paraId="33F57499" w14:textId="77777777" w:rsidR="00C47DF2" w:rsidRPr="002C0269" w:rsidRDefault="00C47DF2" w:rsidP="00FF0031">
            <w:pPr>
              <w:jc w:val="left"/>
              <w:rPr>
                <w:highlight w:val="yellow"/>
              </w:rPr>
            </w:pPr>
            <w:r w:rsidRPr="002C0269">
              <w:rPr>
                <w:rFonts w:cs="Calibri"/>
                <w:color w:val="000000"/>
              </w:rPr>
              <w:t>Kromberk</w:t>
            </w:r>
          </w:p>
        </w:tc>
        <w:tc>
          <w:tcPr>
            <w:tcW w:w="669" w:type="pct"/>
            <w:noWrap/>
            <w:vAlign w:val="center"/>
          </w:tcPr>
          <w:p w14:paraId="6A86D790" w14:textId="77777777" w:rsidR="00C47DF2" w:rsidRPr="007D1FEC" w:rsidRDefault="00C47DF2" w:rsidP="00FF0031">
            <w:pPr>
              <w:jc w:val="left"/>
            </w:pPr>
            <w:r w:rsidRPr="007D1FEC">
              <w:t>/</w:t>
            </w:r>
          </w:p>
        </w:tc>
        <w:tc>
          <w:tcPr>
            <w:tcW w:w="521" w:type="pct"/>
            <w:noWrap/>
            <w:vAlign w:val="center"/>
          </w:tcPr>
          <w:p w14:paraId="5208A22D"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304283A5" w14:textId="77777777" w:rsidR="00C47DF2" w:rsidRPr="002C0269" w:rsidRDefault="00C47DF2" w:rsidP="00FF0031">
            <w:pPr>
              <w:jc w:val="left"/>
              <w:rPr>
                <w:rFonts w:cs="Calibri"/>
                <w:color w:val="000000"/>
                <w:highlight w:val="yellow"/>
              </w:rPr>
            </w:pPr>
            <w:r w:rsidRPr="002C0269">
              <w:rPr>
                <w:rFonts w:cs="Calibri"/>
                <w:color w:val="000000"/>
              </w:rPr>
              <w:t>plinski klor</w:t>
            </w:r>
          </w:p>
        </w:tc>
      </w:tr>
      <w:tr w:rsidR="00C47DF2" w:rsidRPr="00FB70C6" w14:paraId="5E68ECAD" w14:textId="77777777" w:rsidTr="00FF0031">
        <w:trPr>
          <w:trHeight w:val="300"/>
        </w:trPr>
        <w:tc>
          <w:tcPr>
            <w:tcW w:w="1128" w:type="pct"/>
            <w:shd w:val="clear" w:color="auto" w:fill="F2F2F2" w:themeFill="background1" w:themeFillShade="F2"/>
            <w:noWrap/>
            <w:vAlign w:val="center"/>
          </w:tcPr>
          <w:p w14:paraId="48340516" w14:textId="77777777" w:rsidR="00C47DF2" w:rsidRPr="002C0269" w:rsidRDefault="00C47DF2" w:rsidP="00FF0031">
            <w:pPr>
              <w:jc w:val="left"/>
              <w:rPr>
                <w:highlight w:val="yellow"/>
              </w:rPr>
            </w:pPr>
            <w:proofErr w:type="spellStart"/>
            <w:r w:rsidRPr="002C0269">
              <w:rPr>
                <w:rFonts w:cs="Calibri"/>
                <w:color w:val="000000"/>
              </w:rPr>
              <w:t>Lokatonci</w:t>
            </w:r>
            <w:proofErr w:type="spellEnd"/>
          </w:p>
        </w:tc>
        <w:tc>
          <w:tcPr>
            <w:tcW w:w="1066" w:type="pct"/>
            <w:noWrap/>
            <w:vAlign w:val="center"/>
          </w:tcPr>
          <w:p w14:paraId="0EB3F5CA" w14:textId="77777777" w:rsidR="00C47DF2" w:rsidRPr="002C0269" w:rsidRDefault="00C47DF2" w:rsidP="00FF0031">
            <w:pPr>
              <w:jc w:val="left"/>
              <w:rPr>
                <w:highlight w:val="yellow"/>
              </w:rPr>
            </w:pPr>
            <w:proofErr w:type="spellStart"/>
            <w:r w:rsidRPr="002C0269">
              <w:rPr>
                <w:rFonts w:cs="Calibri"/>
                <w:color w:val="000000"/>
              </w:rPr>
              <w:t>Lokatonci</w:t>
            </w:r>
            <w:proofErr w:type="spellEnd"/>
            <w:r w:rsidRPr="002C0269">
              <w:rPr>
                <w:rFonts w:cs="Calibri"/>
                <w:color w:val="000000"/>
              </w:rPr>
              <w:t xml:space="preserve"> - </w:t>
            </w:r>
            <w:proofErr w:type="spellStart"/>
            <w:r w:rsidRPr="002C0269">
              <w:rPr>
                <w:rFonts w:cs="Calibri"/>
                <w:color w:val="000000"/>
              </w:rPr>
              <w:t>SvGora</w:t>
            </w:r>
            <w:proofErr w:type="spellEnd"/>
          </w:p>
        </w:tc>
        <w:tc>
          <w:tcPr>
            <w:tcW w:w="669" w:type="pct"/>
            <w:noWrap/>
            <w:vAlign w:val="center"/>
          </w:tcPr>
          <w:p w14:paraId="28E8F3DE" w14:textId="77777777" w:rsidR="00C47DF2" w:rsidRPr="007D1FEC" w:rsidRDefault="00C47DF2" w:rsidP="00FF0031">
            <w:pPr>
              <w:jc w:val="left"/>
            </w:pPr>
            <w:r w:rsidRPr="007D1FEC">
              <w:t>0</w:t>
            </w:r>
          </w:p>
        </w:tc>
        <w:tc>
          <w:tcPr>
            <w:tcW w:w="521" w:type="pct"/>
            <w:noWrap/>
            <w:vAlign w:val="center"/>
          </w:tcPr>
          <w:p w14:paraId="0BE048F1"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365B0F5B" w14:textId="77777777" w:rsidR="00C47DF2" w:rsidRPr="002C0269" w:rsidRDefault="00C47DF2" w:rsidP="00FF0031">
            <w:pPr>
              <w:jc w:val="left"/>
              <w:rPr>
                <w:rFonts w:cs="Calibri"/>
                <w:color w:val="000000"/>
                <w:highlight w:val="yellow"/>
              </w:rPr>
            </w:pPr>
            <w:r w:rsidRPr="002C0269">
              <w:rPr>
                <w:rFonts w:cs="Calibri"/>
                <w:color w:val="000000"/>
              </w:rPr>
              <w:t xml:space="preserve">tlačni filtri, dezinfekcija z UV žarnicami, </w:t>
            </w:r>
            <w:proofErr w:type="spellStart"/>
            <w:r w:rsidRPr="002C0269">
              <w:rPr>
                <w:rFonts w:cs="Calibri"/>
                <w:color w:val="000000"/>
              </w:rPr>
              <w:t>hipoklor</w:t>
            </w:r>
            <w:proofErr w:type="spellEnd"/>
          </w:p>
        </w:tc>
      </w:tr>
      <w:tr w:rsidR="00C47DF2" w:rsidRPr="00FB70C6" w14:paraId="6B97AF78" w14:textId="77777777" w:rsidTr="00FF0031">
        <w:trPr>
          <w:trHeight w:val="300"/>
        </w:trPr>
        <w:tc>
          <w:tcPr>
            <w:tcW w:w="1128" w:type="pct"/>
            <w:shd w:val="clear" w:color="auto" w:fill="F2F2F2" w:themeFill="background1" w:themeFillShade="F2"/>
            <w:noWrap/>
            <w:vAlign w:val="center"/>
          </w:tcPr>
          <w:p w14:paraId="7A4C81C9" w14:textId="77777777" w:rsidR="00C47DF2" w:rsidRPr="002C0269" w:rsidRDefault="00C47DF2" w:rsidP="00FF0031">
            <w:pPr>
              <w:jc w:val="left"/>
              <w:rPr>
                <w:highlight w:val="yellow"/>
              </w:rPr>
            </w:pPr>
            <w:proofErr w:type="spellStart"/>
            <w:r w:rsidRPr="002C0269">
              <w:rPr>
                <w:rFonts w:cs="Calibri"/>
                <w:color w:val="000000"/>
              </w:rPr>
              <w:t>Mrzlek</w:t>
            </w:r>
            <w:proofErr w:type="spellEnd"/>
          </w:p>
        </w:tc>
        <w:tc>
          <w:tcPr>
            <w:tcW w:w="1066" w:type="pct"/>
            <w:noWrap/>
            <w:vAlign w:val="center"/>
          </w:tcPr>
          <w:p w14:paraId="641BED29" w14:textId="77777777" w:rsidR="00C47DF2" w:rsidRPr="002C0269" w:rsidRDefault="00C47DF2" w:rsidP="00FF0031">
            <w:pPr>
              <w:jc w:val="left"/>
              <w:rPr>
                <w:highlight w:val="yellow"/>
              </w:rPr>
            </w:pPr>
            <w:proofErr w:type="spellStart"/>
            <w:r w:rsidRPr="002C0269">
              <w:rPr>
                <w:rFonts w:cs="Calibri"/>
                <w:color w:val="000000"/>
              </w:rPr>
              <w:t>Mrzlek</w:t>
            </w:r>
            <w:proofErr w:type="spellEnd"/>
          </w:p>
        </w:tc>
        <w:tc>
          <w:tcPr>
            <w:tcW w:w="669" w:type="pct"/>
            <w:noWrap/>
            <w:vAlign w:val="center"/>
          </w:tcPr>
          <w:p w14:paraId="1E662287" w14:textId="77777777" w:rsidR="00C47DF2" w:rsidRPr="007D1FEC" w:rsidRDefault="00C47DF2" w:rsidP="00FF0031">
            <w:pPr>
              <w:jc w:val="left"/>
            </w:pPr>
            <w:r w:rsidRPr="007D1FEC">
              <w:t>0</w:t>
            </w:r>
          </w:p>
        </w:tc>
        <w:tc>
          <w:tcPr>
            <w:tcW w:w="521" w:type="pct"/>
            <w:noWrap/>
            <w:vAlign w:val="center"/>
          </w:tcPr>
          <w:p w14:paraId="4F474658"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7C628BBC" w14:textId="77777777" w:rsidR="00C47DF2" w:rsidRPr="002C0269" w:rsidRDefault="00C47DF2" w:rsidP="00FF0031">
            <w:pPr>
              <w:jc w:val="left"/>
              <w:rPr>
                <w:rFonts w:cs="Calibri"/>
                <w:color w:val="000000"/>
                <w:highlight w:val="yellow"/>
              </w:rPr>
            </w:pPr>
            <w:proofErr w:type="spellStart"/>
            <w:r w:rsidRPr="002C0269">
              <w:rPr>
                <w:rFonts w:cs="Calibri"/>
                <w:color w:val="000000"/>
              </w:rPr>
              <w:t>ozonacijahitri</w:t>
            </w:r>
            <w:proofErr w:type="spellEnd"/>
            <w:r w:rsidRPr="002C0269">
              <w:rPr>
                <w:rFonts w:cs="Calibri"/>
                <w:color w:val="000000"/>
              </w:rPr>
              <w:t xml:space="preserve"> peščeni filtri, </w:t>
            </w:r>
            <w:proofErr w:type="spellStart"/>
            <w:r w:rsidRPr="002C0269">
              <w:rPr>
                <w:rFonts w:cs="Calibri"/>
                <w:color w:val="000000"/>
              </w:rPr>
              <w:t>ogljeni</w:t>
            </w:r>
            <w:proofErr w:type="spellEnd"/>
            <w:r w:rsidRPr="002C0269">
              <w:rPr>
                <w:rFonts w:cs="Calibri"/>
                <w:color w:val="000000"/>
              </w:rPr>
              <w:t xml:space="preserve"> filtri**, dezinfekcija z UV žarnicami, plinski klor</w:t>
            </w:r>
          </w:p>
        </w:tc>
      </w:tr>
      <w:tr w:rsidR="00C47DF2" w:rsidRPr="00FB70C6" w14:paraId="046A4740" w14:textId="77777777" w:rsidTr="00FF0031">
        <w:trPr>
          <w:trHeight w:val="300"/>
        </w:trPr>
        <w:tc>
          <w:tcPr>
            <w:tcW w:w="1128" w:type="pct"/>
            <w:shd w:val="clear" w:color="auto" w:fill="F2F2F2" w:themeFill="background1" w:themeFillShade="F2"/>
            <w:noWrap/>
            <w:vAlign w:val="center"/>
          </w:tcPr>
          <w:p w14:paraId="35337852" w14:textId="77777777" w:rsidR="00C47DF2" w:rsidRPr="002C0269" w:rsidRDefault="00C47DF2" w:rsidP="00FF0031">
            <w:pPr>
              <w:jc w:val="left"/>
              <w:rPr>
                <w:highlight w:val="yellow"/>
              </w:rPr>
            </w:pPr>
            <w:r w:rsidRPr="002C0269">
              <w:rPr>
                <w:rFonts w:cs="Calibri"/>
                <w:color w:val="000000"/>
              </w:rPr>
              <w:t>Osek</w:t>
            </w:r>
          </w:p>
        </w:tc>
        <w:tc>
          <w:tcPr>
            <w:tcW w:w="1066" w:type="pct"/>
            <w:noWrap/>
            <w:vAlign w:val="center"/>
          </w:tcPr>
          <w:p w14:paraId="129BA0A8" w14:textId="77777777" w:rsidR="00C47DF2" w:rsidRPr="002C0269" w:rsidRDefault="00C47DF2" w:rsidP="00FF0031">
            <w:pPr>
              <w:jc w:val="left"/>
              <w:rPr>
                <w:highlight w:val="yellow"/>
              </w:rPr>
            </w:pPr>
            <w:r w:rsidRPr="002C0269">
              <w:rPr>
                <w:rFonts w:cs="Calibri"/>
                <w:color w:val="000000"/>
              </w:rPr>
              <w:t>Osek-Vitovlje</w:t>
            </w:r>
          </w:p>
        </w:tc>
        <w:tc>
          <w:tcPr>
            <w:tcW w:w="669" w:type="pct"/>
            <w:noWrap/>
            <w:vAlign w:val="center"/>
          </w:tcPr>
          <w:p w14:paraId="776F0FB7" w14:textId="77777777" w:rsidR="00C47DF2" w:rsidRPr="007D1FEC" w:rsidRDefault="00C47DF2" w:rsidP="00FF0031">
            <w:pPr>
              <w:jc w:val="left"/>
            </w:pPr>
            <w:r w:rsidRPr="007D1FEC">
              <w:t>2</w:t>
            </w:r>
          </w:p>
        </w:tc>
        <w:tc>
          <w:tcPr>
            <w:tcW w:w="521" w:type="pct"/>
            <w:noWrap/>
            <w:vAlign w:val="center"/>
          </w:tcPr>
          <w:p w14:paraId="7ABAD2A4"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6C2FE4D2" w14:textId="77777777" w:rsidR="00C47DF2" w:rsidRPr="002C0269" w:rsidRDefault="00C47DF2" w:rsidP="00FF0031">
            <w:pPr>
              <w:jc w:val="left"/>
              <w:rPr>
                <w:rFonts w:cs="Calibri"/>
                <w:color w:val="000000"/>
                <w:highlight w:val="yellow"/>
              </w:rPr>
            </w:pPr>
            <w:proofErr w:type="spellStart"/>
            <w:r w:rsidRPr="002C0269">
              <w:rPr>
                <w:rFonts w:cs="Calibri"/>
                <w:color w:val="000000"/>
              </w:rPr>
              <w:t>hipoklor</w:t>
            </w:r>
            <w:proofErr w:type="spellEnd"/>
          </w:p>
        </w:tc>
      </w:tr>
      <w:tr w:rsidR="00C47DF2" w:rsidRPr="00FB70C6" w14:paraId="3E905863" w14:textId="77777777" w:rsidTr="00FF0031">
        <w:trPr>
          <w:trHeight w:val="300"/>
        </w:trPr>
        <w:tc>
          <w:tcPr>
            <w:tcW w:w="1128" w:type="pct"/>
            <w:shd w:val="clear" w:color="auto" w:fill="F2F2F2" w:themeFill="background1" w:themeFillShade="F2"/>
            <w:noWrap/>
            <w:vAlign w:val="center"/>
          </w:tcPr>
          <w:p w14:paraId="7C3C1892" w14:textId="77777777" w:rsidR="00C47DF2" w:rsidRPr="002C0269" w:rsidRDefault="00C47DF2" w:rsidP="00FF0031">
            <w:pPr>
              <w:jc w:val="left"/>
              <w:rPr>
                <w:highlight w:val="yellow"/>
              </w:rPr>
            </w:pPr>
            <w:r w:rsidRPr="002C0269">
              <w:rPr>
                <w:rFonts w:cs="Calibri"/>
                <w:color w:val="000000"/>
              </w:rPr>
              <w:t>Vitovlje</w:t>
            </w:r>
          </w:p>
        </w:tc>
        <w:tc>
          <w:tcPr>
            <w:tcW w:w="1066" w:type="pct"/>
            <w:noWrap/>
            <w:vAlign w:val="center"/>
          </w:tcPr>
          <w:p w14:paraId="28878D54" w14:textId="77777777" w:rsidR="00C47DF2" w:rsidRPr="002C0269" w:rsidRDefault="00C47DF2" w:rsidP="00FF0031">
            <w:pPr>
              <w:jc w:val="left"/>
              <w:rPr>
                <w:highlight w:val="yellow"/>
              </w:rPr>
            </w:pPr>
            <w:r w:rsidRPr="002C0269">
              <w:rPr>
                <w:rFonts w:cs="Calibri"/>
                <w:color w:val="000000"/>
              </w:rPr>
              <w:t>Osek-Vitovlje</w:t>
            </w:r>
          </w:p>
        </w:tc>
        <w:tc>
          <w:tcPr>
            <w:tcW w:w="669" w:type="pct"/>
            <w:noWrap/>
            <w:vAlign w:val="center"/>
          </w:tcPr>
          <w:p w14:paraId="7345A5C1" w14:textId="77777777" w:rsidR="00C47DF2" w:rsidRPr="007D1FEC" w:rsidRDefault="00C47DF2" w:rsidP="00FF0031">
            <w:pPr>
              <w:jc w:val="left"/>
            </w:pPr>
            <w:r w:rsidRPr="007D1FEC">
              <w:t>1</w:t>
            </w:r>
          </w:p>
        </w:tc>
        <w:tc>
          <w:tcPr>
            <w:tcW w:w="521" w:type="pct"/>
            <w:noWrap/>
            <w:vAlign w:val="center"/>
          </w:tcPr>
          <w:p w14:paraId="51F4DFF0"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3A3FD9B9" w14:textId="77777777" w:rsidR="00C47DF2" w:rsidRPr="002C0269" w:rsidRDefault="00C47DF2" w:rsidP="00FF0031">
            <w:pPr>
              <w:jc w:val="left"/>
              <w:rPr>
                <w:rFonts w:cs="Calibri"/>
                <w:color w:val="000000"/>
                <w:highlight w:val="yellow"/>
              </w:rPr>
            </w:pPr>
            <w:proofErr w:type="spellStart"/>
            <w:r w:rsidRPr="002C0269">
              <w:rPr>
                <w:rFonts w:cs="Calibri"/>
                <w:color w:val="000000"/>
              </w:rPr>
              <w:t>hipoklor</w:t>
            </w:r>
            <w:proofErr w:type="spellEnd"/>
          </w:p>
        </w:tc>
      </w:tr>
      <w:tr w:rsidR="00C47DF2" w:rsidRPr="00FB70C6" w14:paraId="3EC21CA3" w14:textId="77777777" w:rsidTr="00FF0031">
        <w:trPr>
          <w:trHeight w:val="300"/>
        </w:trPr>
        <w:tc>
          <w:tcPr>
            <w:tcW w:w="1128" w:type="pct"/>
            <w:shd w:val="clear" w:color="auto" w:fill="F2F2F2" w:themeFill="background1" w:themeFillShade="F2"/>
            <w:noWrap/>
            <w:vAlign w:val="center"/>
          </w:tcPr>
          <w:p w14:paraId="429BA10F" w14:textId="77777777" w:rsidR="00C47DF2" w:rsidRPr="002C0269" w:rsidRDefault="00C47DF2" w:rsidP="00FF0031">
            <w:pPr>
              <w:jc w:val="left"/>
              <w:rPr>
                <w:highlight w:val="yellow"/>
              </w:rPr>
            </w:pPr>
            <w:r w:rsidRPr="002C0269">
              <w:rPr>
                <w:rFonts w:cs="Calibri"/>
                <w:color w:val="000000"/>
              </w:rPr>
              <w:t>Slatna 2</w:t>
            </w:r>
          </w:p>
        </w:tc>
        <w:tc>
          <w:tcPr>
            <w:tcW w:w="1066" w:type="pct"/>
            <w:noWrap/>
            <w:vAlign w:val="center"/>
          </w:tcPr>
          <w:p w14:paraId="677EA725" w14:textId="77777777" w:rsidR="00C47DF2" w:rsidRPr="002C0269" w:rsidRDefault="00C47DF2" w:rsidP="00FF0031">
            <w:pPr>
              <w:jc w:val="left"/>
              <w:rPr>
                <w:highlight w:val="yellow"/>
              </w:rPr>
            </w:pPr>
            <w:r w:rsidRPr="002C0269">
              <w:rPr>
                <w:rFonts w:cs="Calibri"/>
                <w:color w:val="000000"/>
              </w:rPr>
              <w:t>Slatna - Grgar</w:t>
            </w:r>
          </w:p>
        </w:tc>
        <w:tc>
          <w:tcPr>
            <w:tcW w:w="669" w:type="pct"/>
            <w:noWrap/>
            <w:vAlign w:val="center"/>
          </w:tcPr>
          <w:p w14:paraId="00DF2976" w14:textId="77777777" w:rsidR="00C47DF2" w:rsidRPr="007D1FEC" w:rsidRDefault="00C47DF2" w:rsidP="00FF0031">
            <w:pPr>
              <w:jc w:val="left"/>
            </w:pPr>
            <w:r w:rsidRPr="007D1FEC">
              <w:t>0</w:t>
            </w:r>
          </w:p>
        </w:tc>
        <w:tc>
          <w:tcPr>
            <w:tcW w:w="521" w:type="pct"/>
            <w:noWrap/>
            <w:vAlign w:val="center"/>
          </w:tcPr>
          <w:p w14:paraId="0C464061"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7E2078AA" w14:textId="77777777" w:rsidR="00C47DF2" w:rsidRPr="002C0269" w:rsidRDefault="00C47DF2" w:rsidP="00FF0031">
            <w:pPr>
              <w:jc w:val="left"/>
              <w:rPr>
                <w:rFonts w:cs="Calibri"/>
                <w:color w:val="000000"/>
                <w:highlight w:val="yellow"/>
              </w:rPr>
            </w:pPr>
            <w:r w:rsidRPr="002C0269">
              <w:rPr>
                <w:rFonts w:cs="Calibri"/>
                <w:color w:val="000000"/>
              </w:rPr>
              <w:t>hitri peščeni filtri, dezinfekcija z UV žarnicami, plinski klor</w:t>
            </w:r>
          </w:p>
        </w:tc>
      </w:tr>
      <w:tr w:rsidR="00C47DF2" w:rsidRPr="00FB70C6" w14:paraId="6DB32A9F" w14:textId="77777777" w:rsidTr="00FF0031">
        <w:trPr>
          <w:trHeight w:val="300"/>
        </w:trPr>
        <w:tc>
          <w:tcPr>
            <w:tcW w:w="1128" w:type="pct"/>
            <w:shd w:val="clear" w:color="auto" w:fill="F2F2F2" w:themeFill="background1" w:themeFillShade="F2"/>
            <w:noWrap/>
            <w:vAlign w:val="center"/>
          </w:tcPr>
          <w:p w14:paraId="37D179A6" w14:textId="77777777" w:rsidR="00C47DF2" w:rsidRPr="002C0269" w:rsidRDefault="00C47DF2" w:rsidP="00FF0031">
            <w:pPr>
              <w:jc w:val="left"/>
              <w:rPr>
                <w:highlight w:val="yellow"/>
              </w:rPr>
            </w:pPr>
            <w:r w:rsidRPr="002C0269">
              <w:rPr>
                <w:rFonts w:cs="Calibri"/>
                <w:color w:val="000000"/>
              </w:rPr>
              <w:t>Slatna 3</w:t>
            </w:r>
          </w:p>
        </w:tc>
        <w:tc>
          <w:tcPr>
            <w:tcW w:w="1066" w:type="pct"/>
            <w:noWrap/>
            <w:vAlign w:val="center"/>
          </w:tcPr>
          <w:p w14:paraId="7A34A660" w14:textId="77777777" w:rsidR="00C47DF2" w:rsidRPr="002C0269" w:rsidRDefault="00C47DF2" w:rsidP="00FF0031">
            <w:pPr>
              <w:jc w:val="left"/>
              <w:rPr>
                <w:highlight w:val="yellow"/>
              </w:rPr>
            </w:pPr>
            <w:r w:rsidRPr="002C0269">
              <w:rPr>
                <w:rFonts w:cs="Calibri"/>
                <w:color w:val="000000"/>
              </w:rPr>
              <w:t>Slatna - Grgar</w:t>
            </w:r>
          </w:p>
        </w:tc>
        <w:tc>
          <w:tcPr>
            <w:tcW w:w="669" w:type="pct"/>
            <w:noWrap/>
            <w:vAlign w:val="center"/>
          </w:tcPr>
          <w:p w14:paraId="50DF9F3E" w14:textId="77777777" w:rsidR="00C47DF2" w:rsidRPr="007D1FEC" w:rsidRDefault="00C47DF2" w:rsidP="00FF0031">
            <w:pPr>
              <w:jc w:val="left"/>
            </w:pPr>
            <w:r w:rsidRPr="007D1FEC">
              <w:t>0</w:t>
            </w:r>
          </w:p>
        </w:tc>
        <w:tc>
          <w:tcPr>
            <w:tcW w:w="521" w:type="pct"/>
            <w:noWrap/>
            <w:vAlign w:val="center"/>
          </w:tcPr>
          <w:p w14:paraId="2DECFCCB"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77AAC777" w14:textId="77777777" w:rsidR="00C47DF2" w:rsidRPr="002C0269" w:rsidRDefault="00C47DF2" w:rsidP="00FF0031">
            <w:pPr>
              <w:jc w:val="left"/>
              <w:rPr>
                <w:rFonts w:cs="Calibri"/>
                <w:color w:val="000000"/>
                <w:highlight w:val="yellow"/>
              </w:rPr>
            </w:pPr>
            <w:r w:rsidRPr="002C0269">
              <w:rPr>
                <w:rFonts w:cs="Calibri"/>
                <w:color w:val="000000"/>
              </w:rPr>
              <w:t>hitri peščeni filtri, dezinfekcija z UV žarnicami, plinski klor</w:t>
            </w:r>
          </w:p>
        </w:tc>
      </w:tr>
      <w:tr w:rsidR="00C47DF2" w:rsidRPr="00FB70C6" w14:paraId="6C63925D" w14:textId="77777777" w:rsidTr="00FF0031">
        <w:trPr>
          <w:trHeight w:val="300"/>
        </w:trPr>
        <w:tc>
          <w:tcPr>
            <w:tcW w:w="1128" w:type="pct"/>
            <w:shd w:val="clear" w:color="auto" w:fill="F2F2F2" w:themeFill="background1" w:themeFillShade="F2"/>
            <w:noWrap/>
            <w:vAlign w:val="center"/>
          </w:tcPr>
          <w:p w14:paraId="0D77027C" w14:textId="77777777" w:rsidR="00C47DF2" w:rsidRPr="002C0269" w:rsidRDefault="00C47DF2" w:rsidP="00FF0031">
            <w:pPr>
              <w:jc w:val="left"/>
              <w:rPr>
                <w:highlight w:val="yellow"/>
              </w:rPr>
            </w:pPr>
            <w:r w:rsidRPr="002C0269">
              <w:rPr>
                <w:rFonts w:cs="Calibri"/>
                <w:color w:val="000000"/>
              </w:rPr>
              <w:lastRenderedPageBreak/>
              <w:t>Slatna 4</w:t>
            </w:r>
          </w:p>
        </w:tc>
        <w:tc>
          <w:tcPr>
            <w:tcW w:w="1066" w:type="pct"/>
            <w:noWrap/>
            <w:vAlign w:val="center"/>
          </w:tcPr>
          <w:p w14:paraId="29A7181B" w14:textId="77777777" w:rsidR="00C47DF2" w:rsidRPr="002C0269" w:rsidRDefault="00C47DF2" w:rsidP="00FF0031">
            <w:pPr>
              <w:jc w:val="left"/>
              <w:rPr>
                <w:highlight w:val="yellow"/>
              </w:rPr>
            </w:pPr>
            <w:r w:rsidRPr="002C0269">
              <w:rPr>
                <w:rFonts w:cs="Calibri"/>
                <w:color w:val="000000"/>
              </w:rPr>
              <w:t>Slatna - Grgar</w:t>
            </w:r>
          </w:p>
        </w:tc>
        <w:tc>
          <w:tcPr>
            <w:tcW w:w="669" w:type="pct"/>
            <w:noWrap/>
            <w:vAlign w:val="center"/>
          </w:tcPr>
          <w:p w14:paraId="0A547B1C" w14:textId="77777777" w:rsidR="00C47DF2" w:rsidRPr="007D1FEC" w:rsidRDefault="00C47DF2" w:rsidP="00FF0031">
            <w:pPr>
              <w:jc w:val="left"/>
            </w:pPr>
            <w:r w:rsidRPr="007D1FEC">
              <w:t>0</w:t>
            </w:r>
          </w:p>
        </w:tc>
        <w:tc>
          <w:tcPr>
            <w:tcW w:w="521" w:type="pct"/>
            <w:noWrap/>
            <w:vAlign w:val="center"/>
          </w:tcPr>
          <w:p w14:paraId="66039698"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32B5329D" w14:textId="77777777" w:rsidR="00C47DF2" w:rsidRPr="002C0269" w:rsidRDefault="00C47DF2" w:rsidP="00FF0031">
            <w:pPr>
              <w:jc w:val="left"/>
              <w:rPr>
                <w:rFonts w:cs="Calibri"/>
                <w:color w:val="000000"/>
                <w:highlight w:val="yellow"/>
              </w:rPr>
            </w:pPr>
            <w:r w:rsidRPr="002C0269">
              <w:rPr>
                <w:rFonts w:cs="Calibri"/>
                <w:color w:val="000000"/>
              </w:rPr>
              <w:t>hitri peščeni filtri, dezinfekcija z UV žarnicami, plinski klor</w:t>
            </w:r>
          </w:p>
        </w:tc>
      </w:tr>
      <w:tr w:rsidR="00C47DF2" w:rsidRPr="00FB70C6" w14:paraId="46AE09F5" w14:textId="77777777" w:rsidTr="00FF0031">
        <w:trPr>
          <w:trHeight w:val="300"/>
        </w:trPr>
        <w:tc>
          <w:tcPr>
            <w:tcW w:w="1128" w:type="pct"/>
            <w:shd w:val="clear" w:color="auto" w:fill="F2F2F2" w:themeFill="background1" w:themeFillShade="F2"/>
            <w:noWrap/>
            <w:vAlign w:val="center"/>
          </w:tcPr>
          <w:p w14:paraId="42F2F81D" w14:textId="77777777" w:rsidR="00C47DF2" w:rsidRPr="002C0269" w:rsidRDefault="00C47DF2" w:rsidP="00FF0031">
            <w:pPr>
              <w:jc w:val="left"/>
              <w:rPr>
                <w:highlight w:val="yellow"/>
              </w:rPr>
            </w:pPr>
            <w:r w:rsidRPr="002C0269">
              <w:rPr>
                <w:rFonts w:cs="Calibri"/>
                <w:color w:val="000000"/>
              </w:rPr>
              <w:t>Slatna 5</w:t>
            </w:r>
          </w:p>
        </w:tc>
        <w:tc>
          <w:tcPr>
            <w:tcW w:w="1066" w:type="pct"/>
            <w:noWrap/>
            <w:vAlign w:val="center"/>
          </w:tcPr>
          <w:p w14:paraId="7E2553F6" w14:textId="77777777" w:rsidR="00C47DF2" w:rsidRPr="002C0269" w:rsidRDefault="00C47DF2" w:rsidP="00FF0031">
            <w:pPr>
              <w:jc w:val="left"/>
              <w:rPr>
                <w:highlight w:val="yellow"/>
              </w:rPr>
            </w:pPr>
            <w:r w:rsidRPr="002C0269">
              <w:rPr>
                <w:rFonts w:cs="Calibri"/>
                <w:color w:val="000000"/>
              </w:rPr>
              <w:t>Slatna - Grgar</w:t>
            </w:r>
          </w:p>
        </w:tc>
        <w:tc>
          <w:tcPr>
            <w:tcW w:w="669" w:type="pct"/>
            <w:noWrap/>
            <w:vAlign w:val="center"/>
          </w:tcPr>
          <w:p w14:paraId="791305FD" w14:textId="77777777" w:rsidR="00C47DF2" w:rsidRPr="007D1FEC" w:rsidRDefault="00C47DF2" w:rsidP="00FF0031">
            <w:pPr>
              <w:jc w:val="left"/>
            </w:pPr>
            <w:r w:rsidRPr="007D1FEC">
              <w:t>0</w:t>
            </w:r>
          </w:p>
        </w:tc>
        <w:tc>
          <w:tcPr>
            <w:tcW w:w="521" w:type="pct"/>
            <w:noWrap/>
            <w:vAlign w:val="center"/>
          </w:tcPr>
          <w:p w14:paraId="69D9C467"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6250893E" w14:textId="77777777" w:rsidR="00C47DF2" w:rsidRPr="002C0269" w:rsidRDefault="00C47DF2" w:rsidP="00FF0031">
            <w:pPr>
              <w:jc w:val="left"/>
              <w:rPr>
                <w:rFonts w:cs="Calibri"/>
                <w:color w:val="000000"/>
                <w:highlight w:val="yellow"/>
              </w:rPr>
            </w:pPr>
            <w:r w:rsidRPr="002C0269">
              <w:rPr>
                <w:rFonts w:cs="Calibri"/>
                <w:color w:val="000000"/>
              </w:rPr>
              <w:t>hitri peščeni filtri, dezinfekcija z UV žarnicami, plinski klor</w:t>
            </w:r>
          </w:p>
        </w:tc>
      </w:tr>
      <w:tr w:rsidR="00C47DF2" w:rsidRPr="00FB70C6" w14:paraId="5DFDE584" w14:textId="77777777" w:rsidTr="00FF0031">
        <w:trPr>
          <w:trHeight w:val="300"/>
        </w:trPr>
        <w:tc>
          <w:tcPr>
            <w:tcW w:w="1128" w:type="pct"/>
            <w:shd w:val="clear" w:color="auto" w:fill="F2F2F2" w:themeFill="background1" w:themeFillShade="F2"/>
            <w:noWrap/>
            <w:vAlign w:val="center"/>
          </w:tcPr>
          <w:p w14:paraId="1DC0CE34" w14:textId="77777777" w:rsidR="00C47DF2" w:rsidRPr="002C0269" w:rsidRDefault="00C47DF2" w:rsidP="00FF0031">
            <w:pPr>
              <w:jc w:val="left"/>
              <w:rPr>
                <w:highlight w:val="yellow"/>
              </w:rPr>
            </w:pPr>
            <w:r w:rsidRPr="002C0269">
              <w:rPr>
                <w:rFonts w:cs="Calibri"/>
                <w:color w:val="000000"/>
              </w:rPr>
              <w:t>Slatna 7</w:t>
            </w:r>
          </w:p>
        </w:tc>
        <w:tc>
          <w:tcPr>
            <w:tcW w:w="1066" w:type="pct"/>
            <w:noWrap/>
            <w:vAlign w:val="center"/>
          </w:tcPr>
          <w:p w14:paraId="08B35E56" w14:textId="77777777" w:rsidR="00C47DF2" w:rsidRPr="002C0269" w:rsidRDefault="00C47DF2" w:rsidP="00FF0031">
            <w:pPr>
              <w:jc w:val="left"/>
              <w:rPr>
                <w:highlight w:val="yellow"/>
              </w:rPr>
            </w:pPr>
            <w:r w:rsidRPr="002C0269">
              <w:rPr>
                <w:rFonts w:cs="Calibri"/>
                <w:color w:val="000000"/>
              </w:rPr>
              <w:t>Slatna - Grgar</w:t>
            </w:r>
          </w:p>
        </w:tc>
        <w:tc>
          <w:tcPr>
            <w:tcW w:w="669" w:type="pct"/>
            <w:noWrap/>
            <w:vAlign w:val="center"/>
          </w:tcPr>
          <w:p w14:paraId="6436BA9E" w14:textId="77777777" w:rsidR="00C47DF2" w:rsidRPr="007D1FEC" w:rsidRDefault="00C47DF2" w:rsidP="00FF0031">
            <w:pPr>
              <w:jc w:val="left"/>
            </w:pPr>
            <w:r w:rsidRPr="007D1FEC">
              <w:t>0</w:t>
            </w:r>
          </w:p>
        </w:tc>
        <w:tc>
          <w:tcPr>
            <w:tcW w:w="521" w:type="pct"/>
            <w:noWrap/>
            <w:vAlign w:val="center"/>
          </w:tcPr>
          <w:p w14:paraId="22A23424"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43B6FC67" w14:textId="77777777" w:rsidR="00C47DF2" w:rsidRPr="002C0269" w:rsidRDefault="00C47DF2" w:rsidP="00FF0031">
            <w:pPr>
              <w:jc w:val="left"/>
              <w:rPr>
                <w:rFonts w:cs="Calibri"/>
                <w:color w:val="000000"/>
                <w:highlight w:val="yellow"/>
              </w:rPr>
            </w:pPr>
            <w:r w:rsidRPr="002C0269">
              <w:rPr>
                <w:rFonts w:cs="Calibri"/>
                <w:color w:val="000000"/>
              </w:rPr>
              <w:t>hitri peščeni filtri, dezinfekcija z UV žarnicami, plinski klor</w:t>
            </w:r>
          </w:p>
        </w:tc>
      </w:tr>
      <w:tr w:rsidR="00C47DF2" w:rsidRPr="00FB70C6" w14:paraId="555BFD9D" w14:textId="77777777" w:rsidTr="00FF0031">
        <w:trPr>
          <w:trHeight w:val="300"/>
        </w:trPr>
        <w:tc>
          <w:tcPr>
            <w:tcW w:w="1128" w:type="pct"/>
            <w:shd w:val="clear" w:color="auto" w:fill="F2F2F2" w:themeFill="background1" w:themeFillShade="F2"/>
            <w:noWrap/>
            <w:vAlign w:val="center"/>
          </w:tcPr>
          <w:p w14:paraId="705ADA95" w14:textId="77777777" w:rsidR="00C47DF2" w:rsidRPr="002C0269" w:rsidRDefault="00C47DF2" w:rsidP="00FF0031">
            <w:pPr>
              <w:jc w:val="left"/>
              <w:rPr>
                <w:rFonts w:cs="Calibri"/>
                <w:color w:val="000000"/>
              </w:rPr>
            </w:pPr>
            <w:r w:rsidRPr="002C0269">
              <w:rPr>
                <w:rFonts w:cs="Calibri"/>
                <w:color w:val="000000"/>
              </w:rPr>
              <w:t>Slatna 1</w:t>
            </w:r>
          </w:p>
        </w:tc>
        <w:tc>
          <w:tcPr>
            <w:tcW w:w="1066" w:type="pct"/>
            <w:noWrap/>
            <w:vAlign w:val="center"/>
          </w:tcPr>
          <w:p w14:paraId="688079F7" w14:textId="77777777" w:rsidR="00C47DF2" w:rsidRPr="002C0269" w:rsidRDefault="00C47DF2" w:rsidP="00FF0031">
            <w:pPr>
              <w:jc w:val="left"/>
              <w:rPr>
                <w:highlight w:val="yellow"/>
              </w:rPr>
            </w:pPr>
            <w:r w:rsidRPr="002C0269">
              <w:rPr>
                <w:rFonts w:cs="Calibri"/>
                <w:color w:val="000000"/>
              </w:rPr>
              <w:t>Slatna - Grgar</w:t>
            </w:r>
          </w:p>
        </w:tc>
        <w:tc>
          <w:tcPr>
            <w:tcW w:w="669" w:type="pct"/>
            <w:noWrap/>
            <w:vAlign w:val="center"/>
          </w:tcPr>
          <w:p w14:paraId="23D3F20B" w14:textId="77777777" w:rsidR="00C47DF2" w:rsidRPr="007D1FEC" w:rsidRDefault="00C47DF2" w:rsidP="00FF0031">
            <w:pPr>
              <w:jc w:val="left"/>
            </w:pPr>
            <w:r w:rsidRPr="007D1FEC">
              <w:t>0</w:t>
            </w:r>
          </w:p>
        </w:tc>
        <w:tc>
          <w:tcPr>
            <w:tcW w:w="521" w:type="pct"/>
            <w:noWrap/>
            <w:vAlign w:val="center"/>
          </w:tcPr>
          <w:p w14:paraId="14F94666"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3A0E6596" w14:textId="77777777" w:rsidR="00C47DF2" w:rsidRPr="002C0269" w:rsidRDefault="00C47DF2" w:rsidP="00FF0031">
            <w:pPr>
              <w:jc w:val="left"/>
              <w:rPr>
                <w:rFonts w:cs="Calibri"/>
                <w:color w:val="000000"/>
                <w:highlight w:val="yellow"/>
              </w:rPr>
            </w:pPr>
            <w:r w:rsidRPr="002C0269">
              <w:rPr>
                <w:rFonts w:cs="Calibri"/>
                <w:color w:val="000000"/>
              </w:rPr>
              <w:t>hitri peščeni filtri, dezinfekcija z UV žarnicami, plinski klor</w:t>
            </w:r>
          </w:p>
        </w:tc>
      </w:tr>
      <w:tr w:rsidR="00C47DF2" w:rsidRPr="00FB70C6" w14:paraId="41F44DB6" w14:textId="77777777" w:rsidTr="00FF0031">
        <w:trPr>
          <w:trHeight w:val="300"/>
        </w:trPr>
        <w:tc>
          <w:tcPr>
            <w:tcW w:w="1128" w:type="pct"/>
            <w:shd w:val="clear" w:color="auto" w:fill="F2F2F2" w:themeFill="background1" w:themeFillShade="F2"/>
            <w:noWrap/>
            <w:vAlign w:val="center"/>
          </w:tcPr>
          <w:p w14:paraId="451D4CDF" w14:textId="77777777" w:rsidR="00C47DF2" w:rsidRPr="002C0269" w:rsidRDefault="00C47DF2" w:rsidP="00FF0031">
            <w:pPr>
              <w:jc w:val="left"/>
              <w:rPr>
                <w:rFonts w:cs="Calibri"/>
                <w:color w:val="000000"/>
              </w:rPr>
            </w:pPr>
            <w:r w:rsidRPr="002C0269">
              <w:rPr>
                <w:rFonts w:cs="Calibri"/>
                <w:color w:val="000000"/>
              </w:rPr>
              <w:t xml:space="preserve">Na </w:t>
            </w:r>
            <w:proofErr w:type="spellStart"/>
            <w:r w:rsidRPr="002C0269">
              <w:rPr>
                <w:rFonts w:cs="Calibri"/>
                <w:color w:val="000000"/>
              </w:rPr>
              <w:t>Zdencu</w:t>
            </w:r>
            <w:proofErr w:type="spellEnd"/>
            <w:r w:rsidRPr="002C0269">
              <w:rPr>
                <w:rFonts w:cs="Calibri"/>
                <w:color w:val="000000"/>
              </w:rPr>
              <w:t xml:space="preserve"> - Sveto</w:t>
            </w:r>
          </w:p>
        </w:tc>
        <w:tc>
          <w:tcPr>
            <w:tcW w:w="1066" w:type="pct"/>
            <w:noWrap/>
            <w:vAlign w:val="center"/>
          </w:tcPr>
          <w:p w14:paraId="101AE2E1" w14:textId="77777777" w:rsidR="00C47DF2" w:rsidRPr="002C0269" w:rsidRDefault="00C47DF2" w:rsidP="00FF0031">
            <w:pPr>
              <w:jc w:val="left"/>
              <w:rPr>
                <w:highlight w:val="yellow"/>
              </w:rPr>
            </w:pPr>
            <w:r w:rsidRPr="002C0269">
              <w:rPr>
                <w:rFonts w:cs="Calibri"/>
                <w:color w:val="000000"/>
              </w:rPr>
              <w:t>Sveto</w:t>
            </w:r>
          </w:p>
        </w:tc>
        <w:tc>
          <w:tcPr>
            <w:tcW w:w="669" w:type="pct"/>
            <w:noWrap/>
            <w:vAlign w:val="center"/>
          </w:tcPr>
          <w:p w14:paraId="727E795F" w14:textId="77777777" w:rsidR="00C47DF2" w:rsidRPr="007D1FEC" w:rsidRDefault="00C47DF2" w:rsidP="00FF0031">
            <w:pPr>
              <w:jc w:val="left"/>
            </w:pPr>
            <w:r w:rsidRPr="007D1FEC">
              <w:t>0</w:t>
            </w:r>
          </w:p>
        </w:tc>
        <w:tc>
          <w:tcPr>
            <w:tcW w:w="521" w:type="pct"/>
            <w:noWrap/>
            <w:vAlign w:val="center"/>
          </w:tcPr>
          <w:p w14:paraId="79033515"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0B186556" w14:textId="77777777" w:rsidR="00C47DF2" w:rsidRPr="002C0269" w:rsidRDefault="00C47DF2" w:rsidP="00FF0031">
            <w:pPr>
              <w:jc w:val="left"/>
              <w:rPr>
                <w:rFonts w:cs="Calibri"/>
                <w:color w:val="000000"/>
                <w:highlight w:val="yellow"/>
              </w:rPr>
            </w:pPr>
            <w:r w:rsidRPr="002C0269">
              <w:rPr>
                <w:rFonts w:cs="Calibri"/>
                <w:color w:val="000000"/>
              </w:rPr>
              <w:t xml:space="preserve">tlačni filtri, dezinfekcija z UV žarnicami, </w:t>
            </w:r>
            <w:proofErr w:type="spellStart"/>
            <w:r w:rsidRPr="002C0269">
              <w:rPr>
                <w:rFonts w:cs="Calibri"/>
                <w:color w:val="000000"/>
              </w:rPr>
              <w:t>hipoklor</w:t>
            </w:r>
            <w:proofErr w:type="spellEnd"/>
          </w:p>
        </w:tc>
      </w:tr>
      <w:tr w:rsidR="00C47DF2" w:rsidRPr="00FB70C6" w14:paraId="70079591" w14:textId="77777777" w:rsidTr="00FF0031">
        <w:trPr>
          <w:trHeight w:val="300"/>
        </w:trPr>
        <w:tc>
          <w:tcPr>
            <w:tcW w:w="1128" w:type="pct"/>
            <w:shd w:val="clear" w:color="auto" w:fill="F2F2F2" w:themeFill="background1" w:themeFillShade="F2"/>
            <w:noWrap/>
            <w:vAlign w:val="center"/>
          </w:tcPr>
          <w:p w14:paraId="5456252B" w14:textId="77777777" w:rsidR="00C47DF2" w:rsidRPr="002C0269" w:rsidRDefault="00C47DF2" w:rsidP="00FF0031">
            <w:pPr>
              <w:jc w:val="left"/>
              <w:rPr>
                <w:rFonts w:cs="Calibri"/>
                <w:color w:val="000000"/>
              </w:rPr>
            </w:pPr>
            <w:r w:rsidRPr="002C0269">
              <w:rPr>
                <w:rFonts w:cs="Calibri"/>
                <w:color w:val="000000"/>
              </w:rPr>
              <w:t>Vrba</w:t>
            </w:r>
          </w:p>
        </w:tc>
        <w:tc>
          <w:tcPr>
            <w:tcW w:w="1066" w:type="pct"/>
            <w:noWrap/>
            <w:vAlign w:val="center"/>
          </w:tcPr>
          <w:p w14:paraId="07DCCB99" w14:textId="77777777" w:rsidR="00C47DF2" w:rsidRPr="002C0269" w:rsidRDefault="00C47DF2" w:rsidP="00FF0031">
            <w:pPr>
              <w:jc w:val="left"/>
              <w:rPr>
                <w:highlight w:val="yellow"/>
              </w:rPr>
            </w:pPr>
            <w:r w:rsidRPr="002C0269">
              <w:rPr>
                <w:rFonts w:cs="Calibri"/>
                <w:color w:val="000000"/>
              </w:rPr>
              <w:t>Vrba (Ozeljan)</w:t>
            </w:r>
          </w:p>
        </w:tc>
        <w:tc>
          <w:tcPr>
            <w:tcW w:w="669" w:type="pct"/>
            <w:noWrap/>
            <w:vAlign w:val="center"/>
          </w:tcPr>
          <w:p w14:paraId="3C7B726A" w14:textId="77777777" w:rsidR="00C47DF2" w:rsidRPr="007D1FEC" w:rsidRDefault="00C47DF2" w:rsidP="00FF0031">
            <w:pPr>
              <w:jc w:val="left"/>
            </w:pPr>
            <w:r w:rsidRPr="007D1FEC">
              <w:t>/</w:t>
            </w:r>
          </w:p>
        </w:tc>
        <w:tc>
          <w:tcPr>
            <w:tcW w:w="521" w:type="pct"/>
            <w:noWrap/>
            <w:vAlign w:val="center"/>
          </w:tcPr>
          <w:p w14:paraId="66E1316F"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683262DD" w14:textId="77777777" w:rsidR="00C47DF2" w:rsidRPr="002C0269" w:rsidRDefault="00C47DF2" w:rsidP="00FF0031">
            <w:pPr>
              <w:jc w:val="left"/>
              <w:rPr>
                <w:rFonts w:cs="Calibri"/>
                <w:color w:val="000000"/>
                <w:highlight w:val="yellow"/>
              </w:rPr>
            </w:pPr>
            <w:r w:rsidRPr="002C0269">
              <w:rPr>
                <w:rFonts w:cs="Calibri"/>
                <w:color w:val="000000"/>
              </w:rPr>
              <w:t xml:space="preserve">dezinfekcija z UV žarnicami, </w:t>
            </w:r>
            <w:proofErr w:type="spellStart"/>
            <w:r w:rsidRPr="002C0269">
              <w:rPr>
                <w:rFonts w:cs="Calibri"/>
                <w:color w:val="000000"/>
              </w:rPr>
              <w:t>hipoklor</w:t>
            </w:r>
            <w:proofErr w:type="spellEnd"/>
          </w:p>
        </w:tc>
      </w:tr>
      <w:tr w:rsidR="00C47DF2" w:rsidRPr="00FB70C6" w14:paraId="4EF6E46B" w14:textId="77777777" w:rsidTr="00FF0031">
        <w:trPr>
          <w:trHeight w:val="300"/>
        </w:trPr>
        <w:tc>
          <w:tcPr>
            <w:tcW w:w="1128" w:type="pct"/>
            <w:shd w:val="clear" w:color="auto" w:fill="F2F2F2" w:themeFill="background1" w:themeFillShade="F2"/>
            <w:noWrap/>
            <w:vAlign w:val="center"/>
          </w:tcPr>
          <w:p w14:paraId="6E01E158" w14:textId="77777777" w:rsidR="00C47DF2" w:rsidRPr="002C0269" w:rsidRDefault="00C47DF2" w:rsidP="00FF0031">
            <w:pPr>
              <w:jc w:val="left"/>
              <w:rPr>
                <w:rFonts w:cs="Calibri"/>
                <w:color w:val="000000"/>
              </w:rPr>
            </w:pPr>
            <w:r w:rsidRPr="002C0269">
              <w:rPr>
                <w:rFonts w:cs="Calibri"/>
                <w:color w:val="000000"/>
              </w:rPr>
              <w:t>Prelesje V1</w:t>
            </w:r>
          </w:p>
        </w:tc>
        <w:tc>
          <w:tcPr>
            <w:tcW w:w="1066" w:type="pct"/>
            <w:noWrap/>
            <w:vAlign w:val="center"/>
          </w:tcPr>
          <w:p w14:paraId="592EEEF8" w14:textId="77777777" w:rsidR="00C47DF2" w:rsidRPr="002C0269" w:rsidRDefault="00C47DF2" w:rsidP="00FF0031">
            <w:pPr>
              <w:jc w:val="left"/>
              <w:rPr>
                <w:highlight w:val="yellow"/>
              </w:rPr>
            </w:pPr>
            <w:proofErr w:type="spellStart"/>
            <w:r w:rsidRPr="002C0269">
              <w:rPr>
                <w:rFonts w:cs="Calibri"/>
                <w:color w:val="000000"/>
              </w:rPr>
              <w:t>Mrzlek</w:t>
            </w:r>
            <w:proofErr w:type="spellEnd"/>
          </w:p>
        </w:tc>
        <w:tc>
          <w:tcPr>
            <w:tcW w:w="669" w:type="pct"/>
            <w:noWrap/>
            <w:vAlign w:val="center"/>
          </w:tcPr>
          <w:p w14:paraId="78927FA0" w14:textId="77777777" w:rsidR="00C47DF2" w:rsidRPr="007D1FEC" w:rsidRDefault="00C47DF2" w:rsidP="00FF0031">
            <w:pPr>
              <w:jc w:val="left"/>
            </w:pPr>
            <w:r w:rsidRPr="007D1FEC">
              <w:t>/</w:t>
            </w:r>
          </w:p>
        </w:tc>
        <w:tc>
          <w:tcPr>
            <w:tcW w:w="521" w:type="pct"/>
            <w:noWrap/>
            <w:vAlign w:val="center"/>
          </w:tcPr>
          <w:p w14:paraId="27370DAB" w14:textId="77777777" w:rsidR="00C47DF2" w:rsidRPr="002C0269" w:rsidRDefault="00C47DF2" w:rsidP="00FF0031">
            <w:pPr>
              <w:jc w:val="left"/>
              <w:rPr>
                <w:highlight w:val="yellow"/>
              </w:rPr>
            </w:pPr>
            <w:r w:rsidRPr="002C0269">
              <w:rPr>
                <w:rFonts w:cs="Calibri"/>
                <w:color w:val="000000"/>
              </w:rPr>
              <w:t>rezervni</w:t>
            </w:r>
          </w:p>
        </w:tc>
        <w:tc>
          <w:tcPr>
            <w:tcW w:w="1616" w:type="pct"/>
            <w:vAlign w:val="center"/>
          </w:tcPr>
          <w:p w14:paraId="06142C5F" w14:textId="77777777" w:rsidR="00C47DF2" w:rsidRPr="002C0269" w:rsidRDefault="00C47DF2" w:rsidP="00FF0031">
            <w:pPr>
              <w:jc w:val="left"/>
              <w:rPr>
                <w:rFonts w:cs="Calibri"/>
                <w:color w:val="000000"/>
                <w:highlight w:val="yellow"/>
              </w:rPr>
            </w:pPr>
            <w:r w:rsidRPr="002C0269">
              <w:rPr>
                <w:rFonts w:cs="Calibri"/>
                <w:color w:val="000000"/>
              </w:rPr>
              <w:t>plinski klor</w:t>
            </w:r>
          </w:p>
        </w:tc>
      </w:tr>
      <w:tr w:rsidR="00C47DF2" w:rsidRPr="00FB70C6" w14:paraId="28EED45B" w14:textId="77777777" w:rsidTr="00FF0031">
        <w:trPr>
          <w:trHeight w:val="300"/>
        </w:trPr>
        <w:tc>
          <w:tcPr>
            <w:tcW w:w="1128" w:type="pct"/>
            <w:shd w:val="clear" w:color="auto" w:fill="F2F2F2" w:themeFill="background1" w:themeFillShade="F2"/>
            <w:noWrap/>
            <w:vAlign w:val="center"/>
          </w:tcPr>
          <w:p w14:paraId="70A5C7A4" w14:textId="77777777" w:rsidR="00C47DF2" w:rsidRPr="002C0269" w:rsidRDefault="00C47DF2" w:rsidP="00FF0031">
            <w:pPr>
              <w:jc w:val="left"/>
              <w:rPr>
                <w:rFonts w:cs="Calibri"/>
                <w:color w:val="000000"/>
              </w:rPr>
            </w:pPr>
            <w:r w:rsidRPr="002C0269">
              <w:rPr>
                <w:rFonts w:cs="Calibri"/>
                <w:color w:val="000000"/>
              </w:rPr>
              <w:t>Prelesje V</w:t>
            </w:r>
            <w:r>
              <w:rPr>
                <w:rFonts w:cs="Calibri"/>
                <w:color w:val="000000"/>
              </w:rPr>
              <w:t>2</w:t>
            </w:r>
          </w:p>
        </w:tc>
        <w:tc>
          <w:tcPr>
            <w:tcW w:w="1066" w:type="pct"/>
            <w:noWrap/>
            <w:vAlign w:val="center"/>
          </w:tcPr>
          <w:p w14:paraId="22E8D890" w14:textId="77777777" w:rsidR="00C47DF2" w:rsidRPr="002C0269" w:rsidRDefault="00C47DF2" w:rsidP="00FF0031">
            <w:pPr>
              <w:jc w:val="left"/>
              <w:rPr>
                <w:highlight w:val="yellow"/>
              </w:rPr>
            </w:pPr>
            <w:proofErr w:type="spellStart"/>
            <w:r w:rsidRPr="002C0269">
              <w:rPr>
                <w:rFonts w:cs="Calibri"/>
                <w:color w:val="000000"/>
              </w:rPr>
              <w:t>Mrzlek</w:t>
            </w:r>
            <w:proofErr w:type="spellEnd"/>
          </w:p>
        </w:tc>
        <w:tc>
          <w:tcPr>
            <w:tcW w:w="669" w:type="pct"/>
            <w:noWrap/>
            <w:vAlign w:val="center"/>
          </w:tcPr>
          <w:p w14:paraId="59C8DB10" w14:textId="77777777" w:rsidR="00C47DF2" w:rsidRPr="007D1FEC" w:rsidRDefault="00C47DF2" w:rsidP="00FF0031">
            <w:pPr>
              <w:jc w:val="left"/>
            </w:pPr>
            <w:r w:rsidRPr="007D1FEC">
              <w:t>/</w:t>
            </w:r>
          </w:p>
        </w:tc>
        <w:tc>
          <w:tcPr>
            <w:tcW w:w="521" w:type="pct"/>
            <w:noWrap/>
            <w:vAlign w:val="center"/>
          </w:tcPr>
          <w:p w14:paraId="0988CAFC" w14:textId="77777777" w:rsidR="00C47DF2" w:rsidRPr="002C0269" w:rsidRDefault="00C47DF2" w:rsidP="00FF0031">
            <w:pPr>
              <w:jc w:val="left"/>
              <w:rPr>
                <w:highlight w:val="yellow"/>
              </w:rPr>
            </w:pPr>
            <w:r w:rsidRPr="002C0269">
              <w:rPr>
                <w:rFonts w:cs="Calibri"/>
                <w:color w:val="000000"/>
              </w:rPr>
              <w:t>rezervni</w:t>
            </w:r>
          </w:p>
        </w:tc>
        <w:tc>
          <w:tcPr>
            <w:tcW w:w="1616" w:type="pct"/>
            <w:vAlign w:val="center"/>
          </w:tcPr>
          <w:p w14:paraId="5FDFD4AD" w14:textId="77777777" w:rsidR="00C47DF2" w:rsidRPr="002C0269" w:rsidRDefault="00C47DF2" w:rsidP="00FF0031">
            <w:pPr>
              <w:jc w:val="left"/>
              <w:rPr>
                <w:rFonts w:cs="Calibri"/>
                <w:color w:val="000000"/>
                <w:highlight w:val="yellow"/>
              </w:rPr>
            </w:pPr>
            <w:r w:rsidRPr="002C0269">
              <w:rPr>
                <w:rFonts w:cs="Calibri"/>
                <w:color w:val="000000"/>
              </w:rPr>
              <w:t>plinski klor</w:t>
            </w:r>
          </w:p>
        </w:tc>
      </w:tr>
      <w:tr w:rsidR="00C47DF2" w:rsidRPr="00FB70C6" w14:paraId="3797B1A8" w14:textId="77777777" w:rsidTr="00FF0031">
        <w:trPr>
          <w:trHeight w:val="300"/>
        </w:trPr>
        <w:tc>
          <w:tcPr>
            <w:tcW w:w="1128" w:type="pct"/>
            <w:shd w:val="clear" w:color="auto" w:fill="F2F2F2" w:themeFill="background1" w:themeFillShade="F2"/>
            <w:noWrap/>
            <w:vAlign w:val="center"/>
          </w:tcPr>
          <w:p w14:paraId="6D5562ED" w14:textId="77777777" w:rsidR="00C47DF2" w:rsidRPr="002C0269" w:rsidRDefault="00C47DF2" w:rsidP="00FF0031">
            <w:pPr>
              <w:jc w:val="left"/>
              <w:rPr>
                <w:rFonts w:cs="Calibri"/>
                <w:color w:val="000000"/>
              </w:rPr>
            </w:pPr>
            <w:r w:rsidRPr="002C0269">
              <w:rPr>
                <w:rFonts w:cs="Calibri"/>
                <w:color w:val="000000"/>
              </w:rPr>
              <w:t>Prelesje V</w:t>
            </w:r>
            <w:r>
              <w:rPr>
                <w:rFonts w:cs="Calibri"/>
                <w:color w:val="000000"/>
              </w:rPr>
              <w:t>3</w:t>
            </w:r>
          </w:p>
        </w:tc>
        <w:tc>
          <w:tcPr>
            <w:tcW w:w="1066" w:type="pct"/>
            <w:noWrap/>
            <w:vAlign w:val="center"/>
          </w:tcPr>
          <w:p w14:paraId="7FC0FCF4" w14:textId="77777777" w:rsidR="00C47DF2" w:rsidRPr="002C0269" w:rsidRDefault="00C47DF2" w:rsidP="00FF0031">
            <w:pPr>
              <w:jc w:val="left"/>
              <w:rPr>
                <w:highlight w:val="yellow"/>
              </w:rPr>
            </w:pPr>
            <w:proofErr w:type="spellStart"/>
            <w:r w:rsidRPr="002C0269">
              <w:rPr>
                <w:rFonts w:cs="Calibri"/>
                <w:color w:val="000000"/>
              </w:rPr>
              <w:t>Mrzlek</w:t>
            </w:r>
            <w:proofErr w:type="spellEnd"/>
          </w:p>
        </w:tc>
        <w:tc>
          <w:tcPr>
            <w:tcW w:w="669" w:type="pct"/>
            <w:noWrap/>
            <w:vAlign w:val="center"/>
          </w:tcPr>
          <w:p w14:paraId="29B51B59" w14:textId="77777777" w:rsidR="00C47DF2" w:rsidRPr="007D1FEC" w:rsidRDefault="00C47DF2" w:rsidP="00FF0031">
            <w:pPr>
              <w:jc w:val="left"/>
            </w:pPr>
            <w:r w:rsidRPr="007D1FEC">
              <w:t>/</w:t>
            </w:r>
          </w:p>
        </w:tc>
        <w:tc>
          <w:tcPr>
            <w:tcW w:w="521" w:type="pct"/>
            <w:noWrap/>
            <w:vAlign w:val="center"/>
          </w:tcPr>
          <w:p w14:paraId="23E6DECE" w14:textId="77777777" w:rsidR="00C47DF2" w:rsidRPr="002C0269" w:rsidRDefault="00C47DF2" w:rsidP="00FF0031">
            <w:pPr>
              <w:jc w:val="left"/>
              <w:rPr>
                <w:highlight w:val="yellow"/>
              </w:rPr>
            </w:pPr>
            <w:r w:rsidRPr="002C0269">
              <w:rPr>
                <w:rFonts w:cs="Calibri"/>
                <w:color w:val="000000"/>
              </w:rPr>
              <w:t>rezervni</w:t>
            </w:r>
          </w:p>
        </w:tc>
        <w:tc>
          <w:tcPr>
            <w:tcW w:w="1616" w:type="pct"/>
            <w:vAlign w:val="center"/>
          </w:tcPr>
          <w:p w14:paraId="6AFE4486" w14:textId="77777777" w:rsidR="00C47DF2" w:rsidRPr="002C0269" w:rsidRDefault="00C47DF2" w:rsidP="00FF0031">
            <w:pPr>
              <w:jc w:val="left"/>
              <w:rPr>
                <w:rFonts w:cs="Calibri"/>
                <w:color w:val="000000"/>
                <w:highlight w:val="yellow"/>
              </w:rPr>
            </w:pPr>
            <w:r w:rsidRPr="002C0269">
              <w:rPr>
                <w:rFonts w:cs="Calibri"/>
                <w:color w:val="000000"/>
              </w:rPr>
              <w:t>plinski klor</w:t>
            </w:r>
          </w:p>
        </w:tc>
      </w:tr>
      <w:tr w:rsidR="00C47DF2" w:rsidRPr="00FB70C6" w14:paraId="1F8CD958" w14:textId="77777777" w:rsidTr="00FF0031">
        <w:trPr>
          <w:trHeight w:val="300"/>
        </w:trPr>
        <w:tc>
          <w:tcPr>
            <w:tcW w:w="1128" w:type="pct"/>
            <w:shd w:val="clear" w:color="auto" w:fill="F2F2F2" w:themeFill="background1" w:themeFillShade="F2"/>
            <w:noWrap/>
            <w:vAlign w:val="center"/>
          </w:tcPr>
          <w:p w14:paraId="51873FF0" w14:textId="77777777" w:rsidR="00C47DF2" w:rsidRPr="002C0269" w:rsidRDefault="00C47DF2" w:rsidP="00FF0031">
            <w:pPr>
              <w:jc w:val="left"/>
              <w:rPr>
                <w:rFonts w:cs="Calibri"/>
                <w:color w:val="000000"/>
              </w:rPr>
            </w:pPr>
            <w:r w:rsidRPr="002C0269">
              <w:rPr>
                <w:rFonts w:cs="Calibri"/>
                <w:color w:val="000000"/>
              </w:rPr>
              <w:t>Hubelj</w:t>
            </w:r>
          </w:p>
        </w:tc>
        <w:tc>
          <w:tcPr>
            <w:tcW w:w="1066" w:type="pct"/>
            <w:noWrap/>
            <w:vAlign w:val="center"/>
          </w:tcPr>
          <w:p w14:paraId="4CACC615" w14:textId="77777777" w:rsidR="00C47DF2" w:rsidRPr="002C0269" w:rsidRDefault="00C47DF2" w:rsidP="00FF0031">
            <w:pPr>
              <w:jc w:val="left"/>
              <w:rPr>
                <w:highlight w:val="yellow"/>
              </w:rPr>
            </w:pPr>
            <w:r w:rsidRPr="002C0269">
              <w:rPr>
                <w:rFonts w:cs="Calibri"/>
                <w:color w:val="000000"/>
              </w:rPr>
              <w:t>Hubelj*</w:t>
            </w:r>
          </w:p>
        </w:tc>
        <w:tc>
          <w:tcPr>
            <w:tcW w:w="669" w:type="pct"/>
            <w:noWrap/>
            <w:vAlign w:val="center"/>
          </w:tcPr>
          <w:p w14:paraId="1B38030D" w14:textId="77777777" w:rsidR="00C47DF2" w:rsidRPr="007D1FEC" w:rsidRDefault="00C47DF2" w:rsidP="00FF0031">
            <w:pPr>
              <w:jc w:val="left"/>
            </w:pPr>
            <w:r w:rsidRPr="007D1FEC">
              <w:t>/</w:t>
            </w:r>
          </w:p>
        </w:tc>
        <w:tc>
          <w:tcPr>
            <w:tcW w:w="521" w:type="pct"/>
            <w:noWrap/>
            <w:vAlign w:val="center"/>
          </w:tcPr>
          <w:p w14:paraId="4ED9C105" w14:textId="77777777" w:rsidR="00C47DF2" w:rsidRPr="002C0269" w:rsidRDefault="00C47DF2" w:rsidP="00FF0031">
            <w:pPr>
              <w:jc w:val="left"/>
              <w:rPr>
                <w:highlight w:val="yellow"/>
              </w:rPr>
            </w:pPr>
            <w:r w:rsidRPr="002C0269">
              <w:rPr>
                <w:rFonts w:cs="Calibri"/>
                <w:color w:val="000000"/>
              </w:rPr>
              <w:t>aktivni</w:t>
            </w:r>
          </w:p>
        </w:tc>
        <w:tc>
          <w:tcPr>
            <w:tcW w:w="1616" w:type="pct"/>
            <w:vAlign w:val="center"/>
          </w:tcPr>
          <w:p w14:paraId="12CEB89B" w14:textId="77777777" w:rsidR="00C47DF2" w:rsidRPr="002C0269" w:rsidRDefault="00C47DF2" w:rsidP="00FF0031">
            <w:pPr>
              <w:jc w:val="left"/>
              <w:rPr>
                <w:rFonts w:cs="Calibri"/>
                <w:color w:val="000000"/>
                <w:highlight w:val="yellow"/>
              </w:rPr>
            </w:pPr>
          </w:p>
        </w:tc>
      </w:tr>
    </w:tbl>
    <w:p w14:paraId="797ABFEF" w14:textId="77777777" w:rsidR="00C47DF2" w:rsidRDefault="00C47DF2" w:rsidP="00C47DF2">
      <w:pPr>
        <w:spacing w:after="0"/>
        <w:rPr>
          <w:sz w:val="20"/>
          <w:szCs w:val="20"/>
        </w:rPr>
      </w:pPr>
      <w:r w:rsidRPr="002C0269">
        <w:rPr>
          <w:sz w:val="20"/>
          <w:szCs w:val="20"/>
        </w:rPr>
        <w:t>*Vodni vir Hubelj upravlja Komunalno stanovanjska družba d.o.o. Ajdovščina</w:t>
      </w:r>
    </w:p>
    <w:p w14:paraId="75223227" w14:textId="77777777" w:rsidR="00C47DF2" w:rsidRPr="002C0269" w:rsidRDefault="00C47DF2" w:rsidP="00C47DF2">
      <w:pPr>
        <w:rPr>
          <w:sz w:val="20"/>
          <w:szCs w:val="20"/>
        </w:rPr>
      </w:pPr>
      <w:r>
        <w:rPr>
          <w:sz w:val="20"/>
          <w:szCs w:val="20"/>
        </w:rPr>
        <w:t>**</w:t>
      </w:r>
      <w:proofErr w:type="spellStart"/>
      <w:r>
        <w:rPr>
          <w:sz w:val="20"/>
          <w:szCs w:val="20"/>
        </w:rPr>
        <w:t>Ogljeni</w:t>
      </w:r>
      <w:proofErr w:type="spellEnd"/>
      <w:r>
        <w:rPr>
          <w:sz w:val="20"/>
          <w:szCs w:val="20"/>
        </w:rPr>
        <w:t xml:space="preserve"> filtri so v pripravljenosti in neaktivni v normalni uporabi</w:t>
      </w:r>
    </w:p>
    <w:p w14:paraId="3BEAE599" w14:textId="77777777" w:rsidR="00C47DF2" w:rsidRPr="002F745E" w:rsidRDefault="00C47DF2" w:rsidP="00C47DF2">
      <w:r w:rsidRPr="002F745E">
        <w:t>Letni odvzem vode znaša 6,5 milijonov m</w:t>
      </w:r>
      <w:r w:rsidRPr="002F745E">
        <w:rPr>
          <w:vertAlign w:val="superscript"/>
        </w:rPr>
        <w:t>3</w:t>
      </w:r>
      <w:r w:rsidRPr="002F745E">
        <w:t xml:space="preserve"> vode</w:t>
      </w:r>
      <w:r>
        <w:t>. Iz vodnega vira Hubelj je odkupljenih 0,7 milijona </w:t>
      </w:r>
      <w:r w:rsidRPr="002F745E">
        <w:t>m</w:t>
      </w:r>
      <w:r>
        <w:rPr>
          <w:vertAlign w:val="superscript"/>
        </w:rPr>
        <w:t>3</w:t>
      </w:r>
      <w:r>
        <w:t xml:space="preserve"> vode. </w:t>
      </w:r>
      <w:r w:rsidRPr="002F745E">
        <w:t>Dobrih</w:t>
      </w:r>
      <w:r>
        <w:t xml:space="preserve"> 40 % odvzete vode iz vodnega vira </w:t>
      </w:r>
      <w:proofErr w:type="spellStart"/>
      <w:r>
        <w:t>Mrzlek</w:t>
      </w:r>
      <w:proofErr w:type="spellEnd"/>
      <w:r>
        <w:t xml:space="preserve"> je namenjene izvozu v Italijo. Ostali del skupaj z vodo iz drugih vodnih virov in vodnega vira </w:t>
      </w:r>
      <w:proofErr w:type="spellStart"/>
      <w:r>
        <w:t>Hublj</w:t>
      </w:r>
      <w:proofErr w:type="spellEnd"/>
      <w:r>
        <w:t xml:space="preserve"> se 75 % porabi v gospodinjske namene, 18 % za tehnološke namen, 6 % za javne inštitucije, ostalo pa za kmetijske namene. Največ vode je odvzete v vodooskrbnem sistemu </w:t>
      </w:r>
      <w:proofErr w:type="spellStart"/>
      <w:r>
        <w:t>Mrzlek</w:t>
      </w:r>
      <w:proofErr w:type="spellEnd"/>
      <w:r>
        <w:t xml:space="preserve"> (6,1 milijonov m</w:t>
      </w:r>
      <w:r>
        <w:rPr>
          <w:vertAlign w:val="superscript"/>
        </w:rPr>
        <w:t>3</w:t>
      </w:r>
      <w:r>
        <w:t>).</w:t>
      </w:r>
    </w:p>
    <w:p w14:paraId="3D76F9EC" w14:textId="77777777" w:rsidR="00C47DF2" w:rsidRPr="000E1384" w:rsidRDefault="00C47DF2" w:rsidP="00C47DF2">
      <w:r w:rsidRPr="000E1384">
        <w:t xml:space="preserve">S pomanjkanjem vode imajo občasno težave na zajetjih </w:t>
      </w:r>
      <w:proofErr w:type="spellStart"/>
      <w:r w:rsidRPr="000E1384">
        <w:t>Banjšček</w:t>
      </w:r>
      <w:proofErr w:type="spellEnd"/>
      <w:r w:rsidRPr="000E1384">
        <w:t xml:space="preserve"> 1 in 2 (VVS Bate) in Slatina (VVS Slatina – Grgar)</w:t>
      </w:r>
      <w:r>
        <w:t xml:space="preserve"> ter Na </w:t>
      </w:r>
      <w:proofErr w:type="spellStart"/>
      <w:r>
        <w:t>Zdencu</w:t>
      </w:r>
      <w:proofErr w:type="spellEnd"/>
      <w:r>
        <w:t xml:space="preserve"> (VVS Sveto)</w:t>
      </w:r>
      <w:r w:rsidRPr="000E1384">
        <w:t>.</w:t>
      </w:r>
    </w:p>
    <w:p w14:paraId="185E9653" w14:textId="77777777" w:rsidR="00C47DF2" w:rsidRDefault="00C47DF2" w:rsidP="00C47DF2">
      <w:r w:rsidRPr="00C55914">
        <w:t xml:space="preserve">Vrtine Prelesje V1-V3 služijo kot rezervni vodni vir. V primeru onesnaženja katerega od virov se lahko poveča rabo vode iz vodnega vira Hubelj, saj so VOS med seboj povezani. V primeru onesnaženja glavnega vodnega vira </w:t>
      </w:r>
      <w:proofErr w:type="spellStart"/>
      <w:r w:rsidRPr="00C55914">
        <w:t>Mrzlek</w:t>
      </w:r>
      <w:proofErr w:type="spellEnd"/>
      <w:r w:rsidRPr="00C55914">
        <w:t xml:space="preserve">, rezervni vodni viri ne morejo zagotoviti ustreznih nadomestnih količin. </w:t>
      </w:r>
      <w:r>
        <w:t>Kot nov oziroma rezervni vodni vir se bi lahko uporabila reka Soča, pri čemer bi bilo potrebno zgraditi primerno strukturo za obdelavo površinske vode za potrebe pitne.</w:t>
      </w:r>
    </w:p>
    <w:p w14:paraId="7FB99B7B" w14:textId="486CBFF3" w:rsidR="00C47DF2" w:rsidRPr="000E1384" w:rsidRDefault="00C47DF2" w:rsidP="00C47DF2">
      <w:r w:rsidRPr="000E1384">
        <w:t xml:space="preserve">Kakovost </w:t>
      </w:r>
      <w:r>
        <w:t xml:space="preserve">pitne </w:t>
      </w:r>
      <w:r w:rsidRPr="000E1384">
        <w:t>vode ne odstopa od standardov za pitno vodo (VIK</w:t>
      </w:r>
      <w:r>
        <w:t>-NG</w:t>
      </w:r>
      <w:r w:rsidRPr="000E1384">
        <w:t xml:space="preserve">, 2021). </w:t>
      </w:r>
      <w:r>
        <w:t>Večina zajetji ima težave s fekalnim onesnaženjem, vendar je voda povsod primerno pripravljena (</w:t>
      </w:r>
      <w:r>
        <w:fldChar w:fldCharType="begin"/>
      </w:r>
      <w:r>
        <w:instrText xml:space="preserve"> REF _Ref50041475 \h </w:instrText>
      </w:r>
      <w:r>
        <w:fldChar w:fldCharType="separate"/>
      </w:r>
      <w:r w:rsidR="004700D5" w:rsidRPr="009E35DC">
        <w:t xml:space="preserve">Preglednica </w:t>
      </w:r>
      <w:r w:rsidR="004700D5">
        <w:rPr>
          <w:noProof/>
        </w:rPr>
        <w:t>6</w:t>
      </w:r>
      <w:r w:rsidR="004700D5">
        <w:t>.</w:t>
      </w:r>
      <w:r w:rsidR="004700D5">
        <w:rPr>
          <w:noProof/>
        </w:rPr>
        <w:t>38</w:t>
      </w:r>
      <w:r>
        <w:fldChar w:fldCharType="end"/>
      </w:r>
      <w:r>
        <w:t>). Zelo kakovostna surova voda je na zajetju Dol pri Čepovanu.</w:t>
      </w:r>
    </w:p>
    <w:p w14:paraId="0E8EB9C5" w14:textId="77777777" w:rsidR="00C47DF2" w:rsidRDefault="00C47DF2" w:rsidP="00C47DF2">
      <w:pPr>
        <w:keepNext/>
        <w:jc w:val="center"/>
      </w:pPr>
      <w:r>
        <w:rPr>
          <w:noProof/>
          <w:lang w:eastAsia="sl-SI"/>
        </w:rPr>
        <w:lastRenderedPageBreak/>
        <w:drawing>
          <wp:inline distT="0" distB="0" distL="0" distR="0" wp14:anchorId="56B0F37F" wp14:editId="3D84B105">
            <wp:extent cx="3792772" cy="5362899"/>
            <wp:effectExtent l="0" t="0" r="0" b="0"/>
            <wp:docPr id="593441294" name="Picture 59344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bwMode="auto">
                    <a:xfrm>
                      <a:off x="0" y="0"/>
                      <a:ext cx="3794694" cy="5365617"/>
                    </a:xfrm>
                    <a:prstGeom prst="rect">
                      <a:avLst/>
                    </a:prstGeom>
                    <a:noFill/>
                  </pic:spPr>
                </pic:pic>
              </a:graphicData>
            </a:graphic>
          </wp:inline>
        </w:drawing>
      </w:r>
    </w:p>
    <w:p w14:paraId="14796641" w14:textId="7CD070E4" w:rsidR="00C47DF2" w:rsidRPr="00FB70C6" w:rsidRDefault="00C47DF2" w:rsidP="00C47DF2">
      <w:pPr>
        <w:pStyle w:val="Napis"/>
        <w:rPr>
          <w:highlight w:val="yellow"/>
          <w:lang w:eastAsia="sl-SI"/>
        </w:rPr>
      </w:pPr>
      <w:bookmarkStart w:id="437" w:name="_Ref71104434"/>
      <w:bookmarkStart w:id="438" w:name="_Toc97026892"/>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41</w:t>
      </w:r>
      <w:r w:rsidR="008334B2">
        <w:fldChar w:fldCharType="end"/>
      </w:r>
      <w:bookmarkEnd w:id="437"/>
      <w:r w:rsidRPr="006D7925">
        <w:t>: Vodovarstvena območja</w:t>
      </w:r>
      <w:r>
        <w:t xml:space="preserve"> in lokacije zajetji po</w:t>
      </w:r>
      <w:r w:rsidRPr="006D7925">
        <w:t xml:space="preserve"> in lokacije </w:t>
      </w:r>
      <w:r>
        <w:t>zajetji po pretekli zakonodaji (občinski nivo) (vir: ARSO) ter zajetja</w:t>
      </w:r>
      <w:r w:rsidRPr="006D7925">
        <w:t xml:space="preserve">, ki so v uporabi za potrebe oskrbe s pitno vodo, ki jo izvaja gospodarska javna služba </w:t>
      </w:r>
      <w:r>
        <w:t xml:space="preserve">Vodovod in kanalizacija Nova Gorica </w:t>
      </w:r>
      <w:proofErr w:type="spellStart"/>
      <w:r>
        <w:t>d.d</w:t>
      </w:r>
      <w:proofErr w:type="spellEnd"/>
      <w:r>
        <w:t>. (vir: VIK-NG).</w:t>
      </w:r>
      <w:bookmarkEnd w:id="438"/>
    </w:p>
    <w:p w14:paraId="10547B1F" w14:textId="77777777" w:rsidR="00C47DF2" w:rsidRPr="00FB70C6" w:rsidRDefault="00C47DF2" w:rsidP="00C47DF2">
      <w:pPr>
        <w:rPr>
          <w:highlight w:val="yellow"/>
          <w:lang w:eastAsia="sl-SI"/>
        </w:rPr>
      </w:pPr>
    </w:p>
    <w:p w14:paraId="14040DE2" w14:textId="77777777" w:rsidR="00C47DF2" w:rsidRPr="00E9100B" w:rsidRDefault="00C47DF2" w:rsidP="00C47DF2">
      <w:pPr>
        <w:pStyle w:val="Naslov4"/>
      </w:pPr>
      <w:bookmarkStart w:id="439" w:name="_Ref50029119"/>
      <w:r w:rsidRPr="00E9100B">
        <w:t>Vodni stres</w:t>
      </w:r>
      <w:bookmarkEnd w:id="439"/>
    </w:p>
    <w:p w14:paraId="7A9564B9" w14:textId="77777777" w:rsidR="00C47DF2" w:rsidRPr="00E9100B" w:rsidRDefault="00C47DF2" w:rsidP="00C47DF2">
      <w:pPr>
        <w:rPr>
          <w:lang w:eastAsia="sl-SI"/>
        </w:rPr>
      </w:pPr>
      <w:r w:rsidRPr="00E9100B">
        <w:rPr>
          <w:lang w:eastAsia="sl-SI"/>
        </w:rPr>
        <w:t>Za potrebe analize ranljivosti smo ocenili vodni stres površinskih in podzemnih voda glede na količinsko stanje površinske oziroma podzemne vode in rabo vodnih virov. Vodni stres površinskih voda je ocenjen na podlagi zajema in podatkov o pretokih rek</w:t>
      </w:r>
      <w:r>
        <w:rPr>
          <w:lang w:eastAsia="sl-SI"/>
        </w:rPr>
        <w:t xml:space="preserve"> Soča in Vipava in podatkih o zajetju </w:t>
      </w:r>
      <w:proofErr w:type="spellStart"/>
      <w:r>
        <w:rPr>
          <w:lang w:eastAsia="sl-SI"/>
        </w:rPr>
        <w:t>Vogršček</w:t>
      </w:r>
      <w:proofErr w:type="spellEnd"/>
      <w:r w:rsidRPr="00E9100B">
        <w:rPr>
          <w:lang w:eastAsia="sl-SI"/>
        </w:rPr>
        <w:t xml:space="preserve">. Vodni stres podzemnih voda pa je izračunan z indeksom </w:t>
      </w:r>
      <w:r>
        <w:rPr>
          <w:lang w:eastAsia="sl-SI"/>
        </w:rPr>
        <w:t>izkoriščanja</w:t>
      </w:r>
      <w:r w:rsidRPr="00E9100B">
        <w:rPr>
          <w:lang w:eastAsia="sl-SI"/>
        </w:rPr>
        <w:t xml:space="preserve"> in vodnim presežkom</w:t>
      </w:r>
      <w:r>
        <w:rPr>
          <w:lang w:eastAsia="sl-SI"/>
        </w:rPr>
        <w:t xml:space="preserve"> in ocenjen na nivoju posameznih zaledji.</w:t>
      </w:r>
    </w:p>
    <w:p w14:paraId="5046144D" w14:textId="77777777" w:rsidR="00C47DF2" w:rsidRDefault="00C47DF2" w:rsidP="00C47DF2">
      <w:pPr>
        <w:pStyle w:val="Naslov5"/>
      </w:pPr>
      <w:r w:rsidRPr="00E9100B">
        <w:t>Vodni stres površinskih voda</w:t>
      </w:r>
    </w:p>
    <w:p w14:paraId="2B85BAFF" w14:textId="3CEDE39E" w:rsidR="00C47DF2" w:rsidRPr="00C0613F" w:rsidRDefault="00C47DF2" w:rsidP="00C47DF2">
      <w:pPr>
        <w:rPr>
          <w:lang w:eastAsia="sl-SI"/>
        </w:rPr>
      </w:pPr>
      <w:r>
        <w:rPr>
          <w:lang w:eastAsia="sl-SI"/>
        </w:rPr>
        <w:lastRenderedPageBreak/>
        <w:t xml:space="preserve">Vodni stres površinskih voda je bil analiziran na reki Soča in reki Vipava ter akumulacijskem jezeru </w:t>
      </w:r>
      <w:proofErr w:type="spellStart"/>
      <w:r>
        <w:rPr>
          <w:lang w:eastAsia="sl-SI"/>
        </w:rPr>
        <w:t>Vogršček</w:t>
      </w:r>
      <w:proofErr w:type="spellEnd"/>
      <w:r>
        <w:rPr>
          <w:lang w:eastAsia="sl-SI"/>
        </w:rPr>
        <w:t xml:space="preserve">. </w:t>
      </w:r>
      <w:r w:rsidRPr="00F652E1">
        <w:rPr>
          <w:lang w:eastAsia="sl-SI"/>
        </w:rPr>
        <w:t xml:space="preserve">Uporabljena hidrološka merilna mesta </w:t>
      </w:r>
      <w:r w:rsidRPr="00DE3407">
        <w:rPr>
          <w:lang w:eastAsia="sl-SI"/>
        </w:rPr>
        <w:t xml:space="preserve">prikazuje </w:t>
      </w:r>
      <w:r w:rsidRPr="00DE3407">
        <w:rPr>
          <w:lang w:eastAsia="sl-SI"/>
        </w:rPr>
        <w:fldChar w:fldCharType="begin"/>
      </w:r>
      <w:r w:rsidRPr="00DE3407">
        <w:rPr>
          <w:lang w:eastAsia="sl-SI"/>
        </w:rPr>
        <w:instrText xml:space="preserve"> REF _Ref71098975 \h </w:instrText>
      </w:r>
      <w:r>
        <w:rPr>
          <w:lang w:eastAsia="sl-SI"/>
        </w:rPr>
        <w:instrText xml:space="preserve"> \* MERGEFORMAT </w:instrText>
      </w:r>
      <w:r w:rsidRPr="00DE3407">
        <w:rPr>
          <w:lang w:eastAsia="sl-SI"/>
        </w:rPr>
      </w:r>
      <w:r w:rsidRPr="00DE3407">
        <w:rPr>
          <w:lang w:eastAsia="sl-SI"/>
        </w:rPr>
        <w:fldChar w:fldCharType="separate"/>
      </w:r>
      <w:r w:rsidR="004700D5">
        <w:t xml:space="preserve">Slika </w:t>
      </w:r>
      <w:r w:rsidR="004700D5">
        <w:rPr>
          <w:noProof/>
        </w:rPr>
        <w:t>6.40</w:t>
      </w:r>
      <w:r w:rsidRPr="00DE3407">
        <w:rPr>
          <w:lang w:eastAsia="sl-SI"/>
        </w:rPr>
        <w:fldChar w:fldCharType="end"/>
      </w:r>
      <w:r w:rsidRPr="00F652E1">
        <w:rPr>
          <w:lang w:eastAsia="sl-SI"/>
        </w:rPr>
        <w:t>, na kateri je tudi prikazano, katera vodna pravica je bila vključena v katero območje</w:t>
      </w:r>
      <w:r>
        <w:rPr>
          <w:lang w:eastAsia="sl-SI"/>
        </w:rPr>
        <w:t>.</w:t>
      </w:r>
    </w:p>
    <w:p w14:paraId="44638721" w14:textId="77777777" w:rsidR="00C47DF2" w:rsidRDefault="00C47DF2" w:rsidP="00C47DF2">
      <w:pPr>
        <w:pStyle w:val="Naslov6"/>
        <w:rPr>
          <w:lang w:eastAsia="sl-SI"/>
        </w:rPr>
      </w:pPr>
      <w:r w:rsidRPr="00F727C7">
        <w:rPr>
          <w:lang w:eastAsia="sl-SI"/>
        </w:rPr>
        <w:t xml:space="preserve">Reka </w:t>
      </w:r>
      <w:r>
        <w:rPr>
          <w:lang w:eastAsia="sl-SI"/>
        </w:rPr>
        <w:t>Soča</w:t>
      </w:r>
    </w:p>
    <w:p w14:paraId="3943C332" w14:textId="77777777" w:rsidR="00C47DF2" w:rsidRDefault="00C47DF2" w:rsidP="00C47DF2">
      <w:pPr>
        <w:rPr>
          <w:lang w:eastAsia="sl-SI"/>
        </w:rPr>
      </w:pPr>
      <w:r>
        <w:rPr>
          <w:lang w:eastAsia="sl-SI"/>
        </w:rPr>
        <w:t xml:space="preserve">Na Soči je na širšem območju občine podeljenih pet vodnih dovoljenj in dve koncesiji za hidroelektrarno, ki pa v analizi nista bili upoštevani, saj ni podatka o odvzeti količini vode. Dve od vodnih dovoljenj sta podeljeni za zajem in izpust za drugo rabo, ostala pa za namakanje. Pri drugi rabi gre za </w:t>
      </w:r>
      <w:r w:rsidRPr="00920C85">
        <w:rPr>
          <w:lang w:eastAsia="sl-SI"/>
        </w:rPr>
        <w:t>izvajanje treningov in tekmovanj na umetni kajakaški progi (športni objekt)</w:t>
      </w:r>
      <w:r>
        <w:rPr>
          <w:lang w:eastAsia="sl-SI"/>
        </w:rPr>
        <w:t>. Dovoljen odvzem je 30 m</w:t>
      </w:r>
      <w:r>
        <w:rPr>
          <w:vertAlign w:val="superscript"/>
          <w:lang w:eastAsia="sl-SI"/>
        </w:rPr>
        <w:t>3</w:t>
      </w:r>
      <w:r>
        <w:rPr>
          <w:lang w:eastAsia="sl-SI"/>
        </w:rPr>
        <w:t xml:space="preserve">/s, vendar kajakaška proga še ni urejana, zato se treningi in tekmovanja izvajajo </w:t>
      </w:r>
      <w:r w:rsidRPr="00920C85">
        <w:rPr>
          <w:lang w:eastAsia="sl-SI"/>
        </w:rPr>
        <w:t>na prosto tekoči vodi z urejeno brežino</w:t>
      </w:r>
      <w:r>
        <w:rPr>
          <w:lang w:eastAsia="sl-SI"/>
        </w:rPr>
        <w:t xml:space="preserve"> (Gradišar, 2021)</w:t>
      </w:r>
      <w:r w:rsidRPr="00920C85">
        <w:rPr>
          <w:lang w:eastAsia="sl-SI"/>
        </w:rPr>
        <w:t>.</w:t>
      </w:r>
      <w:r>
        <w:rPr>
          <w:lang w:eastAsia="sl-SI"/>
        </w:rPr>
        <w:t xml:space="preserve"> Skupni odvzem za namakanje znaša 0,08 m</w:t>
      </w:r>
      <w:r>
        <w:rPr>
          <w:vertAlign w:val="superscript"/>
          <w:lang w:eastAsia="sl-SI"/>
        </w:rPr>
        <w:t>3</w:t>
      </w:r>
      <w:r>
        <w:rPr>
          <w:lang w:eastAsia="sl-SI"/>
        </w:rPr>
        <w:t>/s.</w:t>
      </w:r>
    </w:p>
    <w:p w14:paraId="77A43691" w14:textId="77777777" w:rsidR="00C47DF2" w:rsidRDefault="00C47DF2" w:rsidP="00C47DF2">
      <w:pPr>
        <w:rPr>
          <w:lang w:eastAsia="sl-SI"/>
        </w:rPr>
      </w:pPr>
      <w:r>
        <w:rPr>
          <w:lang w:eastAsia="sl-SI"/>
        </w:rPr>
        <w:t>Na hidrološki postaji Solkan je povprečni pretok reke 90,9 m</w:t>
      </w:r>
      <w:r>
        <w:rPr>
          <w:vertAlign w:val="superscript"/>
          <w:lang w:eastAsia="sl-SI"/>
        </w:rPr>
        <w:t>3</w:t>
      </w:r>
      <w:r>
        <w:rPr>
          <w:lang w:eastAsia="sl-SI"/>
        </w:rPr>
        <w:t>/s, v poletnih mesecih 80,2 m</w:t>
      </w:r>
      <w:r>
        <w:rPr>
          <w:vertAlign w:val="superscript"/>
          <w:lang w:eastAsia="sl-SI"/>
        </w:rPr>
        <w:t>3</w:t>
      </w:r>
      <w:r>
        <w:rPr>
          <w:lang w:eastAsia="sl-SI"/>
        </w:rPr>
        <w:t>/s. Pretok je reguliran s strani hidroelektrarne in je zato dokaj konstanten tekom leta. Za potrebe namakanja vode zadostuje. Za potrebe kajakaške steze je v povprečju vode prav tako dovolj, potreba po prilagoditvi odvzema se pojavi pri nizkih pretokih, saj povprečni letni nitki pretok znaša 35,9 m</w:t>
      </w:r>
      <w:r>
        <w:rPr>
          <w:vertAlign w:val="superscript"/>
          <w:lang w:eastAsia="sl-SI"/>
        </w:rPr>
        <w:t>3</w:t>
      </w:r>
      <w:r>
        <w:rPr>
          <w:lang w:eastAsia="sl-SI"/>
        </w:rPr>
        <w:t>/s.</w:t>
      </w:r>
    </w:p>
    <w:p w14:paraId="71CE5DF8" w14:textId="77777777" w:rsidR="00C47DF2" w:rsidRPr="00492CEF" w:rsidRDefault="00C47DF2" w:rsidP="00C47DF2">
      <w:pPr>
        <w:rPr>
          <w:lang w:eastAsia="sl-SI"/>
        </w:rPr>
      </w:pPr>
      <w:r>
        <w:rPr>
          <w:lang w:eastAsia="sl-SI"/>
        </w:rPr>
        <w:t>Vodni stres na reko Sočo ocenjujemo kot smeren do velik zaradi potreb pri prilagajanju ob nizkih pretokih, vseeno pa še obstaja možnost za izrabo za namakanje, saj je odvzem za kajakaško stezo povratni.</w:t>
      </w:r>
    </w:p>
    <w:p w14:paraId="14F7F8B2" w14:textId="77777777" w:rsidR="00C47DF2" w:rsidRPr="006D7695" w:rsidRDefault="00C47DF2" w:rsidP="00C47DF2">
      <w:pPr>
        <w:pStyle w:val="Naslov6"/>
      </w:pPr>
      <w:r>
        <w:rPr>
          <w:lang w:eastAsia="sl-SI"/>
        </w:rPr>
        <w:t>Reka Vipava</w:t>
      </w:r>
    </w:p>
    <w:p w14:paraId="080C730C" w14:textId="77777777" w:rsidR="00C47DF2" w:rsidRDefault="00C47DF2" w:rsidP="00C47DF2">
      <w:pPr>
        <w:rPr>
          <w:lang w:eastAsia="sl-SI"/>
        </w:rPr>
      </w:pPr>
      <w:r w:rsidRPr="00757C56">
        <w:rPr>
          <w:lang w:eastAsia="sl-SI"/>
        </w:rPr>
        <w:t>Za potrebe analize vodnega stresa na Vipavo, smo reko razdelili na dva dela in sicer na območje med hidrološkima postajama Dolenje in Zalošče in med postajama Zalošče in Miren I.</w:t>
      </w:r>
    </w:p>
    <w:p w14:paraId="60A6578B" w14:textId="77777777" w:rsidR="00C47DF2" w:rsidRDefault="00C47DF2" w:rsidP="00C47DF2">
      <w:r>
        <w:rPr>
          <w:lang w:eastAsia="sl-SI"/>
        </w:rPr>
        <w:t>V prvem delu reke je upoštevanih 64 vodnih dovoljenj za namakanje in šest za male hidroelektrarne. Skupni odvzem za namakanje zna 0,56 m</w:t>
      </w:r>
      <w:r>
        <w:rPr>
          <w:vertAlign w:val="superscript"/>
          <w:lang w:eastAsia="sl-SI"/>
        </w:rPr>
        <w:t>3</w:t>
      </w:r>
      <w:r>
        <w:rPr>
          <w:lang w:eastAsia="sl-SI"/>
        </w:rPr>
        <w:t>/s, povratni odvzem za male hidroelektrarne pa 33,4 m</w:t>
      </w:r>
      <w:r>
        <w:rPr>
          <w:vertAlign w:val="superscript"/>
          <w:lang w:eastAsia="sl-SI"/>
        </w:rPr>
        <w:t>3</w:t>
      </w:r>
      <w:r>
        <w:rPr>
          <w:lang w:eastAsia="sl-SI"/>
        </w:rPr>
        <w:t>/s. Največji predvideni odvzem 14,7 m</w:t>
      </w:r>
      <w:r>
        <w:rPr>
          <w:vertAlign w:val="superscript"/>
          <w:lang w:eastAsia="sl-SI"/>
        </w:rPr>
        <w:t>3</w:t>
      </w:r>
      <w:r>
        <w:rPr>
          <w:lang w:eastAsia="sl-SI"/>
        </w:rPr>
        <w:t>/s, drugi največji 12,7</w:t>
      </w:r>
      <w:r>
        <w:t>m</w:t>
      </w:r>
      <w:r>
        <w:rPr>
          <w:vertAlign w:val="superscript"/>
        </w:rPr>
        <w:t>3</w:t>
      </w:r>
      <w:r>
        <w:t>/s in najmanjši 6 m</w:t>
      </w:r>
      <w:r>
        <w:rPr>
          <w:vertAlign w:val="superscript"/>
        </w:rPr>
        <w:t>3</w:t>
      </w:r>
      <w:r>
        <w:t>/s. Povprečni letni pretok med hidrološkimi postajami Dolenje in Zalošče znaša 13,7 m</w:t>
      </w:r>
      <w:r>
        <w:rPr>
          <w:vertAlign w:val="superscript"/>
        </w:rPr>
        <w:t>3</w:t>
      </w:r>
      <w:r>
        <w:t>/s in ne zadošča za največji predvideni odvzem. V poletnih mesecih je vodni stres še toliko večji, saj je potrebno upoštevati tudi odvzem vode za namakanje in manjši povprečni pretok (8,4 m</w:t>
      </w:r>
      <w:r>
        <w:rPr>
          <w:vertAlign w:val="superscript"/>
        </w:rPr>
        <w:t>3</w:t>
      </w:r>
      <w:r>
        <w:t>/s). Nizki povprečni pretoki (3,0 m</w:t>
      </w:r>
      <w:r>
        <w:rPr>
          <w:vertAlign w:val="superscript"/>
        </w:rPr>
        <w:t>3</w:t>
      </w:r>
      <w:r>
        <w:t>/s) ne zadoščajo niti za najmanjši predviden odvzem. Vodni stres v tem delu Vipave zato ocenjujemo kot zelo velik.</w:t>
      </w:r>
    </w:p>
    <w:p w14:paraId="68795492" w14:textId="77777777" w:rsidR="00C47DF2" w:rsidRDefault="00C47DF2" w:rsidP="00C47DF2">
      <w:r>
        <w:t>V spodnjem delu Vipave, med hidrološkima postajama Zalošče in Miren I. V tem delu je upoštevanih 23 vodnih dovoljen za namakanje, 10 za male hidroelektrarne in eno za vodo za tehnološke namene. Skupni odvzem za namakanje znaša 0,36 m</w:t>
      </w:r>
      <w:r>
        <w:rPr>
          <w:vertAlign w:val="superscript"/>
        </w:rPr>
        <w:t>3</w:t>
      </w:r>
      <w:r>
        <w:t>/s, za tehnološke namene 0,05 m</w:t>
      </w:r>
      <w:r>
        <w:rPr>
          <w:vertAlign w:val="superscript"/>
        </w:rPr>
        <w:t>3</w:t>
      </w:r>
      <w:r>
        <w:t>/s in skupni povratni odvzem za male hidroelektrarne 45,12 m</w:t>
      </w:r>
      <w:r>
        <w:rPr>
          <w:vertAlign w:val="superscript"/>
        </w:rPr>
        <w:t>3</w:t>
      </w:r>
      <w:r>
        <w:t>/s. Največji predviden odvzem znaša 16 m</w:t>
      </w:r>
      <w:r>
        <w:rPr>
          <w:vertAlign w:val="superscript"/>
        </w:rPr>
        <w:t>3</w:t>
      </w:r>
      <w:r>
        <w:t>/s, drugi 12 m</w:t>
      </w:r>
      <w:r>
        <w:rPr>
          <w:vertAlign w:val="superscript"/>
        </w:rPr>
        <w:t>3</w:t>
      </w:r>
      <w:r>
        <w:t>/s. Povprečni srednji letni pretok (16,7 m</w:t>
      </w:r>
      <w:r>
        <w:rPr>
          <w:vertAlign w:val="superscript"/>
        </w:rPr>
        <w:t>3</w:t>
      </w:r>
      <w:r>
        <w:t>/s) komaj zadošča za največji predvideni odvzem, v poletnih mesecih, ko je povprečni srednji pretok 9,8 m</w:t>
      </w:r>
      <w:r>
        <w:rPr>
          <w:vertAlign w:val="superscript"/>
        </w:rPr>
        <w:t>3</w:t>
      </w:r>
      <w:r>
        <w:t>/s, pa vode ni dovolj za neovirano delovanje hidroelektrarn. V poletnih mesecih se vodni stres dodatno poveča tudi zaradi odvzema za namakanje.</w:t>
      </w:r>
    </w:p>
    <w:p w14:paraId="11AE6685" w14:textId="77777777" w:rsidR="00C47DF2" w:rsidRDefault="00C47DF2" w:rsidP="00C47DF2">
      <w:pPr>
        <w:rPr>
          <w:lang w:eastAsia="sl-SI"/>
        </w:rPr>
      </w:pPr>
      <w:r>
        <w:t>Skupni vodni stres na reko Vipavo je tako ocenjen na zelo velik že v referenčnem obdobju.</w:t>
      </w:r>
    </w:p>
    <w:p w14:paraId="6A9FAAFF" w14:textId="77777777" w:rsidR="00C47DF2" w:rsidRDefault="00C47DF2" w:rsidP="00C47DF2">
      <w:pPr>
        <w:pStyle w:val="Naslov6"/>
        <w:rPr>
          <w:lang w:eastAsia="sl-SI"/>
        </w:rPr>
      </w:pPr>
      <w:r>
        <w:rPr>
          <w:lang w:eastAsia="sl-SI"/>
        </w:rPr>
        <w:t xml:space="preserve">Zajetje </w:t>
      </w:r>
      <w:proofErr w:type="spellStart"/>
      <w:r>
        <w:rPr>
          <w:lang w:eastAsia="sl-SI"/>
        </w:rPr>
        <w:t>Vogršček</w:t>
      </w:r>
      <w:proofErr w:type="spellEnd"/>
    </w:p>
    <w:p w14:paraId="0A6FD8B3" w14:textId="77777777" w:rsidR="00C47DF2" w:rsidRDefault="00C47DF2" w:rsidP="00C47DF2">
      <w:r>
        <w:rPr>
          <w:lang w:eastAsia="sl-SI"/>
        </w:rPr>
        <w:lastRenderedPageBreak/>
        <w:t xml:space="preserve">Voda na zajetju </w:t>
      </w:r>
      <w:proofErr w:type="spellStart"/>
      <w:r>
        <w:rPr>
          <w:lang w:eastAsia="sl-SI"/>
        </w:rPr>
        <w:t>Vogršček</w:t>
      </w:r>
      <w:proofErr w:type="spellEnd"/>
      <w:r>
        <w:rPr>
          <w:lang w:eastAsia="sl-SI"/>
        </w:rPr>
        <w:t xml:space="preserve"> se izkorišča zgolj za namene namakanja. Skupni odvzem znaša 2,05 m</w:t>
      </w:r>
      <w:r>
        <w:rPr>
          <w:vertAlign w:val="superscript"/>
          <w:lang w:eastAsia="sl-SI"/>
        </w:rPr>
        <w:t>3</w:t>
      </w:r>
      <w:r>
        <w:rPr>
          <w:lang w:eastAsia="sl-SI"/>
        </w:rPr>
        <w:t xml:space="preserve">/s. Zajetje </w:t>
      </w:r>
      <w:proofErr w:type="spellStart"/>
      <w:r>
        <w:rPr>
          <w:lang w:eastAsia="sl-SI"/>
        </w:rPr>
        <w:t>Vogršček</w:t>
      </w:r>
      <w:proofErr w:type="spellEnd"/>
      <w:r>
        <w:rPr>
          <w:lang w:eastAsia="sl-SI"/>
        </w:rPr>
        <w:t xml:space="preserve"> je</w:t>
      </w:r>
      <w:r>
        <w:t xml:space="preserve"> pomemben vodni vir (zlasti za namakanje), vendar je vodni stres težko oceniti na podlagi hidrološke postaje </w:t>
      </w:r>
      <w:proofErr w:type="spellStart"/>
      <w:r>
        <w:t>Bezovljak</w:t>
      </w:r>
      <w:proofErr w:type="spellEnd"/>
      <w:r>
        <w:t xml:space="preserve">, ki se nahaja pod zajetjem, zato na tem mestu povzemamo Idejno zasnovo (IDZ) za Primarno cevovod za namakanje zgornje Vipavske doline, v okviru katere je bila izvedena analiza kakovosti in količine vode akumulacije </w:t>
      </w:r>
      <w:proofErr w:type="spellStart"/>
      <w:r>
        <w:t>Vogršček</w:t>
      </w:r>
      <w:proofErr w:type="spellEnd"/>
      <w:r>
        <w:t xml:space="preserve"> (IZVRS, 2020) in tehnološki elaborat za namakalni sistem (UL BF, 2020). Analiza količine vode je pokazala, da je na voljo še približno 3,5 milijona m</w:t>
      </w:r>
      <w:r>
        <w:rPr>
          <w:vertAlign w:val="superscript"/>
        </w:rPr>
        <w:t>3</w:t>
      </w:r>
      <w:r>
        <w:t xml:space="preserve"> vode, ki bi lahko bila koriščena za namakanje. Analiza potreb po namakanju za celotno Zgornjo Vipavsko dolino je 4,9 do 5,4 milijone m</w:t>
      </w:r>
      <w:r>
        <w:rPr>
          <w:vertAlign w:val="superscript"/>
        </w:rPr>
        <w:t>3</w:t>
      </w:r>
      <w:r>
        <w:t xml:space="preserve"> vode, odvisno od načina namakanje in uporabljene opreme. Iz tega sledi, da akumulacija </w:t>
      </w:r>
      <w:proofErr w:type="spellStart"/>
      <w:r>
        <w:t>Vogršček</w:t>
      </w:r>
      <w:proofErr w:type="spellEnd"/>
      <w:r>
        <w:t xml:space="preserve"> ne more zadostiti vseh potreb po namakanju v zgornji Vipavski dolini. Vodo za namen namakanja je tako potrebno pridobiti tudi iz drugih virov (npr. Vipava, dodatni napajalni zadrževalnik, nove akumulacije, podzemna voda, …).</w:t>
      </w:r>
    </w:p>
    <w:p w14:paraId="7FD8F941" w14:textId="77777777" w:rsidR="00C47DF2" w:rsidRPr="00565C59" w:rsidRDefault="00C47DF2" w:rsidP="00C47DF2">
      <w:pPr>
        <w:rPr>
          <w:lang w:eastAsia="sl-SI"/>
        </w:rPr>
      </w:pPr>
      <w:r>
        <w:t xml:space="preserve">Vodni stres na zajetje </w:t>
      </w:r>
      <w:proofErr w:type="spellStart"/>
      <w:r>
        <w:t>Vogršček</w:t>
      </w:r>
      <w:proofErr w:type="spellEnd"/>
      <w:r>
        <w:t xml:space="preserve"> je v referenčnem obdobju ocenjen kot srednji, saj potencial za namakanje še ni v celoti izkoriščen.</w:t>
      </w:r>
    </w:p>
    <w:p w14:paraId="41DF3597" w14:textId="77777777" w:rsidR="00C47DF2" w:rsidRPr="00E9100B" w:rsidRDefault="00C47DF2" w:rsidP="00C47DF2">
      <w:pPr>
        <w:pStyle w:val="Naslov5"/>
      </w:pPr>
      <w:r w:rsidRPr="00E9100B">
        <w:t>Vodni stres podzemne vode</w:t>
      </w:r>
    </w:p>
    <w:p w14:paraId="2B17A8D0" w14:textId="77777777" w:rsidR="00C47DF2" w:rsidRDefault="00C47DF2" w:rsidP="00C47DF2">
      <w:pPr>
        <w:rPr>
          <w:lang w:eastAsia="sl-SI"/>
        </w:rPr>
      </w:pPr>
      <w:r w:rsidRPr="00E9100B">
        <w:rPr>
          <w:lang w:eastAsia="sl-SI"/>
        </w:rPr>
        <w:t xml:space="preserve">Vodni stres podzemne vode je bil izračunan na podlagi indeksa </w:t>
      </w:r>
      <w:r>
        <w:rPr>
          <w:lang w:eastAsia="sl-SI"/>
        </w:rPr>
        <w:t>izkoriščanja</w:t>
      </w:r>
      <w:r w:rsidRPr="00E9100B">
        <w:rPr>
          <w:lang w:eastAsia="sl-SI"/>
        </w:rPr>
        <w:t xml:space="preserve"> in vodnega presežka za posamezna zaledja.</w:t>
      </w:r>
    </w:p>
    <w:p w14:paraId="45B40DED" w14:textId="77777777" w:rsidR="00C47DF2" w:rsidRPr="00E9100B" w:rsidRDefault="00C47DF2" w:rsidP="00C47DF2">
      <w:pPr>
        <w:pStyle w:val="Naslov6"/>
        <w:rPr>
          <w:lang w:eastAsia="sl-SI"/>
        </w:rPr>
      </w:pPr>
      <w:r w:rsidRPr="00E9100B">
        <w:rPr>
          <w:lang w:eastAsia="sl-SI"/>
        </w:rPr>
        <w:t xml:space="preserve">Indeks </w:t>
      </w:r>
      <w:r>
        <w:rPr>
          <w:lang w:eastAsia="sl-SI"/>
        </w:rPr>
        <w:t>izkoriščanja</w:t>
      </w:r>
      <w:r w:rsidRPr="00E9100B">
        <w:rPr>
          <w:lang w:eastAsia="sl-SI"/>
        </w:rPr>
        <w:t xml:space="preserve"> podzemne vode</w:t>
      </w:r>
    </w:p>
    <w:p w14:paraId="27871930" w14:textId="77777777" w:rsidR="00C47DF2" w:rsidRPr="007E621C" w:rsidRDefault="00C47DF2" w:rsidP="00C47DF2">
      <w:pPr>
        <w:rPr>
          <w:lang w:eastAsia="sl-SI"/>
        </w:rPr>
      </w:pPr>
      <w:r w:rsidRPr="007E621C">
        <w:rPr>
          <w:lang w:eastAsia="sl-SI"/>
        </w:rPr>
        <w:t>Indeks izkoriščanja, ki je definiran z enačbo 6.1, nam pove, pod kakšnim vodnim stresom je okolje glede na porabo in razpoložljive količine vode.</w:t>
      </w:r>
    </w:p>
    <w:p w14:paraId="04DE02FC" w14:textId="0D283AF4" w:rsidR="00C47DF2" w:rsidRDefault="00C47DF2" w:rsidP="00C47DF2">
      <w:pPr>
        <w:rPr>
          <w:lang w:eastAsia="sl-SI"/>
        </w:rPr>
      </w:pPr>
      <w:r w:rsidRPr="007E621C">
        <w:rPr>
          <w:lang w:eastAsia="sl-SI"/>
        </w:rPr>
        <w:t>Indeks izkoriščanja podzemne vode je bil izračunan na ravni zaledji virov podzemne vode (</w:t>
      </w:r>
      <w:r>
        <w:rPr>
          <w:lang w:eastAsia="sl-SI"/>
        </w:rPr>
        <w:fldChar w:fldCharType="begin"/>
      </w:r>
      <w:r>
        <w:rPr>
          <w:lang w:eastAsia="sl-SI"/>
        </w:rPr>
        <w:instrText xml:space="preserve"> REF _Ref73355167 \h </w:instrText>
      </w:r>
      <w:r>
        <w:rPr>
          <w:lang w:eastAsia="sl-SI"/>
        </w:rPr>
      </w:r>
      <w:r>
        <w:rPr>
          <w:lang w:eastAsia="sl-SI"/>
        </w:rPr>
        <w:fldChar w:fldCharType="separate"/>
      </w:r>
      <w:r w:rsidR="004700D5">
        <w:t xml:space="preserve">Slika </w:t>
      </w:r>
      <w:r w:rsidR="004700D5">
        <w:rPr>
          <w:noProof/>
        </w:rPr>
        <w:t>6</w:t>
      </w:r>
      <w:r w:rsidR="004700D5">
        <w:t>.</w:t>
      </w:r>
      <w:r w:rsidR="004700D5">
        <w:rPr>
          <w:noProof/>
        </w:rPr>
        <w:t>41</w:t>
      </w:r>
      <w:r>
        <w:rPr>
          <w:lang w:eastAsia="sl-SI"/>
        </w:rPr>
        <w:fldChar w:fldCharType="end"/>
      </w:r>
      <w:r w:rsidRPr="007E621C">
        <w:rPr>
          <w:lang w:eastAsia="sl-SI"/>
        </w:rPr>
        <w:t xml:space="preserve">). Za vsako zaledje je bilo izračunano povprečno sezonsko minimalno, povprečno in maksimalno napajanje podzemne vode za referenčno obdobje. </w:t>
      </w:r>
      <w:r>
        <w:rPr>
          <w:lang w:eastAsia="sl-SI"/>
        </w:rPr>
        <w:t>Letni odvzem smo delili na zimsko (oktober do marec), kjer se ne upošteva namakanje in poletno (april do september) polovico leto, kjer je upoštevano tudi namakanje.</w:t>
      </w:r>
    </w:p>
    <w:p w14:paraId="54252808" w14:textId="6FF36809" w:rsidR="00C47DF2" w:rsidRPr="0006076F" w:rsidRDefault="00C47DF2" w:rsidP="00C47DF2">
      <w:pPr>
        <w:rPr>
          <w:lang w:eastAsia="sl-SI"/>
        </w:rPr>
      </w:pPr>
      <w:r>
        <w:rPr>
          <w:lang w:eastAsia="sl-SI"/>
        </w:rPr>
        <w:t>V referenčnem obdobju 1981-2010 sta najbolj prizadeti vodovarstveni območji vira Osek in Vitovlje (zaledji 1 in 2) (</w:t>
      </w:r>
      <w:r>
        <w:rPr>
          <w:lang w:eastAsia="sl-SI"/>
        </w:rPr>
        <w:fldChar w:fldCharType="begin"/>
      </w:r>
      <w:r>
        <w:rPr>
          <w:lang w:eastAsia="sl-SI"/>
        </w:rPr>
        <w:instrText xml:space="preserve"> REF _Ref73435584 \h </w:instrText>
      </w:r>
      <w:r>
        <w:rPr>
          <w:lang w:eastAsia="sl-SI"/>
        </w:rPr>
      </w:r>
      <w:r>
        <w:rPr>
          <w:lang w:eastAsia="sl-SI"/>
        </w:rPr>
        <w:fldChar w:fldCharType="separate"/>
      </w:r>
      <w:r w:rsidR="004700D5">
        <w:t xml:space="preserve">Slika </w:t>
      </w:r>
      <w:r w:rsidR="004700D5">
        <w:rPr>
          <w:noProof/>
        </w:rPr>
        <w:t>6</w:t>
      </w:r>
      <w:r w:rsidR="004700D5">
        <w:t>.</w:t>
      </w:r>
      <w:r w:rsidR="004700D5">
        <w:rPr>
          <w:noProof/>
        </w:rPr>
        <w:t>43</w:t>
      </w:r>
      <w:r>
        <w:rPr>
          <w:lang w:eastAsia="sl-SI"/>
        </w:rPr>
        <w:fldChar w:fldCharType="end"/>
      </w:r>
      <w:r>
        <w:rPr>
          <w:lang w:eastAsia="sl-SI"/>
        </w:rPr>
        <w:t>). V zaledju 1 je indeks izkoriščanja (</w:t>
      </w:r>
      <w:r>
        <w:rPr>
          <w:i/>
          <w:iCs/>
          <w:lang w:eastAsia="sl-SI"/>
        </w:rPr>
        <w:t>II</w:t>
      </w:r>
      <w:r>
        <w:rPr>
          <w:lang w:eastAsia="sl-SI"/>
        </w:rPr>
        <w:t xml:space="preserve">) v poletnih mesecih pri povprečnem napajanju 0,15, kar kaže na nekoliko povišan vodni stres. V zaledju 2 </w:t>
      </w:r>
      <w:r>
        <w:rPr>
          <w:i/>
          <w:iCs/>
          <w:lang w:eastAsia="sl-SI"/>
        </w:rPr>
        <w:t>II</w:t>
      </w:r>
      <w:r>
        <w:rPr>
          <w:lang w:eastAsia="sl-SI"/>
        </w:rPr>
        <w:t xml:space="preserve"> doseže pri povprečnem napajanju 0,26, pri minimalnem napajanju podzemne vode pa 0,33. V zimskih mesecih je prav tako povišan (0,14 pri povprečnem napajanju). V zaledju 0  (</w:t>
      </w:r>
      <w:proofErr w:type="spellStart"/>
      <w:r>
        <w:rPr>
          <w:lang w:eastAsia="sl-SI"/>
        </w:rPr>
        <w:t>Mrzlek</w:t>
      </w:r>
      <w:proofErr w:type="spellEnd"/>
      <w:r>
        <w:rPr>
          <w:lang w:eastAsia="sl-SI"/>
        </w:rPr>
        <w:t>) in 3 (Čepovan) indeks izkoriščanja ne preseže 0,1.</w:t>
      </w:r>
    </w:p>
    <w:p w14:paraId="307D945F" w14:textId="77777777" w:rsidR="00C47DF2" w:rsidRDefault="00C47DF2" w:rsidP="00C47DF2">
      <w:pPr>
        <w:keepNext/>
        <w:jc w:val="center"/>
      </w:pPr>
      <w:r>
        <w:rPr>
          <w:noProof/>
          <w:lang w:eastAsia="sl-SI"/>
        </w:rPr>
        <w:lastRenderedPageBreak/>
        <w:drawing>
          <wp:inline distT="0" distB="0" distL="0" distR="0" wp14:anchorId="346E5A61" wp14:editId="2687DA25">
            <wp:extent cx="5543550" cy="402227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5553055" cy="4029166"/>
                    </a:xfrm>
                    <a:prstGeom prst="rect">
                      <a:avLst/>
                    </a:prstGeom>
                    <a:noFill/>
                  </pic:spPr>
                </pic:pic>
              </a:graphicData>
            </a:graphic>
          </wp:inline>
        </w:drawing>
      </w:r>
    </w:p>
    <w:p w14:paraId="5CB1D5B4" w14:textId="3707DAF7" w:rsidR="00C47DF2" w:rsidRDefault="00C47DF2" w:rsidP="00C47DF2">
      <w:pPr>
        <w:pStyle w:val="Napis"/>
        <w:rPr>
          <w:lang w:eastAsia="sl-SI"/>
        </w:rPr>
      </w:pPr>
      <w:bookmarkStart w:id="440" w:name="_Ref73435584"/>
      <w:bookmarkStart w:id="441" w:name="_Toc97026893"/>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42</w:t>
      </w:r>
      <w:r w:rsidR="008334B2">
        <w:fldChar w:fldCharType="end"/>
      </w:r>
      <w:bookmarkEnd w:id="440"/>
      <w:r>
        <w:t>:</w:t>
      </w:r>
      <w:r w:rsidRPr="00216EB1">
        <w:t xml:space="preserve"> </w:t>
      </w:r>
      <w:r w:rsidRPr="00A616D2">
        <w:t>Indeks izkoriščanja virov podzemne vode po zaledjih (</w:t>
      </w:r>
      <w:r>
        <w:fldChar w:fldCharType="begin"/>
      </w:r>
      <w:r>
        <w:instrText xml:space="preserve"> REF _Ref73355167 \h </w:instrText>
      </w:r>
      <w:r>
        <w:fldChar w:fldCharType="separate"/>
      </w:r>
      <w:r w:rsidR="004700D5">
        <w:t xml:space="preserve">Slika </w:t>
      </w:r>
      <w:r w:rsidR="004700D5">
        <w:rPr>
          <w:noProof/>
        </w:rPr>
        <w:t>6</w:t>
      </w:r>
      <w:r w:rsidR="004700D5">
        <w:t>.</w:t>
      </w:r>
      <w:r w:rsidR="004700D5">
        <w:rPr>
          <w:noProof/>
        </w:rPr>
        <w:t>41</w:t>
      </w:r>
      <w:r>
        <w:fldChar w:fldCharType="end"/>
      </w:r>
      <w:r>
        <w:t xml:space="preserve">) </w:t>
      </w:r>
      <w:r w:rsidRPr="00A616D2">
        <w:t>v referenčnem obdobju v poletni in zimski sezoni pri maksimalnem (</w:t>
      </w:r>
      <w:proofErr w:type="spellStart"/>
      <w:r w:rsidRPr="00A616D2">
        <w:t>maks</w:t>
      </w:r>
      <w:proofErr w:type="spellEnd"/>
      <w:r w:rsidRPr="00A616D2">
        <w:t>), srednjem (median) in minimalnem (min) napajanju podzemne vode.</w:t>
      </w:r>
      <w:bookmarkEnd w:id="441"/>
    </w:p>
    <w:p w14:paraId="2D604863" w14:textId="77777777" w:rsidR="00C47DF2" w:rsidRDefault="00C47DF2" w:rsidP="00C47DF2">
      <w:pPr>
        <w:pStyle w:val="Naslov6"/>
        <w:rPr>
          <w:lang w:eastAsia="sl-SI"/>
        </w:rPr>
      </w:pPr>
      <w:r w:rsidRPr="00E9100B">
        <w:rPr>
          <w:lang w:eastAsia="sl-SI"/>
        </w:rPr>
        <w:t>Vodni presežek podzemne vode</w:t>
      </w:r>
    </w:p>
    <w:p w14:paraId="61C5CA51" w14:textId="77777777" w:rsidR="00C47DF2" w:rsidRPr="00C56B4B" w:rsidRDefault="00C47DF2" w:rsidP="00C47DF2">
      <w:pPr>
        <w:rPr>
          <w:lang w:eastAsia="sl-SI"/>
        </w:rPr>
      </w:pPr>
      <w:r>
        <w:rPr>
          <w:lang w:eastAsia="sl-SI"/>
        </w:rPr>
        <w:t xml:space="preserve">V zaledju 0 (napajalno zaledje vodnega vira </w:t>
      </w:r>
      <w:proofErr w:type="spellStart"/>
      <w:r>
        <w:rPr>
          <w:lang w:eastAsia="sl-SI"/>
        </w:rPr>
        <w:t>Mrzlek</w:t>
      </w:r>
      <w:proofErr w:type="spellEnd"/>
      <w:r>
        <w:rPr>
          <w:lang w:eastAsia="sl-SI"/>
        </w:rPr>
        <w:t>) je zmanjšan vodni presežek v poletnih mesecih, vendar ne manjši od 90 </w:t>
      </w:r>
      <w:r>
        <w:t xml:space="preserve">%. V zaledju 1 pri povprečnem napajanju podzemne vode vodni presežek pade na 85 %, v zimskih na 93 %. Najbolj prizadeto je zaledje 2, kjer </w:t>
      </w:r>
      <w:r>
        <w:rPr>
          <w:i/>
          <w:iCs/>
        </w:rPr>
        <w:t xml:space="preserve">VP </w:t>
      </w:r>
      <w:r>
        <w:t xml:space="preserve">pade na 74 % v poletnih mesecih pri povprečnem napajanju, v zimskih pa na 86 %. V zaledju 3 je </w:t>
      </w:r>
      <w:r>
        <w:rPr>
          <w:i/>
          <w:iCs/>
        </w:rPr>
        <w:t>VP</w:t>
      </w:r>
      <w:r>
        <w:t xml:space="preserve"> skoraj 100 %.</w:t>
      </w:r>
    </w:p>
    <w:p w14:paraId="7BEF62C8" w14:textId="77777777" w:rsidR="00C47DF2" w:rsidRPr="00E9100B" w:rsidRDefault="00C47DF2" w:rsidP="00C47DF2">
      <w:pPr>
        <w:rPr>
          <w:lang w:eastAsia="sl-SI"/>
        </w:rPr>
      </w:pPr>
      <w:r>
        <w:rPr>
          <w:lang w:eastAsia="sl-SI"/>
        </w:rPr>
        <w:t xml:space="preserve">Na podlagi indeksa izkoriščanja in vodnega presežka za vsa štiri zaledja ocenjujemo, da je vodni stres v referenčnem obdobju na vire podzemne vode zlasti za potrebe pitne vode majhen za glavni vodni vir </w:t>
      </w:r>
      <w:proofErr w:type="spellStart"/>
      <w:r>
        <w:rPr>
          <w:lang w:eastAsia="sl-SI"/>
        </w:rPr>
        <w:t>Mrzlek</w:t>
      </w:r>
      <w:proofErr w:type="spellEnd"/>
      <w:r>
        <w:rPr>
          <w:lang w:eastAsia="sl-SI"/>
        </w:rPr>
        <w:t>, ki ima tudi veliko zaledje in nekoliko večji za manjše vodne vire (Osek in Vitovlje).</w:t>
      </w:r>
    </w:p>
    <w:p w14:paraId="207AE093" w14:textId="77777777" w:rsidR="00535C80" w:rsidRPr="00A0765D" w:rsidRDefault="00535C80" w:rsidP="00982F26">
      <w:pPr>
        <w:rPr>
          <w:lang w:eastAsia="sl-SI"/>
        </w:rPr>
      </w:pPr>
    </w:p>
    <w:p w14:paraId="5924C392" w14:textId="77777777" w:rsidR="00982F26" w:rsidRPr="004D0BDB" w:rsidRDefault="00982F26" w:rsidP="00982F26">
      <w:pPr>
        <w:pStyle w:val="Naslov3"/>
        <w:ind w:left="1214"/>
      </w:pPr>
      <w:bookmarkStart w:id="442" w:name="_Ref39140086"/>
      <w:bookmarkStart w:id="443" w:name="_Toc57034760"/>
      <w:bookmarkStart w:id="444" w:name="_Toc97026792"/>
      <w:r w:rsidRPr="004D0BDB">
        <w:t>Ocena potencialnih vplivov podnebnih sprememb na sektor vodni viri po kazalnikih</w:t>
      </w:r>
      <w:bookmarkEnd w:id="442"/>
      <w:bookmarkEnd w:id="443"/>
      <w:bookmarkEnd w:id="444"/>
    </w:p>
    <w:p w14:paraId="3236FD5A" w14:textId="77777777" w:rsidR="00C47DF2" w:rsidRPr="00E9100B" w:rsidRDefault="00C47DF2" w:rsidP="00C47DF2">
      <w:pPr>
        <w:rPr>
          <w:lang w:eastAsia="sl-SI"/>
        </w:rPr>
      </w:pPr>
      <w:r w:rsidRPr="00E9100B">
        <w:rPr>
          <w:lang w:eastAsia="sl-SI"/>
        </w:rPr>
        <w:t xml:space="preserve">Ocena potencialnih vplivov sestoji iz izpostavljenosti in občutljivosti. Izpostavljenost in občutljivost v referenčnem obdobju sta opisani v prejšnjem poglavju. Sprememba potencialnih vplivov v prihodnosti je odvisna od spremembe izpostavljenosti podnebnim spremembam in občutljivosti vodnih virov. Za oceno izpostavljenost sektorja podnebnim spremembam smo uporabili rezultate </w:t>
      </w:r>
      <w:proofErr w:type="spellStart"/>
      <w:r w:rsidRPr="00E9100B">
        <w:rPr>
          <w:lang w:eastAsia="sl-SI"/>
        </w:rPr>
        <w:t>vodobilančnega</w:t>
      </w:r>
      <w:proofErr w:type="spellEnd"/>
      <w:r w:rsidRPr="00E9100B">
        <w:rPr>
          <w:lang w:eastAsia="sl-SI"/>
        </w:rPr>
        <w:t xml:space="preserve"> modela </w:t>
      </w:r>
      <w:proofErr w:type="spellStart"/>
      <w:r w:rsidRPr="00E9100B">
        <w:rPr>
          <w:lang w:eastAsia="sl-SI"/>
        </w:rPr>
        <w:t>mGROWA</w:t>
      </w:r>
      <w:proofErr w:type="spellEnd"/>
      <w:r w:rsidRPr="00E9100B">
        <w:rPr>
          <w:lang w:eastAsia="sl-SI"/>
        </w:rPr>
        <w:t xml:space="preserve">-Si po podnebnih scenarijih RCP4.5 in </w:t>
      </w:r>
      <w:r w:rsidRPr="00E9100B">
        <w:rPr>
          <w:lang w:eastAsia="sl-SI"/>
        </w:rPr>
        <w:lastRenderedPageBreak/>
        <w:t>RCP</w:t>
      </w:r>
      <w:r>
        <w:rPr>
          <w:lang w:eastAsia="sl-SI"/>
        </w:rPr>
        <w:t> </w:t>
      </w:r>
      <w:r w:rsidRPr="00E9100B">
        <w:rPr>
          <w:lang w:eastAsia="sl-SI"/>
        </w:rPr>
        <w:t>8.5. Občutljivost</w:t>
      </w:r>
      <w:r>
        <w:rPr>
          <w:lang w:eastAsia="sl-SI"/>
        </w:rPr>
        <w:t xml:space="preserve"> </w:t>
      </w:r>
      <w:r w:rsidRPr="00E9100B">
        <w:rPr>
          <w:lang w:eastAsia="sl-SI"/>
        </w:rPr>
        <w:t>v prihodnosti pa sloni na štirih scenarijih spremembe rabe vodnih virov; 10 % zmanjšanje, enaka raba, 10 % povečanje in 25 % povečanje rabe vodnih virov.</w:t>
      </w:r>
    </w:p>
    <w:p w14:paraId="02A222B1" w14:textId="77777777" w:rsidR="00C47DF2" w:rsidRPr="00E9100B" w:rsidRDefault="00C47DF2" w:rsidP="00C47DF2">
      <w:pPr>
        <w:rPr>
          <w:lang w:eastAsia="sl-SI"/>
        </w:rPr>
      </w:pPr>
    </w:p>
    <w:p w14:paraId="21198E3C" w14:textId="77777777" w:rsidR="00C47DF2" w:rsidRPr="00E9100B" w:rsidRDefault="00C47DF2" w:rsidP="00C47DF2">
      <w:pPr>
        <w:pStyle w:val="Naslov4"/>
      </w:pPr>
      <w:r w:rsidRPr="00E9100B">
        <w:t>Ocena potencialnih vplivov podnebnih sprememb na vire površinske vode</w:t>
      </w:r>
    </w:p>
    <w:p w14:paraId="6C725489" w14:textId="4CD2760A" w:rsidR="00C47DF2" w:rsidRPr="00E9100B" w:rsidRDefault="00C47DF2" w:rsidP="00C47DF2">
      <w:pPr>
        <w:rPr>
          <w:lang w:eastAsia="sl-SI"/>
        </w:rPr>
      </w:pPr>
      <w:r w:rsidRPr="00E9100B">
        <w:rPr>
          <w:lang w:eastAsia="sl-SI"/>
        </w:rPr>
        <w:t>Po srednje optimističnemu podnebnemu scenariju bo v poletni polovici leta prišlo v rahlega povečanje povprečnega skupnega odtoka v obdobju 2011</w:t>
      </w:r>
      <w:r w:rsidRPr="00E9100B">
        <w:rPr>
          <w:lang w:eastAsia="sl-SI"/>
        </w:rPr>
        <w:noBreakHyphen/>
        <w:t>2040 in nato do zmanjšanja v povprečju obdobja 2041</w:t>
      </w:r>
      <w:r w:rsidRPr="00E9100B">
        <w:rPr>
          <w:lang w:eastAsia="sl-SI"/>
        </w:rPr>
        <w:noBreakHyphen/>
        <w:t xml:space="preserve">2070. Pri pesimističnem scenariju bo ravno obratno. Skupni odtok na </w:t>
      </w:r>
      <w:r>
        <w:rPr>
          <w:lang w:eastAsia="sl-SI"/>
        </w:rPr>
        <w:t xml:space="preserve">širšem </w:t>
      </w:r>
      <w:r w:rsidRPr="00E9100B">
        <w:rPr>
          <w:lang w:eastAsia="sl-SI"/>
        </w:rPr>
        <w:t xml:space="preserve">območju občine </w:t>
      </w:r>
      <w:r>
        <w:rPr>
          <w:lang w:eastAsia="sl-SI"/>
        </w:rPr>
        <w:t>Nove Gorice</w:t>
      </w:r>
      <w:r w:rsidRPr="00E9100B">
        <w:rPr>
          <w:lang w:eastAsia="sl-SI"/>
        </w:rPr>
        <w:t xml:space="preserve"> se bo v povprečju najprej nekoliko zmanjšal, nato pa proti sredini stoletja narastel (2041-2070). Razponi med modeliranimi najmanjšimi in največjimi vrednostmi skupnega odtoka so relativno veliki (tudi do 3</w:t>
      </w:r>
      <w:r>
        <w:rPr>
          <w:lang w:eastAsia="sl-SI"/>
        </w:rPr>
        <w:t>00</w:t>
      </w:r>
      <w:r w:rsidRPr="00E9100B">
        <w:rPr>
          <w:lang w:eastAsia="sl-SI"/>
        </w:rPr>
        <w:t> mm pri RCP4.5 v obdobju 2011</w:t>
      </w:r>
      <w:r w:rsidRPr="00E9100B">
        <w:rPr>
          <w:lang w:eastAsia="sl-SI"/>
        </w:rPr>
        <w:noBreakHyphen/>
        <w:t>2041</w:t>
      </w:r>
      <w:r>
        <w:rPr>
          <w:lang w:eastAsia="sl-SI"/>
        </w:rPr>
        <w:t xml:space="preserve"> v poletnih mesecih</w:t>
      </w:r>
      <w:r w:rsidRPr="00E9100B">
        <w:rPr>
          <w:lang w:eastAsia="sl-SI"/>
        </w:rPr>
        <w:t>). V zimskih mesecih bo po obeh podnebnih scenarijih prišlo do povišanja skupnega odtoka v prihodnjih obdobjih</w:t>
      </w:r>
      <w:r>
        <w:rPr>
          <w:lang w:eastAsia="sl-SI"/>
        </w:rPr>
        <w:t>, vendar pa je razpon med najmanjšimi in največjimi vrednostmi zelo velik (do 46 % povprečne vrednosti pri RCP 8.5 v obdobju 2041-2070).</w:t>
      </w:r>
      <w:r w:rsidRPr="00E9100B">
        <w:rPr>
          <w:lang w:eastAsia="sl-SI"/>
        </w:rPr>
        <w:t xml:space="preserve"> Med scenarijem so zelo majhne razlike med količinami skupnega odtoka (</w:t>
      </w:r>
      <w:r>
        <w:rPr>
          <w:lang w:eastAsia="sl-SI"/>
        </w:rPr>
        <w:fldChar w:fldCharType="begin"/>
      </w:r>
      <w:r>
        <w:rPr>
          <w:lang w:eastAsia="sl-SI"/>
        </w:rPr>
        <w:instrText xml:space="preserve"> REF _Ref67917452 \h </w:instrText>
      </w:r>
      <w:r>
        <w:rPr>
          <w:lang w:eastAsia="sl-SI"/>
        </w:rPr>
      </w:r>
      <w:r>
        <w:rPr>
          <w:lang w:eastAsia="sl-SI"/>
        </w:rPr>
        <w:fldChar w:fldCharType="separate"/>
      </w:r>
      <w:r w:rsidR="004700D5">
        <w:t xml:space="preserve">Slika </w:t>
      </w:r>
      <w:r w:rsidR="004700D5">
        <w:rPr>
          <w:noProof/>
        </w:rPr>
        <w:t>6</w:t>
      </w:r>
      <w:r w:rsidR="004700D5">
        <w:t>.</w:t>
      </w:r>
      <w:r w:rsidR="004700D5">
        <w:rPr>
          <w:noProof/>
        </w:rPr>
        <w:t>44</w:t>
      </w:r>
      <w:r>
        <w:rPr>
          <w:lang w:eastAsia="sl-SI"/>
        </w:rPr>
        <w:fldChar w:fldCharType="end"/>
      </w:r>
      <w:r>
        <w:rPr>
          <w:lang w:eastAsia="sl-SI"/>
        </w:rPr>
        <w:t>)</w:t>
      </w:r>
      <w:r w:rsidRPr="00E9100B">
        <w:rPr>
          <w:lang w:eastAsia="sl-SI"/>
        </w:rPr>
        <w:t>.</w:t>
      </w:r>
    </w:p>
    <w:p w14:paraId="7921FA36" w14:textId="1886B72F" w:rsidR="00C47DF2" w:rsidRPr="00E9100B" w:rsidRDefault="00C47DF2" w:rsidP="00C47DF2">
      <w:pPr>
        <w:rPr>
          <w:lang w:eastAsia="sl-SI"/>
        </w:rPr>
      </w:pPr>
      <w:r w:rsidRPr="00E9100B">
        <w:rPr>
          <w:lang w:eastAsia="sl-SI"/>
        </w:rPr>
        <w:t>Prostorska porazdelitev modeliranega skupnega odtoka bo v prihodnjih obdobjih podobna kot v referenčnem</w:t>
      </w:r>
      <w:r>
        <w:rPr>
          <w:lang w:eastAsia="sl-SI"/>
        </w:rPr>
        <w:t>,</w:t>
      </w:r>
      <w:r w:rsidRPr="00E9100B">
        <w:rPr>
          <w:lang w:eastAsia="sl-SI"/>
        </w:rPr>
        <w:t xml:space="preserve"> z največ </w:t>
      </w:r>
      <w:r>
        <w:rPr>
          <w:lang w:eastAsia="sl-SI"/>
        </w:rPr>
        <w:t>skupnega odtoka</w:t>
      </w:r>
      <w:r w:rsidRPr="00E9100B">
        <w:rPr>
          <w:lang w:eastAsia="sl-SI"/>
        </w:rPr>
        <w:t xml:space="preserve"> </w:t>
      </w:r>
      <w:r>
        <w:rPr>
          <w:lang w:eastAsia="sl-SI"/>
        </w:rPr>
        <w:t>na Trnovsko-Banjški planoti in najmanj v Vipavski dolini. Prostorska porazdelitev odstopanja skupnega</w:t>
      </w:r>
      <w:r w:rsidRPr="00E9100B">
        <w:rPr>
          <w:lang w:eastAsia="sl-SI"/>
        </w:rPr>
        <w:t xml:space="preserve"> </w:t>
      </w:r>
      <w:r>
        <w:rPr>
          <w:lang w:eastAsia="sl-SI"/>
        </w:rPr>
        <w:t xml:space="preserve">odtoka v prihodnjih obdobjih od referenčnih obdobjih kaže podobno sliko kot grafa razpona vrednosti na spodnji sliki </w:t>
      </w:r>
      <w:r w:rsidRPr="00E9100B">
        <w:rPr>
          <w:lang w:eastAsia="sl-SI"/>
        </w:rPr>
        <w:t>(</w:t>
      </w:r>
      <w:r>
        <w:rPr>
          <w:lang w:eastAsia="sl-SI"/>
        </w:rPr>
        <w:fldChar w:fldCharType="begin"/>
      </w:r>
      <w:r>
        <w:rPr>
          <w:lang w:eastAsia="sl-SI"/>
        </w:rPr>
        <w:instrText xml:space="preserve"> REF _Ref67934025 \h </w:instrText>
      </w:r>
      <w:r>
        <w:rPr>
          <w:lang w:eastAsia="sl-SI"/>
        </w:rPr>
      </w:r>
      <w:r>
        <w:rPr>
          <w:lang w:eastAsia="sl-SI"/>
        </w:rPr>
        <w:fldChar w:fldCharType="separate"/>
      </w:r>
      <w:r w:rsidR="004700D5">
        <w:t xml:space="preserve">Slika </w:t>
      </w:r>
      <w:r w:rsidR="004700D5">
        <w:rPr>
          <w:noProof/>
        </w:rPr>
        <w:t>6</w:t>
      </w:r>
      <w:r w:rsidR="004700D5">
        <w:t>.</w:t>
      </w:r>
      <w:r w:rsidR="004700D5">
        <w:rPr>
          <w:noProof/>
        </w:rPr>
        <w:t>45</w:t>
      </w:r>
      <w:r>
        <w:rPr>
          <w:lang w:eastAsia="sl-SI"/>
        </w:rPr>
        <w:fldChar w:fldCharType="end"/>
      </w:r>
      <w:r w:rsidRPr="003C2CA9">
        <w:rPr>
          <w:lang w:eastAsia="sl-SI"/>
        </w:rPr>
        <w:t xml:space="preserve"> in </w:t>
      </w:r>
      <w:r>
        <w:rPr>
          <w:lang w:eastAsia="sl-SI"/>
        </w:rPr>
        <w:fldChar w:fldCharType="begin"/>
      </w:r>
      <w:r>
        <w:rPr>
          <w:lang w:eastAsia="sl-SI"/>
        </w:rPr>
        <w:instrText xml:space="preserve"> REF _Ref67934027 \h </w:instrText>
      </w:r>
      <w:r>
        <w:rPr>
          <w:lang w:eastAsia="sl-SI"/>
        </w:rPr>
      </w:r>
      <w:r>
        <w:rPr>
          <w:lang w:eastAsia="sl-SI"/>
        </w:rPr>
        <w:fldChar w:fldCharType="separate"/>
      </w:r>
      <w:r w:rsidR="004700D5">
        <w:t xml:space="preserve">Slika </w:t>
      </w:r>
      <w:r w:rsidR="004700D5">
        <w:rPr>
          <w:noProof/>
        </w:rPr>
        <w:t>6</w:t>
      </w:r>
      <w:r w:rsidR="004700D5">
        <w:t>.</w:t>
      </w:r>
      <w:r w:rsidR="004700D5">
        <w:rPr>
          <w:noProof/>
        </w:rPr>
        <w:t>46</w:t>
      </w:r>
      <w:r>
        <w:rPr>
          <w:lang w:eastAsia="sl-SI"/>
        </w:rPr>
        <w:fldChar w:fldCharType="end"/>
      </w:r>
      <w:r w:rsidRPr="00E9100B">
        <w:rPr>
          <w:lang w:eastAsia="sl-SI"/>
        </w:rPr>
        <w:t>)</w:t>
      </w:r>
      <w:r>
        <w:rPr>
          <w:lang w:eastAsia="sl-SI"/>
        </w:rPr>
        <w:t>. V zimskih mesecih bo v povprečju več vode po obeh podnebnih scenarijih, od 0 do 10 % v obdobju 2011-2040 in 5 do 15 % v 2041-2070. V poletnih mesecih pa bo po srednje optimističnem scenariju proti koncu stoletja do 15 % manj vode, po pesimističnem pa bo do zmanjšanja količin vode prišlo v sredini stoletja, nato pa bo bodo proti koncu stoletja manjša odstopanja (± 5 %), z izjemo območja Trnovskega gozda, kjer bo odstopanje negativno.</w:t>
      </w:r>
    </w:p>
    <w:p w14:paraId="2788DFEE" w14:textId="77777777" w:rsidR="00C47DF2" w:rsidRDefault="00C47DF2" w:rsidP="00C47DF2">
      <w:pPr>
        <w:keepNext/>
        <w:jc w:val="center"/>
      </w:pPr>
      <w:bookmarkStart w:id="445" w:name="_Hlk71011630"/>
      <w:r>
        <w:rPr>
          <w:noProof/>
          <w:lang w:eastAsia="sl-SI"/>
        </w:rPr>
        <w:drawing>
          <wp:inline distT="0" distB="0" distL="0" distR="0" wp14:anchorId="4018CA55" wp14:editId="44C8824D">
            <wp:extent cx="2734573" cy="2768629"/>
            <wp:effectExtent l="0" t="0" r="8890" b="0"/>
            <wp:docPr id="593441295" name="Picture 59344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11135" r="9791"/>
                    <a:stretch/>
                  </pic:blipFill>
                  <pic:spPr bwMode="auto">
                    <a:xfrm>
                      <a:off x="0" y="0"/>
                      <a:ext cx="2741344" cy="277548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sl-SI"/>
        </w:rPr>
        <w:drawing>
          <wp:inline distT="0" distB="0" distL="0" distR="0" wp14:anchorId="137C1D1C" wp14:editId="5B3B9B0A">
            <wp:extent cx="2760668" cy="2770031"/>
            <wp:effectExtent l="0" t="0" r="1905" b="0"/>
            <wp:docPr id="593441296" name="Picture 59344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10853" r="9359"/>
                    <a:stretch/>
                  </pic:blipFill>
                  <pic:spPr bwMode="auto">
                    <a:xfrm>
                      <a:off x="0" y="0"/>
                      <a:ext cx="2771644" cy="2781045"/>
                    </a:xfrm>
                    <a:prstGeom prst="rect">
                      <a:avLst/>
                    </a:prstGeom>
                    <a:noFill/>
                    <a:ln>
                      <a:noFill/>
                    </a:ln>
                    <a:extLst>
                      <a:ext uri="{53640926-AAD7-44D8-BBD7-CCE9431645EC}">
                        <a14:shadowObscured xmlns:a14="http://schemas.microsoft.com/office/drawing/2010/main"/>
                      </a:ext>
                    </a:extLst>
                  </pic:spPr>
                </pic:pic>
              </a:graphicData>
            </a:graphic>
          </wp:inline>
        </w:drawing>
      </w:r>
    </w:p>
    <w:p w14:paraId="4903801B" w14:textId="780ED9B1" w:rsidR="00C47DF2" w:rsidRPr="004D0BDB" w:rsidRDefault="00C47DF2" w:rsidP="00C47DF2">
      <w:pPr>
        <w:pStyle w:val="Napis"/>
        <w:rPr>
          <w:lang w:eastAsia="sl-SI"/>
        </w:rPr>
      </w:pPr>
      <w:bookmarkStart w:id="446" w:name="_Ref67917452"/>
      <w:bookmarkStart w:id="447" w:name="_Toc97026894"/>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43</w:t>
      </w:r>
      <w:r w:rsidR="008334B2">
        <w:fldChar w:fldCharType="end"/>
      </w:r>
      <w:bookmarkEnd w:id="446"/>
      <w:r w:rsidRPr="002B2100">
        <w:t>: Skupni odtok v prihodnjih obdobjih po podnebnih scenarijih RCP4.5 in RCP8.5 za poletno in zimsko polovico leta.</w:t>
      </w:r>
      <w:bookmarkEnd w:id="447"/>
    </w:p>
    <w:p w14:paraId="26567310" w14:textId="77777777" w:rsidR="00C47DF2" w:rsidRDefault="00C47DF2" w:rsidP="00C47DF2">
      <w:pPr>
        <w:keepNext/>
        <w:tabs>
          <w:tab w:val="left" w:pos="2340"/>
        </w:tabs>
        <w:jc w:val="center"/>
        <w:rPr>
          <w:noProof/>
        </w:rPr>
      </w:pPr>
      <w:r>
        <w:rPr>
          <w:noProof/>
          <w:lang w:eastAsia="sl-SI"/>
        </w:rPr>
        <w:lastRenderedPageBreak/>
        <w:drawing>
          <wp:inline distT="0" distB="0" distL="0" distR="0" wp14:anchorId="0378E41A" wp14:editId="18B7AB06">
            <wp:extent cx="2471293" cy="3981450"/>
            <wp:effectExtent l="0" t="0" r="571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pic:cNvPicPr>
                  </pic:nvPicPr>
                  <pic:blipFill rotWithShape="1">
                    <a:blip r:embed="rId191" cstate="print">
                      <a:extLst>
                        <a:ext uri="{28A0092B-C50C-407E-A947-70E740481C1C}">
                          <a14:useLocalDpi xmlns:a14="http://schemas.microsoft.com/office/drawing/2010/main" val="0"/>
                        </a:ext>
                      </a:extLst>
                    </a:blip>
                    <a:srcRect l="28024" r="28095"/>
                    <a:stretch/>
                  </pic:blipFill>
                  <pic:spPr bwMode="auto">
                    <a:xfrm>
                      <a:off x="0" y="0"/>
                      <a:ext cx="2485581" cy="400446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sl-SI"/>
        </w:rPr>
        <w:drawing>
          <wp:inline distT="0" distB="0" distL="0" distR="0" wp14:anchorId="7BAD7AEC" wp14:editId="5928B73B">
            <wp:extent cx="2485593" cy="4114800"/>
            <wp:effectExtent l="0" t="0" r="0" b="0"/>
            <wp:docPr id="593441297" name="Picture 59344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28474" r="28820"/>
                    <a:stretch/>
                  </pic:blipFill>
                  <pic:spPr bwMode="auto">
                    <a:xfrm>
                      <a:off x="0" y="0"/>
                      <a:ext cx="2517673" cy="4167907"/>
                    </a:xfrm>
                    <a:prstGeom prst="rect">
                      <a:avLst/>
                    </a:prstGeom>
                    <a:noFill/>
                    <a:ln>
                      <a:noFill/>
                    </a:ln>
                    <a:extLst>
                      <a:ext uri="{53640926-AAD7-44D8-BBD7-CCE9431645EC}">
                        <a14:shadowObscured xmlns:a14="http://schemas.microsoft.com/office/drawing/2010/main"/>
                      </a:ext>
                    </a:extLst>
                  </pic:spPr>
                </pic:pic>
              </a:graphicData>
            </a:graphic>
          </wp:inline>
        </w:drawing>
      </w:r>
    </w:p>
    <w:p w14:paraId="5D88EBD3" w14:textId="3A7D74BA" w:rsidR="00C47DF2" w:rsidRDefault="00C47DF2" w:rsidP="00C47DF2">
      <w:pPr>
        <w:pStyle w:val="Napis"/>
        <w:rPr>
          <w:lang w:eastAsia="sl-SI"/>
        </w:rPr>
      </w:pPr>
      <w:bookmarkStart w:id="448" w:name="_Ref67934025"/>
      <w:bookmarkStart w:id="449" w:name="_Toc97026895"/>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44</w:t>
      </w:r>
      <w:r w:rsidR="008334B2">
        <w:fldChar w:fldCharType="end"/>
      </w:r>
      <w:bookmarkEnd w:id="448"/>
      <w:r>
        <w:t xml:space="preserve">: </w:t>
      </w:r>
      <w:r w:rsidRPr="006C3550">
        <w:t>Prostorska porazdelitev odstopanja skupnega odtoka od referenčnega obdobja 1981 2010 po podnebnem scenariju RCP4.5 za poletno in zimsko polovico leta</w:t>
      </w:r>
      <w:bookmarkEnd w:id="449"/>
    </w:p>
    <w:p w14:paraId="68CBF4A3" w14:textId="77777777" w:rsidR="00C47DF2" w:rsidRDefault="00C47DF2" w:rsidP="00C47DF2">
      <w:pPr>
        <w:keepNext/>
        <w:tabs>
          <w:tab w:val="left" w:pos="2340"/>
        </w:tabs>
        <w:jc w:val="center"/>
        <w:rPr>
          <w:noProof/>
        </w:rPr>
      </w:pPr>
      <w:r>
        <w:rPr>
          <w:noProof/>
          <w:lang w:eastAsia="sl-SI"/>
        </w:rPr>
        <w:lastRenderedPageBreak/>
        <w:drawing>
          <wp:inline distT="0" distB="0" distL="0" distR="0" wp14:anchorId="5D2523F3" wp14:editId="0A0A392A">
            <wp:extent cx="2505075" cy="4040581"/>
            <wp:effectExtent l="0" t="0" r="0" b="0"/>
            <wp:docPr id="593441298" name="Picture 59344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27489" r="28678"/>
                    <a:stretch/>
                  </pic:blipFill>
                  <pic:spPr bwMode="auto">
                    <a:xfrm>
                      <a:off x="0" y="0"/>
                      <a:ext cx="2509066" cy="404701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sl-SI"/>
        </w:rPr>
        <w:drawing>
          <wp:inline distT="0" distB="0" distL="0" distR="0" wp14:anchorId="7AD4289B" wp14:editId="453FB4DC">
            <wp:extent cx="2402530" cy="4057650"/>
            <wp:effectExtent l="0" t="0" r="0" b="0"/>
            <wp:docPr id="593441299" name="Picture 59344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29320" r="28820"/>
                    <a:stretch/>
                  </pic:blipFill>
                  <pic:spPr bwMode="auto">
                    <a:xfrm>
                      <a:off x="0" y="0"/>
                      <a:ext cx="2406076" cy="4063640"/>
                    </a:xfrm>
                    <a:prstGeom prst="rect">
                      <a:avLst/>
                    </a:prstGeom>
                    <a:noFill/>
                    <a:ln>
                      <a:noFill/>
                    </a:ln>
                    <a:extLst>
                      <a:ext uri="{53640926-AAD7-44D8-BBD7-CCE9431645EC}">
                        <a14:shadowObscured xmlns:a14="http://schemas.microsoft.com/office/drawing/2010/main"/>
                      </a:ext>
                    </a:extLst>
                  </pic:spPr>
                </pic:pic>
              </a:graphicData>
            </a:graphic>
          </wp:inline>
        </w:drawing>
      </w:r>
    </w:p>
    <w:p w14:paraId="7374FC22" w14:textId="403476E5" w:rsidR="00C47DF2" w:rsidRDefault="00C47DF2" w:rsidP="00C47DF2">
      <w:pPr>
        <w:pStyle w:val="Napis"/>
        <w:rPr>
          <w:lang w:eastAsia="sl-SI"/>
        </w:rPr>
      </w:pPr>
      <w:bookmarkStart w:id="450" w:name="_Ref67934027"/>
      <w:bookmarkStart w:id="451" w:name="_Toc97026896"/>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45</w:t>
      </w:r>
      <w:r w:rsidR="008334B2">
        <w:fldChar w:fldCharType="end"/>
      </w:r>
      <w:bookmarkEnd w:id="450"/>
      <w:r w:rsidRPr="00AC30F1">
        <w:t>: Prostorska porazdelitev odstopanja skupnega odtoka od referenčnega obdobja 1981 2010 po podnebnem scenariju RCP8.5 za poletno in zimsko polovico leta</w:t>
      </w:r>
      <w:bookmarkEnd w:id="451"/>
    </w:p>
    <w:bookmarkEnd w:id="445"/>
    <w:p w14:paraId="69F9AC45" w14:textId="77777777" w:rsidR="00C47DF2" w:rsidRDefault="00C47DF2" w:rsidP="00C47DF2">
      <w:pPr>
        <w:pStyle w:val="Naslov5"/>
      </w:pPr>
      <w:r>
        <w:t>Vodni stres površinske vodo po vodotokih</w:t>
      </w:r>
    </w:p>
    <w:p w14:paraId="2A52C017" w14:textId="23B2763C" w:rsidR="00C47DF2" w:rsidRDefault="00C47DF2" w:rsidP="00C47DF2">
      <w:pPr>
        <w:rPr>
          <w:lang w:eastAsia="sl-SI"/>
        </w:rPr>
      </w:pPr>
      <w:r>
        <w:rPr>
          <w:lang w:eastAsia="sl-SI"/>
        </w:rPr>
        <w:t xml:space="preserve">Ocena ranljivosti virov površinske vode na podnebne spremembe je obsegala analizo pretokov reke Soče na hidrološki postaji Solkan, pretokov reke Vipave na hidroloških postajah Dolenje, Zalošče in Miren ter na hidrološki postaji </w:t>
      </w:r>
      <w:proofErr w:type="spellStart"/>
      <w:r>
        <w:rPr>
          <w:lang w:eastAsia="sl-SI"/>
        </w:rPr>
        <w:t>Bezovljak</w:t>
      </w:r>
      <w:proofErr w:type="spellEnd"/>
      <w:r>
        <w:rPr>
          <w:lang w:eastAsia="sl-SI"/>
        </w:rPr>
        <w:t xml:space="preserve"> pod zajetjem </w:t>
      </w:r>
      <w:proofErr w:type="spellStart"/>
      <w:r>
        <w:rPr>
          <w:lang w:eastAsia="sl-SI"/>
        </w:rPr>
        <w:t>Vogršček</w:t>
      </w:r>
      <w:proofErr w:type="spellEnd"/>
      <w:r>
        <w:rPr>
          <w:lang w:eastAsia="sl-SI"/>
        </w:rPr>
        <w:t xml:space="preserve">. </w:t>
      </w:r>
      <w:r w:rsidRPr="00514FD9">
        <w:rPr>
          <w:lang w:eastAsia="sl-SI"/>
        </w:rPr>
        <w:t xml:space="preserve">Rezultati analize pretokov so opisani v poglavju </w:t>
      </w:r>
      <w:r>
        <w:rPr>
          <w:lang w:eastAsia="sl-SI"/>
        </w:rPr>
        <w:fldChar w:fldCharType="begin"/>
      </w:r>
      <w:r>
        <w:rPr>
          <w:lang w:eastAsia="sl-SI"/>
        </w:rPr>
        <w:instrText xml:space="preserve"> REF _Ref50318958 \r \h </w:instrText>
      </w:r>
      <w:r>
        <w:rPr>
          <w:lang w:eastAsia="sl-SI"/>
        </w:rPr>
      </w:r>
      <w:r>
        <w:rPr>
          <w:lang w:eastAsia="sl-SI"/>
        </w:rPr>
        <w:fldChar w:fldCharType="separate"/>
      </w:r>
      <w:r w:rsidR="004700D5">
        <w:rPr>
          <w:lang w:eastAsia="sl-SI"/>
        </w:rPr>
        <w:t>6.5.3.1</w:t>
      </w:r>
      <w:r>
        <w:rPr>
          <w:lang w:eastAsia="sl-SI"/>
        </w:rPr>
        <w:fldChar w:fldCharType="end"/>
      </w:r>
      <w:r>
        <w:rPr>
          <w:lang w:eastAsia="sl-SI"/>
        </w:rPr>
        <w:t>.</w:t>
      </w:r>
    </w:p>
    <w:p w14:paraId="439FF0D9" w14:textId="1780D625" w:rsidR="00C47DF2" w:rsidRDefault="00C47DF2" w:rsidP="00C47DF2">
      <w:pPr>
        <w:rPr>
          <w:lang w:eastAsia="sl-SI"/>
        </w:rPr>
      </w:pPr>
      <w:r>
        <w:rPr>
          <w:lang w:eastAsia="sl-SI"/>
        </w:rPr>
        <w:t>V referenčnem obdobju je vodni stres na reko Sočo ocenjen kot srednji do velik zaradi potreb pri prilagajanju ob nizkih pretokih. Zelo velik vodni stres je ocenjen za reko Vipavo, zlasti za potrebe malih hidroelektrarn, katerih predviden odvzem presega povprečni letni srednji pretok. Z</w:t>
      </w:r>
      <w:r w:rsidR="000F74FF">
        <w:rPr>
          <w:lang w:eastAsia="sl-SI"/>
        </w:rPr>
        <w:t>a</w:t>
      </w:r>
      <w:r>
        <w:rPr>
          <w:lang w:eastAsia="sl-SI"/>
        </w:rPr>
        <w:t xml:space="preserve"> zajetje </w:t>
      </w:r>
      <w:proofErr w:type="spellStart"/>
      <w:r>
        <w:rPr>
          <w:lang w:eastAsia="sl-SI"/>
        </w:rPr>
        <w:t>Vogršček</w:t>
      </w:r>
      <w:proofErr w:type="spellEnd"/>
      <w:r>
        <w:rPr>
          <w:lang w:eastAsia="sl-SI"/>
        </w:rPr>
        <w:t xml:space="preserve"> je v referenčnem obdobju vodni stres ocenjen kot srednji, saj potencial za namakanje še ni v celoti izkoriščen.</w:t>
      </w:r>
    </w:p>
    <w:p w14:paraId="69E77B0A" w14:textId="77777777" w:rsidR="00C47DF2" w:rsidRPr="00514FD9" w:rsidRDefault="00C47DF2" w:rsidP="00C47DF2">
      <w:pPr>
        <w:rPr>
          <w:lang w:eastAsia="sl-SI"/>
        </w:rPr>
      </w:pPr>
      <w:r w:rsidRPr="00514FD9">
        <w:rPr>
          <w:lang w:eastAsia="sl-SI"/>
        </w:rPr>
        <w:t xml:space="preserve">Večjih sprememb (znotraj ± 5 %) povprečnega letnega srednjega pretoka rek v zahodnem delu Slovenije ni pričakovati. </w:t>
      </w:r>
      <w:r>
        <w:rPr>
          <w:lang w:eastAsia="sl-SI"/>
        </w:rPr>
        <w:t xml:space="preserve">Podobno velja za nizke pretoke </w:t>
      </w:r>
      <w:r w:rsidRPr="00514FD9">
        <w:rPr>
          <w:lang w:eastAsia="sl-SI"/>
        </w:rPr>
        <w:t>(</w:t>
      </w:r>
      <w:proofErr w:type="spellStart"/>
      <w:r w:rsidRPr="00514FD9">
        <w:rPr>
          <w:lang w:eastAsia="sl-SI"/>
        </w:rPr>
        <w:t>Bertalanič</w:t>
      </w:r>
      <w:proofErr w:type="spellEnd"/>
      <w:r w:rsidRPr="00514FD9">
        <w:rPr>
          <w:lang w:eastAsia="sl-SI"/>
        </w:rPr>
        <w:t xml:space="preserve"> et </w:t>
      </w:r>
      <w:proofErr w:type="spellStart"/>
      <w:r w:rsidRPr="00514FD9">
        <w:rPr>
          <w:lang w:eastAsia="sl-SI"/>
        </w:rPr>
        <w:t>al</w:t>
      </w:r>
      <w:proofErr w:type="spellEnd"/>
      <w:r w:rsidRPr="00514FD9">
        <w:rPr>
          <w:lang w:eastAsia="sl-SI"/>
        </w:rPr>
        <w:t>., 2018).</w:t>
      </w:r>
    </w:p>
    <w:p w14:paraId="70681009" w14:textId="77777777" w:rsidR="00C47DF2" w:rsidRPr="00E560DB" w:rsidRDefault="00C47DF2" w:rsidP="00C47DF2">
      <w:pPr>
        <w:rPr>
          <w:lang w:eastAsia="sl-SI"/>
        </w:rPr>
      </w:pPr>
      <w:r w:rsidRPr="00E560DB">
        <w:rPr>
          <w:lang w:eastAsia="sl-SI"/>
        </w:rPr>
        <w:t>Potrebno pa se je zavedati, da so pretoki rek, zlasti rek s kraškimi izviri, močno odvisni od padavin in lahko posledično skozi leto zelo nihajo. Tako lahko v prihodnjih obdobjih pričakujemo več ekstremnih dogodkov (poplave in sušna obdobja).</w:t>
      </w:r>
    </w:p>
    <w:p w14:paraId="633C2E91" w14:textId="77777777" w:rsidR="00C47DF2" w:rsidRPr="00E560DB" w:rsidRDefault="00C47DF2" w:rsidP="00C47DF2">
      <w:pPr>
        <w:rPr>
          <w:lang w:eastAsia="sl-SI"/>
        </w:rPr>
      </w:pPr>
      <w:r w:rsidRPr="00E560DB">
        <w:rPr>
          <w:lang w:eastAsia="sl-SI"/>
        </w:rPr>
        <w:lastRenderedPageBreak/>
        <w:t>V prihodnosti modeli kažejo tudi na manj snežnih padavin, kar pomeni, da se bo tekom zimske sezone akumuliralo manj vode. Taljenje snega predstavlja pomemben vir vode v pomladnih mesecih, zlasti v daljših obdobjih brez padavin in višjih temperaturah (</w:t>
      </w:r>
      <w:proofErr w:type="spellStart"/>
      <w:r w:rsidRPr="00E560DB">
        <w:rPr>
          <w:lang w:eastAsia="sl-SI"/>
        </w:rPr>
        <w:t>Bertalanič</w:t>
      </w:r>
      <w:proofErr w:type="spellEnd"/>
      <w:r w:rsidRPr="00E560DB">
        <w:rPr>
          <w:lang w:eastAsia="sl-SI"/>
        </w:rPr>
        <w:t xml:space="preserve"> et </w:t>
      </w:r>
      <w:proofErr w:type="spellStart"/>
      <w:r w:rsidRPr="00E560DB">
        <w:rPr>
          <w:lang w:eastAsia="sl-SI"/>
        </w:rPr>
        <w:t>al</w:t>
      </w:r>
      <w:proofErr w:type="spellEnd"/>
      <w:r w:rsidRPr="00E560DB">
        <w:rPr>
          <w:lang w:eastAsia="sl-SI"/>
        </w:rPr>
        <w:t>., 2018).</w:t>
      </w:r>
    </w:p>
    <w:p w14:paraId="16D34FEA" w14:textId="77777777" w:rsidR="00C47DF2" w:rsidRPr="00E560DB" w:rsidRDefault="00C47DF2" w:rsidP="00C47DF2">
      <w:pPr>
        <w:rPr>
          <w:lang w:eastAsia="sl-SI"/>
        </w:rPr>
      </w:pPr>
      <w:r w:rsidRPr="00E560DB">
        <w:rPr>
          <w:lang w:eastAsia="sl-SI"/>
        </w:rPr>
        <w:t>Na podlagi analize vplivov podnebnih sprememb na vodne vire površinske vode v prihodnosti ocenjujemo vodni stres površinskih voda na znatni v zimskih mesecih in znatni do velik (v primeru daljših sušnih obdobji) vodni stres.</w:t>
      </w:r>
    </w:p>
    <w:p w14:paraId="43AD7250" w14:textId="77777777" w:rsidR="00C47DF2" w:rsidRDefault="00C47DF2" w:rsidP="00C47DF2">
      <w:pPr>
        <w:rPr>
          <w:lang w:eastAsia="sl-SI"/>
        </w:rPr>
      </w:pPr>
      <w:r w:rsidRPr="00E560DB">
        <w:rPr>
          <w:lang w:eastAsia="sl-SI"/>
        </w:rPr>
        <w:t xml:space="preserve">Kemijsko stanje površinskih voda je v največji meri odvisno od spremembe rabe prostora in kakovosti izpustov. Na območju občine </w:t>
      </w:r>
      <w:r>
        <w:rPr>
          <w:lang w:eastAsia="sl-SI"/>
        </w:rPr>
        <w:t>Nova Gorica</w:t>
      </w:r>
      <w:r w:rsidRPr="00E560DB">
        <w:rPr>
          <w:lang w:eastAsia="sl-SI"/>
        </w:rPr>
        <w:t xml:space="preserve"> ne pričakujemo večjih sprememb rabe prostora, zato ocenjujemo, da se kemijsko stanje v prihodnosti ne bo poslabšalo.</w:t>
      </w:r>
    </w:p>
    <w:p w14:paraId="70074AA4" w14:textId="77777777" w:rsidR="00C47DF2" w:rsidRPr="00E9100B" w:rsidRDefault="00C47DF2" w:rsidP="00C47DF2">
      <w:pPr>
        <w:rPr>
          <w:lang w:eastAsia="sl-SI"/>
        </w:rPr>
      </w:pPr>
    </w:p>
    <w:p w14:paraId="62C75EC7" w14:textId="77777777" w:rsidR="00C47DF2" w:rsidRPr="00E9100B" w:rsidRDefault="00C47DF2" w:rsidP="00C47DF2">
      <w:pPr>
        <w:pStyle w:val="Naslov4"/>
      </w:pPr>
      <w:r w:rsidRPr="00E9100B">
        <w:t>Ocena potencialnih vplivov podnebnih sprememb na vire podzemne vode</w:t>
      </w:r>
    </w:p>
    <w:p w14:paraId="158BD309" w14:textId="51D325A0" w:rsidR="00C47DF2" w:rsidRPr="00254DBF" w:rsidRDefault="00C47DF2" w:rsidP="00C47DF2">
      <w:pPr>
        <w:rPr>
          <w:lang w:eastAsia="sl-SI"/>
        </w:rPr>
      </w:pPr>
      <w:r w:rsidRPr="00254DBF">
        <w:rPr>
          <w:lang w:eastAsia="sl-SI"/>
        </w:rPr>
        <w:t>Oba podnebna scenarija kažeta podobne rezultate pri projekciji napajanja podzemne vode v poletni polovici leta v prihodnjih obdobjih, kot pri projekcijah skupnega odtoka. Pri scenariju RCP 4.5 bo v povprečju napajanje v obdobju 2041</w:t>
      </w:r>
      <w:r w:rsidRPr="00254DBF">
        <w:rPr>
          <w:lang w:eastAsia="sl-SI"/>
        </w:rPr>
        <w:noBreakHyphen/>
        <w:t>2070 nekoliko manjše kot v referenčnem obdobju, po RCP 8.5 pa nekoliko večje. V zimski polovici leta oba podnebna scenarija kažeta povečanje napajanja v prihodnjih obdobjih (</w:t>
      </w:r>
      <w:r w:rsidRPr="00254DBF">
        <w:rPr>
          <w:lang w:eastAsia="sl-SI"/>
        </w:rPr>
        <w:fldChar w:fldCharType="begin"/>
      </w:r>
      <w:r w:rsidRPr="00254DBF">
        <w:rPr>
          <w:lang w:eastAsia="sl-SI"/>
        </w:rPr>
        <w:instrText xml:space="preserve"> REF _Ref71013295 \h </w:instrText>
      </w:r>
      <w:r>
        <w:rPr>
          <w:lang w:eastAsia="sl-SI"/>
        </w:rPr>
        <w:instrText xml:space="preserve"> \* MERGEFORMAT </w:instrText>
      </w:r>
      <w:r w:rsidRPr="00254DBF">
        <w:rPr>
          <w:lang w:eastAsia="sl-SI"/>
        </w:rPr>
      </w:r>
      <w:r w:rsidRPr="00254DBF">
        <w:rPr>
          <w:lang w:eastAsia="sl-SI"/>
        </w:rPr>
        <w:fldChar w:fldCharType="separate"/>
      </w:r>
      <w:r w:rsidR="004700D5">
        <w:t xml:space="preserve">Slika </w:t>
      </w:r>
      <w:r w:rsidR="004700D5">
        <w:rPr>
          <w:noProof/>
        </w:rPr>
        <w:t>6.47</w:t>
      </w:r>
      <w:r w:rsidRPr="00254DBF">
        <w:rPr>
          <w:lang w:eastAsia="sl-SI"/>
        </w:rPr>
        <w:fldChar w:fldCharType="end"/>
      </w:r>
      <w:r w:rsidRPr="00254DBF">
        <w:rPr>
          <w:lang w:eastAsia="sl-SI"/>
        </w:rPr>
        <w:t>).</w:t>
      </w:r>
      <w:r>
        <w:rPr>
          <w:lang w:eastAsia="sl-SI"/>
        </w:rPr>
        <w:t xml:space="preserve"> Razpon med minimalnim in maksimalnim napajanjem je v projekcijah za zimsko polovico leto večji (v obdobju 2011-2040 in 2041-2071 tudi do 140-160 % povprečne vrednosti, odvisno od scenarija in obdobja). V poletnih mesecih je v prihodnjih dveh obdobjih približno 100 % povprečne vrednosti, nekoliko manjši pri srednje optimističnemu scenariju v obdobju 2041-2070 (cca. 90 %)</w:t>
      </w:r>
    </w:p>
    <w:p w14:paraId="302BB279" w14:textId="59DEEA86" w:rsidR="00C47DF2" w:rsidRPr="00DB3709" w:rsidRDefault="00C47DF2" w:rsidP="00C47DF2">
      <w:pPr>
        <w:rPr>
          <w:lang w:eastAsia="sl-SI"/>
        </w:rPr>
      </w:pPr>
      <w:r w:rsidRPr="00254DBF">
        <w:rPr>
          <w:lang w:eastAsia="sl-SI"/>
        </w:rPr>
        <w:t xml:space="preserve">Prostorska razporeditev napajanja podzemne vode bo v prihodnjih obdobjih podobna kot v referenčnem obdobju. </w:t>
      </w:r>
      <w:r>
        <w:rPr>
          <w:lang w:eastAsia="sl-SI"/>
        </w:rPr>
        <w:fldChar w:fldCharType="begin"/>
      </w:r>
      <w:r>
        <w:rPr>
          <w:lang w:eastAsia="sl-SI"/>
        </w:rPr>
        <w:instrText xml:space="preserve"> REF _Ref71013316 \h </w:instrText>
      </w:r>
      <w:r>
        <w:rPr>
          <w:lang w:eastAsia="sl-SI"/>
        </w:rPr>
      </w:r>
      <w:r>
        <w:rPr>
          <w:lang w:eastAsia="sl-SI"/>
        </w:rPr>
        <w:fldChar w:fldCharType="separate"/>
      </w:r>
      <w:r w:rsidR="004700D5">
        <w:t xml:space="preserve">Slika </w:t>
      </w:r>
      <w:r w:rsidR="004700D5">
        <w:rPr>
          <w:noProof/>
        </w:rPr>
        <w:t>6</w:t>
      </w:r>
      <w:r w:rsidR="004700D5">
        <w:t>.</w:t>
      </w:r>
      <w:r w:rsidR="004700D5">
        <w:rPr>
          <w:noProof/>
        </w:rPr>
        <w:t>48</w:t>
      </w:r>
      <w:r>
        <w:rPr>
          <w:lang w:eastAsia="sl-SI"/>
        </w:rPr>
        <w:fldChar w:fldCharType="end"/>
      </w:r>
      <w:r w:rsidRPr="00254DBF">
        <w:rPr>
          <w:lang w:eastAsia="sl-SI"/>
        </w:rPr>
        <w:t xml:space="preserve"> (RCP4.5) in </w:t>
      </w:r>
      <w:r>
        <w:rPr>
          <w:lang w:eastAsia="sl-SI"/>
        </w:rPr>
        <w:fldChar w:fldCharType="begin"/>
      </w:r>
      <w:r>
        <w:rPr>
          <w:lang w:eastAsia="sl-SI"/>
        </w:rPr>
        <w:instrText xml:space="preserve"> REF _Ref71013325 \h </w:instrText>
      </w:r>
      <w:r>
        <w:rPr>
          <w:lang w:eastAsia="sl-SI"/>
        </w:rPr>
      </w:r>
      <w:r>
        <w:rPr>
          <w:lang w:eastAsia="sl-SI"/>
        </w:rPr>
        <w:fldChar w:fldCharType="separate"/>
      </w:r>
      <w:r w:rsidR="004700D5">
        <w:t xml:space="preserve">Slika </w:t>
      </w:r>
      <w:r w:rsidR="004700D5">
        <w:rPr>
          <w:noProof/>
        </w:rPr>
        <w:t>6</w:t>
      </w:r>
      <w:r w:rsidR="004700D5">
        <w:t>.</w:t>
      </w:r>
      <w:r w:rsidR="004700D5">
        <w:rPr>
          <w:noProof/>
        </w:rPr>
        <w:t>49</w:t>
      </w:r>
      <w:r>
        <w:rPr>
          <w:lang w:eastAsia="sl-SI"/>
        </w:rPr>
        <w:fldChar w:fldCharType="end"/>
      </w:r>
      <w:r w:rsidRPr="00254DBF">
        <w:rPr>
          <w:lang w:eastAsia="sl-SI"/>
        </w:rPr>
        <w:t xml:space="preserve"> (RCP8.5).</w:t>
      </w:r>
      <w:r>
        <w:rPr>
          <w:lang w:eastAsia="sl-SI"/>
        </w:rPr>
        <w:t>prikazujeta območja,</w:t>
      </w:r>
      <w:r w:rsidRPr="00254DBF">
        <w:rPr>
          <w:lang w:eastAsia="sl-SI"/>
        </w:rPr>
        <w:t xml:space="preserve"> ki odstopajo od napajanja v referenčnem obdobju</w:t>
      </w:r>
      <w:r>
        <w:rPr>
          <w:lang w:eastAsia="sl-SI"/>
        </w:rPr>
        <w:t xml:space="preserve"> po posameznih obdobjih.</w:t>
      </w:r>
      <w:r w:rsidRPr="00254DBF">
        <w:rPr>
          <w:lang w:eastAsia="sl-SI"/>
        </w:rPr>
        <w:t xml:space="preserve"> Potek je enak kot pri skupnem odtoku.</w:t>
      </w:r>
    </w:p>
    <w:p w14:paraId="176A9A43" w14:textId="77777777" w:rsidR="00C47DF2" w:rsidRDefault="00C47DF2" w:rsidP="00C47DF2">
      <w:pPr>
        <w:jc w:val="left"/>
        <w:rPr>
          <w:lang w:eastAsia="sl-SI"/>
        </w:rPr>
      </w:pPr>
      <w:r>
        <w:rPr>
          <w:lang w:eastAsia="sl-SI"/>
        </w:rPr>
        <w:br w:type="page"/>
      </w:r>
    </w:p>
    <w:p w14:paraId="6FACA8B2" w14:textId="77777777" w:rsidR="00C47DF2" w:rsidRDefault="00C47DF2" w:rsidP="00C47DF2">
      <w:pPr>
        <w:keepNext/>
        <w:jc w:val="center"/>
      </w:pPr>
      <w:r>
        <w:rPr>
          <w:noProof/>
          <w:lang w:eastAsia="sl-SI"/>
        </w:rPr>
        <w:lastRenderedPageBreak/>
        <w:drawing>
          <wp:inline distT="0" distB="0" distL="0" distR="0" wp14:anchorId="3E2F994F" wp14:editId="380A2308">
            <wp:extent cx="2794898" cy="2773212"/>
            <wp:effectExtent l="0" t="0" r="5715"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10774" r="8597"/>
                    <a:stretch/>
                  </pic:blipFill>
                  <pic:spPr bwMode="auto">
                    <a:xfrm>
                      <a:off x="0" y="0"/>
                      <a:ext cx="2799419" cy="277769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sl-SI"/>
        </w:rPr>
        <w:drawing>
          <wp:inline distT="0" distB="0" distL="0" distR="0" wp14:anchorId="39CA451C" wp14:editId="77EEABD7">
            <wp:extent cx="2810303" cy="2759710"/>
            <wp:effectExtent l="0" t="0" r="9525" b="2540"/>
            <wp:docPr id="593441300" name="Picture 59344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9282" r="9249"/>
                    <a:stretch/>
                  </pic:blipFill>
                  <pic:spPr bwMode="auto">
                    <a:xfrm>
                      <a:off x="0" y="0"/>
                      <a:ext cx="2813374" cy="2762726"/>
                    </a:xfrm>
                    <a:prstGeom prst="rect">
                      <a:avLst/>
                    </a:prstGeom>
                    <a:noFill/>
                    <a:ln>
                      <a:noFill/>
                    </a:ln>
                    <a:extLst>
                      <a:ext uri="{53640926-AAD7-44D8-BBD7-CCE9431645EC}">
                        <a14:shadowObscured xmlns:a14="http://schemas.microsoft.com/office/drawing/2010/main"/>
                      </a:ext>
                    </a:extLst>
                  </pic:spPr>
                </pic:pic>
              </a:graphicData>
            </a:graphic>
          </wp:inline>
        </w:drawing>
      </w:r>
    </w:p>
    <w:p w14:paraId="4DD0A2E2" w14:textId="53152040" w:rsidR="00C47DF2" w:rsidRPr="004D0BDB" w:rsidRDefault="00C47DF2" w:rsidP="00C47DF2">
      <w:pPr>
        <w:pStyle w:val="Napis"/>
        <w:rPr>
          <w:lang w:eastAsia="sl-SI"/>
        </w:rPr>
      </w:pPr>
      <w:bookmarkStart w:id="452" w:name="_Ref71013295"/>
      <w:bookmarkStart w:id="453" w:name="_Toc97026897"/>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46</w:t>
      </w:r>
      <w:r w:rsidR="008334B2">
        <w:fldChar w:fldCharType="end"/>
      </w:r>
      <w:bookmarkEnd w:id="452"/>
      <w:r w:rsidRPr="002B2100">
        <w:t xml:space="preserve">: </w:t>
      </w:r>
      <w:r>
        <w:t>Napajanje podzemne vode</w:t>
      </w:r>
      <w:r w:rsidRPr="002B2100">
        <w:t xml:space="preserve"> v prihodnjih obdobjih po podnebnih scenarijih RCP4.5 in RCP8.5 za poletno in zimsko polovico leta.</w:t>
      </w:r>
      <w:bookmarkEnd w:id="453"/>
    </w:p>
    <w:p w14:paraId="5805996F" w14:textId="77777777" w:rsidR="00C47DF2" w:rsidRDefault="00C47DF2" w:rsidP="00C47DF2">
      <w:pPr>
        <w:keepNext/>
        <w:tabs>
          <w:tab w:val="left" w:pos="2340"/>
        </w:tabs>
        <w:jc w:val="center"/>
        <w:rPr>
          <w:noProof/>
        </w:rPr>
      </w:pPr>
      <w:r>
        <w:rPr>
          <w:noProof/>
          <w:lang w:eastAsia="sl-SI"/>
        </w:rPr>
        <w:drawing>
          <wp:inline distT="0" distB="0" distL="0" distR="0" wp14:anchorId="26F03777" wp14:editId="1A435151">
            <wp:extent cx="2733675" cy="4195838"/>
            <wp:effectExtent l="0" t="0" r="0" b="0"/>
            <wp:docPr id="593441301" name="Picture 59344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rotWithShape="1">
                    <a:blip r:embed="rId197" cstate="print">
                      <a:extLst>
                        <a:ext uri="{28A0092B-C50C-407E-A947-70E740481C1C}">
                          <a14:useLocalDpi xmlns:a14="http://schemas.microsoft.com/office/drawing/2010/main" val="0"/>
                        </a:ext>
                      </a:extLst>
                    </a:blip>
                    <a:srcRect l="26927" r="27014"/>
                    <a:stretch/>
                  </pic:blipFill>
                  <pic:spPr bwMode="auto">
                    <a:xfrm>
                      <a:off x="0" y="0"/>
                      <a:ext cx="2761931" cy="423920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sl-SI"/>
        </w:rPr>
        <w:drawing>
          <wp:inline distT="0" distB="0" distL="0" distR="0" wp14:anchorId="71E7A573" wp14:editId="23934DCB">
            <wp:extent cx="2783762" cy="4182056"/>
            <wp:effectExtent l="0" t="0" r="0" b="0"/>
            <wp:docPr id="593441302" name="Picture 59344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25334" r="27608"/>
                    <a:stretch/>
                  </pic:blipFill>
                  <pic:spPr bwMode="auto">
                    <a:xfrm>
                      <a:off x="0" y="0"/>
                      <a:ext cx="2798941" cy="4204860"/>
                    </a:xfrm>
                    <a:prstGeom prst="rect">
                      <a:avLst/>
                    </a:prstGeom>
                    <a:noFill/>
                    <a:ln>
                      <a:noFill/>
                    </a:ln>
                    <a:extLst>
                      <a:ext uri="{53640926-AAD7-44D8-BBD7-CCE9431645EC}">
                        <a14:shadowObscured xmlns:a14="http://schemas.microsoft.com/office/drawing/2010/main"/>
                      </a:ext>
                    </a:extLst>
                  </pic:spPr>
                </pic:pic>
              </a:graphicData>
            </a:graphic>
          </wp:inline>
        </w:drawing>
      </w:r>
    </w:p>
    <w:p w14:paraId="69DC0F4A" w14:textId="141AE925" w:rsidR="00C47DF2" w:rsidRDefault="00C47DF2" w:rsidP="00C47DF2">
      <w:pPr>
        <w:pStyle w:val="Napis"/>
        <w:rPr>
          <w:lang w:eastAsia="sl-SI"/>
        </w:rPr>
      </w:pPr>
      <w:bookmarkStart w:id="454" w:name="_Ref71013316"/>
      <w:bookmarkStart w:id="455" w:name="_Toc97026898"/>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47</w:t>
      </w:r>
      <w:r w:rsidR="008334B2">
        <w:fldChar w:fldCharType="end"/>
      </w:r>
      <w:bookmarkEnd w:id="454"/>
      <w:r>
        <w:t xml:space="preserve">: </w:t>
      </w:r>
      <w:r w:rsidRPr="006C3550">
        <w:t xml:space="preserve">Prostorska porazdelitev odstopanja </w:t>
      </w:r>
      <w:r>
        <w:t>napajanja podzemne vode</w:t>
      </w:r>
      <w:r w:rsidRPr="006C3550">
        <w:t xml:space="preserve"> od referenčnega obdobja 1981 2010 po podnebnem scenariju RCP4.5 za poletno in zimsko polovico leta</w:t>
      </w:r>
      <w:bookmarkEnd w:id="455"/>
    </w:p>
    <w:p w14:paraId="3A436D2A" w14:textId="77777777" w:rsidR="00C47DF2" w:rsidRDefault="00C47DF2" w:rsidP="00C47DF2">
      <w:pPr>
        <w:keepNext/>
        <w:tabs>
          <w:tab w:val="left" w:pos="2340"/>
        </w:tabs>
        <w:jc w:val="center"/>
        <w:rPr>
          <w:noProof/>
        </w:rPr>
      </w:pPr>
      <w:r>
        <w:rPr>
          <w:noProof/>
          <w:lang w:eastAsia="sl-SI"/>
        </w:rPr>
        <w:lastRenderedPageBreak/>
        <w:drawing>
          <wp:inline distT="0" distB="0" distL="0" distR="0" wp14:anchorId="7DDB6ACC" wp14:editId="651C3584">
            <wp:extent cx="2793218" cy="4344034"/>
            <wp:effectExtent l="0" t="0" r="7620" b="0"/>
            <wp:docPr id="593441303" name="Picture 59344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26990" r="27552"/>
                    <a:stretch/>
                  </pic:blipFill>
                  <pic:spPr bwMode="auto">
                    <a:xfrm>
                      <a:off x="0" y="0"/>
                      <a:ext cx="2801572" cy="435702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sl-SI"/>
        </w:rPr>
        <w:drawing>
          <wp:inline distT="0" distB="0" distL="0" distR="0" wp14:anchorId="5360D291" wp14:editId="063E01D1">
            <wp:extent cx="2832649" cy="4343912"/>
            <wp:effectExtent l="0" t="0" r="6350" b="0"/>
            <wp:docPr id="593441304" name="Picture 59344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26036" r="27864"/>
                    <a:stretch/>
                  </pic:blipFill>
                  <pic:spPr bwMode="auto">
                    <a:xfrm>
                      <a:off x="0" y="0"/>
                      <a:ext cx="2839645" cy="4354641"/>
                    </a:xfrm>
                    <a:prstGeom prst="rect">
                      <a:avLst/>
                    </a:prstGeom>
                    <a:noFill/>
                    <a:ln>
                      <a:noFill/>
                    </a:ln>
                    <a:extLst>
                      <a:ext uri="{53640926-AAD7-44D8-BBD7-CCE9431645EC}">
                        <a14:shadowObscured xmlns:a14="http://schemas.microsoft.com/office/drawing/2010/main"/>
                      </a:ext>
                    </a:extLst>
                  </pic:spPr>
                </pic:pic>
              </a:graphicData>
            </a:graphic>
          </wp:inline>
        </w:drawing>
      </w:r>
    </w:p>
    <w:p w14:paraId="47BFB195" w14:textId="191BA518" w:rsidR="00C47DF2" w:rsidRDefault="00C47DF2" w:rsidP="00C47DF2">
      <w:pPr>
        <w:pStyle w:val="Napis"/>
        <w:rPr>
          <w:lang w:eastAsia="sl-SI"/>
        </w:rPr>
      </w:pPr>
      <w:bookmarkStart w:id="456" w:name="_Ref71013325"/>
      <w:bookmarkStart w:id="457" w:name="_Toc97026899"/>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48</w:t>
      </w:r>
      <w:r w:rsidR="008334B2">
        <w:fldChar w:fldCharType="end"/>
      </w:r>
      <w:bookmarkEnd w:id="456"/>
      <w:r w:rsidRPr="00AC30F1">
        <w:t xml:space="preserve">: Prostorska porazdelitev odstopanja </w:t>
      </w:r>
      <w:r>
        <w:t>napajanja podzemne vode</w:t>
      </w:r>
      <w:r w:rsidRPr="00AC30F1">
        <w:t xml:space="preserve"> od referenčnega obdobja 1981 2010 po podnebnem scenariju RCP8.5 za poletno in zimsko polovico leta</w:t>
      </w:r>
      <w:bookmarkEnd w:id="457"/>
    </w:p>
    <w:p w14:paraId="200C8C5B" w14:textId="77777777" w:rsidR="00C47DF2" w:rsidRDefault="00C47DF2" w:rsidP="00C47DF2">
      <w:pPr>
        <w:pStyle w:val="Naslov5"/>
      </w:pPr>
      <w:r>
        <w:t>Vodni stres podzemne vode po zaledjih</w:t>
      </w:r>
    </w:p>
    <w:p w14:paraId="1C712FC4" w14:textId="77777777" w:rsidR="00C47DF2" w:rsidRDefault="00C47DF2" w:rsidP="00C47DF2">
      <w:pPr>
        <w:rPr>
          <w:lang w:eastAsia="sl-SI"/>
        </w:rPr>
      </w:pPr>
      <w:r w:rsidRPr="00C35913">
        <w:rPr>
          <w:lang w:eastAsia="sl-SI"/>
        </w:rPr>
        <w:t>Pri ocenjevanju potencialnega vpliva v obdobju 2011-2040 in 2041</w:t>
      </w:r>
      <w:r w:rsidRPr="00C35913">
        <w:rPr>
          <w:lang w:eastAsia="sl-SI"/>
        </w:rPr>
        <w:noBreakHyphen/>
        <w:t xml:space="preserve">2070 smo uporabili </w:t>
      </w:r>
      <w:r>
        <w:rPr>
          <w:lang w:eastAsia="sl-SI"/>
        </w:rPr>
        <w:t>4</w:t>
      </w:r>
      <w:r w:rsidRPr="00C35913">
        <w:rPr>
          <w:lang w:eastAsia="sl-SI"/>
        </w:rPr>
        <w:t xml:space="preserve"> različne scenarije porabe podzemne vode: 10 % znižanje porabe, enaka poraba, 10 % povišanje porabe in 25 % povišanje porabe.</w:t>
      </w:r>
    </w:p>
    <w:p w14:paraId="3D42283A" w14:textId="77777777" w:rsidR="00C47DF2" w:rsidRDefault="00C47DF2" w:rsidP="00C47DF2">
      <w:pPr>
        <w:rPr>
          <w:iCs/>
        </w:rPr>
      </w:pPr>
      <w:r>
        <w:rPr>
          <w:lang w:eastAsia="sl-SI"/>
        </w:rPr>
        <w:t>Tako kot v referenčnem obdobju bo tudi v prihodnje povišan vodni stres v zaledjih 1 in 2. Največji indeks izkoriščanja je pri RCP 4.5 pri minimalnem napajanju v poletnih mesecih v obdobju 2011 – 2040, ko v zaledju 1 doseže 0,23 pri enaki rabi vode, v zaledju 2 pa 0,38. Pri povečani rabi vode za 10 % v zaledju 2 preseže mejo 0,4 in skupaj s vodnim presežkom 58 % kaže na znatni vodni stres. Dodatno povečanje rabe (na 25</w:t>
      </w:r>
      <w:r>
        <w:t> %) vodni stres le še poveča. V obdobju 2041 – 2070 je vodni stres nekoliko manjši. V zimskih mesecih vodni stres ostaja zelo majhen do majhen (</w:t>
      </w:r>
      <w:r>
        <w:rPr>
          <w:i/>
        </w:rPr>
        <w:t xml:space="preserve">II </w:t>
      </w:r>
      <w:r>
        <w:rPr>
          <w:iCs/>
        </w:rPr>
        <w:t xml:space="preserve">pod 0,2 in </w:t>
      </w:r>
      <w:r>
        <w:rPr>
          <w:i/>
        </w:rPr>
        <w:t>VP</w:t>
      </w:r>
      <w:r>
        <w:rPr>
          <w:iCs/>
        </w:rPr>
        <w:t xml:space="preserve"> nad 80 %) v vseh zaledjih po scenariju RCP 4.5 in pri vseh scenarijih rabe. Po scenariju RCP 8.5 je vodni stres zelo podoben kot pri RCP 4.5.</w:t>
      </w:r>
    </w:p>
    <w:p w14:paraId="2E0E117D" w14:textId="518E55B2" w:rsidR="00C47DF2" w:rsidRDefault="00C47DF2" w:rsidP="00C47DF2">
      <w:pPr>
        <w:rPr>
          <w:iCs/>
        </w:rPr>
      </w:pPr>
      <w:r>
        <w:rPr>
          <w:iCs/>
        </w:rPr>
        <w:t>Analiza vodnega stres po zaledjih v prihodnosti je tako pokazala, da bo vodni stres nekoliko večji, zlasti v poletnih mesecih in zaledjih 1 in 2. Pri zaledju 0 in 4 ostaja vodni stres zelo majhen.</w:t>
      </w:r>
    </w:p>
    <w:p w14:paraId="5C7A63C1" w14:textId="77777777" w:rsidR="008334B2" w:rsidRPr="00135FC6" w:rsidRDefault="008334B2" w:rsidP="00C47DF2">
      <w:pPr>
        <w:rPr>
          <w:iCs/>
        </w:rPr>
      </w:pPr>
    </w:p>
    <w:p w14:paraId="6CC1A8C5" w14:textId="77777777" w:rsidR="00C47DF2" w:rsidRDefault="00C47DF2" w:rsidP="00C47DF2">
      <w:pPr>
        <w:pStyle w:val="Naslov5"/>
      </w:pPr>
      <w:r>
        <w:lastRenderedPageBreak/>
        <w:t>Vodni stres podzemne vode za vir pitne vode</w:t>
      </w:r>
    </w:p>
    <w:p w14:paraId="5C748EE4" w14:textId="12CB4923" w:rsidR="00C47DF2" w:rsidRDefault="00C47DF2" w:rsidP="00C47DF2">
      <w:pPr>
        <w:rPr>
          <w:lang w:eastAsia="sl-SI"/>
        </w:rPr>
      </w:pPr>
      <w:r w:rsidRPr="00DE5AA6">
        <w:rPr>
          <w:lang w:eastAsia="sl-SI"/>
        </w:rPr>
        <w:t xml:space="preserve">Zaledja podzemne vode </w:t>
      </w:r>
      <w:r>
        <w:rPr>
          <w:lang w:eastAsia="sl-SI"/>
        </w:rPr>
        <w:t xml:space="preserve">(poglavje </w:t>
      </w:r>
      <w:r>
        <w:rPr>
          <w:lang w:eastAsia="sl-SI"/>
        </w:rPr>
        <w:fldChar w:fldCharType="begin"/>
      </w:r>
      <w:r>
        <w:rPr>
          <w:lang w:eastAsia="sl-SI"/>
        </w:rPr>
        <w:instrText xml:space="preserve"> REF _Ref73364471 \r \h </w:instrText>
      </w:r>
      <w:r>
        <w:rPr>
          <w:lang w:eastAsia="sl-SI"/>
        </w:rPr>
      </w:r>
      <w:r>
        <w:rPr>
          <w:lang w:eastAsia="sl-SI"/>
        </w:rPr>
        <w:fldChar w:fldCharType="separate"/>
      </w:r>
      <w:r w:rsidR="004700D5">
        <w:rPr>
          <w:lang w:eastAsia="sl-SI"/>
        </w:rPr>
        <w:t>6.5.3.2</w:t>
      </w:r>
      <w:r>
        <w:rPr>
          <w:lang w:eastAsia="sl-SI"/>
        </w:rPr>
        <w:fldChar w:fldCharType="end"/>
      </w:r>
      <w:r>
        <w:rPr>
          <w:lang w:eastAsia="sl-SI"/>
        </w:rPr>
        <w:t xml:space="preserve">) sovpadajo z napajalnimi zaledji in vodovarstvenimi območji virov pitne vode </w:t>
      </w:r>
      <w:proofErr w:type="spellStart"/>
      <w:r>
        <w:rPr>
          <w:lang w:eastAsia="sl-SI"/>
        </w:rPr>
        <w:t>Mrzlek</w:t>
      </w:r>
      <w:proofErr w:type="spellEnd"/>
      <w:r>
        <w:rPr>
          <w:lang w:eastAsia="sl-SI"/>
        </w:rPr>
        <w:t>, Vitovlje. Osek in Čepovan.</w:t>
      </w:r>
    </w:p>
    <w:p w14:paraId="7E9AAE72" w14:textId="77777777" w:rsidR="00C47DF2" w:rsidRDefault="00C47DF2" w:rsidP="00C47DF2">
      <w:pPr>
        <w:rPr>
          <w:lang w:eastAsia="sl-SI"/>
        </w:rPr>
      </w:pPr>
      <w:r>
        <w:rPr>
          <w:lang w:eastAsia="sl-SI"/>
        </w:rPr>
        <w:t xml:space="preserve">Vodni stres na napajalno zaledje vira </w:t>
      </w:r>
      <w:proofErr w:type="spellStart"/>
      <w:r>
        <w:rPr>
          <w:lang w:eastAsia="sl-SI"/>
        </w:rPr>
        <w:t>Mrzlek</w:t>
      </w:r>
      <w:proofErr w:type="spellEnd"/>
      <w:r>
        <w:rPr>
          <w:lang w:eastAsia="sl-SI"/>
        </w:rPr>
        <w:t xml:space="preserve"> (zaledje 0) ostaja tudi v prihodnosti majhen ne glede na podnebni scenarij (RCP 4.5 in RCP 8.5)  oziroma scenariji rabe (enaka, 10 % manjša, 10 % in 25 % večja količina). Nekoliko višji vodni stres se pojavi pri minimalnem napajanju podzemne vode pri povišani rabi, ko </w:t>
      </w:r>
      <w:r>
        <w:rPr>
          <w:i/>
          <w:iCs/>
          <w:lang w:eastAsia="sl-SI"/>
        </w:rPr>
        <w:t>II</w:t>
      </w:r>
      <w:r>
        <w:rPr>
          <w:lang w:eastAsia="sl-SI"/>
        </w:rPr>
        <w:t xml:space="preserve"> preseže 0,1, </w:t>
      </w:r>
      <w:r>
        <w:rPr>
          <w:i/>
          <w:iCs/>
          <w:lang w:eastAsia="sl-SI"/>
        </w:rPr>
        <w:t>VP</w:t>
      </w:r>
      <w:r>
        <w:rPr>
          <w:lang w:eastAsia="sl-SI"/>
        </w:rPr>
        <w:t xml:space="preserve"> pa pade nekoliko pod 90 %, vendar gre pri tem še vedno za zelo majhen vodni stres.</w:t>
      </w:r>
    </w:p>
    <w:p w14:paraId="0F2341A7" w14:textId="77777777" w:rsidR="00C47DF2" w:rsidRDefault="00C47DF2" w:rsidP="00C47DF2">
      <w:pPr>
        <w:rPr>
          <w:lang w:eastAsia="sl-SI"/>
        </w:rPr>
      </w:pPr>
      <w:r>
        <w:rPr>
          <w:lang w:eastAsia="sl-SI"/>
        </w:rPr>
        <w:t xml:space="preserve">Znatni vodni stres se v prihodnosti pokaže pri zaledju 1 in 2 (Vitovlje in Osek), saj sta zaledji tudi precej manjši, kot pri </w:t>
      </w:r>
      <w:proofErr w:type="spellStart"/>
      <w:r>
        <w:rPr>
          <w:lang w:eastAsia="sl-SI"/>
        </w:rPr>
        <w:t>Mrzleku</w:t>
      </w:r>
      <w:proofErr w:type="spellEnd"/>
      <w:r>
        <w:rPr>
          <w:lang w:eastAsia="sl-SI"/>
        </w:rPr>
        <w:t>. Vodni stres na ti dve zaledji je opisan v prejšnjem poglavju.</w:t>
      </w:r>
    </w:p>
    <w:p w14:paraId="569A6F6B" w14:textId="77777777" w:rsidR="00C47DF2" w:rsidRPr="00254DBF" w:rsidRDefault="00C47DF2" w:rsidP="00C47DF2">
      <w:pPr>
        <w:rPr>
          <w:highlight w:val="yellow"/>
          <w:lang w:eastAsia="sl-SI"/>
        </w:rPr>
      </w:pPr>
      <w:r>
        <w:rPr>
          <w:lang w:eastAsia="sl-SI"/>
        </w:rPr>
        <w:t>Vodni stres na zaledje 3, ki predstavlja vodovarstveno območje vodnih virov na območju Čepovanu. Vodni stres na tem območju ostaja zelo majhen.</w:t>
      </w:r>
    </w:p>
    <w:p w14:paraId="7DB14E35" w14:textId="77777777" w:rsidR="00C47DF2" w:rsidRDefault="00C47DF2" w:rsidP="00C47DF2">
      <w:pPr>
        <w:rPr>
          <w:lang w:eastAsia="sl-SI"/>
        </w:rPr>
      </w:pPr>
      <w:r w:rsidRPr="000E6415">
        <w:rPr>
          <w:lang w:eastAsia="sl-SI"/>
        </w:rPr>
        <w:t>Čeprav kvantitativni način ocene potencialnih vplivov na podzemno vodo kaže na majhen vodni stres, moramo vedeti, da sta indeks izkoriščanja in vodni presežek izračunana na polletni skali in posledično ne izstopajo dnevna, tedenska ali mesečna nihanja, ki so lahko pri kraških zalo pogosta in velika. Prav zaradi teh nihanj lahko pride do povišanega vodnega stresa in ker analize podnebnih scenarijev kažejo, da bodo v prihodnosti sušna obdobja daljša, deževni dogodki pa intenzivnejši, vodni stres podzemne vode ocenjujemo na</w:t>
      </w:r>
      <w:r>
        <w:rPr>
          <w:lang w:eastAsia="sl-SI"/>
        </w:rPr>
        <w:t xml:space="preserve"> majhnega do</w:t>
      </w:r>
      <w:r w:rsidRPr="000E6415">
        <w:rPr>
          <w:lang w:eastAsia="sl-SI"/>
        </w:rPr>
        <w:t xml:space="preserve"> znatnega</w:t>
      </w:r>
      <w:r>
        <w:rPr>
          <w:lang w:eastAsia="sl-SI"/>
        </w:rPr>
        <w:t>, odvisno od velikosti zaledja.</w:t>
      </w:r>
    </w:p>
    <w:p w14:paraId="16124E81" w14:textId="77777777" w:rsidR="00C47DF2" w:rsidRPr="00F04F6C" w:rsidRDefault="00C47DF2" w:rsidP="00C47DF2">
      <w:pPr>
        <w:pStyle w:val="Naslov5"/>
      </w:pPr>
      <w:r w:rsidRPr="00F04F6C">
        <w:t>Kakovost podzemne vode</w:t>
      </w:r>
    </w:p>
    <w:p w14:paraId="575A5918" w14:textId="77777777" w:rsidR="00C47DF2" w:rsidRPr="00E9100B" w:rsidRDefault="00C47DF2" w:rsidP="00C47DF2">
      <w:pPr>
        <w:rPr>
          <w:lang w:eastAsia="sl-SI"/>
        </w:rPr>
      </w:pPr>
      <w:r w:rsidRPr="00AD2146">
        <w:rPr>
          <w:lang w:eastAsia="sl-SI"/>
        </w:rPr>
        <w:t>Kakovost podzemne vode je v največji meri odvisna od rabe prostora v zaledju virov podzemne vode.</w:t>
      </w:r>
      <w:r>
        <w:rPr>
          <w:lang w:eastAsia="sl-SI"/>
        </w:rPr>
        <w:t xml:space="preserve"> Pri varovanju in zaščiti vodnih virov so tako ključnega pomena strokovno opredeljena vodovarstvena območja</w:t>
      </w:r>
      <w:r w:rsidRPr="00AD2146">
        <w:rPr>
          <w:lang w:eastAsia="sl-SI"/>
        </w:rPr>
        <w:t xml:space="preserve"> </w:t>
      </w:r>
      <w:r>
        <w:rPr>
          <w:lang w:eastAsia="sl-SI"/>
        </w:rPr>
        <w:t xml:space="preserve">za vire pitne vode. Problematika vodovarstvenih območjih za vire pitne vode za občino Nova Gorica in okoliške občine ni v celoti rešena. Obstoječa vodovarstvena območja so sprejeta po pretekli zakonodaji in so na občinskem nivoju ter še vedno veljajo. Uredbe o vodovarstvenih območjih za vodonosnik Trnovsko-Banjške planote po trenutno veljavni zakonodaji še ni sprejeta. V prihodnosti </w:t>
      </w:r>
      <w:r w:rsidRPr="00AD2146">
        <w:rPr>
          <w:lang w:eastAsia="sl-SI"/>
        </w:rPr>
        <w:t>ne pričakujemo bistvenih sprememb rabe prostora, zato tudi ne pričakujemo poslabšanja kemijskega stanja podzemne vode.</w:t>
      </w:r>
      <w:r>
        <w:rPr>
          <w:lang w:eastAsia="sl-SI"/>
        </w:rPr>
        <w:t xml:space="preserve"> </w:t>
      </w:r>
    </w:p>
    <w:p w14:paraId="53321A20" w14:textId="77777777" w:rsidR="00982F26" w:rsidRDefault="00982F26" w:rsidP="00982F26">
      <w:pPr>
        <w:rPr>
          <w:lang w:eastAsia="sl-SI"/>
        </w:rPr>
      </w:pPr>
    </w:p>
    <w:p w14:paraId="44212205" w14:textId="77777777" w:rsidR="00982F26" w:rsidRPr="004D0BDB" w:rsidRDefault="00982F26" w:rsidP="00982F26">
      <w:pPr>
        <w:pStyle w:val="Naslov3"/>
        <w:ind w:left="1214"/>
      </w:pPr>
      <w:bookmarkStart w:id="458" w:name="_Ref39140096"/>
      <w:bookmarkStart w:id="459" w:name="_Ref55489666"/>
      <w:bookmarkStart w:id="460" w:name="_Toc57034761"/>
      <w:bookmarkStart w:id="461" w:name="_Toc97026793"/>
      <w:r w:rsidRPr="004D0BDB">
        <w:t>Ocena sposobnosti prilagajanja</w:t>
      </w:r>
      <w:bookmarkEnd w:id="458"/>
      <w:r w:rsidRPr="004D0BDB">
        <w:t xml:space="preserve"> sektorja vodni viri</w:t>
      </w:r>
      <w:bookmarkEnd w:id="459"/>
      <w:bookmarkEnd w:id="460"/>
      <w:bookmarkEnd w:id="461"/>
    </w:p>
    <w:p w14:paraId="2D74B89D" w14:textId="77777777" w:rsidR="00C47DF2" w:rsidRDefault="00C47DF2" w:rsidP="00C47DF2">
      <w:pPr>
        <w:rPr>
          <w:lang w:eastAsia="sl-SI"/>
        </w:rPr>
      </w:pPr>
      <w:r w:rsidRPr="00E9100B">
        <w:rPr>
          <w:lang w:eastAsia="sl-SI"/>
        </w:rPr>
        <w:t xml:space="preserve">Raziskave kažejo (npr. Lee et </w:t>
      </w:r>
      <w:proofErr w:type="spellStart"/>
      <w:r w:rsidRPr="00E9100B">
        <w:rPr>
          <w:lang w:eastAsia="sl-SI"/>
        </w:rPr>
        <w:t>al</w:t>
      </w:r>
      <w:proofErr w:type="spellEnd"/>
      <w:r w:rsidRPr="00E9100B">
        <w:rPr>
          <w:lang w:eastAsia="sl-SI"/>
        </w:rPr>
        <w:t xml:space="preserve">., 2015; </w:t>
      </w:r>
      <w:proofErr w:type="spellStart"/>
      <w:r w:rsidRPr="00E9100B">
        <w:rPr>
          <w:lang w:eastAsia="sl-SI"/>
        </w:rPr>
        <w:t>Knight</w:t>
      </w:r>
      <w:proofErr w:type="spellEnd"/>
      <w:r w:rsidRPr="00E9100B">
        <w:rPr>
          <w:lang w:eastAsia="sl-SI"/>
        </w:rPr>
        <w:t xml:space="preserve">, 2016), da ozaveščenost prebivalstva o podnebnih spremembah povezana z stopnjo razvoja gospodarstva in stopnjo izobraženosti prebivalstva. Bolj ozaveščeni ljudje imajo večjo možnost prilagajanja na podnebne spremembe, zato smo za ocene sposobnosti prilagajanja upoštevali BDP na prebivalca in stopnjo izobraženosti prebivalstva v občini </w:t>
      </w:r>
      <w:r>
        <w:rPr>
          <w:lang w:eastAsia="sl-SI"/>
        </w:rPr>
        <w:t>Nova Gorica</w:t>
      </w:r>
      <w:r w:rsidRPr="00E9100B">
        <w:rPr>
          <w:lang w:eastAsia="sl-SI"/>
        </w:rPr>
        <w:t>.</w:t>
      </w:r>
    </w:p>
    <w:p w14:paraId="71DB20D2" w14:textId="1BC18282" w:rsidR="00C47DF2" w:rsidRPr="00E9100B" w:rsidRDefault="00C47DF2" w:rsidP="00C47DF2">
      <w:pPr>
        <w:rPr>
          <w:lang w:eastAsia="sl-SI"/>
        </w:rPr>
      </w:pPr>
      <w:r>
        <w:rPr>
          <w:lang w:eastAsia="sl-SI"/>
        </w:rPr>
        <w:t xml:space="preserve">Tekom študije analize ranljivosti in tveganja zaradi podnebnih sprememb smo izvedli tudi anketo o ozaveščenosti prebivalcev občine o podnebnih spremembah. Anketa je dostopna na </w:t>
      </w:r>
      <w:hyperlink r:id="rId201" w:tgtFrame="_blank" w:tooltip="URL ankete" w:history="1">
        <w:r w:rsidRPr="00A354CD">
          <w:rPr>
            <w:rStyle w:val="Hiperpovezava"/>
            <w:rFonts w:cs="Arial"/>
            <w:sz w:val="23"/>
            <w:szCs w:val="23"/>
            <w:shd w:val="clear" w:color="auto" w:fill="FFFFFF"/>
          </w:rPr>
          <w:t>https://www.1ka.si/a/284976</w:t>
        </w:r>
      </w:hyperlink>
      <w:r>
        <w:t>.</w:t>
      </w:r>
    </w:p>
    <w:p w14:paraId="7E87048F" w14:textId="77777777" w:rsidR="00C47DF2" w:rsidRPr="00E9100B" w:rsidRDefault="00C47DF2" w:rsidP="00C47DF2">
      <w:pPr>
        <w:pStyle w:val="Naslov5"/>
      </w:pPr>
      <w:r w:rsidRPr="00E9100B">
        <w:t>BDP na prebivalca</w:t>
      </w:r>
    </w:p>
    <w:p w14:paraId="1CC6CDEC" w14:textId="77777777" w:rsidR="00C47DF2" w:rsidRPr="00E9100B" w:rsidRDefault="00C47DF2" w:rsidP="00C47DF2">
      <w:pPr>
        <w:rPr>
          <w:lang w:eastAsia="sl-SI"/>
        </w:rPr>
      </w:pPr>
      <w:r w:rsidRPr="00E9100B">
        <w:rPr>
          <w:lang w:eastAsia="sl-SI"/>
        </w:rPr>
        <w:t>Indeks ravni BDP na prebivalca je bil v letu 201</w:t>
      </w:r>
      <w:r>
        <w:rPr>
          <w:lang w:eastAsia="sl-SI"/>
        </w:rPr>
        <w:t>9</w:t>
      </w:r>
      <w:r w:rsidRPr="00E9100B">
        <w:rPr>
          <w:lang w:eastAsia="sl-SI"/>
        </w:rPr>
        <w:t xml:space="preserve"> v Goriški statistični regiji </w:t>
      </w:r>
      <w:r>
        <w:rPr>
          <w:lang w:eastAsia="sl-SI"/>
        </w:rPr>
        <w:t>89</w:t>
      </w:r>
      <w:r w:rsidRPr="00E9100B">
        <w:rPr>
          <w:lang w:eastAsia="sl-SI"/>
        </w:rPr>
        <w:t>,</w:t>
      </w:r>
      <w:r>
        <w:rPr>
          <w:lang w:eastAsia="sl-SI"/>
        </w:rPr>
        <w:t>4</w:t>
      </w:r>
      <w:r w:rsidRPr="00E9100B">
        <w:rPr>
          <w:lang w:eastAsia="sl-SI"/>
        </w:rPr>
        <w:t>. V primerjavi z ostalimi regijami je rahlo nad povprečjem (87,</w:t>
      </w:r>
      <w:r>
        <w:rPr>
          <w:lang w:eastAsia="sl-SI"/>
        </w:rPr>
        <w:t>1</w:t>
      </w:r>
      <w:r w:rsidRPr="00E9100B">
        <w:rPr>
          <w:lang w:eastAsia="sl-SI"/>
        </w:rPr>
        <w:t>) (SURS, 202</w:t>
      </w:r>
      <w:r>
        <w:rPr>
          <w:lang w:eastAsia="sl-SI"/>
        </w:rPr>
        <w:t>1</w:t>
      </w:r>
      <w:r w:rsidRPr="00E9100B">
        <w:rPr>
          <w:lang w:eastAsia="sl-SI"/>
        </w:rPr>
        <w:t>).</w:t>
      </w:r>
    </w:p>
    <w:p w14:paraId="11D6A6D6" w14:textId="77777777" w:rsidR="00C47DF2" w:rsidRPr="00E9100B" w:rsidRDefault="00C47DF2" w:rsidP="00C47DF2">
      <w:pPr>
        <w:rPr>
          <w:lang w:eastAsia="sl-SI"/>
        </w:rPr>
      </w:pPr>
      <w:r w:rsidRPr="00E9100B">
        <w:rPr>
          <w:lang w:eastAsia="sl-SI"/>
        </w:rPr>
        <w:lastRenderedPageBreak/>
        <w:t>Od leta 200</w:t>
      </w:r>
      <w:r>
        <w:rPr>
          <w:lang w:eastAsia="sl-SI"/>
        </w:rPr>
        <w:t>1</w:t>
      </w:r>
      <w:r w:rsidRPr="00E9100B">
        <w:rPr>
          <w:lang w:eastAsia="sl-SI"/>
        </w:rPr>
        <w:t xml:space="preserve"> do 201</w:t>
      </w:r>
      <w:r>
        <w:rPr>
          <w:lang w:eastAsia="sl-SI"/>
        </w:rPr>
        <w:t>9</w:t>
      </w:r>
      <w:r w:rsidRPr="00E9100B">
        <w:rPr>
          <w:lang w:eastAsia="sl-SI"/>
        </w:rPr>
        <w:t xml:space="preserve"> so v Goriški regiji povprečje sredstev, namenjenih za investicije v varstvo okolja znašal 0,4 % regionalnega BDP in predstavljalo 4,</w:t>
      </w:r>
      <w:r>
        <w:rPr>
          <w:lang w:eastAsia="sl-SI"/>
        </w:rPr>
        <w:t>7</w:t>
      </w:r>
      <w:r w:rsidRPr="00E9100B">
        <w:rPr>
          <w:lang w:eastAsia="sl-SI"/>
        </w:rPr>
        <w:t> % vseh investicij v regiji, kar je 1,</w:t>
      </w:r>
      <w:r>
        <w:rPr>
          <w:lang w:eastAsia="sl-SI"/>
        </w:rPr>
        <w:t>3</w:t>
      </w:r>
      <w:r w:rsidRPr="00E9100B">
        <w:rPr>
          <w:lang w:eastAsia="sl-SI"/>
        </w:rPr>
        <w:t xml:space="preserve"> % manj, kot </w:t>
      </w:r>
      <w:r>
        <w:rPr>
          <w:lang w:eastAsia="sl-SI"/>
        </w:rPr>
        <w:t xml:space="preserve">v celotni državi </w:t>
      </w:r>
      <w:r w:rsidRPr="00E9100B">
        <w:rPr>
          <w:lang w:eastAsia="sl-SI"/>
        </w:rPr>
        <w:t>Slovenije (SURS, 202</w:t>
      </w:r>
      <w:r>
        <w:rPr>
          <w:lang w:eastAsia="sl-SI"/>
        </w:rPr>
        <w:t>1</w:t>
      </w:r>
      <w:r w:rsidRPr="00E9100B">
        <w:rPr>
          <w:lang w:eastAsia="sl-SI"/>
        </w:rPr>
        <w:t>).</w:t>
      </w:r>
    </w:p>
    <w:p w14:paraId="72CB19E2" w14:textId="77777777" w:rsidR="00C47DF2" w:rsidRPr="00E9100B" w:rsidRDefault="00C47DF2" w:rsidP="00C47DF2">
      <w:pPr>
        <w:pStyle w:val="Naslov5"/>
      </w:pPr>
      <w:r w:rsidRPr="00E9100B">
        <w:t>Izobraženost prebivalstva</w:t>
      </w:r>
    </w:p>
    <w:p w14:paraId="74ACF181" w14:textId="77777777" w:rsidR="00C47DF2" w:rsidRPr="004E330B" w:rsidRDefault="00C47DF2" w:rsidP="00C47DF2">
      <w:pPr>
        <w:rPr>
          <w:lang w:eastAsia="sl-SI"/>
        </w:rPr>
      </w:pPr>
      <w:r w:rsidRPr="004E330B">
        <w:rPr>
          <w:lang w:eastAsia="sl-SI"/>
        </w:rPr>
        <w:t xml:space="preserve">Stopnja izobraženja je v občini </w:t>
      </w:r>
      <w:r>
        <w:rPr>
          <w:lang w:eastAsia="sl-SI"/>
        </w:rPr>
        <w:t>Nova Gorica je srednje d</w:t>
      </w:r>
      <w:r w:rsidRPr="004E330B">
        <w:rPr>
          <w:lang w:eastAsia="sl-SI"/>
        </w:rPr>
        <w:t>obra. Večina prebivalstva v občini ima srednješolsko izobrazbo (</w:t>
      </w:r>
      <w:r>
        <w:rPr>
          <w:lang w:eastAsia="sl-SI"/>
        </w:rPr>
        <w:t>50</w:t>
      </w:r>
      <w:r w:rsidRPr="004E330B">
        <w:rPr>
          <w:lang w:eastAsia="sl-SI"/>
        </w:rPr>
        <w:t xml:space="preserve"> %), visokošolsko </w:t>
      </w:r>
      <w:r>
        <w:rPr>
          <w:lang w:eastAsia="sl-SI"/>
        </w:rPr>
        <w:t>26</w:t>
      </w:r>
      <w:r w:rsidRPr="004E330B">
        <w:rPr>
          <w:lang w:eastAsia="sl-SI"/>
        </w:rPr>
        <w:t xml:space="preserve"> %, </w:t>
      </w:r>
      <w:r>
        <w:rPr>
          <w:lang w:eastAsia="sl-SI"/>
        </w:rPr>
        <w:t>osnovnošolsko izobrazbo ali brez izobrazbe pa je 24 % prebivalcev občine</w:t>
      </w:r>
      <w:r w:rsidRPr="004E330B">
        <w:rPr>
          <w:lang w:eastAsia="sl-SI"/>
        </w:rPr>
        <w:t xml:space="preserve"> (SURS, 202</w:t>
      </w:r>
      <w:r>
        <w:rPr>
          <w:lang w:eastAsia="sl-SI"/>
        </w:rPr>
        <w:t>1</w:t>
      </w:r>
      <w:r w:rsidRPr="004E330B">
        <w:rPr>
          <w:lang w:eastAsia="sl-SI"/>
        </w:rPr>
        <w:t>).</w:t>
      </w:r>
    </w:p>
    <w:p w14:paraId="29B9CC30" w14:textId="77777777" w:rsidR="00C47DF2" w:rsidRPr="00B30E35" w:rsidRDefault="00C47DF2" w:rsidP="00C47DF2">
      <w:pPr>
        <w:rPr>
          <w:lang w:eastAsia="sl-SI"/>
        </w:rPr>
      </w:pPr>
      <w:r>
        <w:rPr>
          <w:lang w:eastAsia="sl-SI"/>
        </w:rPr>
        <w:t>Povprečna stopnja izobraženosti 23 anketirancev je bila višješolska in visokošolska ali več.</w:t>
      </w:r>
    </w:p>
    <w:p w14:paraId="57DB1DAF" w14:textId="77777777" w:rsidR="00C47DF2" w:rsidRDefault="00C47DF2" w:rsidP="00C47DF2">
      <w:pPr>
        <w:pStyle w:val="Naslov5"/>
      </w:pPr>
      <w:r>
        <w:t>Ozaveščenost prebivalstva o podnebnih spremembah</w:t>
      </w:r>
    </w:p>
    <w:p w14:paraId="0C0EB106" w14:textId="77777777" w:rsidR="00C47DF2" w:rsidRDefault="00C47DF2" w:rsidP="00C47DF2">
      <w:pPr>
        <w:rPr>
          <w:lang w:eastAsia="sl-SI"/>
        </w:rPr>
      </w:pPr>
      <w:r>
        <w:rPr>
          <w:lang w:eastAsia="sl-SI"/>
        </w:rPr>
        <w:t>V anketi je sodelovalo 23 občanov, ki je svoje znanje na področju vpliva podnebnih sprememb in blaženja ter prilagajanja podnebnim spremembam ocenilo kot srednje do dobro. Zavedajo se, da lahko posameznik sam pripomore k blaženju in prilagajanju na podnebne spremembe in da so čedalje pogostejše in močnejše naravne katastrofe posledica podnebnih sprememb.</w:t>
      </w:r>
    </w:p>
    <w:p w14:paraId="2AA9DC9E" w14:textId="77777777" w:rsidR="00C47DF2" w:rsidRDefault="00C47DF2" w:rsidP="00C47DF2">
      <w:pPr>
        <w:rPr>
          <w:lang w:eastAsia="sl-SI"/>
        </w:rPr>
      </w:pPr>
      <w:r>
        <w:rPr>
          <w:lang w:eastAsia="sl-SI"/>
        </w:rPr>
        <w:t>Med področji, ki jih bodo podnebne spremembe najbolj prizadele, so izpostavili predvsem kmetijstvo, zdravje in oskrbo z vodo.</w:t>
      </w:r>
    </w:p>
    <w:p w14:paraId="51815E08" w14:textId="77777777" w:rsidR="00C47DF2" w:rsidRPr="00A354CD" w:rsidRDefault="00C47DF2" w:rsidP="00C47DF2">
      <w:pPr>
        <w:rPr>
          <w:lang w:eastAsia="sl-SI"/>
        </w:rPr>
      </w:pPr>
      <w:r>
        <w:rPr>
          <w:lang w:eastAsia="sl-SI"/>
        </w:rPr>
        <w:t>Zdi se jim zelo pomembno ukrepati na področju blaženja in prilagajanja podnebnim spremembam in da občina izvaja primerne ukrepe. Med najpomembnejše ukrepe so uvrstili ukrepe na področju kmetijstva in povečanja odpornosti gozdov na mehanske poškodbe ter bolezni in škodljivce in ukrepe za ozelenitev turistične ponudbe v občini. Ukrepe na področju zanesljive oskrbe s pitno vodo in zmanjševanju porabe vode prepoznajo kot pomembne, vendar ne kot visoko na prioritetni lestvici.</w:t>
      </w:r>
    </w:p>
    <w:p w14:paraId="6B01416E" w14:textId="77777777" w:rsidR="00C47DF2" w:rsidRDefault="00C47DF2" w:rsidP="00C47DF2">
      <w:pPr>
        <w:pStyle w:val="Naslov5"/>
      </w:pPr>
      <w:r>
        <w:t>Možnost novega vodnega vira</w:t>
      </w:r>
    </w:p>
    <w:p w14:paraId="2A3801B6" w14:textId="77777777" w:rsidR="00C47DF2" w:rsidRDefault="00C47DF2" w:rsidP="00C47DF2">
      <w:pPr>
        <w:rPr>
          <w:lang w:eastAsia="sl-SI"/>
        </w:rPr>
      </w:pPr>
      <w:r w:rsidRPr="00EB4CE7">
        <w:rPr>
          <w:lang w:eastAsia="sl-SI"/>
        </w:rPr>
        <w:t>Določitev novih oziroma rezervnih virov pitne vode je pomembna v primeru premajhne razpoložljive količine pitne vode v že obstoječih virih (v sušnih obdobjih) ali za primer poslabšanja kemijskega stanja vode odvzete iz obstoječih vodnih virov do te mere, da voda ne ustreza standardom za pitno vodo. Za določanje natančnejše lokacije novih</w:t>
      </w:r>
      <w:r>
        <w:rPr>
          <w:lang w:eastAsia="sl-SI"/>
        </w:rPr>
        <w:t>/rezervnih</w:t>
      </w:r>
      <w:r w:rsidRPr="00EB4CE7">
        <w:rPr>
          <w:lang w:eastAsia="sl-SI"/>
        </w:rPr>
        <w:t xml:space="preserve"> virov pitne vode je potrebna podrobnejša študija, ki upošteva topografske, geološke in hidrogeološke značilnosti ožjega območja.</w:t>
      </w:r>
    </w:p>
    <w:p w14:paraId="41A67A8F" w14:textId="77777777" w:rsidR="00C47DF2" w:rsidRDefault="00C47DF2" w:rsidP="00C47DF2">
      <w:pPr>
        <w:rPr>
          <w:lang w:eastAsia="sl-SI"/>
        </w:rPr>
      </w:pPr>
      <w:r>
        <w:rPr>
          <w:lang w:eastAsia="sl-SI"/>
        </w:rPr>
        <w:t>Kot rezervni vodni vir bi se lahko uporabila reka Soča, za kar bi bilo potrebno izdelati primerno infrastrukturo za pripravo pitne vode iz površinske vode.</w:t>
      </w:r>
    </w:p>
    <w:p w14:paraId="06CB4DBD" w14:textId="77777777" w:rsidR="00C47DF2" w:rsidRPr="00E9100B" w:rsidRDefault="00C47DF2" w:rsidP="00C47DF2">
      <w:pPr>
        <w:pStyle w:val="Naslov4"/>
      </w:pPr>
      <w:r w:rsidRPr="00E9100B">
        <w:t>Sposobnost prilagajanja virov površinske vode</w:t>
      </w:r>
    </w:p>
    <w:p w14:paraId="40720DE6" w14:textId="64A21DB9" w:rsidR="00C47DF2" w:rsidRDefault="00C47DF2" w:rsidP="00C47DF2">
      <w:pPr>
        <w:rPr>
          <w:lang w:eastAsia="sl-SI"/>
        </w:rPr>
      </w:pPr>
      <w:r w:rsidRPr="00780157">
        <w:rPr>
          <w:lang w:eastAsia="sl-SI"/>
        </w:rPr>
        <w:t xml:space="preserve">Sposobnost prilagajanja virov površinskih vod na podnebne spremembe je </w:t>
      </w:r>
      <w:r>
        <w:rPr>
          <w:lang w:eastAsia="sl-SI"/>
        </w:rPr>
        <w:t>dobra</w:t>
      </w:r>
      <w:r w:rsidRPr="00780157">
        <w:rPr>
          <w:lang w:eastAsia="sl-SI"/>
        </w:rPr>
        <w:t xml:space="preserve"> (</w:t>
      </w:r>
      <w:r>
        <w:rPr>
          <w:lang w:eastAsia="sl-SI"/>
        </w:rPr>
        <w:t>2</w:t>
      </w:r>
      <w:r w:rsidRPr="00780157">
        <w:rPr>
          <w:lang w:eastAsia="sl-SI"/>
        </w:rPr>
        <w:t>). DBP na prebivalca v občini je nad povprečjem Slovenije, glede na stopnjo izobraženosti (</w:t>
      </w:r>
      <w:r>
        <w:rPr>
          <w:lang w:eastAsia="sl-SI"/>
        </w:rPr>
        <w:t>76</w:t>
      </w:r>
      <w:r w:rsidRPr="00780157">
        <w:rPr>
          <w:lang w:eastAsia="sl-SI"/>
        </w:rPr>
        <w:t xml:space="preserve"> % prebivalcev ima srednješolsko ali višjo izobrazbo) in izvedeno anketo pa lahko sklepamo, da je tudi ozaveščenost prebivalstva glede vplivov in prilagajanja na podnebne spremembe </w:t>
      </w:r>
      <w:r>
        <w:rPr>
          <w:lang w:eastAsia="sl-SI"/>
        </w:rPr>
        <w:t>sicer dobra, vendar ukrepi na področju zanesljive oskrbe s pitno vodo in zmanjševanje porabe vode niso prepoznani kot najpomembnejši</w:t>
      </w:r>
      <w:r w:rsidRPr="00780157">
        <w:rPr>
          <w:lang w:eastAsia="sl-SI"/>
        </w:rPr>
        <w:t>.</w:t>
      </w:r>
    </w:p>
    <w:p w14:paraId="3A5B22DD" w14:textId="55555E43" w:rsidR="00642FD9" w:rsidRDefault="00642FD9" w:rsidP="00C47DF2">
      <w:pPr>
        <w:rPr>
          <w:lang w:eastAsia="sl-SI"/>
        </w:rPr>
      </w:pPr>
    </w:p>
    <w:p w14:paraId="470E1259" w14:textId="77777777" w:rsidR="00642FD9" w:rsidRPr="00E9100B" w:rsidRDefault="00642FD9" w:rsidP="00C47DF2">
      <w:pPr>
        <w:rPr>
          <w:lang w:eastAsia="sl-SI"/>
        </w:rPr>
      </w:pPr>
    </w:p>
    <w:p w14:paraId="728BF9E8" w14:textId="77777777" w:rsidR="00C47DF2" w:rsidRPr="00E9100B" w:rsidRDefault="00C47DF2" w:rsidP="00C47DF2">
      <w:pPr>
        <w:pStyle w:val="Naslov4"/>
      </w:pPr>
      <w:r w:rsidRPr="00E9100B">
        <w:lastRenderedPageBreak/>
        <w:t>Sposobnost prilagajanja virov podzemne vode</w:t>
      </w:r>
    </w:p>
    <w:p w14:paraId="7EFF32D0" w14:textId="14BCD0FA" w:rsidR="00C47DF2" w:rsidRPr="00E9100B" w:rsidRDefault="00C47DF2" w:rsidP="00C47DF2">
      <w:pPr>
        <w:rPr>
          <w:lang w:eastAsia="sl-SI"/>
        </w:rPr>
      </w:pPr>
      <w:r w:rsidRPr="00E9100B">
        <w:rPr>
          <w:lang w:eastAsia="sl-SI"/>
        </w:rPr>
        <w:t xml:space="preserve">Sposobnost prilagajanja virov podzemne vode </w:t>
      </w:r>
      <w:r>
        <w:rPr>
          <w:lang w:eastAsia="sl-SI"/>
        </w:rPr>
        <w:t xml:space="preserve">prav tako </w:t>
      </w:r>
      <w:r w:rsidR="000F74FF">
        <w:rPr>
          <w:lang w:eastAsia="sl-SI"/>
        </w:rPr>
        <w:t>dobra</w:t>
      </w:r>
      <w:r>
        <w:rPr>
          <w:lang w:eastAsia="sl-SI"/>
        </w:rPr>
        <w:t xml:space="preserve"> (2), saj poleg prej naštetih kazalcev sposobnosti prilagajanja obstaja tudi možnost za nov vodni vir.</w:t>
      </w:r>
    </w:p>
    <w:p w14:paraId="3189170E" w14:textId="5910CC8D" w:rsidR="00982F26" w:rsidRPr="004D0BDB" w:rsidRDefault="00982F26" w:rsidP="00982F26">
      <w:pPr>
        <w:jc w:val="left"/>
        <w:rPr>
          <w:lang w:eastAsia="sl-SI"/>
        </w:rPr>
      </w:pPr>
    </w:p>
    <w:p w14:paraId="734653C4" w14:textId="79DFF342" w:rsidR="00982F26" w:rsidRDefault="00982F26" w:rsidP="00982F26">
      <w:pPr>
        <w:pStyle w:val="Naslov3"/>
        <w:ind w:left="1214"/>
      </w:pPr>
      <w:bookmarkStart w:id="462" w:name="_Toc57034762"/>
      <w:bookmarkStart w:id="463" w:name="_Toc97026794"/>
      <w:r w:rsidRPr="004D0BDB">
        <w:t>Ocena ranljivosti sektorja vodni viri</w:t>
      </w:r>
      <w:bookmarkEnd w:id="462"/>
      <w:bookmarkEnd w:id="463"/>
    </w:p>
    <w:p w14:paraId="127EC05B" w14:textId="1FBA5D6C" w:rsidR="00C47DF2" w:rsidRDefault="00C47DF2" w:rsidP="00C47DF2">
      <w:pPr>
        <w:rPr>
          <w:lang w:eastAsia="sl-SI"/>
        </w:rPr>
      </w:pPr>
      <w:r w:rsidRPr="004D0BDB">
        <w:rPr>
          <w:lang w:eastAsia="sl-SI"/>
        </w:rPr>
        <w:t xml:space="preserve">Ranljivost sektorja se oceni na podlagi oceni potencialnih vplivov (poglavje </w:t>
      </w:r>
      <w:r w:rsidRPr="004D0BDB">
        <w:rPr>
          <w:lang w:eastAsia="sl-SI"/>
        </w:rPr>
        <w:fldChar w:fldCharType="begin"/>
      </w:r>
      <w:r w:rsidRPr="004D0BDB">
        <w:rPr>
          <w:lang w:eastAsia="sl-SI"/>
        </w:rPr>
        <w:instrText xml:space="preserve"> REF _Ref39140086 \r \h </w:instrText>
      </w:r>
      <w:r w:rsidRPr="004D0BDB">
        <w:rPr>
          <w:lang w:eastAsia="sl-SI"/>
        </w:rPr>
      </w:r>
      <w:r w:rsidRPr="004D0BDB">
        <w:rPr>
          <w:lang w:eastAsia="sl-SI"/>
        </w:rPr>
        <w:fldChar w:fldCharType="separate"/>
      </w:r>
      <w:r w:rsidR="004700D5">
        <w:rPr>
          <w:lang w:eastAsia="sl-SI"/>
        </w:rPr>
        <w:t>6.5.4</w:t>
      </w:r>
      <w:r w:rsidRPr="004D0BDB">
        <w:rPr>
          <w:lang w:eastAsia="sl-SI"/>
        </w:rPr>
        <w:fldChar w:fldCharType="end"/>
      </w:r>
      <w:r w:rsidRPr="004D0BDB">
        <w:rPr>
          <w:lang w:eastAsia="sl-SI"/>
        </w:rPr>
        <w:t xml:space="preserve">) in oceni sposobnosti prilagajanja (poglavje </w:t>
      </w:r>
      <w:r w:rsidRPr="004D0BDB">
        <w:rPr>
          <w:lang w:eastAsia="sl-SI"/>
        </w:rPr>
        <w:fldChar w:fldCharType="begin"/>
      </w:r>
      <w:r w:rsidRPr="004D0BDB">
        <w:rPr>
          <w:lang w:eastAsia="sl-SI"/>
        </w:rPr>
        <w:instrText xml:space="preserve"> REF _Ref39140096 \r \h </w:instrText>
      </w:r>
      <w:r w:rsidRPr="004D0BDB">
        <w:rPr>
          <w:lang w:eastAsia="sl-SI"/>
        </w:rPr>
      </w:r>
      <w:r w:rsidRPr="004D0BDB">
        <w:rPr>
          <w:lang w:eastAsia="sl-SI"/>
        </w:rPr>
        <w:fldChar w:fldCharType="separate"/>
      </w:r>
      <w:r w:rsidR="004700D5">
        <w:rPr>
          <w:lang w:eastAsia="sl-SI"/>
        </w:rPr>
        <w:t>6.5.5</w:t>
      </w:r>
      <w:r w:rsidRPr="004D0BDB">
        <w:rPr>
          <w:lang w:eastAsia="sl-SI"/>
        </w:rPr>
        <w:fldChar w:fldCharType="end"/>
      </w:r>
      <w:r w:rsidRPr="004D0BDB">
        <w:rPr>
          <w:lang w:eastAsia="sl-SI"/>
        </w:rPr>
        <w:t>).</w:t>
      </w:r>
      <w:r>
        <w:rPr>
          <w:lang w:eastAsia="sl-SI"/>
        </w:rPr>
        <w:t xml:space="preserve"> </w:t>
      </w:r>
      <w:r w:rsidRPr="0041666B">
        <w:rPr>
          <w:lang w:eastAsia="sl-SI"/>
        </w:rPr>
        <w:t>Skupna ranljivost sektorja je ocenjena kot velika (4), saj ima pri skupni oceni večji vpliv količina vode kot kakovost, ker podnebne spremembe bolj vplivajo na količino, hkrati pa je na območju občine tudi bolj problematična.</w:t>
      </w:r>
    </w:p>
    <w:p w14:paraId="23A61E8E" w14:textId="73838CB4" w:rsidR="00C47DF2" w:rsidRDefault="00C47DF2" w:rsidP="00C47DF2">
      <w:pPr>
        <w:pStyle w:val="Napis"/>
        <w:keepNext/>
        <w:spacing w:after="0"/>
      </w:pPr>
      <w:bookmarkStart w:id="464" w:name="_Toc97026992"/>
      <w:r>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39</w:t>
      </w:r>
      <w:r w:rsidR="00976D80">
        <w:fldChar w:fldCharType="end"/>
      </w:r>
      <w:r>
        <w:t xml:space="preserve">: </w:t>
      </w:r>
      <w:r w:rsidRPr="00106084">
        <w:t>Ocena ranljivosti površinskih in podzemnih voda v referenčnem obdobju 1981-2010.</w:t>
      </w:r>
      <w:bookmarkEnd w:id="464"/>
    </w:p>
    <w:p w14:paraId="36EEE99B" w14:textId="77777777" w:rsidR="00C47DF2" w:rsidRPr="00E9100B" w:rsidRDefault="00C47DF2" w:rsidP="00C47DF2">
      <w:r>
        <w:rPr>
          <w:noProof/>
          <w:lang w:eastAsia="sl-SI"/>
        </w:rPr>
        <w:drawing>
          <wp:inline distT="0" distB="0" distL="0" distR="0" wp14:anchorId="337D4594" wp14:editId="13D861E1">
            <wp:extent cx="6146887" cy="4515854"/>
            <wp:effectExtent l="0" t="0" r="6350" b="0"/>
            <wp:docPr id="593441308" name="Picture 59344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a:picLocks noChangeAspect="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6146887" cy="4515854"/>
                    </a:xfrm>
                    <a:prstGeom prst="rect">
                      <a:avLst/>
                    </a:prstGeom>
                    <a:noFill/>
                    <a:ln>
                      <a:noFill/>
                    </a:ln>
                  </pic:spPr>
                </pic:pic>
              </a:graphicData>
            </a:graphic>
          </wp:inline>
        </w:drawing>
      </w:r>
    </w:p>
    <w:p w14:paraId="0684A5BF" w14:textId="77777777" w:rsidR="00C47DF2" w:rsidRDefault="00C47DF2" w:rsidP="00C47DF2">
      <w:pPr>
        <w:rPr>
          <w:lang w:eastAsia="sl-SI"/>
        </w:rPr>
      </w:pPr>
    </w:p>
    <w:p w14:paraId="29D739F9" w14:textId="77777777" w:rsidR="00C47DF2" w:rsidRPr="00E9100B" w:rsidRDefault="00C47DF2" w:rsidP="004B7E4D">
      <w:pPr>
        <w:pStyle w:val="Naslov3"/>
      </w:pPr>
      <w:bookmarkStart w:id="465" w:name="_Toc73534128"/>
      <w:bookmarkStart w:id="466" w:name="_Toc97026795"/>
      <w:r w:rsidRPr="00E9100B">
        <w:t>Ocena tveganja</w:t>
      </w:r>
      <w:r>
        <w:t xml:space="preserve"> vodni viri</w:t>
      </w:r>
      <w:bookmarkEnd w:id="465"/>
      <w:bookmarkEnd w:id="466"/>
    </w:p>
    <w:p w14:paraId="40D7D807" w14:textId="05769887" w:rsidR="00C47DF2" w:rsidRDefault="00C47DF2" w:rsidP="00C47DF2">
      <w:pPr>
        <w:rPr>
          <w:lang w:eastAsia="sl-SI"/>
        </w:rPr>
      </w:pPr>
      <w:r w:rsidRPr="004D0BDB">
        <w:rPr>
          <w:lang w:eastAsia="sl-SI"/>
        </w:rPr>
        <w:t xml:space="preserve">Analiza potencialnih vplivov podnebnih sprememb je pokazala, da so si vplivi med seboj zelo podobni, ne glede na podnebni scenarij ali tridesetletno obdobje. Zato jih na tem mestu obravnavamo skupaj. Več podrobnosti si lahko preberete v poglavju </w:t>
      </w:r>
      <w:r w:rsidRPr="004D0BDB">
        <w:rPr>
          <w:lang w:eastAsia="sl-SI"/>
        </w:rPr>
        <w:fldChar w:fldCharType="begin"/>
      </w:r>
      <w:r w:rsidRPr="004D0BDB">
        <w:rPr>
          <w:lang w:eastAsia="sl-SI"/>
        </w:rPr>
        <w:instrText xml:space="preserve"> REF _Ref39140086 \r \h </w:instrText>
      </w:r>
      <w:r w:rsidRPr="004D0BDB">
        <w:rPr>
          <w:lang w:eastAsia="sl-SI"/>
        </w:rPr>
      </w:r>
      <w:r w:rsidRPr="004D0BDB">
        <w:rPr>
          <w:lang w:eastAsia="sl-SI"/>
        </w:rPr>
        <w:fldChar w:fldCharType="separate"/>
      </w:r>
      <w:r w:rsidR="004700D5">
        <w:rPr>
          <w:lang w:eastAsia="sl-SI"/>
        </w:rPr>
        <w:t>6.5.4</w:t>
      </w:r>
      <w:r w:rsidRPr="004D0BDB">
        <w:rPr>
          <w:lang w:eastAsia="sl-SI"/>
        </w:rPr>
        <w:fldChar w:fldCharType="end"/>
      </w:r>
      <w:r w:rsidRPr="004D0BDB">
        <w:rPr>
          <w:lang w:eastAsia="sl-SI"/>
        </w:rPr>
        <w:t>.</w:t>
      </w:r>
    </w:p>
    <w:p w14:paraId="338764D4" w14:textId="77777777" w:rsidR="00C47DF2" w:rsidRPr="00C00153" w:rsidRDefault="00C47DF2" w:rsidP="00C47DF2">
      <w:pPr>
        <w:rPr>
          <w:highlight w:val="yellow"/>
          <w:lang w:eastAsia="sl-SI"/>
        </w:rPr>
      </w:pPr>
      <w:r w:rsidRPr="00E8170C">
        <w:rPr>
          <w:lang w:eastAsia="sl-SI"/>
        </w:rPr>
        <w:lastRenderedPageBreak/>
        <w:t>Najbolj izpostavljen segment sektorja vodnih virov so površinske vode, kjer je že v sedanjosti problem pri nizkih pretokih. V prihodnosti se pričakuje vse več daljših sušnih obdobji in z njimi povezane večje potrebe po rabi vode (namakanje), ki bodo vodni stres le še povečala.</w:t>
      </w:r>
    </w:p>
    <w:p w14:paraId="6C33DC26" w14:textId="77777777" w:rsidR="00C47DF2" w:rsidRPr="003B3E8D" w:rsidRDefault="00C47DF2" w:rsidP="00C47DF2">
      <w:pPr>
        <w:rPr>
          <w:lang w:eastAsia="sl-SI"/>
        </w:rPr>
      </w:pPr>
      <w:r w:rsidRPr="003B3E8D">
        <w:rPr>
          <w:lang w:eastAsia="sl-SI"/>
        </w:rPr>
        <w:t xml:space="preserve">Pri segmentu podzemne vode in virov pitne vode je izpostavljeno zaledje vodnega vira Vitovlje in Osek, kjer je </w:t>
      </w:r>
      <w:r>
        <w:rPr>
          <w:lang w:eastAsia="sl-SI"/>
        </w:rPr>
        <w:t>vodni stres povečan zlasti v poletnih mesecih pri minimalnem napajanju.</w:t>
      </w:r>
    </w:p>
    <w:p w14:paraId="1C91946B" w14:textId="77777777" w:rsidR="00C47DF2" w:rsidRPr="003B3E8D" w:rsidRDefault="00C47DF2" w:rsidP="00C47DF2">
      <w:pPr>
        <w:rPr>
          <w:lang w:eastAsia="sl-SI"/>
        </w:rPr>
      </w:pPr>
      <w:r w:rsidRPr="003B3E8D">
        <w:rPr>
          <w:lang w:eastAsia="sl-SI"/>
        </w:rPr>
        <w:t>Skupno tveganje sektorja je ocenjeno kot veliko (4), saj ima količinsko stanje vodnih virov pri analizi vplivov podnebnih sprememb večjo vlogo kot kakovost vode, na katero podnebne spremembe vplivajo v manjši meri oziroma posredno preko sprememb rabe prostora.</w:t>
      </w:r>
    </w:p>
    <w:p w14:paraId="17F79508" w14:textId="174B0A50" w:rsidR="00C47DF2" w:rsidRDefault="00C47DF2" w:rsidP="00C47DF2">
      <w:pPr>
        <w:rPr>
          <w:lang w:eastAsia="sl-SI"/>
        </w:rPr>
      </w:pPr>
      <w:r w:rsidRPr="003B3E8D">
        <w:rPr>
          <w:lang w:eastAsia="sl-SI"/>
        </w:rPr>
        <w:t xml:space="preserve">Ranljivost vodnih virov v prihodnosti lahko zmanjšamo s ukrepi za blaženje in prilagajanje na podnebne spremembe. Ukrepi, ki pripomorejo k zmanjšanju ranljivosti vodnih virov so našteti v poglavju </w:t>
      </w:r>
      <w:r w:rsidRPr="003B3E8D">
        <w:rPr>
          <w:lang w:eastAsia="sl-SI"/>
        </w:rPr>
        <w:fldChar w:fldCharType="begin"/>
      </w:r>
      <w:r w:rsidRPr="003B3E8D">
        <w:rPr>
          <w:lang w:eastAsia="sl-SI"/>
        </w:rPr>
        <w:instrText xml:space="preserve"> REF _Ref68685509 \r \h  \* MERGEFORMAT </w:instrText>
      </w:r>
      <w:r w:rsidRPr="003B3E8D">
        <w:rPr>
          <w:lang w:eastAsia="sl-SI"/>
        </w:rPr>
      </w:r>
      <w:r w:rsidRPr="003B3E8D">
        <w:rPr>
          <w:lang w:eastAsia="sl-SI"/>
        </w:rPr>
        <w:fldChar w:fldCharType="separate"/>
      </w:r>
      <w:r w:rsidR="004700D5">
        <w:rPr>
          <w:lang w:eastAsia="sl-SI"/>
        </w:rPr>
        <w:t>6.5.8</w:t>
      </w:r>
      <w:r w:rsidRPr="003B3E8D">
        <w:rPr>
          <w:lang w:eastAsia="sl-SI"/>
        </w:rPr>
        <w:fldChar w:fldCharType="end"/>
      </w:r>
      <w:r w:rsidRPr="003B3E8D">
        <w:rPr>
          <w:lang w:eastAsia="sl-SI"/>
        </w:rPr>
        <w:t>, podrobneje pa so opisani v 3. delu Akcijskega načrta za</w:t>
      </w:r>
      <w:r>
        <w:rPr>
          <w:lang w:eastAsia="sl-SI"/>
        </w:rPr>
        <w:t xml:space="preserve"> Mestno</w:t>
      </w:r>
      <w:r w:rsidRPr="003B3E8D">
        <w:rPr>
          <w:lang w:eastAsia="sl-SI"/>
        </w:rPr>
        <w:t xml:space="preserve"> občino </w:t>
      </w:r>
      <w:r>
        <w:rPr>
          <w:lang w:eastAsia="sl-SI"/>
        </w:rPr>
        <w:t>Nova Gorica</w:t>
      </w:r>
      <w:r w:rsidRPr="003B3E8D">
        <w:rPr>
          <w:lang w:eastAsia="sl-SI"/>
        </w:rPr>
        <w:t>.</w:t>
      </w:r>
    </w:p>
    <w:p w14:paraId="101D0450" w14:textId="77777777" w:rsidR="00C47DF2" w:rsidRDefault="00C47DF2" w:rsidP="00C47DF2">
      <w:pPr>
        <w:keepNext/>
        <w:jc w:val="center"/>
      </w:pPr>
      <w:r>
        <w:rPr>
          <w:noProof/>
          <w:lang w:eastAsia="sl-SI"/>
        </w:rPr>
        <w:drawing>
          <wp:inline distT="0" distB="0" distL="0" distR="0" wp14:anchorId="0C455A3A" wp14:editId="6F2FBBFE">
            <wp:extent cx="4657513" cy="4077544"/>
            <wp:effectExtent l="0" t="0" r="0" b="0"/>
            <wp:docPr id="593441309" name="Picture 59344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bwMode="auto">
                    <a:xfrm>
                      <a:off x="0" y="0"/>
                      <a:ext cx="4657513" cy="4077544"/>
                    </a:xfrm>
                    <a:prstGeom prst="rect">
                      <a:avLst/>
                    </a:prstGeom>
                    <a:noFill/>
                    <a:ln>
                      <a:noFill/>
                    </a:ln>
                  </pic:spPr>
                </pic:pic>
              </a:graphicData>
            </a:graphic>
          </wp:inline>
        </w:drawing>
      </w:r>
    </w:p>
    <w:p w14:paraId="443B3193" w14:textId="2BC475D0" w:rsidR="00C47DF2" w:rsidRDefault="00C47DF2" w:rsidP="00C47DF2">
      <w:pPr>
        <w:pStyle w:val="Napis"/>
        <w:jc w:val="left"/>
        <w:rPr>
          <w:lang w:eastAsia="sl-SI"/>
        </w:rPr>
      </w:pPr>
      <w:bookmarkStart w:id="467" w:name="_Toc97026900"/>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49</w:t>
      </w:r>
      <w:r w:rsidR="008334B2">
        <w:fldChar w:fldCharType="end"/>
      </w:r>
      <w:r w:rsidRPr="00EF376A">
        <w:t>: Shematski prikaz ocene ranljivosti posameznih segmentov sektorja vodnih virov v referenčnem obdobju (</w:t>
      </w:r>
      <w:r>
        <w:t>rumena</w:t>
      </w:r>
      <w:r w:rsidRPr="00EF376A">
        <w:t>) in v prihodnosti (</w:t>
      </w:r>
      <w:r>
        <w:t>rdeča</w:t>
      </w:r>
      <w:r w:rsidRPr="00EF376A">
        <w:t>).</w:t>
      </w:r>
      <w:bookmarkEnd w:id="467"/>
    </w:p>
    <w:p w14:paraId="2A276512" w14:textId="77777777" w:rsidR="00C47DF2" w:rsidRDefault="00C47DF2" w:rsidP="00C47DF2">
      <w:pPr>
        <w:rPr>
          <w:rFonts w:asciiTheme="minorHAnsi" w:hAnsiTheme="minorHAnsi"/>
          <w:color w:val="44546A" w:themeColor="text2"/>
          <w:sz w:val="18"/>
          <w:szCs w:val="18"/>
        </w:rPr>
      </w:pPr>
      <w:r>
        <w:br w:type="page"/>
      </w:r>
    </w:p>
    <w:p w14:paraId="2DE9BD4E" w14:textId="4B3149C8" w:rsidR="00C47DF2" w:rsidRPr="00FE454C" w:rsidRDefault="00C47DF2" w:rsidP="00C47DF2">
      <w:pPr>
        <w:pStyle w:val="Napis"/>
        <w:spacing w:after="0"/>
        <w:rPr>
          <w:rFonts w:ascii="Trebuchet MS" w:hAnsi="Trebuchet MS"/>
          <w:noProof/>
          <w:lang w:eastAsia="en-GB"/>
        </w:rPr>
      </w:pPr>
      <w:bookmarkStart w:id="468" w:name="_Toc97026993"/>
      <w:r>
        <w:lastRenderedPageBreak/>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40</w:t>
      </w:r>
      <w:r w:rsidR="00976D80">
        <w:fldChar w:fldCharType="end"/>
      </w:r>
      <w:r>
        <w:t xml:space="preserve">: </w:t>
      </w:r>
      <w:r w:rsidRPr="005D4B98">
        <w:t>Ocena ranljivosti in tveganja površinskih in podzemnih vod na podnebne spremembe v prihodnosti.</w:t>
      </w:r>
      <w:bookmarkEnd w:id="468"/>
    </w:p>
    <w:p w14:paraId="110F7369" w14:textId="7B101833" w:rsidR="00982F26" w:rsidRPr="004D0BDB" w:rsidRDefault="00C47DF2" w:rsidP="00C47DF2">
      <w:pPr>
        <w:rPr>
          <w:lang w:eastAsia="sl-SI"/>
        </w:rPr>
      </w:pPr>
      <w:r>
        <w:rPr>
          <w:noProof/>
          <w:lang w:eastAsia="sl-SI"/>
        </w:rPr>
        <w:drawing>
          <wp:inline distT="0" distB="0" distL="0" distR="0" wp14:anchorId="1D50EBC1" wp14:editId="154BF583">
            <wp:extent cx="7560832" cy="4915420"/>
            <wp:effectExtent l="8255" t="0" r="0" b="0"/>
            <wp:docPr id="593441310" name="Picture 59344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bwMode="auto">
                    <a:xfrm rot="16200000">
                      <a:off x="0" y="0"/>
                      <a:ext cx="7576997" cy="4925929"/>
                    </a:xfrm>
                    <a:prstGeom prst="rect">
                      <a:avLst/>
                    </a:prstGeom>
                    <a:noFill/>
                    <a:ln>
                      <a:noFill/>
                    </a:ln>
                  </pic:spPr>
                </pic:pic>
              </a:graphicData>
            </a:graphic>
          </wp:inline>
        </w:drawing>
      </w:r>
    </w:p>
    <w:p w14:paraId="3A10C58A" w14:textId="77777777" w:rsidR="00C47DF2" w:rsidRDefault="00C47DF2" w:rsidP="00C47DF2">
      <w:pPr>
        <w:pStyle w:val="Naslov3"/>
      </w:pPr>
      <w:bookmarkStart w:id="469" w:name="_Ref68685509"/>
      <w:bookmarkStart w:id="470" w:name="_Toc73534129"/>
      <w:bookmarkStart w:id="471" w:name="_Toc57034765"/>
      <w:bookmarkStart w:id="472" w:name="_Toc97026796"/>
      <w:r>
        <w:t>Ukrepi za prilagajanje vodnih virov na podnebne spremembe</w:t>
      </w:r>
      <w:bookmarkEnd w:id="469"/>
      <w:bookmarkEnd w:id="470"/>
      <w:bookmarkEnd w:id="472"/>
    </w:p>
    <w:p w14:paraId="307702CB" w14:textId="77777777" w:rsidR="00C47DF2" w:rsidRDefault="00C47DF2" w:rsidP="00C47DF2">
      <w:pPr>
        <w:spacing w:after="0"/>
      </w:pPr>
      <w:r>
        <w:lastRenderedPageBreak/>
        <w:t>Na podlagi analize ranljivosti in tveganja zaradi podnebnih sprememb za sektor vodne vire predlagamo naslednje ukrepe, ki so podrobneje opisani v 3. delu Akcijskega načrta za Mestno občino Nova Gorica:</w:t>
      </w:r>
    </w:p>
    <w:p w14:paraId="60B30068" w14:textId="77777777" w:rsidR="00C47DF2" w:rsidRPr="00C47DF2" w:rsidRDefault="00C47DF2" w:rsidP="00900691">
      <w:pPr>
        <w:pStyle w:val="Odstavekseznama"/>
        <w:numPr>
          <w:ilvl w:val="0"/>
          <w:numId w:val="44"/>
        </w:numPr>
        <w:rPr>
          <w:rFonts w:ascii="Trebuchet MS" w:hAnsi="Trebuchet MS"/>
        </w:rPr>
      </w:pPr>
      <w:r w:rsidRPr="00C47DF2">
        <w:rPr>
          <w:rFonts w:ascii="Trebuchet MS" w:hAnsi="Trebuchet MS"/>
        </w:rPr>
        <w:t>VO1: Dvig splošnega ozaveščanja prebivalstva o varčnem ravnanju z vodo</w:t>
      </w:r>
    </w:p>
    <w:p w14:paraId="4E238DBE" w14:textId="77777777" w:rsidR="00C47DF2" w:rsidRPr="00C47DF2" w:rsidRDefault="00C47DF2" w:rsidP="00900691">
      <w:pPr>
        <w:pStyle w:val="Odstavekseznama"/>
        <w:numPr>
          <w:ilvl w:val="0"/>
          <w:numId w:val="44"/>
        </w:numPr>
        <w:rPr>
          <w:rFonts w:ascii="Trebuchet MS" w:hAnsi="Trebuchet MS"/>
        </w:rPr>
      </w:pPr>
      <w:r w:rsidRPr="00C47DF2">
        <w:rPr>
          <w:rFonts w:ascii="Trebuchet MS" w:hAnsi="Trebuchet MS"/>
        </w:rPr>
        <w:t>VO2: Spodbuda k zmanjševanju porabe pitne vode</w:t>
      </w:r>
    </w:p>
    <w:p w14:paraId="45018472" w14:textId="77777777" w:rsidR="00C47DF2" w:rsidRPr="00C47DF2" w:rsidRDefault="00C47DF2" w:rsidP="00900691">
      <w:pPr>
        <w:pStyle w:val="Odstavekseznama"/>
        <w:numPr>
          <w:ilvl w:val="0"/>
          <w:numId w:val="44"/>
        </w:numPr>
        <w:rPr>
          <w:rFonts w:ascii="Trebuchet MS" w:hAnsi="Trebuchet MS"/>
        </w:rPr>
      </w:pPr>
      <w:r w:rsidRPr="00C47DF2">
        <w:rPr>
          <w:rFonts w:ascii="Trebuchet MS" w:hAnsi="Trebuchet MS"/>
        </w:rPr>
        <w:t>VO3: Podeljevanje vodnih pravic</w:t>
      </w:r>
    </w:p>
    <w:p w14:paraId="6642DBC2" w14:textId="77777777" w:rsidR="00C47DF2" w:rsidRPr="00C47DF2" w:rsidRDefault="00C47DF2" w:rsidP="00900691">
      <w:pPr>
        <w:pStyle w:val="Odstavekseznama"/>
        <w:numPr>
          <w:ilvl w:val="0"/>
          <w:numId w:val="44"/>
        </w:numPr>
        <w:spacing w:after="160"/>
        <w:ind w:left="714" w:hanging="357"/>
        <w:rPr>
          <w:rFonts w:ascii="Trebuchet MS" w:hAnsi="Trebuchet MS"/>
        </w:rPr>
      </w:pPr>
      <w:r w:rsidRPr="00C47DF2">
        <w:rPr>
          <w:rFonts w:ascii="Trebuchet MS" w:hAnsi="Trebuchet MS"/>
        </w:rPr>
        <w:t>VO4: Sistem poročanja rabe vode</w:t>
      </w:r>
    </w:p>
    <w:p w14:paraId="2DF59338" w14:textId="77777777" w:rsidR="00C47DF2" w:rsidRPr="00C47DF2" w:rsidRDefault="00C47DF2" w:rsidP="00900691">
      <w:pPr>
        <w:pStyle w:val="Odstavekseznama"/>
        <w:numPr>
          <w:ilvl w:val="0"/>
          <w:numId w:val="44"/>
        </w:numPr>
        <w:spacing w:after="160"/>
        <w:ind w:left="714" w:hanging="357"/>
        <w:rPr>
          <w:rFonts w:ascii="Trebuchet MS" w:hAnsi="Trebuchet MS"/>
        </w:rPr>
      </w:pPr>
      <w:r w:rsidRPr="00C47DF2">
        <w:rPr>
          <w:rFonts w:ascii="Trebuchet MS" w:hAnsi="Trebuchet MS"/>
        </w:rPr>
        <w:t>VO5: Vzpostavitev rezervnega vodnega vira</w:t>
      </w:r>
    </w:p>
    <w:p w14:paraId="411D9AD8" w14:textId="77777777" w:rsidR="00C47DF2" w:rsidRPr="00C47DF2" w:rsidRDefault="00C47DF2" w:rsidP="00900691">
      <w:pPr>
        <w:pStyle w:val="Odstavekseznama"/>
        <w:numPr>
          <w:ilvl w:val="0"/>
          <w:numId w:val="44"/>
        </w:numPr>
        <w:spacing w:after="160"/>
        <w:ind w:left="714" w:hanging="357"/>
        <w:rPr>
          <w:rFonts w:ascii="Trebuchet MS" w:hAnsi="Trebuchet MS"/>
        </w:rPr>
      </w:pPr>
      <w:r w:rsidRPr="00C47DF2">
        <w:rPr>
          <w:rFonts w:ascii="Trebuchet MS" w:hAnsi="Trebuchet MS"/>
        </w:rPr>
        <w:t xml:space="preserve">VO6: Ureditev namakanja z vodo iz zajetja </w:t>
      </w:r>
      <w:proofErr w:type="spellStart"/>
      <w:r w:rsidRPr="00C47DF2">
        <w:rPr>
          <w:rFonts w:ascii="Trebuchet MS" w:hAnsi="Trebuchet MS"/>
        </w:rPr>
        <w:t>Vogršček</w:t>
      </w:r>
      <w:proofErr w:type="spellEnd"/>
    </w:p>
    <w:p w14:paraId="27CA1F98" w14:textId="77777777" w:rsidR="00C47DF2" w:rsidRDefault="00C47DF2" w:rsidP="00C47DF2">
      <w:r>
        <w:t>En od glavnih ukrepov na prilagajanje podnebnim spremembam je vzpostavitev rezervnih oziroma iskanje novih virov za oskrbo s pitno vodo. Potrebne so raziskave za možnosti in njihovo ustreznost za vzpostavitev rezervnega vodnega vira.</w:t>
      </w:r>
    </w:p>
    <w:p w14:paraId="102ADCDE" w14:textId="77777777" w:rsidR="00C47DF2" w:rsidRDefault="00C47DF2" w:rsidP="00C47DF2">
      <w:r>
        <w:t xml:space="preserve">Pogost ukrep za prilagajanje na podnebne spremembe, zlasti na daljša obdobja suše, je izgradnja zadrževalnikov. Na območju občine Nova Gorica je zgrajenih večji zadrževalnik </w:t>
      </w:r>
      <w:proofErr w:type="spellStart"/>
      <w:r>
        <w:t>Vogršček</w:t>
      </w:r>
      <w:proofErr w:type="spellEnd"/>
      <w:r>
        <w:t>, za katerega je podeljenih nekaj vodnih dovoljenj za namakanje. Namakalni potencial zajetja še ni izkoriščen, za točne razpoložljive količine pa je izdelana raziskava (IZVRS, 2020). Manjka pa analiza potreb za namakanje in vpliv dodatnega namakanja, kot je to narejeno za zgornjo Vipavsko dolino (UL BF, 2020).</w:t>
      </w:r>
    </w:p>
    <w:p w14:paraId="5767F189" w14:textId="77777777" w:rsidR="00C47DF2" w:rsidRDefault="00C47DF2" w:rsidP="00C47DF2"/>
    <w:p w14:paraId="49A9FA26" w14:textId="77777777" w:rsidR="00C47DF2" w:rsidRDefault="00C47DF2" w:rsidP="00C47DF2">
      <w:pPr>
        <w:pStyle w:val="Naslov3"/>
      </w:pPr>
      <w:bookmarkStart w:id="473" w:name="_Toc73534130"/>
      <w:bookmarkStart w:id="474" w:name="_Toc97026797"/>
      <w:r w:rsidRPr="00E9100B">
        <w:t>Ključna sporočila</w:t>
      </w:r>
      <w:r>
        <w:t xml:space="preserve"> sektorja vodni viri</w:t>
      </w:r>
      <w:bookmarkEnd w:id="473"/>
      <w:bookmarkEnd w:id="474"/>
    </w:p>
    <w:p w14:paraId="18EE546E" w14:textId="77777777" w:rsidR="00C47DF2" w:rsidRDefault="00C47DF2" w:rsidP="00C47DF2">
      <w:pPr>
        <w:rPr>
          <w:lang w:eastAsia="sl-SI"/>
        </w:rPr>
      </w:pPr>
      <w:r>
        <w:rPr>
          <w:lang w:eastAsia="sl-SI"/>
        </w:rPr>
        <w:t>Oceno ranljivosti vodnih virov na podnebne spremembe sestavlja kombinacija potencialnih vplivov in sposobnosti prilagajanja za posamezne segmente sektorja: za vire površinske vode, vire podzemne vode in vire pitne vode. Tveganje je ocenjeno na podlagi razlike med ranljivostjo v sedanjosti (referenčnem obdobju) in prihodnosti (obdobji 2011-2040 in 2041-2070).</w:t>
      </w:r>
    </w:p>
    <w:p w14:paraId="0A29C486" w14:textId="77777777" w:rsidR="00C47DF2" w:rsidRDefault="00C47DF2" w:rsidP="00C47DF2">
      <w:pPr>
        <w:rPr>
          <w:lang w:eastAsia="sl-SI"/>
        </w:rPr>
      </w:pPr>
      <w:r>
        <w:rPr>
          <w:lang w:eastAsia="sl-SI"/>
        </w:rPr>
        <w:t xml:space="preserve">Ocena količinskega stanja površinskih in podzemnih vod na širšem območju Mestne občine Nova Gorica je bila opravljena z analizo hidrogeoloških podatkov merilnih mest Solkan I na Soči, Dolenje, Zalošče in Miren na Vipavi in </w:t>
      </w:r>
      <w:proofErr w:type="spellStart"/>
      <w:r>
        <w:rPr>
          <w:lang w:eastAsia="sl-SI"/>
        </w:rPr>
        <w:t>Bezovljak</w:t>
      </w:r>
      <w:proofErr w:type="spellEnd"/>
      <w:r>
        <w:rPr>
          <w:lang w:eastAsia="sl-SI"/>
        </w:rPr>
        <w:t xml:space="preserve"> pod zajetjem </w:t>
      </w:r>
      <w:proofErr w:type="spellStart"/>
      <w:r>
        <w:rPr>
          <w:lang w:eastAsia="sl-SI"/>
        </w:rPr>
        <w:t>Vogršček</w:t>
      </w:r>
      <w:proofErr w:type="spellEnd"/>
      <w:r>
        <w:rPr>
          <w:lang w:eastAsia="sl-SI"/>
        </w:rPr>
        <w:t xml:space="preserve"> </w:t>
      </w:r>
      <w:r w:rsidRPr="000A62B8">
        <w:rPr>
          <w:lang w:eastAsia="sl-SI"/>
        </w:rPr>
        <w:t xml:space="preserve">ter analizo rezultatov državnega </w:t>
      </w:r>
      <w:proofErr w:type="spellStart"/>
      <w:r w:rsidRPr="000A62B8">
        <w:rPr>
          <w:lang w:eastAsia="sl-SI"/>
        </w:rPr>
        <w:t>vodnobilančnega</w:t>
      </w:r>
      <w:proofErr w:type="spellEnd"/>
      <w:r w:rsidRPr="000A62B8">
        <w:rPr>
          <w:lang w:eastAsia="sl-SI"/>
        </w:rPr>
        <w:t xml:space="preserve"> modela </w:t>
      </w:r>
      <w:proofErr w:type="spellStart"/>
      <w:r w:rsidRPr="000A62B8">
        <w:rPr>
          <w:lang w:eastAsia="sl-SI"/>
        </w:rPr>
        <w:t>mGROWA</w:t>
      </w:r>
      <w:proofErr w:type="spellEnd"/>
      <w:r w:rsidRPr="000A62B8">
        <w:rPr>
          <w:lang w:eastAsia="sl-SI"/>
        </w:rPr>
        <w:t>-SI. Analiza je vključevala modelske rezultate podnebnih scenarijev RCP4.5 in RCP8.5, med katerima pa ni bilo bistvenih razlik</w:t>
      </w:r>
      <w:r>
        <w:rPr>
          <w:lang w:eastAsia="sl-SI"/>
        </w:rPr>
        <w:t>.</w:t>
      </w:r>
    </w:p>
    <w:p w14:paraId="7F6503DF" w14:textId="77777777" w:rsidR="00C47DF2" w:rsidRDefault="00C47DF2" w:rsidP="00C47DF2">
      <w:pPr>
        <w:rPr>
          <w:lang w:eastAsia="sl-SI"/>
        </w:rPr>
      </w:pPr>
      <w:r>
        <w:rPr>
          <w:lang w:eastAsia="sl-SI"/>
        </w:rPr>
        <w:t xml:space="preserve">Primerjava pretokov rek in rabe površinske vode je pokazala, da je povišan vodni stres na območju Vipave, kjer povprečni letni pretok mestoma ne zadostuje za predviden odvzem, v poletnih mesecih pa je še dodatno obremenjen zaradi potreb po namakanju. Vodni stres na reko Sočo je manjši, prav tako na zajetje </w:t>
      </w:r>
      <w:proofErr w:type="spellStart"/>
      <w:r>
        <w:rPr>
          <w:lang w:eastAsia="sl-SI"/>
        </w:rPr>
        <w:t>Vogršček</w:t>
      </w:r>
      <w:proofErr w:type="spellEnd"/>
      <w:r>
        <w:rPr>
          <w:lang w:eastAsia="sl-SI"/>
        </w:rPr>
        <w:t>, kjer so še možnosti za izkoriščanje vode za namakanje, vendar je za to potrebna podrobnejša raziskava.</w:t>
      </w:r>
    </w:p>
    <w:p w14:paraId="61526EE1" w14:textId="77777777" w:rsidR="00C47DF2" w:rsidRDefault="00C47DF2" w:rsidP="00C47DF2">
      <w:pPr>
        <w:rPr>
          <w:lang w:eastAsia="sl-SI"/>
        </w:rPr>
      </w:pPr>
      <w:r>
        <w:rPr>
          <w:lang w:eastAsia="sl-SI"/>
        </w:rPr>
        <w:t xml:space="preserve">Ocena potencialnih vplivov na podzemne vode je obsegala izračun indeksa izkoriščanja in vodnega presežka na podlagi količin napajanja podzemne vode in rabe podzemne vode. V sedanjosti je ranljivost virov podzemne vode majhna, nekolik povišan vodni stres je le za vire, kjer so zaledja manjša. Enako velja za vire pitne vode, kjer gre v glavnem za izvire podzemne vode. Pri povišani rabi v prihodnosti se bos stres povečal, vendar modelski rezultati napovedujejo tudi rahlo povišanje količin napajanja. Pri tem se je potrebno zavedati, da modelski rezultati ne upoštevajo </w:t>
      </w:r>
      <w:r>
        <w:rPr>
          <w:lang w:eastAsia="sl-SI"/>
        </w:rPr>
        <w:lastRenderedPageBreak/>
        <w:t>dnevnih ali tedenskih nihanj in da so kraški izviri bolj podvrženim ekstremnim dogodkom kot so daljša obdobja suše ali močnejša deževja.</w:t>
      </w:r>
    </w:p>
    <w:p w14:paraId="3274AB18" w14:textId="77777777" w:rsidR="00C47DF2" w:rsidRPr="004137F4" w:rsidRDefault="00C47DF2" w:rsidP="00C47DF2">
      <w:pPr>
        <w:rPr>
          <w:lang w:eastAsia="sl-SI"/>
        </w:rPr>
      </w:pPr>
      <w:r w:rsidRPr="004137F4">
        <w:rPr>
          <w:lang w:eastAsia="sl-SI"/>
        </w:rPr>
        <w:t>Sposobnost prilagajanja je bila ocenjena na podlagi BDP na prebivalca v Goriški statistični regiji, ki je rahlo nad Slovenskim povprečjem, dobre izobraženosti v občini in ozaveščenosti občanov o podnebnih spremembah. Sposobnost prilagajanja vodnih virov namenjenih za oskrbo s pitno vodo je vključevala tudi možnost novega vodnega vira. Sposobnost prilagajanja občine na potencialne vplive podnebnih sprememb je dobra.</w:t>
      </w:r>
    </w:p>
    <w:p w14:paraId="40D48D23" w14:textId="77777777" w:rsidR="00C47DF2" w:rsidRPr="004137F4" w:rsidRDefault="00C47DF2" w:rsidP="00C47DF2">
      <w:pPr>
        <w:rPr>
          <w:lang w:eastAsia="sl-SI"/>
        </w:rPr>
      </w:pPr>
      <w:r w:rsidRPr="004137F4">
        <w:rPr>
          <w:lang w:eastAsia="sl-SI"/>
        </w:rPr>
        <w:t>Analiza ranljivosti na podlagi potencialnih vplivov v prihodnosti in sposobnosti prilagajanja je pokazala, d</w:t>
      </w:r>
      <w:r>
        <w:rPr>
          <w:lang w:eastAsia="sl-SI"/>
        </w:rPr>
        <w:t>a večjih sprememb v letni razpoložljivosti ne bo, se pa bo povečala potreba po vodi, zlasti za namakanje, zaradi vse pogostejših suš. Prav tako bo manj vode skladiščene v obliki snega, kar vpliva na razpoložljive količine zlasti v pomladnih mesecih. Ranljivost v prihodnosti je tako za vire površinske vode ocenjena na zelo veliko (5), na vire podzemne vode na majhno (2), ker je podzemna voda manj podvržena ekstremnim dogodkom, in vire pitne vode na zmerno (3) , saj so viri pitne vode pogosto kraški viri, ki so bolj podvrženim ekstremnim dogodkom.</w:t>
      </w:r>
    </w:p>
    <w:p w14:paraId="35375441" w14:textId="77777777" w:rsidR="00C47DF2" w:rsidRPr="00353EC5" w:rsidRDefault="00C47DF2" w:rsidP="00C47DF2">
      <w:pPr>
        <w:rPr>
          <w:lang w:eastAsia="sl-SI"/>
        </w:rPr>
      </w:pPr>
      <w:r w:rsidRPr="00353EC5">
        <w:rPr>
          <w:lang w:eastAsia="sl-SI"/>
        </w:rPr>
        <w:t>V prihodnjih obdobjih ni pričakovanega poslabšanja kakovosti površinske ali podzemne vode, zaradi ekstremnih padavin pa lahko pride do na kalnosti in morebitnega mikrobiološkega onesnaženja.</w:t>
      </w:r>
    </w:p>
    <w:p w14:paraId="26A8019B" w14:textId="77777777" w:rsidR="00C47DF2" w:rsidRDefault="00C47DF2" w:rsidP="00C47DF2">
      <w:pPr>
        <w:rPr>
          <w:lang w:eastAsia="sl-SI"/>
        </w:rPr>
      </w:pPr>
      <w:r w:rsidRPr="00353EC5">
        <w:rPr>
          <w:lang w:eastAsia="sl-SI"/>
        </w:rPr>
        <w:t>Na podlagi analize ranljivosti v referenčnem obdobju in prihodnjih obdobjih je bilo tveganje na podnebne spremembe za vire vode ocenjeno na znatno</w:t>
      </w:r>
      <w:r>
        <w:rPr>
          <w:lang w:eastAsia="sl-SI"/>
        </w:rPr>
        <w:t xml:space="preserve"> (3)</w:t>
      </w:r>
      <w:r w:rsidRPr="00353EC5">
        <w:rPr>
          <w:lang w:eastAsia="sl-SI"/>
        </w:rPr>
        <w:t>. Predlagani so ukrepi za zmanjševanje porabe vode in s tem zmanjšanjem vodnega stresa na vire vode, ukrepi za spodbujanje trajnostne rabe voda (podeljevanje vodnih pravic), vzpostavitev sistema poročanja o dejanskih količinah odvzemov in vzpostavitev novega/rezervnega vodnega vira.</w:t>
      </w:r>
    </w:p>
    <w:p w14:paraId="16524F6F" w14:textId="01E2AA4A" w:rsidR="00C47DF2" w:rsidRPr="00E9100B" w:rsidRDefault="00C47DF2" w:rsidP="00642FD9">
      <w:pPr>
        <w:rPr>
          <w:lang w:eastAsia="sl-SI"/>
        </w:rPr>
      </w:pPr>
    </w:p>
    <w:p w14:paraId="60993F4E" w14:textId="77777777" w:rsidR="00982F26" w:rsidRPr="004D0BDB" w:rsidRDefault="00982F26" w:rsidP="00982F26">
      <w:pPr>
        <w:pStyle w:val="Naslov3"/>
        <w:ind w:left="1214"/>
      </w:pPr>
      <w:bookmarkStart w:id="475" w:name="_Toc97026798"/>
      <w:r w:rsidRPr="004D0BDB">
        <w:t>Viri</w:t>
      </w:r>
      <w:bookmarkEnd w:id="471"/>
      <w:bookmarkEnd w:id="475"/>
    </w:p>
    <w:p w14:paraId="35AA0881" w14:textId="1D720AAC" w:rsidR="00C47DF2" w:rsidRDefault="00C47DF2" w:rsidP="00C47DF2">
      <w:r>
        <w:t xml:space="preserve">Agencija RS za okolje (ARSO). </w:t>
      </w:r>
      <w:r>
        <w:rPr>
          <w:i/>
          <w:iCs/>
        </w:rPr>
        <w:t>Arhiv hidroloških podatkov</w:t>
      </w:r>
      <w:r>
        <w:t xml:space="preserve"> [</w:t>
      </w:r>
      <w:proofErr w:type="spellStart"/>
      <w:r>
        <w:t>online</w:t>
      </w:r>
      <w:proofErr w:type="spellEnd"/>
      <w:r>
        <w:t>] [citirano 25.7.2020a]. Dostopno na spletnem naslovu: &lt;</w:t>
      </w:r>
      <w:hyperlink r:id="rId203" w:history="1">
        <w:r>
          <w:rPr>
            <w:rStyle w:val="Hiperpovezava"/>
          </w:rPr>
          <w:t>http://vode.arso.gov.si/hidarhiv/index.php</w:t>
        </w:r>
      </w:hyperlink>
      <w:r>
        <w:t>&gt;</w:t>
      </w:r>
    </w:p>
    <w:p w14:paraId="57151D25" w14:textId="3B1033B7" w:rsidR="00C47DF2" w:rsidRDefault="00C47DF2" w:rsidP="00C47DF2">
      <w:pPr>
        <w:jc w:val="left"/>
      </w:pPr>
      <w:r>
        <w:t xml:space="preserve">Agencija RS za okolje (ARSO). </w:t>
      </w:r>
      <w:r>
        <w:rPr>
          <w:i/>
          <w:iCs/>
        </w:rPr>
        <w:t>Ocena ekološkega stanja vodotokov za obdobje 2009 – 2015.</w:t>
      </w:r>
      <w:r>
        <w:t xml:space="preserve"> Ljubljana, 2016. Dostopno na spletnem naslovu: &lt;</w:t>
      </w:r>
      <w:hyperlink r:id="rId204" w:history="1">
        <w:r>
          <w:rPr>
            <w:rStyle w:val="Hiperpovezava"/>
          </w:rPr>
          <w:t>https://www.arso.gov.si/vode/reke/publikacije%20in%20poro%c4%8dila/Ekolo%c5%a1ko%20stanje_NUV2_reke.pdf</w:t>
        </w:r>
      </w:hyperlink>
      <w:r>
        <w:t>&gt;</w:t>
      </w:r>
    </w:p>
    <w:p w14:paraId="600BFDF0" w14:textId="779CB50A" w:rsidR="00C47DF2" w:rsidRDefault="00C47DF2" w:rsidP="00C47DF2">
      <w:pPr>
        <w:jc w:val="left"/>
      </w:pPr>
      <w:r>
        <w:t xml:space="preserve">Agencija RS za okolje (ARSO). </w:t>
      </w:r>
      <w:r>
        <w:rPr>
          <w:i/>
          <w:iCs/>
        </w:rPr>
        <w:t>Ocena kemijskega stanja vodotokov za obdobje 2009 – 2013.</w:t>
      </w:r>
      <w:r>
        <w:t xml:space="preserve"> Ljubljana, 2017. Dostopno na spletnem naslovu: &lt;</w:t>
      </w:r>
      <w:hyperlink r:id="rId205" w:history="1">
        <w:r>
          <w:rPr>
            <w:rStyle w:val="Hiperpovezava"/>
          </w:rPr>
          <w:t>https://www.arso.gov.si/vode/reke/publikacije%20in%20poro%c4%8dila/Kemijsko%20stanje%20za%20splet_NUV2_vodotoki.pdf</w:t>
        </w:r>
      </w:hyperlink>
      <w:r>
        <w:t>&gt;</w:t>
      </w:r>
    </w:p>
    <w:p w14:paraId="4719D6CD" w14:textId="51DA3E5D" w:rsidR="00C47DF2" w:rsidRDefault="00C47DF2" w:rsidP="00C47DF2">
      <w:r>
        <w:t xml:space="preserve">Agencija RS za okolje (ARSO). </w:t>
      </w:r>
      <w:r>
        <w:rPr>
          <w:i/>
          <w:iCs/>
        </w:rPr>
        <w:t>Ocena stanja vodotokov v letu 2016 – kemijski parametri.</w:t>
      </w:r>
      <w:r>
        <w:t xml:space="preserve"> Ljubljana, 2018a. Dostopno na spletnem naslovu: &lt;</w:t>
      </w:r>
      <w:hyperlink r:id="rId206" w:history="1">
        <w:r>
          <w:rPr>
            <w:rStyle w:val="Hiperpovezava"/>
          </w:rPr>
          <w:t>http://www.arso.gov.si/vode/reke/</w:t>
        </w:r>
      </w:hyperlink>
      <w:r>
        <w:t>&gt;</w:t>
      </w:r>
    </w:p>
    <w:p w14:paraId="45523E8E" w14:textId="3C9747D5" w:rsidR="00C47DF2" w:rsidRDefault="00C47DF2" w:rsidP="00C47DF2">
      <w:pPr>
        <w:jc w:val="left"/>
      </w:pPr>
      <w:r>
        <w:t xml:space="preserve">Agencija RS za okolje (ARSO). </w:t>
      </w:r>
      <w:r>
        <w:rPr>
          <w:i/>
          <w:iCs/>
        </w:rPr>
        <w:t>Ocena stanja vodotokov v letu 2017 – kemijski parametri.</w:t>
      </w:r>
      <w:r>
        <w:t xml:space="preserve"> Ljubljana, 2018b. Dostopno na spletnem naslovu: &lt;</w:t>
      </w:r>
      <w:hyperlink r:id="rId207" w:history="1">
        <w:r>
          <w:rPr>
            <w:rStyle w:val="Hiperpovezava"/>
          </w:rPr>
          <w:t>http://www.arso.gov.si/vode/reke/</w:t>
        </w:r>
      </w:hyperlink>
      <w:r>
        <w:t>&gt;</w:t>
      </w:r>
    </w:p>
    <w:p w14:paraId="7F369D62" w14:textId="12AB8C40" w:rsidR="00C47DF2" w:rsidRDefault="00C47DF2" w:rsidP="00C47DF2">
      <w:r>
        <w:lastRenderedPageBreak/>
        <w:t xml:space="preserve">Agencija RS za okolje (ARSO). </w:t>
      </w:r>
      <w:r>
        <w:rPr>
          <w:i/>
          <w:iCs/>
        </w:rPr>
        <w:t>Ocena stanja vodotokov v letu 2018 – kemijski parametri.</w:t>
      </w:r>
      <w:r>
        <w:t xml:space="preserve"> Ljubljana, 2019. Dostopno na spletnem naslovu: &lt;</w:t>
      </w:r>
      <w:hyperlink r:id="rId208" w:history="1">
        <w:r>
          <w:rPr>
            <w:rStyle w:val="Hiperpovezava"/>
          </w:rPr>
          <w:t>http://www.arso.gov.si/vode/reke/</w:t>
        </w:r>
      </w:hyperlink>
      <w:r>
        <w:t>&gt;</w:t>
      </w:r>
    </w:p>
    <w:p w14:paraId="6D40A399" w14:textId="5A302CDE" w:rsidR="00C47DF2" w:rsidRDefault="00C47DF2" w:rsidP="00C47DF2">
      <w:r>
        <w:t xml:space="preserve">Agencija RS za okolje (ARSO). </w:t>
      </w:r>
      <w:r>
        <w:rPr>
          <w:i/>
          <w:iCs/>
        </w:rPr>
        <w:t>Ocena stanja vodotokov v letu 2019 – kemijski parametri.</w:t>
      </w:r>
      <w:r>
        <w:t xml:space="preserve"> Ljubljana, 2020c. Dostopno na spletnem naslovu: &lt;</w:t>
      </w:r>
      <w:hyperlink r:id="rId209" w:history="1">
        <w:r>
          <w:rPr>
            <w:rStyle w:val="Hiperpovezava"/>
          </w:rPr>
          <w:t>http://www.arso.gov.si/vode/reke/</w:t>
        </w:r>
      </w:hyperlink>
      <w:r>
        <w:t>&gt;</w:t>
      </w:r>
    </w:p>
    <w:p w14:paraId="63D10D1B" w14:textId="053634A4" w:rsidR="00C47DF2" w:rsidRDefault="00C47DF2" w:rsidP="00C47DF2">
      <w:r>
        <w:t xml:space="preserve">Agencija RS za okolje (ARSO). </w:t>
      </w:r>
      <w:r>
        <w:rPr>
          <w:i/>
          <w:iCs/>
        </w:rPr>
        <w:t>Podzemna voda – kemijsko stanje 2006-2019</w:t>
      </w:r>
      <w:r>
        <w:t xml:space="preserve"> [</w:t>
      </w:r>
      <w:proofErr w:type="spellStart"/>
      <w:r>
        <w:t>online</w:t>
      </w:r>
      <w:proofErr w:type="spellEnd"/>
      <w:r>
        <w:t>] [citirano 31.8.2020b]. Dostopno na spletnem naslovu &lt;</w:t>
      </w:r>
      <w:hyperlink r:id="rId210" w:history="1">
        <w:r>
          <w:rPr>
            <w:rStyle w:val="Hiperpovezava"/>
          </w:rPr>
          <w:t>http://www.arso.gov.si/vode/podzemne%20vode/</w:t>
        </w:r>
      </w:hyperlink>
      <w:r>
        <w:t>&gt;</w:t>
      </w:r>
    </w:p>
    <w:p w14:paraId="65F0ADA2" w14:textId="0B8E31F3" w:rsidR="00C47DF2" w:rsidRDefault="00C47DF2" w:rsidP="00C47DF2">
      <w:pPr>
        <w:jc w:val="left"/>
      </w:pPr>
      <w:r>
        <w:t xml:space="preserve">Agencija RS za okolje (ARSO). </w:t>
      </w:r>
      <w:r>
        <w:rPr>
          <w:i/>
          <w:iCs/>
        </w:rPr>
        <w:t>Rezultati monitoringa ekološkega stanja vodotokov v letu 2016.</w:t>
      </w:r>
      <w:r>
        <w:t xml:space="preserve"> Ljubljana, 2018c. Dostopno na spletnem naslovu: &lt;</w:t>
      </w:r>
      <w:hyperlink r:id="rId211" w:history="1">
        <w:r>
          <w:rPr>
            <w:rStyle w:val="Hiperpovezava"/>
          </w:rPr>
          <w:t>http://www.arso.gov.si/vode/reke/ocena%20stanja/</w:t>
        </w:r>
      </w:hyperlink>
      <w:r>
        <w:t>&gt;</w:t>
      </w:r>
    </w:p>
    <w:p w14:paraId="5D41FE1C" w14:textId="691EFDDC" w:rsidR="00C47DF2" w:rsidRDefault="00C47DF2" w:rsidP="00C47DF2">
      <w:pPr>
        <w:jc w:val="left"/>
      </w:pPr>
      <w:r>
        <w:t xml:space="preserve">Agencija RS za okolje (ARSO). </w:t>
      </w:r>
      <w:r>
        <w:rPr>
          <w:i/>
          <w:iCs/>
        </w:rPr>
        <w:t>Rezultati monitoringa ekološkega stanja vodotokov v letu 2017.</w:t>
      </w:r>
      <w:r>
        <w:t xml:space="preserve"> Ljubljana, 2018d. Dostopno na spletnem naslovu: &lt;</w:t>
      </w:r>
      <w:hyperlink r:id="rId212" w:history="1">
        <w:r>
          <w:rPr>
            <w:rStyle w:val="Hiperpovezava"/>
          </w:rPr>
          <w:t>http://www.arso.gov.si/vode/reke/ocena%20stanja/</w:t>
        </w:r>
      </w:hyperlink>
      <w:r>
        <w:t>&gt;</w:t>
      </w:r>
    </w:p>
    <w:p w14:paraId="47BE6558" w14:textId="64FDBECE" w:rsidR="00C47DF2" w:rsidRDefault="00C47DF2" w:rsidP="00C47DF2">
      <w:pPr>
        <w:jc w:val="left"/>
      </w:pPr>
      <w:r>
        <w:t xml:space="preserve">Agencija RS za okolje (ARSO). </w:t>
      </w:r>
      <w:r>
        <w:rPr>
          <w:i/>
          <w:iCs/>
        </w:rPr>
        <w:t>Rezultati monitoringa ekološkega stanja vodotokov v letu 2018.</w:t>
      </w:r>
      <w:r>
        <w:t xml:space="preserve"> Ljubljana, 2020d. Dostopno na spletnem naslovu: &lt;</w:t>
      </w:r>
      <w:hyperlink r:id="rId213" w:history="1">
        <w:r>
          <w:rPr>
            <w:rStyle w:val="Hiperpovezava"/>
          </w:rPr>
          <w:t>http://www.arso.gov.si/vode/reke/ocena%20stanja/</w:t>
        </w:r>
      </w:hyperlink>
      <w:r>
        <w:t>&gt;</w:t>
      </w:r>
    </w:p>
    <w:p w14:paraId="6E42AD65" w14:textId="758DD586" w:rsidR="00C47DF2" w:rsidRDefault="00C47DF2" w:rsidP="00C47DF2">
      <w:pPr>
        <w:jc w:val="left"/>
      </w:pPr>
      <w:r>
        <w:t xml:space="preserve">Agencija RS za okolje (ARSO). </w:t>
      </w:r>
      <w:r>
        <w:rPr>
          <w:i/>
          <w:iCs/>
        </w:rPr>
        <w:t>Rezultati monitoringa ekološkega stanja vodotokov v letu 2019.</w:t>
      </w:r>
      <w:r>
        <w:t xml:space="preserve"> Ljubljana, 2020e. Dostopno na spletnem naslovu: &lt;</w:t>
      </w:r>
      <w:hyperlink r:id="rId214" w:history="1">
        <w:r>
          <w:rPr>
            <w:rStyle w:val="Hiperpovezava"/>
          </w:rPr>
          <w:t>http://www.arso.gov.si/vode/reke/ocena%20stanja/</w:t>
        </w:r>
      </w:hyperlink>
      <w:r>
        <w:t>&gt;</w:t>
      </w:r>
    </w:p>
    <w:p w14:paraId="0F02E006" w14:textId="77777777" w:rsidR="00C47DF2" w:rsidRDefault="00C47DF2" w:rsidP="00C47DF2">
      <w:r>
        <w:t xml:space="preserve">Agencija RS za okolje (ARSO). </w:t>
      </w:r>
      <w:r>
        <w:rPr>
          <w:i/>
          <w:iCs/>
        </w:rPr>
        <w:t xml:space="preserve">Rezultati </w:t>
      </w:r>
      <w:proofErr w:type="spellStart"/>
      <w:r>
        <w:rPr>
          <w:i/>
          <w:iCs/>
        </w:rPr>
        <w:t>vodobilančenga</w:t>
      </w:r>
      <w:proofErr w:type="spellEnd"/>
      <w:r>
        <w:rPr>
          <w:i/>
          <w:iCs/>
        </w:rPr>
        <w:t xml:space="preserve"> modela </w:t>
      </w:r>
      <w:proofErr w:type="spellStart"/>
      <w:r>
        <w:rPr>
          <w:i/>
          <w:iCs/>
        </w:rPr>
        <w:t>mGROWA</w:t>
      </w:r>
      <w:proofErr w:type="spellEnd"/>
      <w:r>
        <w:rPr>
          <w:i/>
          <w:iCs/>
        </w:rPr>
        <w:t>-SI</w:t>
      </w:r>
      <w:r>
        <w:t>. 2020f</w:t>
      </w:r>
    </w:p>
    <w:p w14:paraId="7C59020B" w14:textId="5D457D13" w:rsidR="00C47DF2" w:rsidRPr="00E9100B" w:rsidRDefault="00C47DF2" w:rsidP="00C47DF2">
      <w:r w:rsidRPr="00E9100B">
        <w:t xml:space="preserve">ANDJELOV, M., DRAKSLER, A., FRANTAR, P., PAVLIČ, U., RMAN, N., SOUVENT, P. </w:t>
      </w:r>
      <w:r w:rsidRPr="00E9100B">
        <w:rPr>
          <w:i/>
          <w:iCs/>
        </w:rPr>
        <w:t>Količinsko stanje podzemnih voda v Sloveniji – Poročilo o monitoringu 201</w:t>
      </w:r>
      <w:r>
        <w:rPr>
          <w:i/>
          <w:iCs/>
        </w:rPr>
        <w:t>8</w:t>
      </w:r>
      <w:r w:rsidRPr="00E9100B">
        <w:rPr>
          <w:i/>
          <w:iCs/>
        </w:rPr>
        <w:t>.</w:t>
      </w:r>
      <w:r w:rsidRPr="00E9100B">
        <w:t xml:space="preserve"> Agencija RS za okolje (ARSO), Ljubljana, 20</w:t>
      </w:r>
      <w:r>
        <w:t>20</w:t>
      </w:r>
      <w:r w:rsidRPr="00E9100B">
        <w:t>, 11</w:t>
      </w:r>
      <w:r>
        <w:t>4</w:t>
      </w:r>
      <w:r w:rsidRPr="00E9100B">
        <w:t xml:space="preserve"> str. Dostopno na spletnem naslovu: &lt;</w:t>
      </w:r>
      <w:hyperlink r:id="rId215" w:history="1">
        <w:r w:rsidRPr="00E9100B">
          <w:rPr>
            <w:rStyle w:val="Hiperpovezava"/>
          </w:rPr>
          <w:t>http://www.arso.gov.si/vode/podzemne%20vode/</w:t>
        </w:r>
      </w:hyperlink>
      <w:r w:rsidRPr="00E9100B">
        <w:t>&gt;</w:t>
      </w:r>
    </w:p>
    <w:p w14:paraId="7DB06537" w14:textId="77777777" w:rsidR="00C47DF2" w:rsidRPr="00E9100B" w:rsidRDefault="00C47DF2" w:rsidP="00C47DF2">
      <w:r w:rsidRPr="00E9100B">
        <w:t>ANDJELOV, M., MIKULIČ, Z., TETZLAFF, B., UHAN, J., WENDLADN, F. 2016</w:t>
      </w:r>
      <w:r w:rsidRPr="00E9100B">
        <w:rPr>
          <w:i/>
          <w:iCs/>
        </w:rPr>
        <w:t xml:space="preserve">. </w:t>
      </w:r>
      <w:proofErr w:type="spellStart"/>
      <w:r w:rsidRPr="00E9100B">
        <w:rPr>
          <w:i/>
          <w:iCs/>
        </w:rPr>
        <w:t>Groundwater</w:t>
      </w:r>
      <w:proofErr w:type="spellEnd"/>
      <w:r w:rsidRPr="00E9100B">
        <w:rPr>
          <w:i/>
          <w:iCs/>
        </w:rPr>
        <w:t xml:space="preserve"> </w:t>
      </w:r>
      <w:proofErr w:type="spellStart"/>
      <w:r w:rsidRPr="00E9100B">
        <w:rPr>
          <w:i/>
          <w:iCs/>
        </w:rPr>
        <w:t>recharge</w:t>
      </w:r>
      <w:proofErr w:type="spellEnd"/>
      <w:r w:rsidRPr="00E9100B">
        <w:rPr>
          <w:i/>
          <w:iCs/>
        </w:rPr>
        <w:t xml:space="preserve"> in </w:t>
      </w:r>
      <w:proofErr w:type="spellStart"/>
      <w:r w:rsidRPr="00E9100B">
        <w:rPr>
          <w:i/>
          <w:iCs/>
        </w:rPr>
        <w:t>Slovenia</w:t>
      </w:r>
      <w:proofErr w:type="spellEnd"/>
      <w:r w:rsidRPr="00E9100B">
        <w:rPr>
          <w:i/>
          <w:iCs/>
        </w:rPr>
        <w:t xml:space="preserve"> : </w:t>
      </w:r>
      <w:proofErr w:type="spellStart"/>
      <w:r w:rsidRPr="00E9100B">
        <w:rPr>
          <w:i/>
          <w:iCs/>
        </w:rPr>
        <w:t>Results</w:t>
      </w:r>
      <w:proofErr w:type="spellEnd"/>
      <w:r w:rsidRPr="00E9100B">
        <w:rPr>
          <w:i/>
          <w:iCs/>
        </w:rPr>
        <w:t xml:space="preserve"> of </w:t>
      </w:r>
      <w:proofErr w:type="spellStart"/>
      <w:r w:rsidRPr="00E9100B">
        <w:rPr>
          <w:i/>
          <w:iCs/>
        </w:rPr>
        <w:t>bilateral</w:t>
      </w:r>
      <w:proofErr w:type="spellEnd"/>
      <w:r w:rsidRPr="00E9100B">
        <w:rPr>
          <w:i/>
          <w:iCs/>
        </w:rPr>
        <w:t xml:space="preserve"> German-</w:t>
      </w:r>
      <w:proofErr w:type="spellStart"/>
      <w:r w:rsidRPr="00E9100B">
        <w:rPr>
          <w:i/>
          <w:iCs/>
        </w:rPr>
        <w:t>Slovenian</w:t>
      </w:r>
      <w:proofErr w:type="spellEnd"/>
      <w:r w:rsidRPr="00E9100B">
        <w:rPr>
          <w:i/>
          <w:iCs/>
        </w:rPr>
        <w:t xml:space="preserve"> </w:t>
      </w:r>
      <w:proofErr w:type="spellStart"/>
      <w:r w:rsidRPr="00E9100B">
        <w:rPr>
          <w:i/>
          <w:iCs/>
        </w:rPr>
        <w:t>Research</w:t>
      </w:r>
      <w:proofErr w:type="spellEnd"/>
      <w:r w:rsidRPr="00E9100B">
        <w:rPr>
          <w:i/>
          <w:iCs/>
        </w:rPr>
        <w:t xml:space="preserve"> </w:t>
      </w:r>
      <w:proofErr w:type="spellStart"/>
      <w:r w:rsidRPr="00E9100B">
        <w:rPr>
          <w:i/>
          <w:iCs/>
        </w:rPr>
        <w:t>project</w:t>
      </w:r>
      <w:proofErr w:type="spellEnd"/>
      <w:r w:rsidRPr="00E9100B">
        <w:t xml:space="preserve">. </w:t>
      </w:r>
      <w:proofErr w:type="spellStart"/>
      <w:r w:rsidRPr="00E9100B">
        <w:t>Jülich</w:t>
      </w:r>
      <w:proofErr w:type="spellEnd"/>
      <w:r w:rsidRPr="00E9100B">
        <w:t xml:space="preserve"> : </w:t>
      </w:r>
      <w:proofErr w:type="spellStart"/>
      <w:r w:rsidRPr="00E9100B">
        <w:t>Forschungszentrum</w:t>
      </w:r>
      <w:proofErr w:type="spellEnd"/>
      <w:r w:rsidRPr="00E9100B">
        <w:t xml:space="preserve"> </w:t>
      </w:r>
      <w:proofErr w:type="spellStart"/>
      <w:r w:rsidRPr="00E9100B">
        <w:t>Jülich</w:t>
      </w:r>
      <w:proofErr w:type="spellEnd"/>
      <w:r w:rsidRPr="00E9100B">
        <w:t xml:space="preserve"> </w:t>
      </w:r>
      <w:proofErr w:type="spellStart"/>
      <w:r w:rsidRPr="00E9100B">
        <w:t>GmbH</w:t>
      </w:r>
      <w:proofErr w:type="spellEnd"/>
      <w:r w:rsidRPr="00E9100B">
        <w:t xml:space="preserve"> </w:t>
      </w:r>
      <w:proofErr w:type="spellStart"/>
      <w:r w:rsidRPr="00E9100B">
        <w:t>Zentralbibliothek</w:t>
      </w:r>
      <w:proofErr w:type="spellEnd"/>
      <w:r w:rsidRPr="00E9100B">
        <w:t>, 2016, 145 str.</w:t>
      </w:r>
    </w:p>
    <w:p w14:paraId="7327EDAE" w14:textId="77777777" w:rsidR="00C47DF2" w:rsidRDefault="00C47DF2" w:rsidP="00C47DF2">
      <w:r w:rsidRPr="00E9100B">
        <w:t xml:space="preserve">BERTALANIČ, R. et </w:t>
      </w:r>
      <w:proofErr w:type="spellStart"/>
      <w:r w:rsidRPr="00E9100B">
        <w:t>al</w:t>
      </w:r>
      <w:proofErr w:type="spellEnd"/>
      <w:r w:rsidRPr="00E9100B">
        <w:t xml:space="preserve">. </w:t>
      </w:r>
      <w:r w:rsidRPr="00E9100B">
        <w:rPr>
          <w:i/>
          <w:iCs/>
        </w:rPr>
        <w:t>Ocena podnebnih sprememb v Sloveniji do konca 21. stoletja : Sintezno poročilo – prvi del.</w:t>
      </w:r>
      <w:r w:rsidRPr="00E9100B">
        <w:t xml:space="preserve"> Ljubljana: Ministrstvo za okolje in prostor, Agencija RS za okolje (ARSO), Ljubljana, 2018, 81 str.</w:t>
      </w:r>
    </w:p>
    <w:p w14:paraId="5DD63268" w14:textId="77777777" w:rsidR="00C47DF2" w:rsidRPr="00E9100B" w:rsidRDefault="00C47DF2" w:rsidP="00C47DF2">
      <w:r w:rsidRPr="008B2828">
        <w:t xml:space="preserve">HVALIČ, M. </w:t>
      </w:r>
      <w:r w:rsidRPr="008B2828">
        <w:rPr>
          <w:i/>
          <w:iCs/>
        </w:rPr>
        <w:t>Podatki o vodnih virih za potrebe projekta SECAP</w:t>
      </w:r>
      <w:r w:rsidRPr="008B2828">
        <w:t>. [elektronska pošta]. Sporočilo za: Ana STRGAR. 7.5.2021 [citirano 15.5.2021]. Osebno sporočilo.</w:t>
      </w:r>
    </w:p>
    <w:p w14:paraId="7D58A5E8" w14:textId="77777777" w:rsidR="00C47DF2" w:rsidRPr="00E9100B" w:rsidRDefault="00C47DF2" w:rsidP="00C47DF2">
      <w:r>
        <w:t xml:space="preserve">CHEVAL, </w:t>
      </w:r>
      <w:proofErr w:type="spellStart"/>
      <w:r>
        <w:t>Sorin</w:t>
      </w:r>
      <w:proofErr w:type="spellEnd"/>
      <w:r>
        <w:t xml:space="preserve">, ČENČUR CURK, Barbara, VRHOVNIK, Petra, VERBOVŠEK, Timotej, HERRNEGGER, </w:t>
      </w:r>
      <w:proofErr w:type="spellStart"/>
      <w:r>
        <w:t>Mathew</w:t>
      </w:r>
      <w:proofErr w:type="spellEnd"/>
      <w:r>
        <w:t xml:space="preserve">, NACHTNEBEL, Hans-Peter, MARJANOVIĆ, </w:t>
      </w:r>
      <w:proofErr w:type="spellStart"/>
      <w:r>
        <w:t>Prvoslav</w:t>
      </w:r>
      <w:proofErr w:type="spellEnd"/>
      <w:r>
        <w:t xml:space="preserve">, ČENČUR CURK, Barbara (urednik). CC-WARE – </w:t>
      </w:r>
      <w:proofErr w:type="spellStart"/>
      <w:r>
        <w:t>Mitigating</w:t>
      </w:r>
      <w:proofErr w:type="spellEnd"/>
      <w:r>
        <w:t xml:space="preserve"> </w:t>
      </w:r>
      <w:proofErr w:type="spellStart"/>
      <w:r>
        <w:t>Vulnerability</w:t>
      </w:r>
      <w:proofErr w:type="spellEnd"/>
      <w:r>
        <w:t xml:space="preserve"> of </w:t>
      </w:r>
      <w:proofErr w:type="spellStart"/>
      <w:r>
        <w:t>Water</w:t>
      </w:r>
      <w:proofErr w:type="spellEnd"/>
      <w:r>
        <w:t xml:space="preserve"> </w:t>
      </w:r>
      <w:proofErr w:type="spellStart"/>
      <w:r>
        <w:t>Resources</w:t>
      </w:r>
      <w:proofErr w:type="spellEnd"/>
      <w:r>
        <w:t xml:space="preserve"> </w:t>
      </w:r>
      <w:proofErr w:type="spellStart"/>
      <w:r>
        <w:t>under</w:t>
      </w:r>
      <w:proofErr w:type="spellEnd"/>
      <w:r>
        <w:t xml:space="preserve"> </w:t>
      </w:r>
      <w:proofErr w:type="spellStart"/>
      <w:r>
        <w:t>Climate</w:t>
      </w:r>
      <w:proofErr w:type="spellEnd"/>
      <w:r>
        <w:t xml:space="preserve"> </w:t>
      </w:r>
      <w:proofErr w:type="spellStart"/>
      <w:r>
        <w:t>Change</w:t>
      </w:r>
      <w:proofErr w:type="spellEnd"/>
      <w:r>
        <w:t xml:space="preserve"> : WP3 - </w:t>
      </w:r>
      <w:proofErr w:type="spellStart"/>
      <w:r>
        <w:t>Vulnerability</w:t>
      </w:r>
      <w:proofErr w:type="spellEnd"/>
      <w:r>
        <w:t xml:space="preserve"> of </w:t>
      </w:r>
      <w:proofErr w:type="spellStart"/>
      <w:r>
        <w:t>Water</w:t>
      </w:r>
      <w:proofErr w:type="spellEnd"/>
      <w:r>
        <w:t xml:space="preserve"> </w:t>
      </w:r>
      <w:proofErr w:type="spellStart"/>
      <w:r>
        <w:t>Resources</w:t>
      </w:r>
      <w:proofErr w:type="spellEnd"/>
      <w:r>
        <w:t xml:space="preserve"> in SEE. Ljubljana: CC-</w:t>
      </w:r>
      <w:proofErr w:type="spellStart"/>
      <w:r>
        <w:t>Ware</w:t>
      </w:r>
      <w:proofErr w:type="spellEnd"/>
      <w:r>
        <w:t xml:space="preserve">, 2014. 82 str., </w:t>
      </w:r>
      <w:proofErr w:type="spellStart"/>
      <w:r>
        <w:t>ilustr</w:t>
      </w:r>
      <w:proofErr w:type="spellEnd"/>
      <w:r>
        <w:t>.</w:t>
      </w:r>
    </w:p>
    <w:p w14:paraId="4CE1A539" w14:textId="4DDC246F" w:rsidR="00C47DF2" w:rsidRPr="00E9100B" w:rsidRDefault="00C47DF2" w:rsidP="00C47DF2">
      <w:r w:rsidRPr="00E9100B">
        <w:t xml:space="preserve">Direkcija RS za vode (DRSV). </w:t>
      </w:r>
      <w:r w:rsidRPr="00E9100B">
        <w:rPr>
          <w:i/>
          <w:iCs/>
        </w:rPr>
        <w:t>Vodna knjiga: Podatki iz evidence o podeljenih vodnih pravicah.</w:t>
      </w:r>
      <w:r w:rsidRPr="00E9100B">
        <w:t xml:space="preserve"> 20</w:t>
      </w:r>
      <w:r>
        <w:t>20</w:t>
      </w:r>
      <w:r w:rsidRPr="00E9100B">
        <w:t>. [</w:t>
      </w:r>
      <w:proofErr w:type="spellStart"/>
      <w:r w:rsidRPr="00E9100B">
        <w:t>online</w:t>
      </w:r>
      <w:proofErr w:type="spellEnd"/>
      <w:r w:rsidRPr="00E9100B">
        <w:t>]. [citirano 15.</w:t>
      </w:r>
      <w:r>
        <w:t>3</w:t>
      </w:r>
      <w:r w:rsidRPr="00E9100B">
        <w:t>.202</w:t>
      </w:r>
      <w:r>
        <w:t>1</w:t>
      </w:r>
      <w:r w:rsidRPr="00E9100B">
        <w:t xml:space="preserve">] Dostopno na spletnem naslovu: &lt; </w:t>
      </w:r>
      <w:hyperlink r:id="rId216" w:history="1">
        <w:r w:rsidRPr="00E9100B">
          <w:rPr>
            <w:rStyle w:val="Hiperpovezava"/>
          </w:rPr>
          <w:t>http://www.evode.gov.si/index.php?id=59</w:t>
        </w:r>
      </w:hyperlink>
      <w:r w:rsidRPr="00E9100B">
        <w:t>&gt;</w:t>
      </w:r>
    </w:p>
    <w:p w14:paraId="078C63F0" w14:textId="77777777" w:rsidR="00C47DF2" w:rsidRDefault="00C47DF2" w:rsidP="00C47DF2">
      <w:r w:rsidRPr="00E9100B">
        <w:lastRenderedPageBreak/>
        <w:t xml:space="preserve">FRANTAR, P. HERRMANN, F., ANDJELOV, M., DRAKSLER, A., WENDLAND, F. </w:t>
      </w:r>
      <w:proofErr w:type="spellStart"/>
      <w:r w:rsidRPr="00E9100B">
        <w:t>Vodobilančni</w:t>
      </w:r>
      <w:proofErr w:type="spellEnd"/>
      <w:r w:rsidRPr="00E9100B">
        <w:t xml:space="preserve"> model </w:t>
      </w:r>
      <w:proofErr w:type="spellStart"/>
      <w:r w:rsidRPr="00E9100B">
        <w:t>mGROWA</w:t>
      </w:r>
      <w:proofErr w:type="spellEnd"/>
      <w:r w:rsidRPr="00E9100B">
        <w:t xml:space="preserve">-SI. V: Zbornik 29. Mišičevega </w:t>
      </w:r>
      <w:proofErr w:type="spellStart"/>
      <w:r w:rsidRPr="00E9100B">
        <w:t>vodarskega</w:t>
      </w:r>
      <w:proofErr w:type="spellEnd"/>
      <w:r w:rsidRPr="00E9100B">
        <w:t xml:space="preserve"> dneva, 2018, str. 199-205.</w:t>
      </w:r>
    </w:p>
    <w:p w14:paraId="2FE294B4" w14:textId="77777777" w:rsidR="00C47DF2" w:rsidRPr="008B2828" w:rsidRDefault="00C47DF2" w:rsidP="00C47DF2">
      <w:r>
        <w:t xml:space="preserve">GRADIŠAR, B., </w:t>
      </w:r>
      <w:r>
        <w:rPr>
          <w:i/>
          <w:iCs/>
        </w:rPr>
        <w:t>NTF.</w:t>
      </w:r>
      <w:r w:rsidRPr="008B2828">
        <w:t xml:space="preserve"> [elektronska pošta]. Sporočilo za: Ana STRGAR. </w:t>
      </w:r>
      <w:r>
        <w:t>17.5.2021</w:t>
      </w:r>
      <w:r w:rsidRPr="008B2828">
        <w:t xml:space="preserve"> [citirano </w:t>
      </w:r>
      <w:r>
        <w:t>1.6</w:t>
      </w:r>
      <w:r w:rsidRPr="008B2828">
        <w:t>.202</w:t>
      </w:r>
      <w:r>
        <w:t>1</w:t>
      </w:r>
      <w:r w:rsidRPr="008B2828">
        <w:t>]. Osebno sporočilo</w:t>
      </w:r>
    </w:p>
    <w:p w14:paraId="226F7ECE" w14:textId="77777777" w:rsidR="00C47DF2" w:rsidRDefault="00C47DF2" w:rsidP="00C47DF2">
      <w:r w:rsidRPr="00E9100B">
        <w:t xml:space="preserve">HERRMANN, F., KUNKEL, R., OSTERMANN, U., VEREECKEN, H., WENDLAND, F. </w:t>
      </w:r>
      <w:proofErr w:type="spellStart"/>
      <w:r w:rsidRPr="00E9100B">
        <w:rPr>
          <w:i/>
          <w:iCs/>
        </w:rPr>
        <w:t>Projected</w:t>
      </w:r>
      <w:proofErr w:type="spellEnd"/>
      <w:r w:rsidRPr="00E9100B">
        <w:rPr>
          <w:i/>
          <w:iCs/>
        </w:rPr>
        <w:t xml:space="preserve"> </w:t>
      </w:r>
      <w:proofErr w:type="spellStart"/>
      <w:r w:rsidRPr="00E9100B">
        <w:rPr>
          <w:i/>
          <w:iCs/>
        </w:rPr>
        <w:t>impact</w:t>
      </w:r>
      <w:proofErr w:type="spellEnd"/>
      <w:r w:rsidRPr="00E9100B">
        <w:rPr>
          <w:i/>
          <w:iCs/>
        </w:rPr>
        <w:t xml:space="preserve"> of </w:t>
      </w:r>
      <w:proofErr w:type="spellStart"/>
      <w:r w:rsidRPr="00E9100B">
        <w:rPr>
          <w:i/>
          <w:iCs/>
        </w:rPr>
        <w:t>climate</w:t>
      </w:r>
      <w:proofErr w:type="spellEnd"/>
      <w:r w:rsidRPr="00E9100B">
        <w:rPr>
          <w:i/>
          <w:iCs/>
        </w:rPr>
        <w:t xml:space="preserve"> </w:t>
      </w:r>
      <w:proofErr w:type="spellStart"/>
      <w:r w:rsidRPr="00E9100B">
        <w:rPr>
          <w:i/>
          <w:iCs/>
        </w:rPr>
        <w:t>change</w:t>
      </w:r>
      <w:proofErr w:type="spellEnd"/>
      <w:r w:rsidRPr="00E9100B">
        <w:rPr>
          <w:i/>
          <w:iCs/>
        </w:rPr>
        <w:t xml:space="preserve"> on </w:t>
      </w:r>
      <w:proofErr w:type="spellStart"/>
      <w:r w:rsidRPr="00E9100B">
        <w:rPr>
          <w:i/>
          <w:iCs/>
        </w:rPr>
        <w:t>irrigation</w:t>
      </w:r>
      <w:proofErr w:type="spellEnd"/>
      <w:r w:rsidRPr="00E9100B">
        <w:rPr>
          <w:i/>
          <w:iCs/>
        </w:rPr>
        <w:t xml:space="preserve"> </w:t>
      </w:r>
      <w:proofErr w:type="spellStart"/>
      <w:r w:rsidRPr="00E9100B">
        <w:rPr>
          <w:i/>
          <w:iCs/>
        </w:rPr>
        <w:t>needs</w:t>
      </w:r>
      <w:proofErr w:type="spellEnd"/>
      <w:r w:rsidRPr="00E9100B">
        <w:rPr>
          <w:i/>
          <w:iCs/>
        </w:rPr>
        <w:t xml:space="preserve"> </w:t>
      </w:r>
      <w:proofErr w:type="spellStart"/>
      <w:r w:rsidRPr="00E9100B">
        <w:rPr>
          <w:i/>
          <w:iCs/>
        </w:rPr>
        <w:t>and</w:t>
      </w:r>
      <w:proofErr w:type="spellEnd"/>
      <w:r w:rsidRPr="00E9100B">
        <w:rPr>
          <w:i/>
          <w:iCs/>
        </w:rPr>
        <w:t xml:space="preserve"> </w:t>
      </w:r>
      <w:proofErr w:type="spellStart"/>
      <w:r w:rsidRPr="00E9100B">
        <w:rPr>
          <w:i/>
          <w:iCs/>
        </w:rPr>
        <w:t>groundwater</w:t>
      </w:r>
      <w:proofErr w:type="spellEnd"/>
      <w:r w:rsidRPr="00E9100B">
        <w:rPr>
          <w:i/>
          <w:iCs/>
        </w:rPr>
        <w:t xml:space="preserve"> </w:t>
      </w:r>
      <w:proofErr w:type="spellStart"/>
      <w:r w:rsidRPr="00E9100B">
        <w:rPr>
          <w:i/>
          <w:iCs/>
        </w:rPr>
        <w:t>resources</w:t>
      </w:r>
      <w:proofErr w:type="spellEnd"/>
      <w:r w:rsidRPr="00E9100B">
        <w:rPr>
          <w:i/>
          <w:iCs/>
        </w:rPr>
        <w:t xml:space="preserve"> in </w:t>
      </w:r>
      <w:proofErr w:type="spellStart"/>
      <w:r w:rsidRPr="00E9100B">
        <w:rPr>
          <w:i/>
          <w:iCs/>
        </w:rPr>
        <w:t>the</w:t>
      </w:r>
      <w:proofErr w:type="spellEnd"/>
      <w:r w:rsidRPr="00E9100B">
        <w:rPr>
          <w:i/>
          <w:iCs/>
        </w:rPr>
        <w:t xml:space="preserve"> </w:t>
      </w:r>
      <w:proofErr w:type="spellStart"/>
      <w:r w:rsidRPr="00E9100B">
        <w:rPr>
          <w:i/>
          <w:iCs/>
        </w:rPr>
        <w:t>metropolitan</w:t>
      </w:r>
      <w:proofErr w:type="spellEnd"/>
      <w:r w:rsidRPr="00E9100B">
        <w:rPr>
          <w:i/>
          <w:iCs/>
        </w:rPr>
        <w:t xml:space="preserve"> area of Hamburg (</w:t>
      </w:r>
      <w:proofErr w:type="spellStart"/>
      <w:r w:rsidRPr="00E9100B">
        <w:rPr>
          <w:i/>
          <w:iCs/>
        </w:rPr>
        <w:t>Germany</w:t>
      </w:r>
      <w:proofErr w:type="spellEnd"/>
      <w:r w:rsidRPr="00E9100B">
        <w:rPr>
          <w:i/>
          <w:iCs/>
        </w:rPr>
        <w:t>)</w:t>
      </w:r>
      <w:r w:rsidRPr="00E9100B">
        <w:t xml:space="preserve">. </w:t>
      </w:r>
      <w:proofErr w:type="spellStart"/>
      <w:r w:rsidRPr="00E9100B">
        <w:t>Environmental</w:t>
      </w:r>
      <w:proofErr w:type="spellEnd"/>
      <w:r w:rsidRPr="00E9100B">
        <w:t xml:space="preserve"> </w:t>
      </w:r>
      <w:proofErr w:type="spellStart"/>
      <w:r w:rsidRPr="00E9100B">
        <w:t>Earth</w:t>
      </w:r>
      <w:proofErr w:type="spellEnd"/>
      <w:r w:rsidRPr="00E9100B">
        <w:t xml:space="preserve"> </w:t>
      </w:r>
      <w:proofErr w:type="spellStart"/>
      <w:r w:rsidRPr="00E9100B">
        <w:t>Sciences</w:t>
      </w:r>
      <w:proofErr w:type="spellEnd"/>
      <w:r w:rsidRPr="00E9100B">
        <w:t>, 2016, vol. 75, no. 1104.</w:t>
      </w:r>
    </w:p>
    <w:p w14:paraId="2A606E44" w14:textId="77777777" w:rsidR="00C47DF2" w:rsidRDefault="00C47DF2" w:rsidP="00C47DF2">
      <w:r>
        <w:t xml:space="preserve">Inštitut za vode Republike Slovenije (IZVRS). </w:t>
      </w:r>
      <w:r>
        <w:rPr>
          <w:i/>
          <w:iCs/>
        </w:rPr>
        <w:t>Idejna zasnova (IDZ) ) – Primarni cevovod za namakanje zgornje Vipavske doline : Analiza kakovosti in količine vode</w:t>
      </w:r>
      <w:r>
        <w:t>. Ljubljana, 2020, 66 str.</w:t>
      </w:r>
    </w:p>
    <w:p w14:paraId="507300D7" w14:textId="77777777" w:rsidR="00C47DF2" w:rsidRPr="00E9100B" w:rsidRDefault="00C47DF2" w:rsidP="00C47DF2">
      <w:r>
        <w:t>J</w:t>
      </w:r>
      <w:r w:rsidRPr="00E9100B">
        <w:t>ANEŽ, J., ČAR, J., HABIČ. P., RODOBINK, R. Vodno bogastvo Visokega krasa : ranljivost</w:t>
      </w:r>
      <w:r>
        <w:t xml:space="preserve"> </w:t>
      </w:r>
      <w:r w:rsidRPr="00E9100B">
        <w:t>kraške podzemne vode Banjšic, Trnovskega gozda, Nanosa in Hrušice. Idrija : Geologija d.o.o., 1997, 167 str</w:t>
      </w:r>
      <w:r>
        <w:t>.</w:t>
      </w:r>
    </w:p>
    <w:p w14:paraId="66F425A6" w14:textId="116E8AB2" w:rsidR="00C47DF2" w:rsidRPr="00E9100B" w:rsidRDefault="00C47DF2" w:rsidP="00C47DF2">
      <w:r w:rsidRPr="00E9100B">
        <w:t xml:space="preserve">Statistični urad RS (SURS). </w:t>
      </w:r>
      <w:r w:rsidRPr="00E9100B">
        <w:rPr>
          <w:i/>
          <w:iCs/>
        </w:rPr>
        <w:t xml:space="preserve">Podatkovna baza </w:t>
      </w:r>
      <w:proofErr w:type="spellStart"/>
      <w:r w:rsidRPr="00E9100B">
        <w:rPr>
          <w:i/>
          <w:iCs/>
        </w:rPr>
        <w:t>SiStat</w:t>
      </w:r>
      <w:proofErr w:type="spellEnd"/>
      <w:r w:rsidRPr="00E9100B">
        <w:t>. [</w:t>
      </w:r>
      <w:proofErr w:type="spellStart"/>
      <w:r w:rsidRPr="00E9100B">
        <w:t>online</w:t>
      </w:r>
      <w:proofErr w:type="spellEnd"/>
      <w:r w:rsidRPr="00E9100B">
        <w:t xml:space="preserve">] [citirano </w:t>
      </w:r>
      <w:r>
        <w:t>4.5</w:t>
      </w:r>
      <w:r w:rsidRPr="00E9100B">
        <w:t>.202</w:t>
      </w:r>
      <w:r>
        <w:t>1</w:t>
      </w:r>
      <w:r w:rsidRPr="00E9100B">
        <w:t>]. Dostopno na spletnem naslovu &lt;</w:t>
      </w:r>
      <w:hyperlink r:id="rId217" w:history="1">
        <w:r w:rsidRPr="00E9100B">
          <w:rPr>
            <w:rStyle w:val="Hiperpovezava"/>
          </w:rPr>
          <w:t>https://www.stat.si/StatWeb/</w:t>
        </w:r>
      </w:hyperlink>
      <w:r w:rsidRPr="00E9100B">
        <w:t>&gt;</w:t>
      </w:r>
    </w:p>
    <w:p w14:paraId="3F554093" w14:textId="77777777" w:rsidR="00C47DF2" w:rsidRDefault="00C47DF2" w:rsidP="00C47DF2">
      <w:pPr>
        <w:rPr>
          <w:i/>
          <w:iCs/>
        </w:rPr>
      </w:pPr>
      <w:r>
        <w:t xml:space="preserve">Univerza v Ljubljani, Biotehniška fakulteta (UL BF). </w:t>
      </w:r>
      <w:r>
        <w:rPr>
          <w:i/>
          <w:iCs/>
        </w:rPr>
        <w:t>Idejna zasnova (IDZ) – Primarni cevovod za namakanje zgornje Vipavske doline : Tehnološki elaborat za namakalni sistem</w:t>
      </w:r>
    </w:p>
    <w:p w14:paraId="449B1720" w14:textId="58CB965F" w:rsidR="00C47DF2" w:rsidRPr="001735A6" w:rsidRDefault="00C47DF2" w:rsidP="00C47DF2">
      <w:r>
        <w:t xml:space="preserve">Uredba o oskrbi s pitno vodo. </w:t>
      </w:r>
      <w:r>
        <w:rPr>
          <w:i/>
          <w:iCs/>
        </w:rPr>
        <w:t xml:space="preserve">Uradni list Republike Slovenije, </w:t>
      </w:r>
      <w:r>
        <w:t xml:space="preserve">2012, št. 88/12. </w:t>
      </w:r>
      <w:r w:rsidRPr="00E9100B">
        <w:t>Dostopno na spletnem naslovu &lt;</w:t>
      </w:r>
      <w:hyperlink r:id="rId218" w:history="1">
        <w:r w:rsidRPr="00E8558E">
          <w:rPr>
            <w:rStyle w:val="Hiperpovezava"/>
          </w:rPr>
          <w:t>http://www.pisrs.si/Pis.web/pregledPredpisa?id=URED6071</w:t>
        </w:r>
      </w:hyperlink>
      <w:r w:rsidRPr="00E9100B">
        <w:t>&gt;</w:t>
      </w:r>
    </w:p>
    <w:p w14:paraId="0CD30AA8" w14:textId="15548DD6" w:rsidR="00C47DF2" w:rsidRDefault="00C47DF2" w:rsidP="00C47DF2">
      <w:pPr>
        <w:jc w:val="left"/>
        <w:rPr>
          <w:rFonts w:ascii="Times New Roman" w:hAnsi="Times New Roman"/>
        </w:rPr>
      </w:pPr>
      <w:r>
        <w:t xml:space="preserve">Vodovod in komunala Nova Gorica </w:t>
      </w:r>
      <w:proofErr w:type="spellStart"/>
      <w:r>
        <w:t>d.d</w:t>
      </w:r>
      <w:proofErr w:type="spellEnd"/>
      <w:r>
        <w:t>. (VIK-NG) Kakovost pitne vode [</w:t>
      </w:r>
      <w:proofErr w:type="spellStart"/>
      <w:r>
        <w:t>online</w:t>
      </w:r>
      <w:proofErr w:type="spellEnd"/>
      <w:r>
        <w:t xml:space="preserve">] [citirano 5.5.2021]. </w:t>
      </w:r>
      <w:r w:rsidRPr="00E9100B">
        <w:t>Dostopno na spletnem naslovu</w:t>
      </w:r>
      <w:r>
        <w:t xml:space="preserve"> </w:t>
      </w:r>
      <w:hyperlink r:id="rId219" w:history="1">
        <w:r>
          <w:rPr>
            <w:rStyle w:val="Hiperpovezava"/>
          </w:rPr>
          <w:t>https://www.vik-ng.si/nase-dejavnosti/oskrba-z-vodo/kakovost-pitne-vode</w:t>
        </w:r>
      </w:hyperlink>
      <w:r>
        <w:t>&gt;</w:t>
      </w:r>
    </w:p>
    <w:p w14:paraId="71B5D3A8" w14:textId="77777777" w:rsidR="004E4881" w:rsidRPr="006235CD" w:rsidRDefault="004E4881" w:rsidP="004E4881">
      <w:pPr>
        <w:jc w:val="left"/>
      </w:pPr>
      <w:r w:rsidRPr="006235CD">
        <w:br w:type="page"/>
      </w:r>
    </w:p>
    <w:p w14:paraId="051880CA" w14:textId="7FF16427" w:rsidR="006235CD" w:rsidRPr="006235CD" w:rsidRDefault="00A43187" w:rsidP="00CE43D7">
      <w:pPr>
        <w:pStyle w:val="Naslov2"/>
        <w:rPr>
          <w:lang w:eastAsia="sl-SI"/>
        </w:rPr>
      </w:pPr>
      <w:bookmarkStart w:id="476" w:name="_Toc97026799"/>
      <w:r w:rsidRPr="006235CD">
        <w:rPr>
          <w:lang w:eastAsia="sl-SI"/>
        </w:rPr>
        <w:lastRenderedPageBreak/>
        <w:t xml:space="preserve">Sektor </w:t>
      </w:r>
      <w:r w:rsidR="006235CD" w:rsidRPr="006235CD">
        <w:rPr>
          <w:lang w:eastAsia="sl-SI"/>
        </w:rPr>
        <w:t>vodovodni sistemi</w:t>
      </w:r>
      <w:bookmarkEnd w:id="476"/>
    </w:p>
    <w:p w14:paraId="4A40DED9" w14:textId="77777777" w:rsidR="006235CD" w:rsidRPr="006235CD" w:rsidRDefault="006235CD" w:rsidP="006235CD">
      <w:pPr>
        <w:pStyle w:val="Naslov3"/>
      </w:pPr>
      <w:bookmarkStart w:id="477" w:name="_Toc65412250"/>
      <w:bookmarkStart w:id="478" w:name="_Toc97026800"/>
      <w:r w:rsidRPr="006235CD">
        <w:t>Metodologija sektorja vodovodni sistemi</w:t>
      </w:r>
      <w:bookmarkEnd w:id="477"/>
      <w:bookmarkEnd w:id="478"/>
    </w:p>
    <w:p w14:paraId="429C97CC" w14:textId="77777777" w:rsidR="00EA7194" w:rsidRDefault="00EA7194" w:rsidP="00EA7194">
      <w:pPr>
        <w:rPr>
          <w:lang w:eastAsia="sl-SI"/>
        </w:rPr>
      </w:pPr>
      <w:r>
        <w:rPr>
          <w:lang w:eastAsia="sl-SI"/>
        </w:rPr>
        <w:t>Analiza ranljivosti in tveganja vodnih virov na podnebne spremembe je narejena po metodologiji Konvencije županov, ki temelji na metodologiji IPCC in je predstavljena v 5. poglavju. Analiza ranljivosti izhaja iz opredeljevanja kazalnikov izpostavljenosti in občutljivosti, iz katerih lahko ocenimo potencialni vpliv podnebnih sprememb na določen sektor ter iz sposobnosti prilaganja sektorja na te spremembe. Tveganje na podnebne spremembe je določeno glede na ranljivost v referenčnem obdobju 1981-2010 in ranljivost v prihodnosti in sicer v obdobju 2011-2040 in 2041-2070.</w:t>
      </w:r>
    </w:p>
    <w:p w14:paraId="0C784BF9" w14:textId="77777777" w:rsidR="00EA7194" w:rsidRDefault="00EA7194" w:rsidP="00EA7194">
      <w:pPr>
        <w:rPr>
          <w:lang w:eastAsia="sl-SI"/>
        </w:rPr>
      </w:pPr>
      <w:r>
        <w:rPr>
          <w:lang w:eastAsia="sl-SI"/>
        </w:rPr>
        <w:t xml:space="preserve">Ranljivost vodovodnih sistemov je povezana po eni strani z vodnimi viri, ki so obdelani v ločenem poglavju, po drugi strani pa z lastnimi specifičnimi dejavniki, med katerimi izstopajo: </w:t>
      </w:r>
    </w:p>
    <w:p w14:paraId="7E074148" w14:textId="77777777" w:rsidR="00EA7194" w:rsidRPr="00C0702C" w:rsidRDefault="00EA7194" w:rsidP="00EA7194">
      <w:pPr>
        <w:pStyle w:val="Odstavekseznama"/>
        <w:numPr>
          <w:ilvl w:val="0"/>
          <w:numId w:val="27"/>
        </w:numPr>
        <w:rPr>
          <w:rFonts w:ascii="Trebuchet MS" w:hAnsi="Trebuchet MS"/>
          <w:lang w:eastAsia="sl-SI"/>
        </w:rPr>
      </w:pPr>
      <w:r w:rsidRPr="00C0702C">
        <w:rPr>
          <w:rFonts w:ascii="Trebuchet MS" w:hAnsi="Trebuchet MS"/>
          <w:lang w:eastAsia="sl-SI"/>
        </w:rPr>
        <w:t>Vpliva dviga temperature v podzemlju in posledično dviga temperatur na delih vodovodnega omrežja, kjer prihaja do manjših pretokov (zaradi predimenzioniranosti cevi), povečanega toplotnega toka v podzemlje (npr. parkirišča) ali kombinacije obeh vplivnih faktorjev.</w:t>
      </w:r>
    </w:p>
    <w:p w14:paraId="77605F57" w14:textId="77777777" w:rsidR="00EA7194" w:rsidRPr="000415FD" w:rsidRDefault="00EA7194" w:rsidP="00EA7194">
      <w:pPr>
        <w:pStyle w:val="Odstavekseznama"/>
        <w:numPr>
          <w:ilvl w:val="0"/>
          <w:numId w:val="27"/>
        </w:numPr>
        <w:spacing w:after="120"/>
        <w:ind w:left="1077" w:hanging="357"/>
        <w:rPr>
          <w:rFonts w:ascii="Trebuchet MS" w:hAnsi="Trebuchet MS"/>
          <w:lang w:eastAsia="sl-SI"/>
        </w:rPr>
      </w:pPr>
      <w:r w:rsidRPr="00C0702C">
        <w:rPr>
          <w:rFonts w:ascii="Trebuchet MS" w:hAnsi="Trebuchet MS"/>
          <w:lang w:eastAsia="sl-SI"/>
        </w:rPr>
        <w:t>Nestabilnosti tal in posledično loma cevi zaradi podnebnih sprememb, predvsem zaradi nestabilnosti zemljin, ki jih povzročajo zemeljski plazovi.</w:t>
      </w:r>
    </w:p>
    <w:p w14:paraId="473673EE" w14:textId="77777777" w:rsidR="00EA7194" w:rsidRDefault="00EA7194" w:rsidP="00EA7194">
      <w:pPr>
        <w:rPr>
          <w:lang w:eastAsia="sl-SI"/>
        </w:rPr>
      </w:pPr>
      <w:r>
        <w:rPr>
          <w:lang w:eastAsia="sl-SI"/>
        </w:rPr>
        <w:t xml:space="preserve">Povečanja poraba vode ni zaznana kot splošni trend, saj zaradi vse bolj učinkovite rabe vode in zmanjševanja vodnih izgub vsi vodovodni sistemi v Republiki Sloveniji in tudi regiji izkazujejo stabilen trend zniževanja specifične potrebe po vodi (poraba vode na prebivalca). </w:t>
      </w:r>
    </w:p>
    <w:p w14:paraId="5338B7EA" w14:textId="77777777" w:rsidR="006235CD" w:rsidRPr="006235CD" w:rsidRDefault="006235CD" w:rsidP="00CE43D7">
      <w:pPr>
        <w:pStyle w:val="Naslov4"/>
      </w:pPr>
      <w:r w:rsidRPr="006235CD">
        <w:t>Kazalniki izpostavljenosti vodovodnih sistemov na podnebne spremembe</w:t>
      </w:r>
    </w:p>
    <w:p w14:paraId="2E266715" w14:textId="3A2D42FF" w:rsidR="00EA7194" w:rsidRDefault="00EA7194" w:rsidP="00EA7194">
      <w:r>
        <w:rPr>
          <w:lang w:eastAsia="sl-SI"/>
        </w:rPr>
        <w:t xml:space="preserve">Ključni izpostavljenosti vodovodnih sistemov na podnebne spremembe so vročinski valovim, kar pomeni več zaporednih dni v katerih so presežene temperature (npr. nočna temperatura, najvišja dnevna temperatura). Definicija za vročinski val ni enotno opredeljena. </w:t>
      </w:r>
      <w:r>
        <w:t>V Sloveniji v preteklih desetletjih zaradi redke ogroženosti z vročino nismo imeli enotno dogovorjenega kazalca za spremljanje vročine. Zaradi vročinskih valov v preteklem desetletju in grožnje vročinskih valov v prihodnosti pa se je pokazala potreba po izbiri kazalca, s katerim bi enotno spremljali vročino na državni ravni. Enotna definicija je pomembna tako za opozarjanje na vročino kot za spremljanje značilnosti ekstremnih temperaturnih razmer v preteklosti in v prihodnosti ter pripravo ustreznih ukrepov prilagajanja. Slovensko meteorološko društvo navezuje definicijo za vročinski val na dnevno povprečno temperaturo (</w:t>
      </w:r>
      <w:proofErr w:type="spellStart"/>
      <w:r>
        <w:t>T</w:t>
      </w:r>
      <w:r w:rsidRPr="00DB5A9E">
        <w:rPr>
          <w:vertAlign w:val="subscript"/>
        </w:rPr>
        <w:t>povp</w:t>
      </w:r>
      <w:proofErr w:type="spellEnd"/>
      <w:r>
        <w:t xml:space="preserve"> = (T</w:t>
      </w:r>
      <w:r w:rsidRPr="00DB5A9E">
        <w:rPr>
          <w:vertAlign w:val="subscript"/>
        </w:rPr>
        <w:t>7h</w:t>
      </w:r>
      <w:r>
        <w:t>, + T</w:t>
      </w:r>
      <w:r w:rsidRPr="00DB5A9E">
        <w:rPr>
          <w:vertAlign w:val="subscript"/>
        </w:rPr>
        <w:t>14h</w:t>
      </w:r>
      <w:r>
        <w:t xml:space="preserve"> + 2*T</w:t>
      </w:r>
      <w:r w:rsidRPr="00DB5A9E">
        <w:rPr>
          <w:vertAlign w:val="subscript"/>
        </w:rPr>
        <w:t>21h</w:t>
      </w:r>
      <w:r>
        <w:t xml:space="preserve">)/4) kjer so kjer so vrednosti v enačbi izmerjene temperature ob 7h, 14h in 21h po lokalnem sončnem času. </w:t>
      </w:r>
    </w:p>
    <w:p w14:paraId="124D6A65" w14:textId="77777777" w:rsidR="00EA7194" w:rsidRDefault="00EA7194" w:rsidP="00EA7194">
      <w:r>
        <w:t>Na podlagi statistike povprečnih dnevnih temperatur, izračunanih po gornji enačbi, so podane v preglednici 1 mejne vrednosti dnevne povprečne temperature za nastop vročinskega vala po posameznih regijah v Sloveniji. Da govorimo o vročinskem valu mora biti zgornji pogoj izpolnjen vsaj tri dni zapored.</w:t>
      </w:r>
    </w:p>
    <w:p w14:paraId="3EF76F65" w14:textId="77777777" w:rsidR="00EA7194" w:rsidRDefault="00EA7194" w:rsidP="00EA7194"/>
    <w:p w14:paraId="35795334" w14:textId="11A3758F" w:rsidR="00EA7194" w:rsidRDefault="00EA7194" w:rsidP="00EA7194">
      <w:pPr>
        <w:pStyle w:val="Napis"/>
        <w:keepNext/>
      </w:pPr>
      <w:bookmarkStart w:id="479" w:name="_Toc97026994"/>
      <w:r>
        <w:lastRenderedPageBreak/>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41</w:t>
      </w:r>
      <w:r w:rsidR="00976D80">
        <w:fldChar w:fldCharType="end"/>
      </w:r>
      <w:r>
        <w:t>: M</w:t>
      </w:r>
      <w:r w:rsidRPr="005C774A">
        <w:t>ejne vrednosti dnevne povprečne temperature zraka za nastop vročinskega vala</w:t>
      </w:r>
      <w:bookmarkEnd w:id="479"/>
    </w:p>
    <w:tbl>
      <w:tblPr>
        <w:tblStyle w:val="Tabelamrea"/>
        <w:tblW w:w="0" w:type="auto"/>
        <w:tblLook w:val="04A0" w:firstRow="1" w:lastRow="0" w:firstColumn="1" w:lastColumn="0" w:noHBand="0" w:noVBand="1"/>
      </w:tblPr>
      <w:tblGrid>
        <w:gridCol w:w="4814"/>
        <w:gridCol w:w="4814"/>
      </w:tblGrid>
      <w:tr w:rsidR="00EA7194" w14:paraId="36616331" w14:textId="77777777" w:rsidTr="00EA7194">
        <w:tc>
          <w:tcPr>
            <w:tcW w:w="4814" w:type="dxa"/>
          </w:tcPr>
          <w:p w14:paraId="0A79BFBF" w14:textId="77777777" w:rsidR="00EA7194" w:rsidRDefault="00EA7194" w:rsidP="00EA7194">
            <w:pPr>
              <w:rPr>
                <w:lang w:eastAsia="sl-SI"/>
              </w:rPr>
            </w:pPr>
            <w:r>
              <w:rPr>
                <w:lang w:eastAsia="sl-SI"/>
              </w:rPr>
              <w:t>Podnebno območje</w:t>
            </w:r>
          </w:p>
        </w:tc>
        <w:tc>
          <w:tcPr>
            <w:tcW w:w="4814" w:type="dxa"/>
          </w:tcPr>
          <w:p w14:paraId="7BBDAB4B" w14:textId="77777777" w:rsidR="00EA7194" w:rsidRDefault="00EA7194" w:rsidP="00EA7194">
            <w:pPr>
              <w:rPr>
                <w:lang w:eastAsia="sl-SI"/>
              </w:rPr>
            </w:pPr>
          </w:p>
        </w:tc>
      </w:tr>
      <w:tr w:rsidR="00EA7194" w14:paraId="24317DFD" w14:textId="77777777" w:rsidTr="00EA7194">
        <w:tc>
          <w:tcPr>
            <w:tcW w:w="4814" w:type="dxa"/>
          </w:tcPr>
          <w:p w14:paraId="51272DE2" w14:textId="77777777" w:rsidR="00EA7194" w:rsidRDefault="00EA7194" w:rsidP="00EA7194">
            <w:pPr>
              <w:rPr>
                <w:lang w:eastAsia="sl-SI"/>
              </w:rPr>
            </w:pPr>
            <w:r>
              <w:rPr>
                <w:lang w:eastAsia="sl-SI"/>
              </w:rPr>
              <w:t>Celinsko podnebje (osrednja, JV in SV Slovenija)</w:t>
            </w:r>
          </w:p>
        </w:tc>
        <w:tc>
          <w:tcPr>
            <w:tcW w:w="4814" w:type="dxa"/>
          </w:tcPr>
          <w:p w14:paraId="67182432" w14:textId="77777777" w:rsidR="00EA7194" w:rsidRDefault="00EA7194" w:rsidP="00EA7194">
            <w:pPr>
              <w:rPr>
                <w:lang w:eastAsia="sl-SI"/>
              </w:rPr>
            </w:pPr>
            <w:proofErr w:type="spellStart"/>
            <w:r>
              <w:rPr>
                <w:lang w:eastAsia="sl-SI"/>
              </w:rPr>
              <w:t>T</w:t>
            </w:r>
            <w:r w:rsidRPr="002935B1">
              <w:rPr>
                <w:vertAlign w:val="subscript"/>
                <w:lang w:eastAsia="sl-SI"/>
              </w:rPr>
              <w:t>povp</w:t>
            </w:r>
            <w:proofErr w:type="spellEnd"/>
            <w:r w:rsidRPr="002935B1">
              <w:rPr>
                <w:vertAlign w:val="subscript"/>
                <w:lang w:eastAsia="sl-SI"/>
              </w:rPr>
              <w:t xml:space="preserve"> </w:t>
            </w:r>
            <w:r>
              <w:rPr>
                <w:lang w:eastAsia="sl-SI"/>
              </w:rPr>
              <w:sym w:font="UniversalMath1 BT" w:char="F02F"/>
            </w:r>
            <w:r>
              <w:rPr>
                <w:lang w:eastAsia="sl-SI"/>
              </w:rPr>
              <w:t>24 °C</w:t>
            </w:r>
          </w:p>
        </w:tc>
      </w:tr>
      <w:tr w:rsidR="00EA7194" w14:paraId="4FE35048" w14:textId="77777777" w:rsidTr="00EA7194">
        <w:tc>
          <w:tcPr>
            <w:tcW w:w="4814" w:type="dxa"/>
          </w:tcPr>
          <w:p w14:paraId="19BB1500" w14:textId="77777777" w:rsidR="00EA7194" w:rsidRDefault="00EA7194" w:rsidP="00EA7194">
            <w:pPr>
              <w:rPr>
                <w:lang w:eastAsia="sl-SI"/>
              </w:rPr>
            </w:pPr>
            <w:r>
              <w:t>Zmerno podnebje hribovitega sveta (Gorenjska, Notranjska in dvignjen svet Štajerske in Dolenjske )</w:t>
            </w:r>
          </w:p>
        </w:tc>
        <w:tc>
          <w:tcPr>
            <w:tcW w:w="4814" w:type="dxa"/>
          </w:tcPr>
          <w:p w14:paraId="39215C6B" w14:textId="77777777" w:rsidR="00EA7194" w:rsidRDefault="00EA7194" w:rsidP="00EA7194">
            <w:pPr>
              <w:rPr>
                <w:lang w:eastAsia="sl-SI"/>
              </w:rPr>
            </w:pPr>
            <w:proofErr w:type="spellStart"/>
            <w:r>
              <w:rPr>
                <w:lang w:eastAsia="sl-SI"/>
              </w:rPr>
              <w:t>T</w:t>
            </w:r>
            <w:r w:rsidRPr="002935B1">
              <w:rPr>
                <w:vertAlign w:val="subscript"/>
                <w:lang w:eastAsia="sl-SI"/>
              </w:rPr>
              <w:t>povp</w:t>
            </w:r>
            <w:proofErr w:type="spellEnd"/>
            <w:r w:rsidRPr="002935B1">
              <w:rPr>
                <w:vertAlign w:val="subscript"/>
                <w:lang w:eastAsia="sl-SI"/>
              </w:rPr>
              <w:t xml:space="preserve"> </w:t>
            </w:r>
            <w:r>
              <w:rPr>
                <w:lang w:eastAsia="sl-SI"/>
              </w:rPr>
              <w:sym w:font="UniversalMath1 BT" w:char="F02F"/>
            </w:r>
            <w:r>
              <w:rPr>
                <w:lang w:eastAsia="sl-SI"/>
              </w:rPr>
              <w:t>22 °C</w:t>
            </w:r>
          </w:p>
        </w:tc>
      </w:tr>
      <w:tr w:rsidR="00EA7194" w14:paraId="2860896A" w14:textId="77777777" w:rsidTr="00EA7194">
        <w:tc>
          <w:tcPr>
            <w:tcW w:w="4814" w:type="dxa"/>
          </w:tcPr>
          <w:p w14:paraId="5E8BCB12" w14:textId="77777777" w:rsidR="00EA7194" w:rsidRDefault="00EA7194" w:rsidP="00EA7194">
            <w:pPr>
              <w:rPr>
                <w:lang w:eastAsia="sl-SI"/>
              </w:rPr>
            </w:pPr>
            <w:r>
              <w:t>Omiljeno sredozemsko podnebje (Primorska)</w:t>
            </w:r>
          </w:p>
        </w:tc>
        <w:tc>
          <w:tcPr>
            <w:tcW w:w="4814" w:type="dxa"/>
          </w:tcPr>
          <w:p w14:paraId="33FA677A" w14:textId="77777777" w:rsidR="00EA7194" w:rsidRDefault="00EA7194" w:rsidP="00EA7194">
            <w:pPr>
              <w:rPr>
                <w:lang w:eastAsia="sl-SI"/>
              </w:rPr>
            </w:pPr>
            <w:proofErr w:type="spellStart"/>
            <w:r>
              <w:rPr>
                <w:lang w:eastAsia="sl-SI"/>
              </w:rPr>
              <w:t>T</w:t>
            </w:r>
            <w:r w:rsidRPr="002935B1">
              <w:rPr>
                <w:vertAlign w:val="subscript"/>
                <w:lang w:eastAsia="sl-SI"/>
              </w:rPr>
              <w:t>povp</w:t>
            </w:r>
            <w:proofErr w:type="spellEnd"/>
            <w:r w:rsidRPr="002935B1">
              <w:rPr>
                <w:vertAlign w:val="subscript"/>
                <w:lang w:eastAsia="sl-SI"/>
              </w:rPr>
              <w:t xml:space="preserve"> </w:t>
            </w:r>
            <w:r>
              <w:rPr>
                <w:lang w:eastAsia="sl-SI"/>
              </w:rPr>
              <w:sym w:font="UniversalMath1 BT" w:char="F02F"/>
            </w:r>
            <w:r>
              <w:rPr>
                <w:lang w:eastAsia="sl-SI"/>
              </w:rPr>
              <w:t>25 °C</w:t>
            </w:r>
          </w:p>
        </w:tc>
      </w:tr>
    </w:tbl>
    <w:p w14:paraId="775D956F" w14:textId="77777777" w:rsidR="00EA7194" w:rsidRDefault="00EA7194" w:rsidP="00EA7194">
      <w:pPr>
        <w:rPr>
          <w:lang w:eastAsia="sl-SI"/>
        </w:rPr>
      </w:pPr>
    </w:p>
    <w:p w14:paraId="66B0F888" w14:textId="08DBE7F0" w:rsidR="00EA7194" w:rsidRDefault="00EA7194" w:rsidP="00EA7194">
      <w:pPr>
        <w:rPr>
          <w:lang w:eastAsia="sl-SI"/>
        </w:rPr>
      </w:pPr>
      <w:r>
        <w:rPr>
          <w:lang w:eastAsia="sl-SI"/>
        </w:rPr>
        <w:t xml:space="preserve">Za območje mestne občine Nova Gorica je potrebno ločevati meritve po posamezni merilni postaji, tako za naselje Nova Gorica mejna vrednost dnevne povprečne temperature zraka za nastop vročinskega vala znaša 25 °C. Drugačne temperaturne razmere so na delu občine, ki se nahaja na robu Trnovske planote: Grgar, Ravnica, Trnovo, Nemci, Lokve, Čepovan, Banjšice, Bate. Tam je kriterij za nastop vročinskega vala drugačen in znaša nad 22 °C. </w:t>
      </w:r>
    </w:p>
    <w:p w14:paraId="2E3B5B44" w14:textId="77777777" w:rsidR="00EA7194" w:rsidRDefault="00EA7194" w:rsidP="00EA7194">
      <w:pPr>
        <w:rPr>
          <w:lang w:eastAsia="sl-SI"/>
        </w:rPr>
      </w:pPr>
      <w:r>
        <w:rPr>
          <w:lang w:eastAsia="sl-SI"/>
        </w:rPr>
        <w:t>Podatki o vročinskih valovih in tveganjih za spremembo povratnih dob vročinskih valov za območje Mestne občine Nova Gorica so podani v uvodnem poglavju.</w:t>
      </w:r>
    </w:p>
    <w:p w14:paraId="3628FBB9" w14:textId="77777777" w:rsidR="00EA7194" w:rsidRDefault="00EA7194" w:rsidP="00EA7194">
      <w:pPr>
        <w:rPr>
          <w:lang w:eastAsia="sl-SI"/>
        </w:rPr>
      </w:pPr>
      <w:r>
        <w:rPr>
          <w:lang w:eastAsia="sl-SI"/>
        </w:rPr>
        <w:t>Zaradi nižjih temperatur v naseljih na Trnovski planoti je v teh naseljih vodovodni sistemi manj izpostavljeni nevarnosti povišanih temperatur v vodovodnem sistemu.</w:t>
      </w:r>
    </w:p>
    <w:p w14:paraId="19253474" w14:textId="77777777" w:rsidR="006235CD" w:rsidRPr="006235CD" w:rsidRDefault="006235CD" w:rsidP="00CE43D7">
      <w:pPr>
        <w:pStyle w:val="Naslov4"/>
      </w:pPr>
      <w:r w:rsidRPr="006235CD">
        <w:t>Kazalniki občutljivosti vodovodnih sistemov na podnebne spremembe</w:t>
      </w:r>
    </w:p>
    <w:p w14:paraId="0F96C846" w14:textId="77777777" w:rsidR="00EA7194" w:rsidRDefault="00EA7194" w:rsidP="00EA7194">
      <w:pPr>
        <w:rPr>
          <w:lang w:eastAsia="sl-SI"/>
        </w:rPr>
      </w:pPr>
      <w:r>
        <w:rPr>
          <w:lang w:eastAsia="sl-SI"/>
        </w:rPr>
        <w:t xml:space="preserve">Občutljivost vodovodnih sistemov je v veliki meri odvisna od zasnove vodovodnega sistema in </w:t>
      </w:r>
      <w:r w:rsidRPr="000415FD">
        <w:rPr>
          <w:lang w:eastAsia="sl-SI"/>
        </w:rPr>
        <w:t>uspešnosti ter učinkovitosti u</w:t>
      </w:r>
      <w:r w:rsidRPr="000415FD">
        <w:t>pravljanja z njim. Pomemben sistemski kazalnik je indeks vodnih izgub ILI (</w:t>
      </w:r>
      <w:proofErr w:type="spellStart"/>
      <w:r w:rsidRPr="000415FD">
        <w:t>Infrastructure</w:t>
      </w:r>
      <w:proofErr w:type="spellEnd"/>
      <w:r w:rsidRPr="000415FD">
        <w:t xml:space="preserve"> </w:t>
      </w:r>
      <w:proofErr w:type="spellStart"/>
      <w:r w:rsidRPr="000415FD">
        <w:t>Leakage</w:t>
      </w:r>
      <w:proofErr w:type="spellEnd"/>
      <w:r w:rsidRPr="000415FD">
        <w:t xml:space="preserve"> </w:t>
      </w:r>
      <w:proofErr w:type="spellStart"/>
      <w:r w:rsidRPr="000415FD">
        <w:t>Index</w:t>
      </w:r>
      <w:proofErr w:type="spellEnd"/>
      <w:r w:rsidRPr="000415FD">
        <w:t xml:space="preserve">), ki podaja razmerje med dejanskimi vodnimi izgubami (CARL – </w:t>
      </w:r>
      <w:proofErr w:type="spellStart"/>
      <w:r w:rsidRPr="000415FD">
        <w:t>Current</w:t>
      </w:r>
      <w:proofErr w:type="spellEnd"/>
      <w:r w:rsidRPr="000415FD">
        <w:t xml:space="preserve"> </w:t>
      </w:r>
      <w:proofErr w:type="spellStart"/>
      <w:r w:rsidRPr="000415FD">
        <w:t>Annual</w:t>
      </w:r>
      <w:proofErr w:type="spellEnd"/>
      <w:r w:rsidRPr="000415FD">
        <w:t xml:space="preserve"> Real </w:t>
      </w:r>
      <w:proofErr w:type="spellStart"/>
      <w:r w:rsidRPr="000415FD">
        <w:t>Losses</w:t>
      </w:r>
      <w:proofErr w:type="spellEnd"/>
      <w:r w:rsidRPr="000415FD">
        <w:t xml:space="preserve">) in neizogibnimi vodnimi izgubami (UARL – </w:t>
      </w:r>
      <w:proofErr w:type="spellStart"/>
      <w:r w:rsidRPr="000415FD">
        <w:t>Unavoidable</w:t>
      </w:r>
      <w:proofErr w:type="spellEnd"/>
      <w:r w:rsidRPr="000415FD">
        <w:t xml:space="preserve"> </w:t>
      </w:r>
      <w:proofErr w:type="spellStart"/>
      <w:r w:rsidRPr="000415FD">
        <w:t>Annual</w:t>
      </w:r>
      <w:proofErr w:type="spellEnd"/>
      <w:r w:rsidRPr="000415FD">
        <w:t xml:space="preserve"> Real </w:t>
      </w:r>
      <w:proofErr w:type="spellStart"/>
      <w:r w:rsidRPr="000415FD">
        <w:t>Losses</w:t>
      </w:r>
      <w:proofErr w:type="spellEnd"/>
      <w:r w:rsidRPr="000415FD">
        <w:t>).</w:t>
      </w:r>
    </w:p>
    <w:p w14:paraId="268DE2DF" w14:textId="77777777" w:rsidR="00EA7194" w:rsidRDefault="00EA7194" w:rsidP="00EA7194">
      <w:pPr>
        <w:rPr>
          <w:lang w:eastAsia="sl-SI"/>
        </w:rPr>
      </w:pPr>
      <w:r>
        <w:rPr>
          <w:lang w:eastAsia="sl-SI"/>
        </w:rPr>
        <w:t>Dodaten kazalnih občutljivosti vodovodnih sistemov je spremljanje izrednih dogodkov na vodovodnem sistemu, predvsem z vidika zdravstvene ustreznosti pitne vode.</w:t>
      </w:r>
    </w:p>
    <w:p w14:paraId="2C455CC1" w14:textId="77777777" w:rsidR="00EA7194" w:rsidRDefault="00EA7194" w:rsidP="00EA7194">
      <w:pPr>
        <w:rPr>
          <w:lang w:eastAsia="sl-SI"/>
        </w:rPr>
      </w:pPr>
      <w:r>
        <w:rPr>
          <w:lang w:eastAsia="sl-SI"/>
        </w:rPr>
        <w:t>Oba kazalnika sta v osnovi referenčna kazalnika za obstoječe stanje vodovodnih sistemov, po drugi strani pa sta pomembna za zgodnjo identifikacijo trendov, saj je ravno na podlagi trendov obeh kazalnikov mogoče sistemsko prepoznavati težave, ki bi jih lahko upravljalec vodovodnega sistema imel v primeru delovanja v oteženih klimatskih pogojev, ki bi nastali zaradi pričakovanih podnebnih sprememb.</w:t>
      </w:r>
    </w:p>
    <w:p w14:paraId="65B3BFA7" w14:textId="77777777" w:rsidR="006235CD" w:rsidRPr="006235CD" w:rsidRDefault="006235CD" w:rsidP="00CE43D7">
      <w:pPr>
        <w:pStyle w:val="Naslov4"/>
      </w:pPr>
      <w:r w:rsidRPr="006235CD">
        <w:t>Kazalniki potencialnih vplivov podnebnih sprememb na vodovodni sistem</w:t>
      </w:r>
    </w:p>
    <w:p w14:paraId="2CCBC637" w14:textId="77777777" w:rsidR="00EA7194" w:rsidRDefault="00EA7194" w:rsidP="00EA7194">
      <w:pPr>
        <w:rPr>
          <w:lang w:eastAsia="sl-SI"/>
        </w:rPr>
      </w:pPr>
      <w:r>
        <w:rPr>
          <w:lang w:eastAsia="sl-SI"/>
        </w:rPr>
        <w:t xml:space="preserve">Ključna meja bo povezana s kriterijem temperature vode na kritični veji (spremljanje temperatur), </w:t>
      </w:r>
      <w:r w:rsidRPr="00345C2E">
        <w:rPr>
          <w:lang w:eastAsia="sl-SI"/>
        </w:rPr>
        <w:t xml:space="preserve">ki ne bi smela preseči 20 stopinj C. Potencialna nevarnost je prepoznana tudi </w:t>
      </w:r>
      <w:r w:rsidRPr="00A138CA">
        <w:rPr>
          <w:lang w:eastAsia="sl-SI"/>
        </w:rPr>
        <w:t>po HACCP dokumentaciji</w:t>
      </w:r>
      <w:r>
        <w:rPr>
          <w:lang w:eastAsia="sl-SI"/>
        </w:rPr>
        <w:t xml:space="preserve"> za upravljalca vodovodnega sistema</w:t>
      </w:r>
      <w:r w:rsidRPr="00345C2E">
        <w:rPr>
          <w:lang w:eastAsia="sl-SI"/>
        </w:rPr>
        <w:t xml:space="preserve">, ki kot možno tveganje predvideva povezano (zunanje) tveganje višjih temperatur in tvegane </w:t>
      </w:r>
      <w:r w:rsidRPr="00A138CA">
        <w:rPr>
          <w:lang w:eastAsia="sl-SI"/>
        </w:rPr>
        <w:t xml:space="preserve">okoliščine »Pojav </w:t>
      </w:r>
      <w:proofErr w:type="spellStart"/>
      <w:r w:rsidRPr="00A138CA">
        <w:rPr>
          <w:lang w:eastAsia="sl-SI"/>
        </w:rPr>
        <w:t>legionele</w:t>
      </w:r>
      <w:proofErr w:type="spellEnd"/>
      <w:r w:rsidRPr="00A138CA">
        <w:rPr>
          <w:lang w:eastAsia="sl-SI"/>
        </w:rPr>
        <w:t xml:space="preserve"> ob temperaturi, ki je višja od 20 °C (Priporočila za preprečevanje pojava </w:t>
      </w:r>
      <w:proofErr w:type="spellStart"/>
      <w:r w:rsidRPr="00A138CA">
        <w:rPr>
          <w:lang w:eastAsia="sl-SI"/>
        </w:rPr>
        <w:t>legionel</w:t>
      </w:r>
      <w:proofErr w:type="spellEnd"/>
      <w:r w:rsidRPr="00A138CA">
        <w:rPr>
          <w:lang w:eastAsia="sl-SI"/>
        </w:rPr>
        <w:t xml:space="preserve"> – NIJZ)«.</w:t>
      </w:r>
      <w:r w:rsidRPr="00345C2E">
        <w:rPr>
          <w:lang w:eastAsia="sl-SI"/>
        </w:rPr>
        <w:t xml:space="preserve"> Preventivna strategija je merjenje temperature ob merjenju pretokov na omrežju v poletnih mesecih (julij in avgust)</w:t>
      </w:r>
      <w:r>
        <w:rPr>
          <w:lang w:eastAsia="sl-SI"/>
        </w:rPr>
        <w:t xml:space="preserve"> z zaznavanjem trendov in razvojem preventivnih ukrepov</w:t>
      </w:r>
      <w:r w:rsidRPr="00345C2E">
        <w:rPr>
          <w:lang w:eastAsia="sl-SI"/>
        </w:rPr>
        <w:t>.</w:t>
      </w:r>
    </w:p>
    <w:p w14:paraId="38242F82" w14:textId="77777777" w:rsidR="006235CD" w:rsidRPr="006235CD" w:rsidRDefault="006235CD" w:rsidP="00CE43D7">
      <w:pPr>
        <w:pStyle w:val="Naslov4"/>
      </w:pPr>
      <w:r w:rsidRPr="006235CD">
        <w:lastRenderedPageBreak/>
        <w:t>Kazalniki sposobnosti prilagajanja podnebnim spremembam</w:t>
      </w:r>
    </w:p>
    <w:p w14:paraId="193B869F" w14:textId="2F11E8F7" w:rsidR="00EA7194" w:rsidRPr="00345C2E" w:rsidRDefault="00EA7194" w:rsidP="00EA7194">
      <w:pPr>
        <w:rPr>
          <w:lang w:eastAsia="sl-SI"/>
        </w:rPr>
      </w:pPr>
      <w:r w:rsidRPr="00345C2E">
        <w:rPr>
          <w:lang w:eastAsia="sl-SI"/>
        </w:rPr>
        <w:t xml:space="preserve">Sposobnost prilagajanja vodovodnih sistemov na podnebne spremembe je povezana z uspešnostjo in učinkovitostjo delovanja </w:t>
      </w:r>
      <w:r w:rsidR="005E7A42">
        <w:rPr>
          <w:lang w:eastAsia="sl-SI"/>
        </w:rPr>
        <w:t>Mestna o</w:t>
      </w:r>
      <w:r w:rsidRPr="00345C2E">
        <w:rPr>
          <w:lang w:eastAsia="sl-SI"/>
        </w:rPr>
        <w:t xml:space="preserve">bčine </w:t>
      </w:r>
      <w:r>
        <w:rPr>
          <w:lang w:eastAsia="sl-SI"/>
        </w:rPr>
        <w:t xml:space="preserve">Nova Gorica </w:t>
      </w:r>
      <w:r w:rsidRPr="00345C2E">
        <w:rPr>
          <w:lang w:eastAsia="sl-SI"/>
        </w:rPr>
        <w:t xml:space="preserve">kot lastnika vodovodnega sistema in </w:t>
      </w:r>
      <w:r>
        <w:rPr>
          <w:lang w:eastAsia="sl-SI"/>
        </w:rPr>
        <w:t xml:space="preserve">upravljalca vodovodnega sistema. </w:t>
      </w:r>
    </w:p>
    <w:p w14:paraId="1BA83EE8" w14:textId="77777777" w:rsidR="00EA7194" w:rsidRPr="00345C2E" w:rsidRDefault="00EA7194" w:rsidP="00EA7194">
      <w:pPr>
        <w:rPr>
          <w:lang w:eastAsia="sl-SI"/>
        </w:rPr>
      </w:pPr>
      <w:r w:rsidRPr="00345C2E">
        <w:rPr>
          <w:lang w:eastAsia="sl-SI"/>
        </w:rPr>
        <w:t xml:space="preserve">Pri tem je mogoče doseči obvladovanje </w:t>
      </w:r>
      <w:r>
        <w:rPr>
          <w:lang w:eastAsia="sl-SI"/>
        </w:rPr>
        <w:t xml:space="preserve">oziroma sposobnost prilagajanja </w:t>
      </w:r>
      <w:r w:rsidRPr="00345C2E">
        <w:rPr>
          <w:lang w:eastAsia="sl-SI"/>
        </w:rPr>
        <w:t xml:space="preserve">na dva osnovna načina: </w:t>
      </w:r>
    </w:p>
    <w:p w14:paraId="3732BEAA" w14:textId="05E1E47F" w:rsidR="00EA7194" w:rsidRPr="00EA7194" w:rsidRDefault="00EA7194" w:rsidP="00EA7194">
      <w:pPr>
        <w:pStyle w:val="Odstavekseznama"/>
        <w:numPr>
          <w:ilvl w:val="0"/>
          <w:numId w:val="28"/>
        </w:numPr>
        <w:rPr>
          <w:rFonts w:ascii="Trebuchet MS" w:hAnsi="Trebuchet MS"/>
          <w:lang w:eastAsia="sl-SI"/>
        </w:rPr>
      </w:pPr>
      <w:r w:rsidRPr="00345C2E">
        <w:rPr>
          <w:rFonts w:ascii="Trebuchet MS" w:hAnsi="Trebuchet MS"/>
          <w:lang w:eastAsia="sl-SI"/>
        </w:rPr>
        <w:t>Zmanjševanje premera cevi za odseke, kjer voda v času vročinskih valov zastaja in so izpostavljeni tveganju povišane temperature vode v vodovodnem sistemu. Zmanjševanje premera je pogosto povezano z znatnimi investicijami, hkrati pa ob zmanjšanju premera vodovodnih cevi negodno vplivamo na zasnovo požarne varnosti območja, saj je v razmerah razpršene poselitve ravno požarna varnost območja pogosto osnova za dimenzioniranje (in predimenzioniranje) cevi. Osnovna usmeritev so vendarle cevi z manjšimi premeri, za zagotavljanjem požarne varnosti pa je v takšnih primerih potrebno poiskati alternativne tehnične rešitve (npr. požarni bazeni, namenska hidrantna omrežja).</w:t>
      </w:r>
    </w:p>
    <w:p w14:paraId="30C957F3" w14:textId="77777777" w:rsidR="00EA7194" w:rsidRDefault="00EA7194" w:rsidP="00EA7194">
      <w:pPr>
        <w:pStyle w:val="Odstavekseznama"/>
        <w:numPr>
          <w:ilvl w:val="0"/>
          <w:numId w:val="28"/>
        </w:numPr>
        <w:rPr>
          <w:rFonts w:ascii="Trebuchet MS" w:hAnsi="Trebuchet MS"/>
          <w:lang w:eastAsia="sl-SI"/>
        </w:rPr>
      </w:pPr>
      <w:r w:rsidRPr="00345C2E">
        <w:rPr>
          <w:rFonts w:ascii="Trebuchet MS" w:hAnsi="Trebuchet MS"/>
          <w:lang w:eastAsia="sl-SI"/>
        </w:rPr>
        <w:t>Izpustu vode iz vodovodnega sistema na končnih hidrantih – izpuščanje vode na končnih hidrantih poveča pretoke in pozitivno vpliva na nižanje temperature vode v izpostavljenih delih vodovodnega sistema. Ta ukrep prilagajanja se sicer precej pogosto uporablja, še posebej v delih vodovodnega sistema še posebej v času, ko nastopi koincidenca med nizko porabo in vročinskim valom. Ta nastopi poleti, ko poleg vročinskega vala nastopi tudi čas kolektivnih dopustov (zaprte dejavnosti ni odvzema) in počitnic (zaprte šole).</w:t>
      </w:r>
    </w:p>
    <w:p w14:paraId="373FD71A" w14:textId="4527D3E8" w:rsidR="00EA7194" w:rsidRDefault="00EA7194" w:rsidP="00EA7194">
      <w:pPr>
        <w:pStyle w:val="Odstavekseznama"/>
        <w:rPr>
          <w:rFonts w:ascii="Trebuchet MS" w:hAnsi="Trebuchet MS"/>
          <w:lang w:eastAsia="sl-SI"/>
        </w:rPr>
      </w:pPr>
      <w:r>
        <w:rPr>
          <w:rFonts w:ascii="Trebuchet MS" w:hAnsi="Trebuchet MS"/>
          <w:lang w:eastAsia="sl-SI"/>
        </w:rPr>
        <w:t xml:space="preserve">Izpust vode iz vodovodnega sistema na končnih hidrantih je za upravljalca vodovodnega sistema v splošnem problematičen, saj se z izpusti na končnih hidrantih izrazito povečana poraba vode. Glede na precejšnjo izdatnost vodnega vira </w:t>
      </w:r>
      <w:proofErr w:type="spellStart"/>
      <w:r w:rsidR="00996D54">
        <w:rPr>
          <w:rFonts w:ascii="Trebuchet MS" w:hAnsi="Trebuchet MS"/>
          <w:lang w:eastAsia="sl-SI"/>
        </w:rPr>
        <w:t>Mrzlek</w:t>
      </w:r>
      <w:proofErr w:type="spellEnd"/>
      <w:r w:rsidR="00996D54">
        <w:rPr>
          <w:rFonts w:ascii="Trebuchet MS" w:hAnsi="Trebuchet MS"/>
          <w:lang w:eastAsia="sl-SI"/>
        </w:rPr>
        <w:t xml:space="preserve"> </w:t>
      </w:r>
      <w:r>
        <w:rPr>
          <w:rFonts w:ascii="Trebuchet MS" w:hAnsi="Trebuchet MS"/>
          <w:lang w:eastAsia="sl-SI"/>
        </w:rPr>
        <w:t>je to tveganje relativno majhno.</w:t>
      </w:r>
    </w:p>
    <w:p w14:paraId="54A79F20" w14:textId="77777777" w:rsidR="00EA7194" w:rsidRPr="00345C2E" w:rsidRDefault="00EA7194" w:rsidP="00EA7194">
      <w:pPr>
        <w:ind w:left="709" w:hanging="1"/>
        <w:rPr>
          <w:lang w:eastAsia="sl-SI"/>
        </w:rPr>
      </w:pPr>
      <w:r>
        <w:rPr>
          <w:lang w:eastAsia="sl-SI"/>
        </w:rPr>
        <w:t xml:space="preserve">Ukrep izpustov v končnih hidrantih je zatorej načeloma </w:t>
      </w:r>
      <w:r w:rsidRPr="00345C2E">
        <w:rPr>
          <w:lang w:eastAsia="sl-SI"/>
        </w:rPr>
        <w:t xml:space="preserve">učinkovit, vendar se je ob tem potrebno zavedati, da izpust tehnične vode za potrebe zagotavljanja ustrezne temperature vode za ostale uporabnike spada v kategorijo </w:t>
      </w:r>
      <w:proofErr w:type="spellStart"/>
      <w:r w:rsidRPr="00345C2E">
        <w:rPr>
          <w:lang w:eastAsia="sl-SI"/>
        </w:rPr>
        <w:t>neobračunane</w:t>
      </w:r>
      <w:proofErr w:type="spellEnd"/>
      <w:r w:rsidRPr="00345C2E">
        <w:rPr>
          <w:lang w:eastAsia="sl-SI"/>
        </w:rPr>
        <w:t xml:space="preserve"> vode. Zato se je potrebno temu ukrepu izogibati s pravilnim načrtovanjem vodovodnih sistemov. </w:t>
      </w:r>
    </w:p>
    <w:p w14:paraId="6229BADE" w14:textId="77777777" w:rsidR="006235CD" w:rsidRPr="006235CD" w:rsidRDefault="006235CD" w:rsidP="006235CD">
      <w:pPr>
        <w:rPr>
          <w:lang w:eastAsia="sl-SI"/>
        </w:rPr>
      </w:pPr>
    </w:p>
    <w:p w14:paraId="38AB2027" w14:textId="77777777" w:rsidR="006235CD" w:rsidRPr="006235CD" w:rsidRDefault="006235CD" w:rsidP="006235CD">
      <w:pPr>
        <w:pStyle w:val="Naslov3"/>
      </w:pPr>
      <w:bookmarkStart w:id="480" w:name="_Toc65412251"/>
      <w:bookmarkStart w:id="481" w:name="_Toc97026801"/>
      <w:r w:rsidRPr="006235CD">
        <w:t>Zakonodajni okvir za sektor vodovodni sistemi</w:t>
      </w:r>
      <w:bookmarkEnd w:id="480"/>
      <w:bookmarkEnd w:id="481"/>
    </w:p>
    <w:p w14:paraId="07A93FA8" w14:textId="77777777" w:rsidR="00EA7194" w:rsidRPr="00345C2E" w:rsidRDefault="00EA7194" w:rsidP="00EA7194">
      <w:pPr>
        <w:rPr>
          <w:lang w:eastAsia="sl-SI"/>
        </w:rPr>
      </w:pPr>
      <w:r w:rsidRPr="00345C2E">
        <w:rPr>
          <w:lang w:eastAsia="sl-SI"/>
        </w:rPr>
        <w:t>V Sloveniji področje oskrbe s pitno vodo naslavljajo v osnovi zakonodaje iz področja zdravstvene ustreznosti pitne vode, iz področja upravljanja z vodovodnimi sistemi, in iz področja delovanja vodovodnih sistemov kot hidrantnih omrežij. V manjši meri se delovanja vodovodnih sistemov dotika tudi ostala zakonodaja (zakon o javno zasebnem partnerstvu, zakon o varstvu pred naravnimi in drugimi nesrečami, zakon o vodah, zakon o graditvi objektov , zakon o javnih financah).</w:t>
      </w:r>
    </w:p>
    <w:p w14:paraId="02FBB26D" w14:textId="77777777" w:rsidR="00EA7194" w:rsidRPr="00345C2E" w:rsidRDefault="00EA7194" w:rsidP="00EA7194">
      <w:pPr>
        <w:rPr>
          <w:lang w:eastAsia="sl-SI"/>
        </w:rPr>
      </w:pPr>
      <w:r w:rsidRPr="00345C2E">
        <w:rPr>
          <w:lang w:eastAsia="sl-SI"/>
        </w:rPr>
        <w:t>Med zakonskimi določili ne smemo spregledati ustave Republike Slovenije in leta 2016 populistično sprejetega člena 70a (pravica do pitne vode), ki je bil vključen v ustavo navkljub širokemu nasprotovanju stroke. Navedeni ustavni člen opredeljuje sicer lepe ustavne opredelitve:</w:t>
      </w:r>
    </w:p>
    <w:p w14:paraId="0CF8C163" w14:textId="77777777" w:rsidR="00EA7194" w:rsidRPr="00345C2E" w:rsidRDefault="00EA7194" w:rsidP="00EA7194">
      <w:pPr>
        <w:pStyle w:val="Odstavekseznama"/>
        <w:numPr>
          <w:ilvl w:val="0"/>
          <w:numId w:val="28"/>
        </w:numPr>
        <w:rPr>
          <w:rFonts w:ascii="Trebuchet MS" w:hAnsi="Trebuchet MS"/>
          <w:lang w:eastAsia="sl-SI"/>
        </w:rPr>
      </w:pPr>
      <w:r w:rsidRPr="00345C2E">
        <w:rPr>
          <w:rFonts w:ascii="Trebuchet MS" w:hAnsi="Trebuchet MS"/>
          <w:lang w:eastAsia="sl-SI"/>
        </w:rPr>
        <w:t>Vsakdo ima pravico do pitne vode.</w:t>
      </w:r>
    </w:p>
    <w:p w14:paraId="3E1FB8E0" w14:textId="77777777" w:rsidR="00EA7194" w:rsidRPr="00345C2E" w:rsidRDefault="00EA7194" w:rsidP="00EA7194">
      <w:pPr>
        <w:pStyle w:val="Odstavekseznama"/>
        <w:numPr>
          <w:ilvl w:val="0"/>
          <w:numId w:val="28"/>
        </w:numPr>
        <w:rPr>
          <w:rFonts w:ascii="Trebuchet MS" w:hAnsi="Trebuchet MS"/>
          <w:lang w:eastAsia="sl-SI"/>
        </w:rPr>
      </w:pPr>
      <w:r w:rsidRPr="00345C2E">
        <w:rPr>
          <w:rFonts w:ascii="Trebuchet MS" w:hAnsi="Trebuchet MS"/>
          <w:lang w:eastAsia="sl-SI"/>
        </w:rPr>
        <w:lastRenderedPageBreak/>
        <w:t>Vodni viri so javno dobro v upravljanju države</w:t>
      </w:r>
      <w:r>
        <w:rPr>
          <w:rFonts w:ascii="Trebuchet MS" w:hAnsi="Trebuchet MS"/>
          <w:lang w:eastAsia="sl-SI"/>
        </w:rPr>
        <w:t>.</w:t>
      </w:r>
    </w:p>
    <w:p w14:paraId="620445E6" w14:textId="77777777" w:rsidR="00EA7194" w:rsidRPr="00345C2E" w:rsidRDefault="00EA7194" w:rsidP="00EA7194">
      <w:pPr>
        <w:pStyle w:val="Odstavekseznama"/>
        <w:numPr>
          <w:ilvl w:val="0"/>
          <w:numId w:val="28"/>
        </w:numPr>
        <w:rPr>
          <w:rFonts w:ascii="Trebuchet MS" w:hAnsi="Trebuchet MS"/>
          <w:lang w:eastAsia="sl-SI"/>
        </w:rPr>
      </w:pPr>
      <w:r w:rsidRPr="00345C2E">
        <w:rPr>
          <w:rFonts w:ascii="Trebuchet MS" w:hAnsi="Trebuchet MS"/>
          <w:lang w:eastAsia="sl-SI"/>
        </w:rPr>
        <w:t>Vodni viri služijo prednostno in trajnostno oskrbi prebivalstva s pitno vodo in z vodo za oskrbo gospodinjstev in v tem delu niso tržno blago.</w:t>
      </w:r>
    </w:p>
    <w:p w14:paraId="58FA85FC" w14:textId="77777777" w:rsidR="00EA7194" w:rsidRPr="00345C2E" w:rsidRDefault="00EA7194" w:rsidP="00EA7194">
      <w:pPr>
        <w:pStyle w:val="Odstavekseznama"/>
        <w:numPr>
          <w:ilvl w:val="0"/>
          <w:numId w:val="28"/>
        </w:numPr>
        <w:spacing w:after="120"/>
        <w:ind w:left="714" w:hanging="357"/>
        <w:rPr>
          <w:rFonts w:ascii="Trebuchet MS" w:hAnsi="Trebuchet MS"/>
          <w:lang w:eastAsia="sl-SI"/>
        </w:rPr>
      </w:pPr>
      <w:r w:rsidRPr="00345C2E">
        <w:rPr>
          <w:rFonts w:ascii="Trebuchet MS" w:hAnsi="Trebuchet MS"/>
          <w:lang w:eastAsia="sl-SI"/>
        </w:rPr>
        <w:t>Oskrbo prebivalstva s pitno vodo in z vodo za oskrbo gospodinjstev zagotavlja država preko samoupravnih lokalnih skupnosti neposredno in neprofitno.</w:t>
      </w:r>
    </w:p>
    <w:p w14:paraId="080CFE45" w14:textId="48021CF6" w:rsidR="006235CD" w:rsidRPr="00EA7194" w:rsidRDefault="00EA7194" w:rsidP="006235CD">
      <w:r>
        <w:t xml:space="preserve">Navedene ustavne določbe, </w:t>
      </w:r>
      <w:r w:rsidRPr="00345C2E">
        <w:t>še niso bile prenesene v zakone in podzakonske akte. Določeni deli navedenega člena pa so že bili na enak način opredeljeni v ustavi RS (npr. vodni viri so javno dobro v upravljanju države).</w:t>
      </w:r>
    </w:p>
    <w:p w14:paraId="758355A2" w14:textId="77777777" w:rsidR="006235CD" w:rsidRPr="006235CD" w:rsidRDefault="006235CD" w:rsidP="00CE43D7">
      <w:pPr>
        <w:pStyle w:val="Naslov4"/>
      </w:pPr>
      <w:r w:rsidRPr="006235CD">
        <w:t>Pregled zakonskih izhodišč</w:t>
      </w:r>
    </w:p>
    <w:p w14:paraId="4A792D60" w14:textId="1D8186DE" w:rsidR="006235CD" w:rsidRPr="006235CD" w:rsidRDefault="006235CD" w:rsidP="006235CD">
      <w:pPr>
        <w:spacing w:after="0"/>
        <w:rPr>
          <w:lang w:eastAsia="sl-SI"/>
        </w:rPr>
      </w:pPr>
      <w:r w:rsidRPr="006235CD">
        <w:rPr>
          <w:lang w:eastAsia="sl-SI"/>
        </w:rPr>
        <w:t>Zakon o varstvu okolja (</w:t>
      </w:r>
      <w:r w:rsidR="00EA7194">
        <w:rPr>
          <w:lang w:eastAsia="sl-SI"/>
        </w:rPr>
        <w:t>39/06 s kasnejšimi spremembami</w:t>
      </w:r>
      <w:r w:rsidRPr="006235CD">
        <w:rPr>
          <w:lang w:eastAsia="sl-SI"/>
        </w:rPr>
        <w:t>) – opredelitev 149. člena da je oskrba s pitno vodo obvezna občinske javne službe varstva okolja.</w:t>
      </w:r>
    </w:p>
    <w:p w14:paraId="25CE89BA" w14:textId="77777777" w:rsidR="006235CD" w:rsidRPr="006235CD" w:rsidRDefault="006235CD" w:rsidP="00F90C17">
      <w:pPr>
        <w:pStyle w:val="Odstavekseznama"/>
        <w:numPr>
          <w:ilvl w:val="0"/>
          <w:numId w:val="28"/>
        </w:numPr>
        <w:rPr>
          <w:rFonts w:ascii="Trebuchet MS" w:hAnsi="Trebuchet MS"/>
          <w:lang w:eastAsia="sl-SI"/>
        </w:rPr>
      </w:pPr>
      <w:r w:rsidRPr="006235CD">
        <w:rPr>
          <w:rFonts w:ascii="Trebuchet MS" w:hAnsi="Trebuchet MS"/>
          <w:lang w:eastAsia="sl-SI"/>
        </w:rPr>
        <w:t xml:space="preserve">Operativni program oskrbe s pitno vodo za obdobje od 2015 do 2020 (MOP) </w:t>
      </w:r>
    </w:p>
    <w:p w14:paraId="7F8673D7" w14:textId="77777777" w:rsidR="006235CD" w:rsidRPr="006235CD" w:rsidRDefault="006235CD" w:rsidP="00F90C17">
      <w:pPr>
        <w:pStyle w:val="Odstavekseznama"/>
        <w:numPr>
          <w:ilvl w:val="0"/>
          <w:numId w:val="28"/>
        </w:numPr>
        <w:rPr>
          <w:rFonts w:ascii="Trebuchet MS" w:hAnsi="Trebuchet MS"/>
          <w:lang w:eastAsia="sl-SI"/>
        </w:rPr>
      </w:pPr>
      <w:r w:rsidRPr="006235CD">
        <w:rPr>
          <w:rFonts w:ascii="Trebuchet MS" w:hAnsi="Trebuchet MS"/>
          <w:lang w:eastAsia="sl-SI"/>
        </w:rPr>
        <w:t>Uredba o oskrbi s pitno vodo (Uradni list RS, št. 88/12)</w:t>
      </w:r>
    </w:p>
    <w:p w14:paraId="6417060D" w14:textId="603F0486" w:rsidR="006235CD" w:rsidRPr="006235CD" w:rsidRDefault="006235CD" w:rsidP="00F90C17">
      <w:pPr>
        <w:pStyle w:val="Odstavekseznama"/>
        <w:numPr>
          <w:ilvl w:val="0"/>
          <w:numId w:val="28"/>
        </w:numPr>
        <w:rPr>
          <w:rFonts w:ascii="Trebuchet MS" w:hAnsi="Trebuchet MS"/>
          <w:lang w:eastAsia="sl-SI"/>
        </w:rPr>
      </w:pPr>
      <w:r w:rsidRPr="003777E2">
        <w:rPr>
          <w:rFonts w:ascii="Trebuchet MS" w:hAnsi="Trebuchet MS"/>
          <w:lang w:eastAsia="sl-SI"/>
        </w:rPr>
        <w:t xml:space="preserve">Odlok o oskrbi s pitno vodo </w:t>
      </w:r>
      <w:r w:rsidR="003777E2">
        <w:rPr>
          <w:rFonts w:ascii="Trebuchet MS" w:hAnsi="Trebuchet MS"/>
          <w:lang w:eastAsia="sl-SI"/>
        </w:rPr>
        <w:t xml:space="preserve">v </w:t>
      </w:r>
      <w:r w:rsidR="003777E2" w:rsidRPr="003777E2">
        <w:rPr>
          <w:rFonts w:ascii="Trebuchet MS" w:hAnsi="Trebuchet MS"/>
          <w:lang w:eastAsia="sl-SI"/>
        </w:rPr>
        <w:t xml:space="preserve">Mestni občini Nova Gorica </w:t>
      </w:r>
      <w:proofErr w:type="spellStart"/>
      <w:r w:rsidR="003777E2" w:rsidRPr="003777E2">
        <w:rPr>
          <w:rFonts w:ascii="Trebuchet MS" w:hAnsi="Trebuchet MS"/>
          <w:lang w:eastAsia="sl-SI"/>
        </w:rPr>
        <w:t>Ur.l</w:t>
      </w:r>
      <w:proofErr w:type="spellEnd"/>
      <w:r w:rsidR="003777E2" w:rsidRPr="003777E2">
        <w:rPr>
          <w:rFonts w:ascii="Trebuchet MS" w:hAnsi="Trebuchet MS"/>
          <w:lang w:eastAsia="sl-SI"/>
        </w:rPr>
        <w:t>. RS 42/2014</w:t>
      </w:r>
    </w:p>
    <w:p w14:paraId="624FFFCE" w14:textId="77777777" w:rsidR="006235CD" w:rsidRPr="006235CD" w:rsidRDefault="006235CD" w:rsidP="00F90C17">
      <w:pPr>
        <w:pStyle w:val="Odstavekseznama"/>
        <w:numPr>
          <w:ilvl w:val="0"/>
          <w:numId w:val="28"/>
        </w:numPr>
        <w:rPr>
          <w:rFonts w:ascii="Trebuchet MS" w:hAnsi="Trebuchet MS"/>
          <w:lang w:eastAsia="sl-SI"/>
        </w:rPr>
      </w:pPr>
      <w:r w:rsidRPr="006235CD">
        <w:rPr>
          <w:rFonts w:ascii="Trebuchet MS" w:hAnsi="Trebuchet MS"/>
          <w:lang w:eastAsia="sl-SI"/>
        </w:rPr>
        <w:t>Uredba o metodologiji za oblikovanje cen storitev obveznih gospodarskih javnih služb varstva okolja (UL RS 87/12, 76/17, 78/19)</w:t>
      </w:r>
    </w:p>
    <w:p w14:paraId="7F57644E" w14:textId="4A065EB4" w:rsidR="006235CD" w:rsidRPr="006235CD" w:rsidRDefault="006235CD" w:rsidP="00F90C17">
      <w:pPr>
        <w:pStyle w:val="Odstavekseznama"/>
        <w:numPr>
          <w:ilvl w:val="0"/>
          <w:numId w:val="28"/>
        </w:numPr>
        <w:spacing w:after="160"/>
        <w:ind w:left="714" w:hanging="357"/>
        <w:rPr>
          <w:rFonts w:ascii="Trebuchet MS" w:hAnsi="Trebuchet MS"/>
          <w:lang w:eastAsia="sl-SI"/>
        </w:rPr>
      </w:pPr>
      <w:r w:rsidRPr="006235CD">
        <w:rPr>
          <w:rFonts w:ascii="Trebuchet MS" w:hAnsi="Trebuchet MS"/>
          <w:lang w:eastAsia="sl-SI"/>
        </w:rPr>
        <w:t>Operativni program oskrbe s pitno vodo ni dostopen</w:t>
      </w:r>
    </w:p>
    <w:p w14:paraId="690B8E9B" w14:textId="77777777" w:rsidR="006235CD" w:rsidRPr="006235CD" w:rsidRDefault="006235CD" w:rsidP="006235CD">
      <w:pPr>
        <w:spacing w:after="0"/>
        <w:rPr>
          <w:lang w:eastAsia="sl-SI"/>
        </w:rPr>
      </w:pPr>
      <w:r w:rsidRPr="006235CD">
        <w:rPr>
          <w:lang w:eastAsia="sl-SI"/>
        </w:rPr>
        <w:t>Zakon o zdravstveni ustreznosti živil in izdelkov, ki prihajajo v stik z živili (UL RS št. 52/00, 42/02, 47/04)</w:t>
      </w:r>
    </w:p>
    <w:p w14:paraId="7B6AB23D" w14:textId="2B6E60A3" w:rsidR="006235CD" w:rsidRPr="006235CD" w:rsidRDefault="006235CD" w:rsidP="00F90C17">
      <w:pPr>
        <w:pStyle w:val="Odstavekseznama"/>
        <w:numPr>
          <w:ilvl w:val="0"/>
          <w:numId w:val="28"/>
        </w:numPr>
        <w:rPr>
          <w:rFonts w:ascii="Trebuchet MS" w:hAnsi="Trebuchet MS"/>
          <w:lang w:eastAsia="sl-SI"/>
        </w:rPr>
      </w:pPr>
      <w:r w:rsidRPr="006235CD">
        <w:rPr>
          <w:rFonts w:ascii="Trebuchet MS" w:hAnsi="Trebuchet MS"/>
          <w:lang w:eastAsia="sl-SI"/>
        </w:rPr>
        <w:t>Pravilnik o pitni vodi (UL RS </w:t>
      </w:r>
      <w:hyperlink r:id="rId220" w:history="1">
        <w:r w:rsidRPr="006235CD">
          <w:rPr>
            <w:rFonts w:ascii="Trebuchet MS" w:hAnsi="Trebuchet MS"/>
            <w:lang w:eastAsia="sl-SI"/>
          </w:rPr>
          <w:t>19/04</w:t>
        </w:r>
      </w:hyperlink>
      <w:r w:rsidRPr="006235CD">
        <w:rPr>
          <w:rFonts w:ascii="Trebuchet MS" w:hAnsi="Trebuchet MS"/>
          <w:lang w:eastAsia="sl-SI"/>
        </w:rPr>
        <w:t>, </w:t>
      </w:r>
      <w:hyperlink r:id="rId221" w:history="1">
        <w:r w:rsidRPr="006235CD">
          <w:rPr>
            <w:rFonts w:ascii="Trebuchet MS" w:hAnsi="Trebuchet MS"/>
            <w:lang w:eastAsia="sl-SI"/>
          </w:rPr>
          <w:t>35/04</w:t>
        </w:r>
      </w:hyperlink>
      <w:r w:rsidRPr="006235CD">
        <w:rPr>
          <w:rFonts w:ascii="Trebuchet MS" w:hAnsi="Trebuchet MS"/>
          <w:lang w:eastAsia="sl-SI"/>
        </w:rPr>
        <w:t>, </w:t>
      </w:r>
      <w:hyperlink r:id="rId222" w:history="1">
        <w:r w:rsidRPr="006235CD">
          <w:rPr>
            <w:rFonts w:ascii="Trebuchet MS" w:hAnsi="Trebuchet MS"/>
            <w:lang w:eastAsia="sl-SI"/>
          </w:rPr>
          <w:t>26/06</w:t>
        </w:r>
      </w:hyperlink>
      <w:r w:rsidRPr="006235CD">
        <w:rPr>
          <w:rFonts w:ascii="Trebuchet MS" w:hAnsi="Trebuchet MS"/>
          <w:lang w:eastAsia="sl-SI"/>
        </w:rPr>
        <w:t>, </w:t>
      </w:r>
      <w:hyperlink r:id="rId223" w:history="1">
        <w:r w:rsidRPr="006235CD">
          <w:rPr>
            <w:rFonts w:ascii="Trebuchet MS" w:hAnsi="Trebuchet MS"/>
            <w:lang w:eastAsia="sl-SI"/>
          </w:rPr>
          <w:t>92/06</w:t>
        </w:r>
      </w:hyperlink>
      <w:r w:rsidRPr="006235CD">
        <w:rPr>
          <w:rFonts w:ascii="Trebuchet MS" w:hAnsi="Trebuchet MS"/>
          <w:lang w:eastAsia="sl-SI"/>
        </w:rPr>
        <w:t>, </w:t>
      </w:r>
      <w:hyperlink r:id="rId224" w:history="1">
        <w:r w:rsidRPr="006235CD">
          <w:rPr>
            <w:rFonts w:ascii="Trebuchet MS" w:hAnsi="Trebuchet MS"/>
            <w:lang w:eastAsia="sl-SI"/>
          </w:rPr>
          <w:t>25/09</w:t>
        </w:r>
      </w:hyperlink>
      <w:r w:rsidRPr="006235CD">
        <w:rPr>
          <w:rFonts w:ascii="Trebuchet MS" w:hAnsi="Trebuchet MS"/>
          <w:lang w:eastAsia="sl-SI"/>
        </w:rPr>
        <w:t>, </w:t>
      </w:r>
      <w:hyperlink r:id="rId225" w:anchor="!/Pravilnik-o-monitoringu-radioaktivnosti-v-pitni-vodi" w:tgtFrame="_blank" w:history="1">
        <w:r w:rsidRPr="006235CD">
          <w:rPr>
            <w:rFonts w:ascii="Trebuchet MS" w:hAnsi="Trebuchet MS"/>
            <w:lang w:eastAsia="sl-SI"/>
          </w:rPr>
          <w:t>74/15</w:t>
        </w:r>
      </w:hyperlink>
      <w:r w:rsidRPr="006235CD">
        <w:rPr>
          <w:rFonts w:ascii="Trebuchet MS" w:hAnsi="Trebuchet MS"/>
          <w:lang w:eastAsia="sl-SI"/>
        </w:rPr>
        <w:t>, </w:t>
      </w:r>
      <w:hyperlink r:id="rId226" w:tgtFrame="_blank" w:history="1">
        <w:r w:rsidRPr="006235CD">
          <w:rPr>
            <w:rFonts w:ascii="Trebuchet MS" w:hAnsi="Trebuchet MS"/>
            <w:lang w:eastAsia="sl-SI"/>
          </w:rPr>
          <w:t>51/17</w:t>
        </w:r>
      </w:hyperlink>
      <w:r w:rsidRPr="006235CD">
        <w:rPr>
          <w:rFonts w:ascii="Trebuchet MS" w:hAnsi="Trebuchet MS"/>
          <w:lang w:eastAsia="sl-SI"/>
        </w:rPr>
        <w:t>)</w:t>
      </w:r>
    </w:p>
    <w:p w14:paraId="4744B782" w14:textId="36B2D580" w:rsidR="006235CD" w:rsidRPr="006235CD" w:rsidRDefault="006235CD" w:rsidP="00F90C17">
      <w:pPr>
        <w:pStyle w:val="Odstavekseznama"/>
        <w:numPr>
          <w:ilvl w:val="0"/>
          <w:numId w:val="28"/>
        </w:numPr>
        <w:rPr>
          <w:rFonts w:ascii="Trebuchet MS" w:hAnsi="Trebuchet MS"/>
          <w:lang w:eastAsia="sl-SI"/>
        </w:rPr>
      </w:pPr>
      <w:r w:rsidRPr="006235CD">
        <w:rPr>
          <w:rFonts w:ascii="Trebuchet MS" w:hAnsi="Trebuchet MS"/>
          <w:lang w:eastAsia="sl-SI"/>
        </w:rPr>
        <w:t>Pravilnik o zdravstvenih zahtevah za osebe, ki pri delu v proizvodnji in prometu z živili prihajajo v stik z živili (UL RS </w:t>
      </w:r>
      <w:hyperlink r:id="rId227" w:history="1">
        <w:r w:rsidRPr="006235CD">
          <w:rPr>
            <w:rFonts w:ascii="Trebuchet MS" w:hAnsi="Trebuchet MS"/>
            <w:lang w:eastAsia="sl-SI"/>
          </w:rPr>
          <w:t>82/03</w:t>
        </w:r>
      </w:hyperlink>
      <w:r w:rsidRPr="006235CD">
        <w:rPr>
          <w:rFonts w:ascii="Trebuchet MS" w:hAnsi="Trebuchet MS"/>
          <w:lang w:eastAsia="sl-SI"/>
        </w:rPr>
        <w:t>, </w:t>
      </w:r>
      <w:hyperlink r:id="rId228" w:history="1">
        <w:r w:rsidRPr="006235CD">
          <w:rPr>
            <w:rFonts w:ascii="Trebuchet MS" w:hAnsi="Trebuchet MS"/>
            <w:lang w:eastAsia="sl-SI"/>
          </w:rPr>
          <w:t>25/09</w:t>
        </w:r>
      </w:hyperlink>
      <w:r w:rsidRPr="006235CD">
        <w:rPr>
          <w:rFonts w:ascii="Trebuchet MS" w:hAnsi="Trebuchet MS"/>
          <w:lang w:eastAsia="sl-SI"/>
        </w:rPr>
        <w:t>)</w:t>
      </w:r>
    </w:p>
    <w:p w14:paraId="3240DF0D" w14:textId="05B560A7" w:rsidR="006235CD" w:rsidRPr="006235CD" w:rsidRDefault="006235CD" w:rsidP="00F90C17">
      <w:pPr>
        <w:pStyle w:val="Odstavekseznama"/>
        <w:numPr>
          <w:ilvl w:val="0"/>
          <w:numId w:val="28"/>
        </w:numPr>
        <w:spacing w:after="160"/>
        <w:ind w:left="714" w:hanging="357"/>
        <w:rPr>
          <w:rFonts w:ascii="Trebuchet MS" w:hAnsi="Trebuchet MS"/>
          <w:lang w:eastAsia="sl-SI"/>
        </w:rPr>
      </w:pPr>
      <w:r w:rsidRPr="006235CD">
        <w:rPr>
          <w:rFonts w:ascii="Trebuchet MS" w:hAnsi="Trebuchet MS"/>
          <w:lang w:eastAsia="sl-SI"/>
        </w:rPr>
        <w:t>Pravilnik o monitoringu radioaktivnosti v pitni vodi (</w:t>
      </w:r>
      <w:hyperlink r:id="rId229" w:anchor="!/Pravilnik-o-monitoringu-radioaktivnosti-v-pitni-vodi" w:history="1">
        <w:r w:rsidRPr="006235CD">
          <w:rPr>
            <w:rFonts w:ascii="Trebuchet MS" w:hAnsi="Trebuchet MS"/>
            <w:lang w:eastAsia="sl-SI"/>
          </w:rPr>
          <w:t>74/15</w:t>
        </w:r>
      </w:hyperlink>
      <w:r w:rsidRPr="006235CD">
        <w:rPr>
          <w:rFonts w:ascii="Trebuchet MS" w:hAnsi="Trebuchet MS"/>
          <w:lang w:eastAsia="sl-SI"/>
        </w:rPr>
        <w:t>)</w:t>
      </w:r>
    </w:p>
    <w:p w14:paraId="5D06315A" w14:textId="77777777" w:rsidR="006235CD" w:rsidRPr="006235CD" w:rsidRDefault="006235CD" w:rsidP="006235CD">
      <w:pPr>
        <w:spacing w:after="0"/>
        <w:rPr>
          <w:lang w:eastAsia="sl-SI"/>
        </w:rPr>
      </w:pPr>
      <w:r w:rsidRPr="006235CD">
        <w:rPr>
          <w:lang w:eastAsia="sl-SI"/>
        </w:rPr>
        <w:t>Občinski pravilniki in dokumenti izvajalca javne službe.</w:t>
      </w:r>
    </w:p>
    <w:p w14:paraId="413DFF18" w14:textId="77777777" w:rsidR="00EA7194" w:rsidRPr="00EA7194" w:rsidRDefault="00EA7194" w:rsidP="00EA7194">
      <w:pPr>
        <w:pStyle w:val="Odstavekseznama"/>
        <w:numPr>
          <w:ilvl w:val="0"/>
          <w:numId w:val="28"/>
        </w:numPr>
        <w:rPr>
          <w:rFonts w:ascii="Trebuchet MS" w:hAnsi="Trebuchet MS"/>
          <w:lang w:eastAsia="sl-SI"/>
        </w:rPr>
      </w:pPr>
      <w:r w:rsidRPr="00EA7194">
        <w:rPr>
          <w:rFonts w:ascii="Trebuchet MS" w:hAnsi="Trebuchet MS"/>
          <w:lang w:eastAsia="sl-SI"/>
        </w:rPr>
        <w:t xml:space="preserve">Odlok o oskrbi s pitno vodo v Mestni občini Nova Gorica  (Uradni list RS, št. 90/09 in 42/14), </w:t>
      </w:r>
    </w:p>
    <w:p w14:paraId="1DECE3AC" w14:textId="07B481DD" w:rsidR="00EA7194" w:rsidRPr="00EA7194" w:rsidRDefault="00EA7194" w:rsidP="00EA7194">
      <w:pPr>
        <w:pStyle w:val="Odstavekseznama"/>
        <w:numPr>
          <w:ilvl w:val="1"/>
          <w:numId w:val="28"/>
        </w:numPr>
        <w:rPr>
          <w:rFonts w:ascii="Trebuchet MS" w:hAnsi="Trebuchet MS"/>
          <w:lang w:eastAsia="sl-SI"/>
        </w:rPr>
      </w:pPr>
      <w:r w:rsidRPr="00EA7194">
        <w:rPr>
          <w:rFonts w:ascii="Trebuchet MS" w:hAnsi="Trebuchet MS"/>
          <w:lang w:eastAsia="sl-SI"/>
        </w:rPr>
        <w:t xml:space="preserve">Nalaga poleg ostalih vsebin (12. člen) upravljalcu javnega vodovoda izdelavo tehničnega pravilnika s katerim se opredeljuje: tehnične normative za projektiranje, gradnjo, nadzor, upravljanje in vzdrževanje vodovodnega omrežja za priključevanje na javni vodovod in njegovo uporabo, dokumentacijo, za katero je v tem odloku predpisano, da se določi v tehničnem pravilniku ter navodila in tehnične pogoje za izvajanje javne službe. </w:t>
      </w:r>
    </w:p>
    <w:p w14:paraId="23E6F4C9" w14:textId="77777777" w:rsidR="00EA7194" w:rsidRPr="00EA7194" w:rsidRDefault="00EA7194" w:rsidP="00EA7194">
      <w:pPr>
        <w:pStyle w:val="Odstavekseznama"/>
        <w:numPr>
          <w:ilvl w:val="0"/>
          <w:numId w:val="28"/>
        </w:numPr>
        <w:rPr>
          <w:rFonts w:ascii="Trebuchet MS" w:hAnsi="Trebuchet MS"/>
          <w:lang w:eastAsia="sl-SI"/>
        </w:rPr>
      </w:pPr>
      <w:r w:rsidRPr="00EA7194">
        <w:rPr>
          <w:rFonts w:ascii="Trebuchet MS" w:hAnsi="Trebuchet MS"/>
          <w:lang w:eastAsia="sl-SI"/>
        </w:rPr>
        <w:t>Pravilnik o tehnični izvedbi, delovanju in uporabi objektov in naprav javnih vodovodov (Uradni list RS, št. 19/2015), Specifično opredeljuje:</w:t>
      </w:r>
    </w:p>
    <w:p w14:paraId="6E498F72" w14:textId="77777777" w:rsidR="00EA7194" w:rsidRPr="00EA7194" w:rsidRDefault="00EA7194" w:rsidP="00EA7194">
      <w:pPr>
        <w:pStyle w:val="Odstavekseznama"/>
        <w:numPr>
          <w:ilvl w:val="1"/>
          <w:numId w:val="28"/>
        </w:numPr>
        <w:rPr>
          <w:rFonts w:ascii="Trebuchet MS" w:hAnsi="Trebuchet MS"/>
          <w:lang w:eastAsia="sl-SI"/>
        </w:rPr>
      </w:pPr>
      <w:r w:rsidRPr="00EA7194">
        <w:rPr>
          <w:rFonts w:ascii="Trebuchet MS" w:hAnsi="Trebuchet MS"/>
          <w:lang w:eastAsia="sl-SI"/>
        </w:rPr>
        <w:t>Zahteve, ki se nanašajo na kvaliteto vode (poglavje 2.1.3)</w:t>
      </w:r>
    </w:p>
    <w:p w14:paraId="1710ECBF" w14:textId="77777777" w:rsidR="00EA7194" w:rsidRPr="00EA7194" w:rsidRDefault="00EA7194" w:rsidP="00EA7194">
      <w:pPr>
        <w:pStyle w:val="Odstavekseznama"/>
        <w:numPr>
          <w:ilvl w:val="1"/>
          <w:numId w:val="28"/>
        </w:numPr>
        <w:rPr>
          <w:rFonts w:ascii="Trebuchet MS" w:hAnsi="Trebuchet MS"/>
          <w:lang w:eastAsia="sl-SI"/>
        </w:rPr>
      </w:pPr>
      <w:r w:rsidRPr="00EA7194">
        <w:rPr>
          <w:rFonts w:ascii="Trebuchet MS" w:hAnsi="Trebuchet MS"/>
          <w:lang w:eastAsia="sl-SI"/>
        </w:rPr>
        <w:t>Zahteve, ki se nanašajo na staranje pitne vode (2.1.3.3), kjer so opredeljeni tudi elementi, na katere ima potencialni vpliv pričakovane podnebne spremembe (višanje temperatur)</w:t>
      </w:r>
    </w:p>
    <w:p w14:paraId="7F571740" w14:textId="00D970E7" w:rsidR="00EA7194" w:rsidRPr="00EA7194" w:rsidRDefault="00EA7194" w:rsidP="00EA7194">
      <w:pPr>
        <w:pStyle w:val="Odstavekseznama"/>
        <w:numPr>
          <w:ilvl w:val="1"/>
          <w:numId w:val="28"/>
        </w:numPr>
        <w:spacing w:after="120"/>
        <w:ind w:left="1434" w:hanging="357"/>
        <w:rPr>
          <w:rFonts w:ascii="Trebuchet MS" w:hAnsi="Trebuchet MS"/>
          <w:lang w:eastAsia="sl-SI"/>
        </w:rPr>
      </w:pPr>
      <w:r w:rsidRPr="00EA7194">
        <w:rPr>
          <w:rFonts w:ascii="Trebuchet MS" w:hAnsi="Trebuchet MS"/>
          <w:lang w:eastAsia="sl-SI"/>
        </w:rPr>
        <w:t xml:space="preserve">Obvladovanje tveganj vezano na interni zdravstveni nadzor pitne vode (HACCP- poglavje 2.1.3.4). Potrebno je opozoriti, da nova evropska zakonodaja - </w:t>
      </w:r>
      <w:r w:rsidRPr="00EA7194">
        <w:rPr>
          <w:rFonts w:ascii="Trebuchet MS" w:hAnsi="Trebuchet MS"/>
        </w:rPr>
        <w:t xml:space="preserve">direktiva </w:t>
      </w:r>
      <w:r w:rsidRPr="00EA7194">
        <w:rPr>
          <w:rFonts w:ascii="Trebuchet MS" w:hAnsi="Trebuchet MS"/>
        </w:rPr>
        <w:lastRenderedPageBreak/>
        <w:t>(EU) 2020/2184 evropskega Parlamenta in Sveta z dne 16. decembra 2020 o kakovosti vode, namenjene za prehrano ljudi (prenovitev) – predvideva izdelavo Načrta varne oskrbe z vodo s katerim se nadgrajuje obstoječe standarde in postopke na tem področju (HACCP).</w:t>
      </w:r>
    </w:p>
    <w:p w14:paraId="0B402540" w14:textId="41A7894A" w:rsidR="006235CD" w:rsidRPr="006235CD" w:rsidRDefault="00EA7194" w:rsidP="00EA7194">
      <w:pPr>
        <w:rPr>
          <w:lang w:eastAsia="sl-SI"/>
        </w:rPr>
      </w:pPr>
      <w:r w:rsidRPr="00EA7194">
        <w:rPr>
          <w:lang w:eastAsia="sl-SI"/>
        </w:rPr>
        <w:t>Program oskrbe s pitno vodo (</w:t>
      </w:r>
      <w:proofErr w:type="spellStart"/>
      <w:r w:rsidRPr="00EA7194">
        <w:rPr>
          <w:lang w:eastAsia="sl-SI"/>
        </w:rPr>
        <w:t>ViK</w:t>
      </w:r>
      <w:proofErr w:type="spellEnd"/>
      <w:r w:rsidRPr="00EA7194">
        <w:rPr>
          <w:lang w:eastAsia="sl-SI"/>
        </w:rPr>
        <w:t xml:space="preserve"> NG 2017) – predstavlja osnovni dokument s katerim se podaja pregled stanja v vodovodnih sistemov na območju občine, prepoznava prioritetne ukrepe in se oblikuje programske prioritete za izvajanje prioritetnih ukrepov.</w:t>
      </w:r>
    </w:p>
    <w:p w14:paraId="6E3EC196" w14:textId="77777777" w:rsidR="006235CD" w:rsidRPr="006235CD" w:rsidRDefault="006235CD" w:rsidP="006235CD">
      <w:pPr>
        <w:spacing w:after="0"/>
        <w:rPr>
          <w:lang w:eastAsia="sl-SI"/>
        </w:rPr>
      </w:pPr>
      <w:r w:rsidRPr="006235CD">
        <w:rPr>
          <w:lang w:eastAsia="sl-SI"/>
        </w:rPr>
        <w:t xml:space="preserve">Zakonodaja, ki jo je mogoče povezati z učinki podnebnih sprememb: </w:t>
      </w:r>
    </w:p>
    <w:p w14:paraId="78958436" w14:textId="77777777" w:rsidR="006235CD" w:rsidRPr="006235CD" w:rsidRDefault="006235CD" w:rsidP="00F90C17">
      <w:pPr>
        <w:pStyle w:val="Odstavekseznama"/>
        <w:numPr>
          <w:ilvl w:val="0"/>
          <w:numId w:val="26"/>
        </w:numPr>
        <w:rPr>
          <w:rFonts w:ascii="Trebuchet MS" w:hAnsi="Trebuchet MS"/>
          <w:lang w:eastAsia="sl-SI"/>
        </w:rPr>
      </w:pPr>
      <w:r w:rsidRPr="006235CD">
        <w:rPr>
          <w:rFonts w:ascii="Trebuchet MS" w:hAnsi="Trebuchet MS"/>
          <w:lang w:eastAsia="sl-SI"/>
        </w:rPr>
        <w:t xml:space="preserve">Operativni program oskrbe s pitno vodo za obdobje od 2015 do 2020 (MOP) </w:t>
      </w:r>
    </w:p>
    <w:p w14:paraId="1AFDFB0A" w14:textId="77777777" w:rsidR="006235CD" w:rsidRPr="006235CD" w:rsidRDefault="006235CD" w:rsidP="00F90C17">
      <w:pPr>
        <w:pStyle w:val="Odstavekseznama"/>
        <w:numPr>
          <w:ilvl w:val="1"/>
          <w:numId w:val="26"/>
        </w:numPr>
        <w:rPr>
          <w:rFonts w:ascii="Trebuchet MS" w:hAnsi="Trebuchet MS"/>
          <w:lang w:eastAsia="sl-SI"/>
        </w:rPr>
      </w:pPr>
      <w:r w:rsidRPr="006235CD">
        <w:rPr>
          <w:rFonts w:ascii="Trebuchet MS" w:hAnsi="Trebuchet MS"/>
          <w:lang w:eastAsia="sl-SI"/>
        </w:rPr>
        <w:t xml:space="preserve">Državni Operativni program oskrbe s pitno vodo ne prepoznava podnebnih sprememb kot grožnje za oskrbo s pitno vodo in ne predvideva ukrepov, ki bi bili povezani s tem. Priporočamo, da se po izvedeni analizi izvedbe ukrepov za obdobje 2015-2020 v novo obdobje operativnega programa vključi tudi ukrepe povezane s prilagajanjem na podnebne spremembe. </w:t>
      </w:r>
    </w:p>
    <w:p w14:paraId="7F7FB752" w14:textId="77777777" w:rsidR="00EA7194" w:rsidRPr="00345C2E" w:rsidRDefault="00EA7194" w:rsidP="00EA7194">
      <w:pPr>
        <w:pStyle w:val="Odstavekseznama"/>
        <w:numPr>
          <w:ilvl w:val="0"/>
          <w:numId w:val="26"/>
        </w:numPr>
        <w:rPr>
          <w:rFonts w:ascii="Trebuchet MS" w:hAnsi="Trebuchet MS"/>
          <w:lang w:eastAsia="sl-SI"/>
        </w:rPr>
      </w:pPr>
      <w:r>
        <w:rPr>
          <w:rFonts w:ascii="Trebuchet MS" w:hAnsi="Trebuchet MS"/>
          <w:lang w:eastAsia="sl-SI"/>
        </w:rPr>
        <w:t>Predlagamo, da se v t</w:t>
      </w:r>
      <w:r w:rsidRPr="00345C2E">
        <w:rPr>
          <w:rFonts w:ascii="Trebuchet MS" w:hAnsi="Trebuchet MS"/>
          <w:lang w:eastAsia="sl-SI"/>
        </w:rPr>
        <w:t xml:space="preserve">ehnični pravilnik </w:t>
      </w:r>
      <w:r>
        <w:rPr>
          <w:rFonts w:ascii="Trebuchet MS" w:hAnsi="Trebuchet MS"/>
          <w:lang w:eastAsia="sl-SI"/>
        </w:rPr>
        <w:t xml:space="preserve">vključi naslednje vsebine: </w:t>
      </w:r>
    </w:p>
    <w:p w14:paraId="61A8B5DB" w14:textId="77777777" w:rsidR="00EA7194" w:rsidRDefault="00EA7194" w:rsidP="00EA7194">
      <w:pPr>
        <w:pStyle w:val="Odstavekseznama"/>
        <w:numPr>
          <w:ilvl w:val="1"/>
          <w:numId w:val="26"/>
        </w:numPr>
        <w:rPr>
          <w:rFonts w:ascii="Trebuchet MS" w:hAnsi="Trebuchet MS"/>
          <w:lang w:eastAsia="sl-SI"/>
        </w:rPr>
      </w:pPr>
      <w:r>
        <w:rPr>
          <w:rFonts w:ascii="Trebuchet MS" w:hAnsi="Trebuchet MS"/>
          <w:lang w:eastAsia="sl-SI"/>
        </w:rPr>
        <w:t xml:space="preserve">referenčni predpisi in standardi – predvideva prenos vseh veljavnih predpisov in prevzeti standardov (SIST, SIST EN, SIST ISO, EN, ISO), ki so navedeni v posameznih poglavjih tega pravilnika, glede na način prenosa evropske direktive (tudi nedavno sprejete direktive </w:t>
      </w:r>
      <w:r w:rsidRPr="00BD20DD">
        <w:rPr>
          <w:rFonts w:ascii="Trebuchet MS" w:hAnsi="Trebuchet MS"/>
          <w:lang w:eastAsia="sl-SI"/>
        </w:rPr>
        <w:t xml:space="preserve">2020/2184). V pravilnik eksplicitno še ni prenesen standard </w:t>
      </w:r>
      <w:r>
        <w:rPr>
          <w:rFonts w:ascii="Trebuchet MS" w:hAnsi="Trebuchet MS"/>
          <w:lang w:eastAsia="sl-SI"/>
        </w:rPr>
        <w:t xml:space="preserve">SIST EN </w:t>
      </w:r>
      <w:r w:rsidRPr="00BD20DD">
        <w:rPr>
          <w:rFonts w:ascii="Trebuchet MS" w:hAnsi="Trebuchet MS"/>
          <w:lang w:eastAsia="sl-SI"/>
        </w:rPr>
        <w:t>15975 - Varnost preskrbe s pitno vodo - Smernice za obvladovanje tveganja in krizno vodenje</w:t>
      </w:r>
      <w:r>
        <w:rPr>
          <w:rFonts w:ascii="Trebuchet MS" w:hAnsi="Trebuchet MS"/>
          <w:lang w:eastAsia="sl-SI"/>
        </w:rPr>
        <w:t xml:space="preserve">. </w:t>
      </w:r>
    </w:p>
    <w:p w14:paraId="20557025" w14:textId="77777777" w:rsidR="00EA7194" w:rsidRDefault="00EA7194" w:rsidP="00EA7194">
      <w:pPr>
        <w:pStyle w:val="Odstavekseznama"/>
        <w:numPr>
          <w:ilvl w:val="1"/>
          <w:numId w:val="26"/>
        </w:numPr>
        <w:rPr>
          <w:rFonts w:ascii="Trebuchet MS" w:hAnsi="Trebuchet MS"/>
          <w:lang w:eastAsia="sl-SI"/>
        </w:rPr>
      </w:pPr>
      <w:r>
        <w:rPr>
          <w:rFonts w:ascii="Trebuchet MS" w:hAnsi="Trebuchet MS"/>
          <w:lang w:eastAsia="sl-SI"/>
        </w:rPr>
        <w:t>Analiza tveganj – trenutno temelji na načrtu HACCP in ne na</w:t>
      </w:r>
      <w:r w:rsidRPr="0065644C">
        <w:t xml:space="preserve"> </w:t>
      </w:r>
      <w:r>
        <w:t>Načrtih varne oskrbe z vodo</w:t>
      </w:r>
      <w:r>
        <w:rPr>
          <w:rFonts w:ascii="Trebuchet MS" w:hAnsi="Trebuchet MS"/>
          <w:lang w:eastAsia="sl-SI"/>
        </w:rPr>
        <w:t xml:space="preserve">, kot to predvideva nedavno sprejeta prenovljena direktiva o pitni vodi (20/2184). </w:t>
      </w:r>
    </w:p>
    <w:p w14:paraId="08BC1044" w14:textId="77777777" w:rsidR="00EA7194" w:rsidRDefault="00EA7194" w:rsidP="00EA7194">
      <w:pPr>
        <w:pStyle w:val="Odstavekseznama"/>
        <w:numPr>
          <w:ilvl w:val="1"/>
          <w:numId w:val="26"/>
        </w:numPr>
        <w:rPr>
          <w:rFonts w:ascii="Trebuchet MS" w:hAnsi="Trebuchet MS"/>
          <w:lang w:eastAsia="sl-SI"/>
        </w:rPr>
      </w:pPr>
      <w:r>
        <w:rPr>
          <w:rFonts w:ascii="Trebuchet MS" w:hAnsi="Trebuchet MS"/>
          <w:lang w:eastAsia="sl-SI"/>
        </w:rPr>
        <w:t xml:space="preserve">Razširiti poglavje – Staranje pitne vode – je pomembno poglavje, ki povezuje tudi vpliv podnebnih sprememb – vročinskih valov na posebej kritičnih odsekih vodovoda. </w:t>
      </w:r>
    </w:p>
    <w:p w14:paraId="31C8A57E" w14:textId="77777777" w:rsidR="00EA7194" w:rsidRDefault="00EA7194" w:rsidP="00EA7194">
      <w:pPr>
        <w:pStyle w:val="Odstavekseznama"/>
        <w:numPr>
          <w:ilvl w:val="1"/>
          <w:numId w:val="26"/>
        </w:numPr>
        <w:rPr>
          <w:rFonts w:ascii="Trebuchet MS" w:hAnsi="Trebuchet MS"/>
          <w:lang w:eastAsia="sl-SI"/>
        </w:rPr>
      </w:pPr>
      <w:r>
        <w:rPr>
          <w:rFonts w:ascii="Trebuchet MS" w:hAnsi="Trebuchet MS"/>
          <w:lang w:eastAsia="sl-SI"/>
        </w:rPr>
        <w:t xml:space="preserve">Razširiti poglavje za vsebinsko področje s katerim se bo opredeljevala globina vkopavanja, predlagamo minimalno 1,4 metra prekritja od dokončno urejenega nivoja terena do temena cevi. Priporočamo, da se doda tudi potreba po dodatni izolaciji v primeru (temperaturno) izpostavljenih odsekov vodovodnega sistema (povezano z 31. členom- toplotna zaščita nadzemnih vodovodov). </w:t>
      </w:r>
    </w:p>
    <w:p w14:paraId="7981B3BA" w14:textId="77777777" w:rsidR="00EA7194" w:rsidRDefault="00EA7194" w:rsidP="00EA7194">
      <w:pPr>
        <w:pStyle w:val="Odstavekseznama"/>
        <w:numPr>
          <w:ilvl w:val="1"/>
          <w:numId w:val="26"/>
        </w:numPr>
        <w:rPr>
          <w:rFonts w:ascii="Trebuchet MS" w:hAnsi="Trebuchet MS"/>
          <w:lang w:eastAsia="sl-SI"/>
        </w:rPr>
      </w:pPr>
      <w:r>
        <w:rPr>
          <w:rFonts w:ascii="Trebuchet MS" w:hAnsi="Trebuchet MS"/>
          <w:lang w:eastAsia="sl-SI"/>
        </w:rPr>
        <w:t xml:space="preserve">Razširiti 19. člen </w:t>
      </w:r>
      <w:r w:rsidRPr="00BD20DD">
        <w:rPr>
          <w:rFonts w:ascii="Trebuchet MS" w:hAnsi="Trebuchet MS"/>
          <w:lang w:eastAsia="sl-SI"/>
        </w:rPr>
        <w:t xml:space="preserve">– Nepredvidene razmere tal </w:t>
      </w:r>
      <w:r>
        <w:rPr>
          <w:rFonts w:ascii="Trebuchet MS" w:hAnsi="Trebuchet MS"/>
          <w:lang w:eastAsia="sl-SI"/>
        </w:rPr>
        <w:t xml:space="preserve">gradnja na geološko nestabilnih plazoviti terenih </w:t>
      </w:r>
      <w:r w:rsidRPr="00BD20DD">
        <w:rPr>
          <w:rFonts w:ascii="Trebuchet MS" w:hAnsi="Trebuchet MS"/>
          <w:lang w:eastAsia="sl-SI"/>
        </w:rPr>
        <w:t xml:space="preserve">– </w:t>
      </w:r>
      <w:r>
        <w:rPr>
          <w:rFonts w:ascii="Trebuchet MS" w:hAnsi="Trebuchet MS"/>
          <w:lang w:eastAsia="sl-SI"/>
        </w:rPr>
        <w:t xml:space="preserve">za </w:t>
      </w:r>
      <w:r w:rsidRPr="00BD20DD">
        <w:rPr>
          <w:rFonts w:ascii="Trebuchet MS" w:hAnsi="Trebuchet MS"/>
          <w:lang w:eastAsia="sl-SI"/>
        </w:rPr>
        <w:t>z</w:t>
      </w:r>
      <w:r>
        <w:rPr>
          <w:rFonts w:ascii="Trebuchet MS" w:hAnsi="Trebuchet MS"/>
          <w:lang w:eastAsia="sl-SI"/>
        </w:rPr>
        <w:t>aščito</w:t>
      </w:r>
      <w:r w:rsidRPr="00BD20DD">
        <w:rPr>
          <w:rFonts w:ascii="Trebuchet MS" w:hAnsi="Trebuchet MS"/>
          <w:lang w:eastAsia="sl-SI"/>
        </w:rPr>
        <w:t xml:space="preserve"> javnega vodovoda pred mehanskimi vplivi in onesnaženjem – potreba po opredelitvi </w:t>
      </w:r>
      <w:proofErr w:type="spellStart"/>
      <w:r w:rsidRPr="00BD20DD">
        <w:rPr>
          <w:rFonts w:ascii="Trebuchet MS" w:hAnsi="Trebuchet MS"/>
          <w:lang w:eastAsia="sl-SI"/>
        </w:rPr>
        <w:t>plazljivih</w:t>
      </w:r>
      <w:proofErr w:type="spellEnd"/>
      <w:r w:rsidRPr="00BD20DD">
        <w:rPr>
          <w:rFonts w:ascii="Trebuchet MS" w:hAnsi="Trebuchet MS"/>
          <w:lang w:eastAsia="sl-SI"/>
        </w:rPr>
        <w:t xml:space="preserve"> in potencialno </w:t>
      </w:r>
      <w:proofErr w:type="spellStart"/>
      <w:r w:rsidRPr="00BD20DD">
        <w:rPr>
          <w:rFonts w:ascii="Trebuchet MS" w:hAnsi="Trebuchet MS"/>
          <w:lang w:eastAsia="sl-SI"/>
        </w:rPr>
        <w:t>plazljivih</w:t>
      </w:r>
      <w:proofErr w:type="spellEnd"/>
      <w:r w:rsidRPr="00BD20DD">
        <w:rPr>
          <w:rFonts w:ascii="Trebuchet MS" w:hAnsi="Trebuchet MS"/>
          <w:lang w:eastAsia="sl-SI"/>
        </w:rPr>
        <w:t xml:space="preserve"> območij za katera so posebne zahteve glede vgradnje vodovodnega sistema. </w:t>
      </w:r>
    </w:p>
    <w:p w14:paraId="7FD8E86B" w14:textId="77777777" w:rsidR="00EA7194" w:rsidRDefault="00EA7194" w:rsidP="00EA7194">
      <w:pPr>
        <w:pStyle w:val="Odstavekseznama"/>
        <w:numPr>
          <w:ilvl w:val="1"/>
          <w:numId w:val="26"/>
        </w:numPr>
        <w:rPr>
          <w:rFonts w:ascii="Trebuchet MS" w:hAnsi="Trebuchet MS"/>
          <w:lang w:eastAsia="sl-SI"/>
        </w:rPr>
      </w:pPr>
      <w:r>
        <w:rPr>
          <w:rFonts w:ascii="Trebuchet MS" w:hAnsi="Trebuchet MS"/>
          <w:lang w:eastAsia="sl-SI"/>
        </w:rPr>
        <w:t>Predlagamo, da se v elemente zasnove vodovodnega sistema, med zahteve, ki se nanašajo na gradnjo vodovoda doda eksplicitno tudi zahtevo po staranju pitne vode in temperaturnih vplivih nanjo.</w:t>
      </w:r>
    </w:p>
    <w:p w14:paraId="3F5948D5" w14:textId="77777777" w:rsidR="00EA7194" w:rsidRPr="00EC3607" w:rsidRDefault="00EA7194" w:rsidP="00EA7194">
      <w:pPr>
        <w:pStyle w:val="Odstavekseznama"/>
        <w:numPr>
          <w:ilvl w:val="1"/>
          <w:numId w:val="26"/>
        </w:numPr>
        <w:rPr>
          <w:rFonts w:ascii="Trebuchet MS" w:hAnsi="Trebuchet MS"/>
          <w:lang w:eastAsia="sl-SI"/>
        </w:rPr>
      </w:pPr>
      <w:r>
        <w:rPr>
          <w:rFonts w:ascii="Trebuchet MS" w:hAnsi="Trebuchet MS"/>
          <w:lang w:eastAsia="sl-SI"/>
        </w:rPr>
        <w:lastRenderedPageBreak/>
        <w:t>Vodovodni priključki – predlagamo dodatnih predvidevanje ukrepov</w:t>
      </w:r>
      <w:r w:rsidRPr="00EC3607">
        <w:rPr>
          <w:rFonts w:ascii="Trebuchet MS" w:hAnsi="Trebuchet MS"/>
          <w:lang w:eastAsia="sl-SI"/>
        </w:rPr>
        <w:t xml:space="preserve"> za preprečevanje možnost povratnega vpliva okolice in vode iz internih vodo</w:t>
      </w:r>
      <w:r>
        <w:rPr>
          <w:rFonts w:ascii="Trebuchet MS" w:hAnsi="Trebuchet MS"/>
          <w:lang w:eastAsia="sl-SI"/>
        </w:rPr>
        <w:t>vodnih omrežij na javni vodovod (2.1.3.1 zavarovanje proti poplavnemu toku vode, 39. člen)</w:t>
      </w:r>
      <w:r w:rsidRPr="00EC3607">
        <w:rPr>
          <w:rFonts w:ascii="Trebuchet MS" w:hAnsi="Trebuchet MS"/>
          <w:lang w:eastAsia="sl-SI"/>
        </w:rPr>
        <w:t xml:space="preserve">. Glede na povečano oskrbovanje uporabnikov iz internih vodovodnih omrežij, tudi zaradi prilagajanja podnebnim spremembam, je pomembna </w:t>
      </w:r>
      <w:r>
        <w:rPr>
          <w:rFonts w:ascii="Trebuchet MS" w:hAnsi="Trebuchet MS"/>
          <w:lang w:eastAsia="sl-SI"/>
        </w:rPr>
        <w:t xml:space="preserve">poleg </w:t>
      </w:r>
      <w:r w:rsidRPr="00EC3607">
        <w:rPr>
          <w:rFonts w:ascii="Trebuchet MS" w:hAnsi="Trebuchet MS"/>
          <w:lang w:eastAsia="sl-SI"/>
        </w:rPr>
        <w:t xml:space="preserve">opredelitev vgradnje </w:t>
      </w:r>
      <w:proofErr w:type="spellStart"/>
      <w:r w:rsidRPr="00EC3607">
        <w:rPr>
          <w:rFonts w:ascii="Trebuchet MS" w:hAnsi="Trebuchet MS"/>
          <w:lang w:eastAsia="sl-SI"/>
        </w:rPr>
        <w:t>protipovratnih</w:t>
      </w:r>
      <w:proofErr w:type="spellEnd"/>
      <w:r w:rsidRPr="00EC3607">
        <w:rPr>
          <w:rFonts w:ascii="Trebuchet MS" w:hAnsi="Trebuchet MS"/>
          <w:lang w:eastAsia="sl-SI"/>
        </w:rPr>
        <w:t xml:space="preserve"> ventilov, ki so obvezni del priključka</w:t>
      </w:r>
      <w:r>
        <w:rPr>
          <w:rFonts w:ascii="Trebuchet MS" w:hAnsi="Trebuchet MS"/>
          <w:lang w:eastAsia="sl-SI"/>
        </w:rPr>
        <w:t xml:space="preserve"> potrebno predvideti tudi sistemski nadzor nad njimi in delovanjem. </w:t>
      </w:r>
      <w:r w:rsidRPr="00EC3607">
        <w:rPr>
          <w:rFonts w:ascii="Trebuchet MS" w:hAnsi="Trebuchet MS"/>
          <w:lang w:eastAsia="sl-SI"/>
        </w:rPr>
        <w:t xml:space="preserve"> </w:t>
      </w:r>
    </w:p>
    <w:p w14:paraId="5F4BE5E0" w14:textId="42E5286A" w:rsidR="00EA7194" w:rsidRPr="00FC282C" w:rsidRDefault="00EA7194" w:rsidP="00EA7194">
      <w:pPr>
        <w:pStyle w:val="Odstavekseznama"/>
        <w:numPr>
          <w:ilvl w:val="1"/>
          <w:numId w:val="26"/>
        </w:numPr>
        <w:spacing w:after="120"/>
        <w:ind w:left="1434" w:hanging="357"/>
        <w:rPr>
          <w:rFonts w:ascii="Trebuchet MS" w:hAnsi="Trebuchet MS"/>
          <w:lang w:eastAsia="sl-SI"/>
        </w:rPr>
      </w:pPr>
      <w:r w:rsidRPr="00345C2E">
        <w:rPr>
          <w:rFonts w:ascii="Trebuchet MS" w:hAnsi="Trebuchet MS"/>
          <w:lang w:eastAsia="sl-SI"/>
        </w:rPr>
        <w:t>V</w:t>
      </w:r>
      <w:r>
        <w:rPr>
          <w:rFonts w:ascii="Trebuchet MS" w:hAnsi="Trebuchet MS"/>
          <w:lang w:eastAsia="sl-SI"/>
        </w:rPr>
        <w:t xml:space="preserve"> pravilniku je oblikovana </w:t>
      </w:r>
      <w:r w:rsidRPr="00345C2E">
        <w:rPr>
          <w:rFonts w:ascii="Trebuchet MS" w:hAnsi="Trebuchet MS"/>
          <w:lang w:eastAsia="sl-SI"/>
        </w:rPr>
        <w:t>opredeli</w:t>
      </w:r>
      <w:r>
        <w:rPr>
          <w:rFonts w:ascii="Trebuchet MS" w:hAnsi="Trebuchet MS"/>
          <w:lang w:eastAsia="sl-SI"/>
        </w:rPr>
        <w:t>tev</w:t>
      </w:r>
      <w:r w:rsidRPr="00345C2E">
        <w:rPr>
          <w:rFonts w:ascii="Trebuchet MS" w:hAnsi="Trebuchet MS"/>
          <w:lang w:eastAsia="sl-SI"/>
        </w:rPr>
        <w:t xml:space="preserve"> o prioritetni v</w:t>
      </w:r>
      <w:r>
        <w:rPr>
          <w:rFonts w:ascii="Trebuchet MS" w:hAnsi="Trebuchet MS"/>
          <w:lang w:eastAsia="sl-SI"/>
        </w:rPr>
        <w:t>gradnji merilnega mesta (jaška) v bližini sekundarnega javnega voda vendar ne v cestišču. S tem se zmanjšujejo tveganja za izvajanje javne službe, predvsem z vidika obvladovanj vodnih izgub.</w:t>
      </w:r>
    </w:p>
    <w:p w14:paraId="14679C90" w14:textId="77777777" w:rsidR="00EA7194" w:rsidRDefault="00EA7194" w:rsidP="00EA7194">
      <w:pPr>
        <w:rPr>
          <w:lang w:eastAsia="sl-SI"/>
        </w:rPr>
      </w:pPr>
      <w:r w:rsidRPr="00B941C2">
        <w:rPr>
          <w:lang w:eastAsia="sl-SI"/>
        </w:rPr>
        <w:t>Tehnični pravilnik o javnem vodovodu je ključno orodje s katerim</w:t>
      </w:r>
      <w:r>
        <w:rPr>
          <w:lang w:eastAsia="sl-SI"/>
        </w:rPr>
        <w:t xml:space="preserve"> upravljalec vodovodnega sistema v obdobju načrtovanja sistema zagotovi ustrezno starost vode in s tem poleg kakovosti vode tudi ustrezno temperaturno stanje, ki predstavlja enega večjih vplivov pričakovanih podnebnih sprememb na delovanje sistemov oskrbe s pitno vodo. </w:t>
      </w:r>
    </w:p>
    <w:p w14:paraId="65EDE9E5" w14:textId="77777777" w:rsidR="00EA7194" w:rsidRDefault="00EA7194" w:rsidP="00EA7194">
      <w:pPr>
        <w:rPr>
          <w:lang w:eastAsia="sl-SI"/>
        </w:rPr>
      </w:pPr>
      <w:r>
        <w:rPr>
          <w:lang w:eastAsia="sl-SI"/>
        </w:rPr>
        <w:t>Zato je pomembno, da se v tehnični pravilnik prenese vsebina iz Uredbe</w:t>
      </w:r>
      <w:r w:rsidRPr="00727AF7">
        <w:rPr>
          <w:lang w:eastAsia="sl-SI"/>
        </w:rPr>
        <w:t xml:space="preserve"> o oskrbi s pitno vodo (Uradni list RS, št. 88/12)</w:t>
      </w:r>
      <w:r>
        <w:rPr>
          <w:lang w:eastAsia="sl-SI"/>
        </w:rPr>
        <w:t xml:space="preserve"> 15. člen po s katerim se opredeljuje prednostna raba pitne vode iz vodovoda: </w:t>
      </w:r>
    </w:p>
    <w:p w14:paraId="6A76B775" w14:textId="77777777" w:rsidR="006235CD" w:rsidRPr="006235CD" w:rsidRDefault="006235CD" w:rsidP="006235CD">
      <w:pPr>
        <w:ind w:left="851" w:right="849"/>
        <w:jc w:val="center"/>
        <w:rPr>
          <w:lang w:eastAsia="sl-SI"/>
        </w:rPr>
      </w:pPr>
      <w:r w:rsidRPr="006235CD">
        <w:rPr>
          <w:lang w:eastAsia="sl-SI"/>
        </w:rPr>
        <w:t>15. člen</w:t>
      </w:r>
    </w:p>
    <w:p w14:paraId="6768FDB6" w14:textId="77777777" w:rsidR="006235CD" w:rsidRPr="006235CD" w:rsidRDefault="006235CD" w:rsidP="006235CD">
      <w:pPr>
        <w:ind w:left="851" w:right="849"/>
        <w:jc w:val="center"/>
        <w:rPr>
          <w:lang w:eastAsia="sl-SI"/>
        </w:rPr>
      </w:pPr>
      <w:r w:rsidRPr="006235CD">
        <w:rPr>
          <w:lang w:eastAsia="sl-SI"/>
        </w:rPr>
        <w:t>(prednostna raba pitne vode iz vodovoda)</w:t>
      </w:r>
    </w:p>
    <w:p w14:paraId="41DA12C6" w14:textId="77777777" w:rsidR="006235CD" w:rsidRPr="006235CD" w:rsidRDefault="006235CD" w:rsidP="006235CD">
      <w:pPr>
        <w:ind w:left="851" w:right="849"/>
        <w:rPr>
          <w:lang w:eastAsia="sl-SI"/>
        </w:rPr>
      </w:pPr>
      <w:r w:rsidRPr="006235CD">
        <w:rPr>
          <w:lang w:eastAsia="sl-SI"/>
        </w:rPr>
        <w:t>(1) Pri načrtovanju in zagotavljanju odvzema pitne vode iz vodovodov se upošteva, da ima raba vode za oskrbo s pitno vodo prednost pred rabo vode za druge namene.</w:t>
      </w:r>
    </w:p>
    <w:p w14:paraId="660EFFBB" w14:textId="77777777" w:rsidR="006235CD" w:rsidRPr="006235CD" w:rsidRDefault="006235CD" w:rsidP="006235CD">
      <w:pPr>
        <w:ind w:left="851" w:right="849"/>
        <w:rPr>
          <w:lang w:eastAsia="sl-SI"/>
        </w:rPr>
      </w:pPr>
      <w:r w:rsidRPr="006235CD">
        <w:rPr>
          <w:lang w:eastAsia="sl-SI"/>
        </w:rPr>
        <w:t>(2) Če javni vodovod ne more zagotavljati oskrbe s pitno vodo sočasno z zagotavljanjem pogojev za obratovanje zunanjega hidrantnega omrežja za gašenje požarov, se viri za zadostno oskrbo z vodo za gašenje zagotovijo na drug način v skladu s predpisi, ki urejajo varstvo pred požarom.</w:t>
      </w:r>
    </w:p>
    <w:p w14:paraId="6875A5E9" w14:textId="77777777" w:rsidR="006235CD" w:rsidRPr="006235CD" w:rsidRDefault="006235CD" w:rsidP="006235CD">
      <w:pPr>
        <w:ind w:left="851" w:right="849"/>
        <w:rPr>
          <w:lang w:eastAsia="sl-SI"/>
        </w:rPr>
      </w:pPr>
      <w:r w:rsidRPr="006235CD">
        <w:rPr>
          <w:lang w:eastAsia="sl-SI"/>
        </w:rPr>
        <w:t>(3) Če se v skladu s prejšnjim odstavkom požarna varnost zagotavlja z zunanjim hidrantnim omrežjem za gašenje požarov, ki ni del javnega vodovoda, mora biti to hidravlično ločeno od javnega vodovoda. S priključkom na javni vodovod se lahko izvede napajanje požarnega bazena.</w:t>
      </w:r>
    </w:p>
    <w:p w14:paraId="046ADAF4" w14:textId="77777777" w:rsidR="006235CD" w:rsidRPr="006235CD" w:rsidRDefault="006235CD" w:rsidP="006235CD">
      <w:pPr>
        <w:ind w:left="851" w:right="849"/>
        <w:rPr>
          <w:lang w:eastAsia="sl-SI"/>
        </w:rPr>
      </w:pPr>
      <w:r w:rsidRPr="006235CD">
        <w:rPr>
          <w:lang w:eastAsia="sl-SI"/>
        </w:rPr>
        <w:t>(4) V primeru pomanjkanja pitne vode ali poškodb javnega vodovoda, zaradi katerih je lahko ogrožena zmogljivost oskrbe s pitno vodo, lahko upravljavec vodovoda omeji odjem pitne vode iz javnega vodovoda, pri čemer mora upoštevati, da ima oskrba s pitno vodo prednost pred drugimi rabami vode.</w:t>
      </w:r>
    </w:p>
    <w:p w14:paraId="125E670F" w14:textId="77777777" w:rsidR="006235CD" w:rsidRPr="006235CD" w:rsidRDefault="006235CD" w:rsidP="006235CD">
      <w:pPr>
        <w:ind w:left="851" w:right="849"/>
        <w:rPr>
          <w:lang w:eastAsia="sl-SI"/>
        </w:rPr>
      </w:pPr>
      <w:r w:rsidRPr="006235CD">
        <w:rPr>
          <w:lang w:eastAsia="sl-SI"/>
        </w:rPr>
        <w:t>(5) Podrobnejši pogoji omejitve odjema pitne vode so določeni v predpisu občine, ki ureja oskrbo s pitno vodo.</w:t>
      </w:r>
    </w:p>
    <w:p w14:paraId="204C4C68" w14:textId="77777777" w:rsidR="006235CD" w:rsidRPr="006235CD" w:rsidRDefault="006235CD" w:rsidP="006235CD">
      <w:pPr>
        <w:spacing w:after="0"/>
        <w:jc w:val="left"/>
        <w:rPr>
          <w:lang w:eastAsia="sl-SI"/>
        </w:rPr>
      </w:pPr>
      <w:r w:rsidRPr="006235CD">
        <w:rPr>
          <w:lang w:eastAsia="sl-SI"/>
        </w:rPr>
        <w:t xml:space="preserve">Drugi pravni akti: </w:t>
      </w:r>
    </w:p>
    <w:p w14:paraId="2A1C016F" w14:textId="1A498F48" w:rsidR="006235CD" w:rsidRPr="006235CD" w:rsidRDefault="006235CD" w:rsidP="00F90C17">
      <w:pPr>
        <w:pStyle w:val="Odstavekseznama"/>
        <w:numPr>
          <w:ilvl w:val="1"/>
          <w:numId w:val="25"/>
        </w:numPr>
        <w:rPr>
          <w:rFonts w:ascii="Trebuchet MS" w:hAnsi="Trebuchet MS"/>
          <w:lang w:eastAsia="sl-SI"/>
        </w:rPr>
      </w:pPr>
      <w:r w:rsidRPr="006235CD">
        <w:rPr>
          <w:rFonts w:ascii="Trebuchet MS" w:hAnsi="Trebuchet MS"/>
          <w:lang w:eastAsia="sl-SI"/>
        </w:rPr>
        <w:t>Pravilnik o merilnih instrumentih (UL RS </w:t>
      </w:r>
      <w:hyperlink r:id="rId230" w:anchor="!/Pravilnik-o-merilnih-instrumentih" w:history="1">
        <w:r w:rsidRPr="006235CD">
          <w:rPr>
            <w:rFonts w:ascii="Trebuchet MS" w:hAnsi="Trebuchet MS"/>
            <w:lang w:eastAsia="sl-SI"/>
          </w:rPr>
          <w:t>19/16</w:t>
        </w:r>
      </w:hyperlink>
      <w:r w:rsidRPr="006235CD">
        <w:rPr>
          <w:rFonts w:ascii="Trebuchet MS" w:hAnsi="Trebuchet MS"/>
          <w:lang w:eastAsia="sl-SI"/>
        </w:rPr>
        <w:t>)</w:t>
      </w:r>
    </w:p>
    <w:p w14:paraId="0F6FB606" w14:textId="77777777" w:rsidR="006235CD" w:rsidRPr="006235CD" w:rsidRDefault="006235CD" w:rsidP="00F90C17">
      <w:pPr>
        <w:pStyle w:val="Odstavekseznama"/>
        <w:numPr>
          <w:ilvl w:val="1"/>
          <w:numId w:val="25"/>
        </w:numPr>
        <w:rPr>
          <w:rFonts w:ascii="Trebuchet MS" w:hAnsi="Trebuchet MS"/>
          <w:lang w:eastAsia="sl-SI"/>
        </w:rPr>
      </w:pPr>
      <w:r w:rsidRPr="006235CD">
        <w:rPr>
          <w:rFonts w:ascii="Trebuchet MS" w:hAnsi="Trebuchet MS"/>
          <w:lang w:eastAsia="sl-SI"/>
        </w:rPr>
        <w:lastRenderedPageBreak/>
        <w:t xml:space="preserve">Zakon o varstvu pred naravnimi in drugimi nesrečami ((Uradni list RS, št. 51/06 – uradno prečiščeno besedilo, 97/10 in 21/18 – </w:t>
      </w:r>
      <w:proofErr w:type="spellStart"/>
      <w:r w:rsidRPr="006235CD">
        <w:rPr>
          <w:rFonts w:ascii="Trebuchet MS" w:hAnsi="Trebuchet MS"/>
          <w:lang w:eastAsia="sl-SI"/>
        </w:rPr>
        <w:t>ZNOrg</w:t>
      </w:r>
      <w:proofErr w:type="spellEnd"/>
      <w:r w:rsidRPr="006235CD">
        <w:rPr>
          <w:rFonts w:ascii="Trebuchet MS" w:hAnsi="Trebuchet MS"/>
          <w:lang w:eastAsia="sl-SI"/>
        </w:rPr>
        <w:t>).</w:t>
      </w:r>
    </w:p>
    <w:p w14:paraId="4BA6CE95" w14:textId="77777777" w:rsidR="006235CD" w:rsidRPr="006235CD" w:rsidRDefault="006235CD" w:rsidP="00F90C17">
      <w:pPr>
        <w:pStyle w:val="Odstavekseznama"/>
        <w:numPr>
          <w:ilvl w:val="2"/>
          <w:numId w:val="25"/>
        </w:numPr>
        <w:rPr>
          <w:rFonts w:ascii="Trebuchet MS" w:hAnsi="Trebuchet MS"/>
          <w:lang w:eastAsia="sl-SI"/>
        </w:rPr>
      </w:pPr>
      <w:r w:rsidRPr="006235CD">
        <w:rPr>
          <w:rFonts w:ascii="Trebuchet MS" w:hAnsi="Trebuchet MS"/>
          <w:lang w:eastAsia="sl-SI"/>
        </w:rPr>
        <w:t>Uredba o vsebini in izdelavi načrtov zaščite in reševanja (Uradni list RS, št. 24/12, 78/16 in 26/19)</w:t>
      </w:r>
    </w:p>
    <w:p w14:paraId="59501221" w14:textId="77777777" w:rsidR="006235CD" w:rsidRPr="006235CD" w:rsidRDefault="006235CD" w:rsidP="00F90C17">
      <w:pPr>
        <w:pStyle w:val="Odstavekseznama"/>
        <w:numPr>
          <w:ilvl w:val="2"/>
          <w:numId w:val="25"/>
        </w:numPr>
        <w:spacing w:after="160"/>
        <w:ind w:left="2154" w:hanging="357"/>
        <w:rPr>
          <w:rFonts w:ascii="Trebuchet MS" w:hAnsi="Trebuchet MS"/>
          <w:lang w:eastAsia="sl-SI"/>
        </w:rPr>
      </w:pPr>
      <w:r w:rsidRPr="006235CD">
        <w:rPr>
          <w:rFonts w:ascii="Trebuchet MS" w:hAnsi="Trebuchet MS"/>
          <w:lang w:eastAsia="sl-SI"/>
        </w:rPr>
        <w:t xml:space="preserve">Načrt zaščite in reševanja za izvajalca javne službe oskrbe s pitno vodo. </w:t>
      </w:r>
    </w:p>
    <w:p w14:paraId="4099EFEE" w14:textId="77777777" w:rsidR="006235CD" w:rsidRPr="006235CD" w:rsidRDefault="006235CD" w:rsidP="006235CD">
      <w:pPr>
        <w:rPr>
          <w:lang w:eastAsia="sl-SI"/>
        </w:rPr>
      </w:pPr>
      <w:r w:rsidRPr="006235CD">
        <w:rPr>
          <w:lang w:eastAsia="sl-SI"/>
        </w:rPr>
        <w:t xml:space="preserve">Evropska zakonodaja: </w:t>
      </w:r>
    </w:p>
    <w:p w14:paraId="6C9645EA" w14:textId="22932DAA" w:rsidR="006235CD" w:rsidRPr="006235CD" w:rsidRDefault="006235CD" w:rsidP="006235CD">
      <w:pPr>
        <w:spacing w:after="0"/>
        <w:rPr>
          <w:lang w:eastAsia="sl-SI"/>
        </w:rPr>
      </w:pPr>
      <w:r w:rsidRPr="006235CD">
        <w:rPr>
          <w:lang w:eastAsia="sl-SI"/>
        </w:rPr>
        <w:t>Ključna evropska zakonodaja, ki je prenesena tudi v pravne akte Republike Slovenije je prenova evropske direktive o pitni vodi, ki prinaša predvsem na:</w:t>
      </w:r>
    </w:p>
    <w:p w14:paraId="5C0514A6" w14:textId="77777777" w:rsidR="006235CD" w:rsidRPr="006235CD" w:rsidRDefault="006235CD" w:rsidP="00F90C17">
      <w:pPr>
        <w:pStyle w:val="Odstavekseznama"/>
        <w:numPr>
          <w:ilvl w:val="0"/>
          <w:numId w:val="29"/>
        </w:numPr>
        <w:rPr>
          <w:rFonts w:ascii="Trebuchet MS" w:hAnsi="Trebuchet MS"/>
          <w:lang w:eastAsia="sl-SI"/>
        </w:rPr>
      </w:pPr>
      <w:r w:rsidRPr="006235CD">
        <w:rPr>
          <w:rFonts w:ascii="Trebuchet MS" w:hAnsi="Trebuchet MS"/>
          <w:lang w:eastAsia="sl-SI"/>
        </w:rPr>
        <w:t>Okrepljenih standardih kakovosti vode, ki so strožji od priporočil Svetovne zdravstvene organizacije (WHO).</w:t>
      </w:r>
    </w:p>
    <w:p w14:paraId="49F5FAD9" w14:textId="77777777" w:rsidR="006235CD" w:rsidRPr="006235CD" w:rsidRDefault="006235CD" w:rsidP="00F90C17">
      <w:pPr>
        <w:pStyle w:val="Odstavekseznama"/>
        <w:numPr>
          <w:ilvl w:val="0"/>
          <w:numId w:val="29"/>
        </w:numPr>
        <w:rPr>
          <w:rFonts w:ascii="Trebuchet MS" w:hAnsi="Trebuchet MS"/>
          <w:lang w:eastAsia="sl-SI"/>
        </w:rPr>
      </w:pPr>
      <w:r w:rsidRPr="006235CD">
        <w:rPr>
          <w:rFonts w:ascii="Trebuchet MS" w:hAnsi="Trebuchet MS"/>
          <w:lang w:eastAsia="sl-SI"/>
        </w:rPr>
        <w:t xml:space="preserve">Naslavljanje nastajajočih onesnaževal, kot so endokrini motilci in </w:t>
      </w:r>
      <w:proofErr w:type="spellStart"/>
      <w:r w:rsidRPr="006235CD">
        <w:rPr>
          <w:rFonts w:ascii="Trebuchet MS" w:hAnsi="Trebuchet MS"/>
          <w:lang w:eastAsia="sl-SI"/>
        </w:rPr>
        <w:t>polifluorirane</w:t>
      </w:r>
      <w:proofErr w:type="spellEnd"/>
      <w:r w:rsidRPr="006235CD">
        <w:rPr>
          <w:rFonts w:ascii="Trebuchet MS" w:hAnsi="Trebuchet MS"/>
          <w:lang w:eastAsia="sl-SI"/>
        </w:rPr>
        <w:t xml:space="preserve"> spojine (PFA-ji), pa tudi </w:t>
      </w:r>
      <w:proofErr w:type="spellStart"/>
      <w:r w:rsidRPr="006235CD">
        <w:rPr>
          <w:rFonts w:ascii="Trebuchet MS" w:hAnsi="Trebuchet MS"/>
          <w:lang w:eastAsia="sl-SI"/>
        </w:rPr>
        <w:t>mikroplastika</w:t>
      </w:r>
      <w:proofErr w:type="spellEnd"/>
      <w:r w:rsidRPr="006235CD">
        <w:rPr>
          <w:rFonts w:ascii="Trebuchet MS" w:hAnsi="Trebuchet MS"/>
          <w:lang w:eastAsia="sl-SI"/>
        </w:rPr>
        <w:t xml:space="preserve"> - za katero bodo leta 2021 razvite usklajene analitične metode.</w:t>
      </w:r>
    </w:p>
    <w:p w14:paraId="7CA528CD" w14:textId="77777777" w:rsidR="006235CD" w:rsidRPr="006235CD" w:rsidRDefault="006235CD" w:rsidP="00F90C17">
      <w:pPr>
        <w:pStyle w:val="Odstavekseznama"/>
        <w:numPr>
          <w:ilvl w:val="0"/>
          <w:numId w:val="29"/>
        </w:numPr>
        <w:rPr>
          <w:rFonts w:ascii="Trebuchet MS" w:hAnsi="Trebuchet MS"/>
          <w:lang w:eastAsia="sl-SI"/>
        </w:rPr>
      </w:pPr>
      <w:r w:rsidRPr="006235CD">
        <w:rPr>
          <w:rFonts w:ascii="Trebuchet MS" w:hAnsi="Trebuchet MS"/>
          <w:lang w:eastAsia="sl-SI"/>
        </w:rPr>
        <w:t>Preventivni pristop, ki daje prednost ukrepom za zmanjšanje onesnaževanja pri viru z uvedbo „pristopa, ki temelji na tveganju“. Ta temelji na poglobljeni analizi celotnega vodnega cikla, od izvira do distribucije.</w:t>
      </w:r>
    </w:p>
    <w:p w14:paraId="671B35BC" w14:textId="77777777" w:rsidR="006235CD" w:rsidRPr="006235CD" w:rsidRDefault="006235CD" w:rsidP="00F90C17">
      <w:pPr>
        <w:pStyle w:val="Odstavekseznama"/>
        <w:numPr>
          <w:ilvl w:val="0"/>
          <w:numId w:val="29"/>
        </w:numPr>
        <w:rPr>
          <w:rFonts w:ascii="Trebuchet MS" w:hAnsi="Trebuchet MS"/>
          <w:lang w:eastAsia="sl-SI"/>
        </w:rPr>
      </w:pPr>
      <w:r w:rsidRPr="006235CD">
        <w:rPr>
          <w:rFonts w:ascii="Trebuchet MS" w:hAnsi="Trebuchet MS"/>
          <w:lang w:eastAsia="sl-SI"/>
        </w:rPr>
        <w:t>Ukrepi za zagotovitev boljšega dostopa do vode, zlasti za ranljive in marginalizirane skupine.</w:t>
      </w:r>
    </w:p>
    <w:p w14:paraId="19E9517B" w14:textId="77777777" w:rsidR="006235CD" w:rsidRPr="006235CD" w:rsidRDefault="006235CD" w:rsidP="00F90C17">
      <w:pPr>
        <w:pStyle w:val="Odstavekseznama"/>
        <w:numPr>
          <w:ilvl w:val="0"/>
          <w:numId w:val="29"/>
        </w:numPr>
        <w:rPr>
          <w:rFonts w:ascii="Trebuchet MS" w:hAnsi="Trebuchet MS"/>
          <w:lang w:eastAsia="sl-SI"/>
        </w:rPr>
      </w:pPr>
      <w:r w:rsidRPr="006235CD">
        <w:rPr>
          <w:rFonts w:ascii="Trebuchet MS" w:hAnsi="Trebuchet MS"/>
          <w:lang w:eastAsia="sl-SI"/>
        </w:rPr>
        <w:t>Ukrepi za spodbujanje rabe vode iz vodovodnih sistemov, tudi v javnih prostorih in restavracijah, za zmanjšanje porabe (plastičnih) steklenic.</w:t>
      </w:r>
    </w:p>
    <w:p w14:paraId="26E7898B" w14:textId="77777777" w:rsidR="006235CD" w:rsidRPr="006235CD" w:rsidRDefault="006235CD" w:rsidP="00F90C17">
      <w:pPr>
        <w:pStyle w:val="Odstavekseznama"/>
        <w:numPr>
          <w:ilvl w:val="0"/>
          <w:numId w:val="29"/>
        </w:numPr>
        <w:rPr>
          <w:rFonts w:ascii="Trebuchet MS" w:hAnsi="Trebuchet MS"/>
          <w:lang w:eastAsia="sl-SI"/>
        </w:rPr>
      </w:pPr>
      <w:r w:rsidRPr="006235CD">
        <w:rPr>
          <w:rFonts w:ascii="Trebuchet MS" w:hAnsi="Trebuchet MS"/>
          <w:lang w:eastAsia="sl-SI"/>
        </w:rPr>
        <w:t>Uskladitev standardov kakovosti materialov in izdelkov v stiku z vodo, vključno z okrepitvijo mejnih vrednosti svinca. To bo urejeno na ravni EU s podporo Evropske agencije za kemikalije (ECHA).</w:t>
      </w:r>
    </w:p>
    <w:p w14:paraId="1B945345" w14:textId="77777777" w:rsidR="006235CD" w:rsidRPr="006235CD" w:rsidRDefault="006235CD" w:rsidP="00F90C17">
      <w:pPr>
        <w:pStyle w:val="Odstavekseznama"/>
        <w:numPr>
          <w:ilvl w:val="0"/>
          <w:numId w:val="29"/>
        </w:numPr>
        <w:spacing w:after="160"/>
        <w:ind w:left="714" w:hanging="357"/>
        <w:rPr>
          <w:rFonts w:ascii="Trebuchet MS" w:hAnsi="Trebuchet MS"/>
          <w:lang w:eastAsia="sl-SI"/>
        </w:rPr>
      </w:pPr>
      <w:r w:rsidRPr="006235CD">
        <w:rPr>
          <w:rFonts w:ascii="Trebuchet MS" w:hAnsi="Trebuchet MS"/>
          <w:lang w:eastAsia="sl-SI"/>
        </w:rPr>
        <w:t>Ukrepi za zmanjšanje vodni izgub in povečanje preglednosti sektorja.</w:t>
      </w:r>
    </w:p>
    <w:p w14:paraId="73FA9031" w14:textId="56E34768" w:rsidR="006235CD" w:rsidRPr="006235CD" w:rsidRDefault="006235CD" w:rsidP="006235CD">
      <w:pPr>
        <w:rPr>
          <w:lang w:eastAsia="sl-SI"/>
        </w:rPr>
      </w:pPr>
      <w:r w:rsidRPr="006235CD">
        <w:rPr>
          <w:lang w:eastAsia="sl-SI"/>
        </w:rPr>
        <w:t>Čeprav na prvi pogled evropska direktive o pitni vodi na naslavlja analize in potreb po prilagajanju na podnebne spremembe, je to vendarle zajeto v navezavi na evropsko vodno direktivo (2000/60/EC) in v navezavi na analizo tveganj, ki vključuje tudi tveganja zaradi podnebnih sprememb, kar je element varnostnih načrtov za pitno vodo (</w:t>
      </w:r>
      <w:proofErr w:type="spellStart"/>
      <w:r w:rsidRPr="006235CD">
        <w:rPr>
          <w:lang w:eastAsia="sl-SI"/>
        </w:rPr>
        <w:t>Water</w:t>
      </w:r>
      <w:proofErr w:type="spellEnd"/>
      <w:r w:rsidRPr="006235CD">
        <w:rPr>
          <w:lang w:eastAsia="sl-SI"/>
        </w:rPr>
        <w:t xml:space="preserve"> </w:t>
      </w:r>
      <w:proofErr w:type="spellStart"/>
      <w:r w:rsidRPr="006235CD">
        <w:rPr>
          <w:lang w:eastAsia="sl-SI"/>
        </w:rPr>
        <w:t>Safety</w:t>
      </w:r>
      <w:proofErr w:type="spellEnd"/>
      <w:r w:rsidRPr="006235CD">
        <w:rPr>
          <w:lang w:eastAsia="sl-SI"/>
        </w:rPr>
        <w:t xml:space="preserve"> </w:t>
      </w:r>
      <w:proofErr w:type="spellStart"/>
      <w:r w:rsidRPr="006235CD">
        <w:rPr>
          <w:lang w:eastAsia="sl-SI"/>
        </w:rPr>
        <w:t>Plans</w:t>
      </w:r>
      <w:proofErr w:type="spellEnd"/>
      <w:r w:rsidRPr="006235CD">
        <w:rPr>
          <w:lang w:eastAsia="sl-SI"/>
        </w:rPr>
        <w:t>).</w:t>
      </w:r>
    </w:p>
    <w:p w14:paraId="6A9C1C09" w14:textId="0F0EF602" w:rsidR="00CB452A" w:rsidRDefault="00CB452A">
      <w:pPr>
        <w:jc w:val="left"/>
        <w:rPr>
          <w:lang w:eastAsia="sl-SI"/>
        </w:rPr>
      </w:pPr>
      <w:r>
        <w:rPr>
          <w:lang w:eastAsia="sl-SI"/>
        </w:rPr>
        <w:br w:type="page"/>
      </w:r>
    </w:p>
    <w:p w14:paraId="5BDF405D" w14:textId="77777777" w:rsidR="006235CD" w:rsidRDefault="006235CD" w:rsidP="006235CD">
      <w:pPr>
        <w:pStyle w:val="Naslov3"/>
      </w:pPr>
      <w:bookmarkStart w:id="482" w:name="_Toc65412252"/>
      <w:bookmarkStart w:id="483" w:name="_Toc97026802"/>
      <w:r w:rsidRPr="00B14994">
        <w:lastRenderedPageBreak/>
        <w:t xml:space="preserve">Obstoječe </w:t>
      </w:r>
      <w:r w:rsidRPr="000415FD">
        <w:t>stanje</w:t>
      </w:r>
      <w:r w:rsidRPr="00B14994">
        <w:t xml:space="preserve"> </w:t>
      </w:r>
      <w:r>
        <w:t>sektorja vodovodnega sistema</w:t>
      </w:r>
      <w:bookmarkEnd w:id="482"/>
      <w:bookmarkEnd w:id="483"/>
    </w:p>
    <w:p w14:paraId="342517D4" w14:textId="77777777" w:rsidR="00CB452A" w:rsidRDefault="00CB452A" w:rsidP="00CB452A">
      <w:pPr>
        <w:rPr>
          <w:lang w:eastAsia="sl-SI"/>
        </w:rPr>
      </w:pPr>
      <w:r>
        <w:rPr>
          <w:lang w:eastAsia="sl-SI"/>
        </w:rPr>
        <w:t xml:space="preserve">Na območju Mestne občine Nova Gorica se prebivalstvo oskrbuje iz naslednjih vodovodnih sistemov: </w:t>
      </w:r>
    </w:p>
    <w:tbl>
      <w:tblPr>
        <w:tblW w:w="10060" w:type="dxa"/>
        <w:tblBorders>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0"/>
        <w:gridCol w:w="1180"/>
        <w:gridCol w:w="1940"/>
        <w:gridCol w:w="1580"/>
        <w:gridCol w:w="1600"/>
        <w:gridCol w:w="1360"/>
        <w:gridCol w:w="1540"/>
      </w:tblGrid>
      <w:tr w:rsidR="00CB452A" w:rsidRPr="00ED570F" w14:paraId="640E46E8" w14:textId="77777777" w:rsidTr="00CB452A">
        <w:trPr>
          <w:trHeight w:val="900"/>
        </w:trPr>
        <w:tc>
          <w:tcPr>
            <w:tcW w:w="860" w:type="dxa"/>
            <w:shd w:val="clear" w:color="auto" w:fill="auto"/>
            <w:vAlign w:val="bottom"/>
            <w:hideMark/>
          </w:tcPr>
          <w:p w14:paraId="0E0FF18A" w14:textId="77777777" w:rsidR="00CB452A" w:rsidRPr="00ED570F" w:rsidRDefault="00CB452A" w:rsidP="00CB452A">
            <w:pPr>
              <w:spacing w:after="0" w:line="240" w:lineRule="auto"/>
              <w:jc w:val="left"/>
              <w:rPr>
                <w:rFonts w:ascii="Calibri" w:eastAsia="Times New Roman" w:hAnsi="Calibri" w:cs="Calibri"/>
                <w:color w:val="000000"/>
                <w:lang w:eastAsia="sl-SI"/>
              </w:rPr>
            </w:pPr>
            <w:r w:rsidRPr="00ED570F">
              <w:rPr>
                <w:rFonts w:ascii="Calibri" w:eastAsia="Times New Roman" w:hAnsi="Calibri" w:cs="Calibri"/>
                <w:color w:val="000000"/>
                <w:lang w:eastAsia="sl-SI"/>
              </w:rPr>
              <w:t xml:space="preserve">ID VS </w:t>
            </w:r>
          </w:p>
        </w:tc>
        <w:tc>
          <w:tcPr>
            <w:tcW w:w="1180" w:type="dxa"/>
            <w:shd w:val="clear" w:color="auto" w:fill="auto"/>
            <w:vAlign w:val="bottom"/>
            <w:hideMark/>
          </w:tcPr>
          <w:p w14:paraId="14B20697" w14:textId="77777777" w:rsidR="00CB452A" w:rsidRPr="00ED570F" w:rsidRDefault="00CB452A" w:rsidP="00CB452A">
            <w:pPr>
              <w:spacing w:after="0" w:line="240" w:lineRule="auto"/>
              <w:jc w:val="center"/>
              <w:rPr>
                <w:rFonts w:ascii="Calibri" w:eastAsia="Times New Roman" w:hAnsi="Calibri" w:cs="Calibri"/>
                <w:color w:val="000000"/>
                <w:lang w:eastAsia="sl-SI"/>
              </w:rPr>
            </w:pPr>
            <w:r w:rsidRPr="00ED570F">
              <w:rPr>
                <w:rFonts w:ascii="Calibri" w:eastAsia="Times New Roman" w:hAnsi="Calibri" w:cs="Calibri"/>
                <w:color w:val="000000"/>
                <w:lang w:eastAsia="sl-SI"/>
              </w:rPr>
              <w:t>preb</w:t>
            </w:r>
            <w:r>
              <w:rPr>
                <w:rFonts w:ascii="Calibri" w:eastAsia="Times New Roman" w:hAnsi="Calibri" w:cs="Calibri"/>
                <w:color w:val="000000"/>
                <w:lang w:eastAsia="sl-SI"/>
              </w:rPr>
              <w:t>ivalcev</w:t>
            </w:r>
          </w:p>
        </w:tc>
        <w:tc>
          <w:tcPr>
            <w:tcW w:w="1940" w:type="dxa"/>
            <w:shd w:val="clear" w:color="auto" w:fill="auto"/>
            <w:vAlign w:val="bottom"/>
            <w:hideMark/>
          </w:tcPr>
          <w:p w14:paraId="0CB37EF7" w14:textId="77777777" w:rsidR="00CB452A" w:rsidRPr="00ED570F" w:rsidRDefault="00CB452A" w:rsidP="00CB452A">
            <w:pPr>
              <w:spacing w:after="0" w:line="240" w:lineRule="auto"/>
              <w:jc w:val="center"/>
              <w:rPr>
                <w:rFonts w:ascii="Calibri" w:eastAsia="Times New Roman" w:hAnsi="Calibri" w:cs="Calibri"/>
                <w:color w:val="000000"/>
                <w:lang w:eastAsia="sl-SI"/>
              </w:rPr>
            </w:pPr>
            <w:r w:rsidRPr="00ED570F">
              <w:rPr>
                <w:rFonts w:ascii="Calibri" w:eastAsia="Times New Roman" w:hAnsi="Calibri" w:cs="Calibri"/>
                <w:color w:val="000000"/>
                <w:lang w:eastAsia="sl-SI"/>
              </w:rPr>
              <w:t>SIV (m3)</w:t>
            </w:r>
          </w:p>
        </w:tc>
        <w:tc>
          <w:tcPr>
            <w:tcW w:w="1580" w:type="dxa"/>
            <w:shd w:val="clear" w:color="auto" w:fill="auto"/>
            <w:vAlign w:val="bottom"/>
            <w:hideMark/>
          </w:tcPr>
          <w:p w14:paraId="5D1A6E5E" w14:textId="77777777" w:rsidR="00CB452A" w:rsidRPr="00ED570F" w:rsidRDefault="00CB452A" w:rsidP="00CB452A">
            <w:pPr>
              <w:spacing w:after="0" w:line="240" w:lineRule="auto"/>
              <w:jc w:val="center"/>
              <w:rPr>
                <w:rFonts w:ascii="Calibri" w:eastAsia="Times New Roman" w:hAnsi="Calibri" w:cs="Calibri"/>
                <w:color w:val="000000"/>
                <w:lang w:eastAsia="sl-SI"/>
              </w:rPr>
            </w:pPr>
            <w:r w:rsidRPr="00ED570F">
              <w:rPr>
                <w:rFonts w:ascii="Calibri" w:eastAsia="Times New Roman" w:hAnsi="Calibri" w:cs="Calibri"/>
                <w:color w:val="000000"/>
                <w:lang w:eastAsia="sl-SI"/>
              </w:rPr>
              <w:t>obračunana poraba (m3)</w:t>
            </w:r>
          </w:p>
        </w:tc>
        <w:tc>
          <w:tcPr>
            <w:tcW w:w="1600" w:type="dxa"/>
            <w:shd w:val="clear" w:color="auto" w:fill="auto"/>
            <w:vAlign w:val="bottom"/>
            <w:hideMark/>
          </w:tcPr>
          <w:p w14:paraId="5A090588" w14:textId="77777777" w:rsidR="00CB452A" w:rsidRPr="00ED570F" w:rsidRDefault="00CB452A" w:rsidP="00CB452A">
            <w:pPr>
              <w:spacing w:after="0" w:line="240" w:lineRule="auto"/>
              <w:jc w:val="center"/>
              <w:rPr>
                <w:rFonts w:ascii="Calibri" w:eastAsia="Times New Roman" w:hAnsi="Calibri" w:cs="Calibri"/>
                <w:color w:val="000000"/>
                <w:lang w:eastAsia="sl-SI"/>
              </w:rPr>
            </w:pPr>
            <w:proofErr w:type="spellStart"/>
            <w:r w:rsidRPr="00ED570F">
              <w:rPr>
                <w:rFonts w:ascii="Calibri" w:eastAsia="Times New Roman" w:hAnsi="Calibri" w:cs="Calibri"/>
                <w:color w:val="000000"/>
                <w:lang w:eastAsia="sl-SI"/>
              </w:rPr>
              <w:t>neobrač</w:t>
            </w:r>
            <w:proofErr w:type="spellEnd"/>
            <w:r w:rsidRPr="00ED570F">
              <w:rPr>
                <w:rFonts w:ascii="Calibri" w:eastAsia="Times New Roman" w:hAnsi="Calibri" w:cs="Calibri"/>
                <w:color w:val="000000"/>
                <w:lang w:eastAsia="sl-SI"/>
              </w:rPr>
              <w:t>. avtor. Poraba (m3)</w:t>
            </w:r>
          </w:p>
        </w:tc>
        <w:tc>
          <w:tcPr>
            <w:tcW w:w="1360" w:type="dxa"/>
            <w:shd w:val="clear" w:color="auto" w:fill="auto"/>
            <w:vAlign w:val="bottom"/>
            <w:hideMark/>
          </w:tcPr>
          <w:p w14:paraId="27261623" w14:textId="77777777" w:rsidR="00CB452A" w:rsidRPr="00ED570F" w:rsidRDefault="00CB452A" w:rsidP="00CB452A">
            <w:pPr>
              <w:spacing w:after="0" w:line="240" w:lineRule="auto"/>
              <w:jc w:val="center"/>
              <w:rPr>
                <w:rFonts w:ascii="Calibri" w:eastAsia="Times New Roman" w:hAnsi="Calibri" w:cs="Calibri"/>
                <w:color w:val="000000"/>
                <w:lang w:eastAsia="sl-SI"/>
              </w:rPr>
            </w:pPr>
            <w:proofErr w:type="spellStart"/>
            <w:r w:rsidRPr="00ED570F">
              <w:rPr>
                <w:rFonts w:ascii="Calibri" w:eastAsia="Times New Roman" w:hAnsi="Calibri" w:cs="Calibri"/>
                <w:color w:val="000000"/>
                <w:lang w:eastAsia="sl-SI"/>
              </w:rPr>
              <w:t>navid</w:t>
            </w:r>
            <w:proofErr w:type="spellEnd"/>
            <w:r w:rsidRPr="00ED570F">
              <w:rPr>
                <w:rFonts w:ascii="Calibri" w:eastAsia="Times New Roman" w:hAnsi="Calibri" w:cs="Calibri"/>
                <w:color w:val="000000"/>
                <w:lang w:eastAsia="sl-SI"/>
              </w:rPr>
              <w:t>. Izgube (m3)</w:t>
            </w:r>
          </w:p>
        </w:tc>
        <w:tc>
          <w:tcPr>
            <w:tcW w:w="1540" w:type="dxa"/>
            <w:shd w:val="clear" w:color="auto" w:fill="auto"/>
            <w:vAlign w:val="bottom"/>
            <w:hideMark/>
          </w:tcPr>
          <w:p w14:paraId="7B2C0D7C" w14:textId="77777777" w:rsidR="00CB452A" w:rsidRPr="00ED570F" w:rsidRDefault="00CB452A" w:rsidP="00CB452A">
            <w:pPr>
              <w:spacing w:after="0" w:line="240" w:lineRule="auto"/>
              <w:jc w:val="center"/>
              <w:rPr>
                <w:rFonts w:ascii="Calibri" w:eastAsia="Times New Roman" w:hAnsi="Calibri" w:cs="Calibri"/>
                <w:color w:val="000000"/>
                <w:lang w:eastAsia="sl-SI"/>
              </w:rPr>
            </w:pPr>
            <w:r w:rsidRPr="00ED570F">
              <w:rPr>
                <w:rFonts w:ascii="Calibri" w:eastAsia="Times New Roman" w:hAnsi="Calibri" w:cs="Calibri"/>
                <w:color w:val="000000"/>
                <w:lang w:eastAsia="sl-SI"/>
              </w:rPr>
              <w:t>dejanske izgube (m3)</w:t>
            </w:r>
          </w:p>
        </w:tc>
      </w:tr>
      <w:tr w:rsidR="00CB452A" w:rsidRPr="00ED570F" w14:paraId="4716194D" w14:textId="77777777" w:rsidTr="00CB452A">
        <w:trPr>
          <w:trHeight w:val="300"/>
        </w:trPr>
        <w:tc>
          <w:tcPr>
            <w:tcW w:w="860" w:type="dxa"/>
            <w:shd w:val="clear" w:color="auto" w:fill="auto"/>
            <w:noWrap/>
            <w:vAlign w:val="bottom"/>
            <w:hideMark/>
          </w:tcPr>
          <w:p w14:paraId="12C30BAC" w14:textId="77777777" w:rsidR="00CB452A" w:rsidRPr="00ED570F" w:rsidRDefault="00CB452A" w:rsidP="00CB452A">
            <w:pPr>
              <w:spacing w:after="0" w:line="240" w:lineRule="auto"/>
              <w:jc w:val="right"/>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1241</w:t>
            </w:r>
          </w:p>
        </w:tc>
        <w:tc>
          <w:tcPr>
            <w:tcW w:w="1180" w:type="dxa"/>
            <w:shd w:val="clear" w:color="auto" w:fill="auto"/>
            <w:noWrap/>
            <w:vAlign w:val="bottom"/>
            <w:hideMark/>
          </w:tcPr>
          <w:p w14:paraId="5FA393B5"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406</w:t>
            </w:r>
          </w:p>
        </w:tc>
        <w:tc>
          <w:tcPr>
            <w:tcW w:w="1940" w:type="dxa"/>
            <w:shd w:val="clear" w:color="auto" w:fill="auto"/>
            <w:noWrap/>
            <w:vAlign w:val="bottom"/>
            <w:hideMark/>
          </w:tcPr>
          <w:p w14:paraId="216678DF" w14:textId="77777777" w:rsidR="00CB452A" w:rsidRPr="00ED570F" w:rsidRDefault="00CB452A" w:rsidP="00CB452A">
            <w:pPr>
              <w:spacing w:after="0" w:line="240" w:lineRule="auto"/>
              <w:jc w:val="center"/>
              <w:rPr>
                <w:rFonts w:ascii="Calibri" w:eastAsia="Times New Roman" w:hAnsi="Calibri" w:cs="Calibri"/>
                <w:sz w:val="20"/>
                <w:szCs w:val="20"/>
                <w:lang w:eastAsia="sl-SI"/>
              </w:rPr>
            </w:pPr>
            <w:r w:rsidRPr="00ED570F">
              <w:rPr>
                <w:rFonts w:ascii="Calibri" w:eastAsia="Times New Roman" w:hAnsi="Calibri" w:cs="Calibri"/>
                <w:sz w:val="20"/>
                <w:szCs w:val="20"/>
                <w:lang w:eastAsia="sl-SI"/>
              </w:rPr>
              <w:t>30,879</w:t>
            </w:r>
          </w:p>
        </w:tc>
        <w:tc>
          <w:tcPr>
            <w:tcW w:w="1580" w:type="dxa"/>
            <w:shd w:val="clear" w:color="auto" w:fill="auto"/>
            <w:noWrap/>
            <w:vAlign w:val="bottom"/>
            <w:hideMark/>
          </w:tcPr>
          <w:p w14:paraId="7337CEFC"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8,647</w:t>
            </w:r>
          </w:p>
        </w:tc>
        <w:tc>
          <w:tcPr>
            <w:tcW w:w="1600" w:type="dxa"/>
            <w:shd w:val="clear" w:color="auto" w:fill="auto"/>
            <w:noWrap/>
            <w:vAlign w:val="bottom"/>
            <w:hideMark/>
          </w:tcPr>
          <w:p w14:paraId="3F0CA0CB"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9,134</w:t>
            </w:r>
          </w:p>
        </w:tc>
        <w:tc>
          <w:tcPr>
            <w:tcW w:w="1360" w:type="dxa"/>
            <w:shd w:val="clear" w:color="auto" w:fill="auto"/>
            <w:noWrap/>
            <w:vAlign w:val="bottom"/>
            <w:hideMark/>
          </w:tcPr>
          <w:p w14:paraId="62816057"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308</w:t>
            </w:r>
          </w:p>
        </w:tc>
        <w:tc>
          <w:tcPr>
            <w:tcW w:w="1540" w:type="dxa"/>
            <w:shd w:val="clear" w:color="auto" w:fill="auto"/>
            <w:noWrap/>
            <w:vAlign w:val="bottom"/>
            <w:hideMark/>
          </w:tcPr>
          <w:p w14:paraId="1859C638"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12,790</w:t>
            </w:r>
          </w:p>
        </w:tc>
      </w:tr>
      <w:tr w:rsidR="00CB452A" w:rsidRPr="00ED570F" w14:paraId="6D755121" w14:textId="77777777" w:rsidTr="00CB452A">
        <w:trPr>
          <w:trHeight w:val="300"/>
        </w:trPr>
        <w:tc>
          <w:tcPr>
            <w:tcW w:w="860" w:type="dxa"/>
            <w:shd w:val="clear" w:color="auto" w:fill="auto"/>
            <w:noWrap/>
            <w:vAlign w:val="bottom"/>
            <w:hideMark/>
          </w:tcPr>
          <w:p w14:paraId="35D57956" w14:textId="77777777" w:rsidR="00CB452A" w:rsidRPr="00ED570F" w:rsidRDefault="00CB452A" w:rsidP="00CB452A">
            <w:pPr>
              <w:spacing w:after="0" w:line="240" w:lineRule="auto"/>
              <w:jc w:val="right"/>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1244</w:t>
            </w:r>
          </w:p>
        </w:tc>
        <w:tc>
          <w:tcPr>
            <w:tcW w:w="1180" w:type="dxa"/>
            <w:shd w:val="clear" w:color="auto" w:fill="auto"/>
            <w:noWrap/>
            <w:vAlign w:val="bottom"/>
            <w:hideMark/>
          </w:tcPr>
          <w:p w14:paraId="599CB454"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927</w:t>
            </w:r>
          </w:p>
        </w:tc>
        <w:tc>
          <w:tcPr>
            <w:tcW w:w="1940" w:type="dxa"/>
            <w:shd w:val="clear" w:color="auto" w:fill="auto"/>
            <w:noWrap/>
            <w:vAlign w:val="bottom"/>
            <w:hideMark/>
          </w:tcPr>
          <w:p w14:paraId="6BBEDD6B"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212,211</w:t>
            </w:r>
          </w:p>
        </w:tc>
        <w:tc>
          <w:tcPr>
            <w:tcW w:w="1580" w:type="dxa"/>
            <w:shd w:val="clear" w:color="auto" w:fill="auto"/>
            <w:noWrap/>
            <w:vAlign w:val="bottom"/>
            <w:hideMark/>
          </w:tcPr>
          <w:p w14:paraId="14414916"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90,290</w:t>
            </w:r>
          </w:p>
        </w:tc>
        <w:tc>
          <w:tcPr>
            <w:tcW w:w="1600" w:type="dxa"/>
            <w:shd w:val="clear" w:color="auto" w:fill="auto"/>
            <w:noWrap/>
            <w:vAlign w:val="bottom"/>
            <w:hideMark/>
          </w:tcPr>
          <w:p w14:paraId="279D842C"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650</w:t>
            </w:r>
          </w:p>
        </w:tc>
        <w:tc>
          <w:tcPr>
            <w:tcW w:w="1360" w:type="dxa"/>
            <w:shd w:val="clear" w:color="auto" w:fill="auto"/>
            <w:noWrap/>
            <w:vAlign w:val="bottom"/>
            <w:hideMark/>
          </w:tcPr>
          <w:p w14:paraId="60E441C8"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1,641</w:t>
            </w:r>
          </w:p>
        </w:tc>
        <w:tc>
          <w:tcPr>
            <w:tcW w:w="1540" w:type="dxa"/>
            <w:shd w:val="clear" w:color="auto" w:fill="auto"/>
            <w:noWrap/>
            <w:vAlign w:val="bottom"/>
            <w:hideMark/>
          </w:tcPr>
          <w:p w14:paraId="2FBC7F88"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119,630</w:t>
            </w:r>
          </w:p>
        </w:tc>
      </w:tr>
      <w:tr w:rsidR="00CB452A" w:rsidRPr="00ED570F" w14:paraId="04DDBB74" w14:textId="77777777" w:rsidTr="00CB452A">
        <w:trPr>
          <w:trHeight w:val="300"/>
        </w:trPr>
        <w:tc>
          <w:tcPr>
            <w:tcW w:w="860" w:type="dxa"/>
            <w:shd w:val="clear" w:color="auto" w:fill="auto"/>
            <w:noWrap/>
            <w:vAlign w:val="bottom"/>
            <w:hideMark/>
          </w:tcPr>
          <w:p w14:paraId="48B65F31" w14:textId="77777777" w:rsidR="00CB452A" w:rsidRPr="00ED570F" w:rsidRDefault="00CB452A" w:rsidP="00CB452A">
            <w:pPr>
              <w:spacing w:after="0" w:line="240" w:lineRule="auto"/>
              <w:jc w:val="right"/>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1245</w:t>
            </w:r>
          </w:p>
        </w:tc>
        <w:tc>
          <w:tcPr>
            <w:tcW w:w="1180" w:type="dxa"/>
            <w:shd w:val="clear" w:color="auto" w:fill="auto"/>
            <w:noWrap/>
            <w:vAlign w:val="bottom"/>
            <w:hideMark/>
          </w:tcPr>
          <w:p w14:paraId="176EAC8D"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568</w:t>
            </w:r>
          </w:p>
        </w:tc>
        <w:tc>
          <w:tcPr>
            <w:tcW w:w="1940" w:type="dxa"/>
            <w:shd w:val="clear" w:color="auto" w:fill="auto"/>
            <w:noWrap/>
            <w:vAlign w:val="bottom"/>
            <w:hideMark/>
          </w:tcPr>
          <w:p w14:paraId="0BDE5738"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40,500</w:t>
            </w:r>
          </w:p>
        </w:tc>
        <w:tc>
          <w:tcPr>
            <w:tcW w:w="1580" w:type="dxa"/>
            <w:shd w:val="clear" w:color="auto" w:fill="auto"/>
            <w:noWrap/>
            <w:vAlign w:val="bottom"/>
            <w:hideMark/>
          </w:tcPr>
          <w:p w14:paraId="6BC4C972"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26,581</w:t>
            </w:r>
          </w:p>
        </w:tc>
        <w:tc>
          <w:tcPr>
            <w:tcW w:w="1600" w:type="dxa"/>
            <w:shd w:val="clear" w:color="auto" w:fill="auto"/>
            <w:noWrap/>
            <w:vAlign w:val="bottom"/>
            <w:hideMark/>
          </w:tcPr>
          <w:p w14:paraId="77710CE7"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890</w:t>
            </w:r>
          </w:p>
        </w:tc>
        <w:tc>
          <w:tcPr>
            <w:tcW w:w="1360" w:type="dxa"/>
            <w:shd w:val="clear" w:color="auto" w:fill="auto"/>
            <w:noWrap/>
            <w:vAlign w:val="bottom"/>
            <w:hideMark/>
          </w:tcPr>
          <w:p w14:paraId="4708E8BD"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405</w:t>
            </w:r>
          </w:p>
        </w:tc>
        <w:tc>
          <w:tcPr>
            <w:tcW w:w="1540" w:type="dxa"/>
            <w:shd w:val="clear" w:color="auto" w:fill="auto"/>
            <w:noWrap/>
            <w:vAlign w:val="bottom"/>
            <w:hideMark/>
          </w:tcPr>
          <w:p w14:paraId="3BD56703"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12,624</w:t>
            </w:r>
          </w:p>
        </w:tc>
      </w:tr>
      <w:tr w:rsidR="00CB452A" w:rsidRPr="00ED570F" w14:paraId="128A4568" w14:textId="77777777" w:rsidTr="00CB452A">
        <w:trPr>
          <w:trHeight w:val="300"/>
        </w:trPr>
        <w:tc>
          <w:tcPr>
            <w:tcW w:w="860" w:type="dxa"/>
            <w:shd w:val="clear" w:color="auto" w:fill="auto"/>
            <w:noWrap/>
            <w:vAlign w:val="bottom"/>
            <w:hideMark/>
          </w:tcPr>
          <w:p w14:paraId="496D110E" w14:textId="77777777" w:rsidR="00CB452A" w:rsidRPr="00ED570F" w:rsidRDefault="00CB452A" w:rsidP="00CB452A">
            <w:pPr>
              <w:spacing w:after="0" w:line="240" w:lineRule="auto"/>
              <w:jc w:val="right"/>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1248</w:t>
            </w:r>
          </w:p>
        </w:tc>
        <w:tc>
          <w:tcPr>
            <w:tcW w:w="1180" w:type="dxa"/>
            <w:shd w:val="clear" w:color="auto" w:fill="auto"/>
            <w:noWrap/>
            <w:vAlign w:val="bottom"/>
            <w:hideMark/>
          </w:tcPr>
          <w:p w14:paraId="78341D99"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5,882</w:t>
            </w:r>
          </w:p>
        </w:tc>
        <w:tc>
          <w:tcPr>
            <w:tcW w:w="1940" w:type="dxa"/>
            <w:shd w:val="clear" w:color="auto" w:fill="auto"/>
            <w:noWrap/>
            <w:vAlign w:val="bottom"/>
            <w:hideMark/>
          </w:tcPr>
          <w:p w14:paraId="02607CC8"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642,876</w:t>
            </w:r>
          </w:p>
        </w:tc>
        <w:tc>
          <w:tcPr>
            <w:tcW w:w="1580" w:type="dxa"/>
            <w:shd w:val="clear" w:color="auto" w:fill="auto"/>
            <w:noWrap/>
            <w:vAlign w:val="bottom"/>
            <w:hideMark/>
          </w:tcPr>
          <w:p w14:paraId="4A9FC46B"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300,603</w:t>
            </w:r>
          </w:p>
        </w:tc>
        <w:tc>
          <w:tcPr>
            <w:tcW w:w="1600" w:type="dxa"/>
            <w:shd w:val="clear" w:color="auto" w:fill="auto"/>
            <w:noWrap/>
            <w:vAlign w:val="bottom"/>
            <w:hideMark/>
          </w:tcPr>
          <w:p w14:paraId="6E3F2CD0"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12,425</w:t>
            </w:r>
          </w:p>
        </w:tc>
        <w:tc>
          <w:tcPr>
            <w:tcW w:w="1360" w:type="dxa"/>
            <w:shd w:val="clear" w:color="auto" w:fill="auto"/>
            <w:noWrap/>
            <w:vAlign w:val="bottom"/>
            <w:hideMark/>
          </w:tcPr>
          <w:p w14:paraId="08A726A5"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6,428</w:t>
            </w:r>
          </w:p>
        </w:tc>
        <w:tc>
          <w:tcPr>
            <w:tcW w:w="1540" w:type="dxa"/>
            <w:shd w:val="clear" w:color="auto" w:fill="auto"/>
            <w:noWrap/>
            <w:vAlign w:val="bottom"/>
            <w:hideMark/>
          </w:tcPr>
          <w:p w14:paraId="0F823DD1"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323,420</w:t>
            </w:r>
          </w:p>
        </w:tc>
      </w:tr>
      <w:tr w:rsidR="00CB452A" w:rsidRPr="00ED570F" w14:paraId="6E95D906" w14:textId="77777777" w:rsidTr="00CB452A">
        <w:trPr>
          <w:trHeight w:val="300"/>
        </w:trPr>
        <w:tc>
          <w:tcPr>
            <w:tcW w:w="860" w:type="dxa"/>
            <w:shd w:val="clear" w:color="auto" w:fill="auto"/>
            <w:noWrap/>
            <w:vAlign w:val="bottom"/>
            <w:hideMark/>
          </w:tcPr>
          <w:p w14:paraId="5D956F63" w14:textId="77777777" w:rsidR="00CB452A" w:rsidRPr="00ED570F" w:rsidRDefault="00CB452A" w:rsidP="00CB452A">
            <w:pPr>
              <w:spacing w:after="0" w:line="240" w:lineRule="auto"/>
              <w:jc w:val="right"/>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1249</w:t>
            </w:r>
          </w:p>
        </w:tc>
        <w:tc>
          <w:tcPr>
            <w:tcW w:w="1180" w:type="dxa"/>
            <w:shd w:val="clear" w:color="auto" w:fill="auto"/>
            <w:noWrap/>
            <w:vAlign w:val="bottom"/>
            <w:hideMark/>
          </w:tcPr>
          <w:p w14:paraId="48DF032E"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730</w:t>
            </w:r>
          </w:p>
        </w:tc>
        <w:tc>
          <w:tcPr>
            <w:tcW w:w="1940" w:type="dxa"/>
            <w:shd w:val="clear" w:color="auto" w:fill="auto"/>
            <w:noWrap/>
            <w:vAlign w:val="bottom"/>
            <w:hideMark/>
          </w:tcPr>
          <w:p w14:paraId="2E89C9DD"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51,370</w:t>
            </w:r>
          </w:p>
        </w:tc>
        <w:tc>
          <w:tcPr>
            <w:tcW w:w="1580" w:type="dxa"/>
            <w:shd w:val="clear" w:color="auto" w:fill="auto"/>
            <w:noWrap/>
            <w:vAlign w:val="bottom"/>
            <w:hideMark/>
          </w:tcPr>
          <w:p w14:paraId="7711E811"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26,076</w:t>
            </w:r>
          </w:p>
        </w:tc>
        <w:tc>
          <w:tcPr>
            <w:tcW w:w="1600" w:type="dxa"/>
            <w:shd w:val="clear" w:color="auto" w:fill="auto"/>
            <w:noWrap/>
            <w:vAlign w:val="bottom"/>
            <w:hideMark/>
          </w:tcPr>
          <w:p w14:paraId="0500CAA4"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830</w:t>
            </w:r>
          </w:p>
        </w:tc>
        <w:tc>
          <w:tcPr>
            <w:tcW w:w="1360" w:type="dxa"/>
            <w:shd w:val="clear" w:color="auto" w:fill="auto"/>
            <w:noWrap/>
            <w:vAlign w:val="bottom"/>
            <w:hideMark/>
          </w:tcPr>
          <w:p w14:paraId="0A6AAFCD"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513</w:t>
            </w:r>
          </w:p>
        </w:tc>
        <w:tc>
          <w:tcPr>
            <w:tcW w:w="1540" w:type="dxa"/>
            <w:shd w:val="clear" w:color="auto" w:fill="auto"/>
            <w:noWrap/>
            <w:vAlign w:val="bottom"/>
            <w:hideMark/>
          </w:tcPr>
          <w:p w14:paraId="39E7041F"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23,951</w:t>
            </w:r>
          </w:p>
        </w:tc>
      </w:tr>
      <w:tr w:rsidR="00CB452A" w:rsidRPr="00ED570F" w14:paraId="0161B672" w14:textId="77777777" w:rsidTr="00CB452A">
        <w:trPr>
          <w:trHeight w:val="300"/>
        </w:trPr>
        <w:tc>
          <w:tcPr>
            <w:tcW w:w="860" w:type="dxa"/>
            <w:shd w:val="clear" w:color="auto" w:fill="auto"/>
            <w:noWrap/>
            <w:vAlign w:val="bottom"/>
            <w:hideMark/>
          </w:tcPr>
          <w:p w14:paraId="05B3AB20" w14:textId="77777777" w:rsidR="00CB452A" w:rsidRPr="00ED570F" w:rsidRDefault="00CB452A" w:rsidP="00CB452A">
            <w:pPr>
              <w:spacing w:after="0" w:line="240" w:lineRule="auto"/>
              <w:jc w:val="right"/>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1250</w:t>
            </w:r>
          </w:p>
        </w:tc>
        <w:tc>
          <w:tcPr>
            <w:tcW w:w="1180" w:type="dxa"/>
            <w:shd w:val="clear" w:color="auto" w:fill="auto"/>
            <w:noWrap/>
            <w:vAlign w:val="bottom"/>
            <w:hideMark/>
          </w:tcPr>
          <w:p w14:paraId="58B8AC7C"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770</w:t>
            </w:r>
          </w:p>
        </w:tc>
        <w:tc>
          <w:tcPr>
            <w:tcW w:w="1940" w:type="dxa"/>
            <w:shd w:val="clear" w:color="auto" w:fill="auto"/>
            <w:noWrap/>
            <w:vAlign w:val="bottom"/>
            <w:hideMark/>
          </w:tcPr>
          <w:p w14:paraId="3FBE0449"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43,595</w:t>
            </w:r>
          </w:p>
        </w:tc>
        <w:tc>
          <w:tcPr>
            <w:tcW w:w="1580" w:type="dxa"/>
            <w:shd w:val="clear" w:color="auto" w:fill="auto"/>
            <w:noWrap/>
            <w:vAlign w:val="bottom"/>
            <w:hideMark/>
          </w:tcPr>
          <w:p w14:paraId="77B74C4B"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24,402</w:t>
            </w:r>
          </w:p>
        </w:tc>
        <w:tc>
          <w:tcPr>
            <w:tcW w:w="1600" w:type="dxa"/>
            <w:shd w:val="clear" w:color="auto" w:fill="auto"/>
            <w:noWrap/>
            <w:vAlign w:val="bottom"/>
            <w:hideMark/>
          </w:tcPr>
          <w:p w14:paraId="4DF6C90A"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9,511</w:t>
            </w:r>
          </w:p>
        </w:tc>
        <w:tc>
          <w:tcPr>
            <w:tcW w:w="1360" w:type="dxa"/>
            <w:shd w:val="clear" w:color="auto" w:fill="auto"/>
            <w:noWrap/>
            <w:vAlign w:val="bottom"/>
            <w:hideMark/>
          </w:tcPr>
          <w:p w14:paraId="0F8B5EC6"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435</w:t>
            </w:r>
          </w:p>
        </w:tc>
        <w:tc>
          <w:tcPr>
            <w:tcW w:w="1540" w:type="dxa"/>
            <w:shd w:val="clear" w:color="auto" w:fill="auto"/>
            <w:noWrap/>
            <w:vAlign w:val="bottom"/>
            <w:hideMark/>
          </w:tcPr>
          <w:p w14:paraId="70BF991C"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9,247</w:t>
            </w:r>
          </w:p>
        </w:tc>
      </w:tr>
      <w:tr w:rsidR="00CB452A" w:rsidRPr="00ED570F" w14:paraId="72D0803C" w14:textId="77777777" w:rsidTr="00CB452A">
        <w:trPr>
          <w:trHeight w:val="300"/>
        </w:trPr>
        <w:tc>
          <w:tcPr>
            <w:tcW w:w="860" w:type="dxa"/>
            <w:shd w:val="clear" w:color="auto" w:fill="auto"/>
            <w:noWrap/>
            <w:vAlign w:val="bottom"/>
            <w:hideMark/>
          </w:tcPr>
          <w:p w14:paraId="1CA0DCDA" w14:textId="77777777" w:rsidR="00CB452A" w:rsidRPr="00ED570F" w:rsidRDefault="00CB452A" w:rsidP="00CB452A">
            <w:pPr>
              <w:spacing w:after="0" w:line="240" w:lineRule="auto"/>
              <w:jc w:val="right"/>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1512</w:t>
            </w:r>
          </w:p>
        </w:tc>
        <w:tc>
          <w:tcPr>
            <w:tcW w:w="1180" w:type="dxa"/>
            <w:shd w:val="clear" w:color="auto" w:fill="auto"/>
            <w:noWrap/>
            <w:vAlign w:val="bottom"/>
            <w:hideMark/>
          </w:tcPr>
          <w:p w14:paraId="62455BD4"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34</w:t>
            </w:r>
          </w:p>
        </w:tc>
        <w:tc>
          <w:tcPr>
            <w:tcW w:w="1940" w:type="dxa"/>
            <w:shd w:val="clear" w:color="auto" w:fill="auto"/>
            <w:noWrap/>
            <w:vAlign w:val="bottom"/>
            <w:hideMark/>
          </w:tcPr>
          <w:p w14:paraId="19E0C80B"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1,779</w:t>
            </w:r>
          </w:p>
        </w:tc>
        <w:tc>
          <w:tcPr>
            <w:tcW w:w="1580" w:type="dxa"/>
            <w:shd w:val="clear" w:color="auto" w:fill="auto"/>
            <w:noWrap/>
            <w:vAlign w:val="bottom"/>
            <w:hideMark/>
          </w:tcPr>
          <w:p w14:paraId="5F671F11"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1,039</w:t>
            </w:r>
          </w:p>
        </w:tc>
        <w:tc>
          <w:tcPr>
            <w:tcW w:w="1600" w:type="dxa"/>
            <w:shd w:val="clear" w:color="auto" w:fill="auto"/>
            <w:noWrap/>
            <w:vAlign w:val="bottom"/>
            <w:hideMark/>
          </w:tcPr>
          <w:p w14:paraId="121FBD8C"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60</w:t>
            </w:r>
          </w:p>
        </w:tc>
        <w:tc>
          <w:tcPr>
            <w:tcW w:w="1360" w:type="dxa"/>
            <w:shd w:val="clear" w:color="auto" w:fill="auto"/>
            <w:noWrap/>
            <w:vAlign w:val="bottom"/>
            <w:hideMark/>
          </w:tcPr>
          <w:p w14:paraId="66B76CB0"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18</w:t>
            </w:r>
          </w:p>
        </w:tc>
        <w:tc>
          <w:tcPr>
            <w:tcW w:w="1540" w:type="dxa"/>
            <w:shd w:val="clear" w:color="auto" w:fill="auto"/>
            <w:noWrap/>
            <w:vAlign w:val="bottom"/>
            <w:hideMark/>
          </w:tcPr>
          <w:p w14:paraId="25D18B0F"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662</w:t>
            </w:r>
          </w:p>
        </w:tc>
      </w:tr>
      <w:tr w:rsidR="00CB452A" w:rsidRPr="00ED570F" w14:paraId="7A0B9603" w14:textId="77777777" w:rsidTr="00CB452A">
        <w:trPr>
          <w:trHeight w:val="300"/>
        </w:trPr>
        <w:tc>
          <w:tcPr>
            <w:tcW w:w="860" w:type="dxa"/>
            <w:shd w:val="clear" w:color="auto" w:fill="auto"/>
            <w:noWrap/>
            <w:vAlign w:val="bottom"/>
            <w:hideMark/>
          </w:tcPr>
          <w:p w14:paraId="43D46A11" w14:textId="77777777" w:rsidR="00CB452A" w:rsidRPr="00ED570F" w:rsidRDefault="00CB452A" w:rsidP="00CB452A">
            <w:pPr>
              <w:spacing w:after="0" w:line="240" w:lineRule="auto"/>
              <w:jc w:val="right"/>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1513</w:t>
            </w:r>
          </w:p>
        </w:tc>
        <w:tc>
          <w:tcPr>
            <w:tcW w:w="1180" w:type="dxa"/>
            <w:shd w:val="clear" w:color="auto" w:fill="auto"/>
            <w:noWrap/>
            <w:vAlign w:val="bottom"/>
            <w:hideMark/>
          </w:tcPr>
          <w:p w14:paraId="46F5FA26"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72</w:t>
            </w:r>
          </w:p>
        </w:tc>
        <w:tc>
          <w:tcPr>
            <w:tcW w:w="1940" w:type="dxa"/>
            <w:shd w:val="clear" w:color="auto" w:fill="auto"/>
            <w:noWrap/>
            <w:vAlign w:val="bottom"/>
            <w:hideMark/>
          </w:tcPr>
          <w:p w14:paraId="658A53D3"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2,277</w:t>
            </w:r>
          </w:p>
        </w:tc>
        <w:tc>
          <w:tcPr>
            <w:tcW w:w="1580" w:type="dxa"/>
            <w:shd w:val="clear" w:color="auto" w:fill="auto"/>
            <w:noWrap/>
            <w:vAlign w:val="bottom"/>
            <w:hideMark/>
          </w:tcPr>
          <w:p w14:paraId="06BEC58F"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2,017</w:t>
            </w:r>
          </w:p>
        </w:tc>
        <w:tc>
          <w:tcPr>
            <w:tcW w:w="1600" w:type="dxa"/>
            <w:shd w:val="clear" w:color="auto" w:fill="auto"/>
            <w:noWrap/>
            <w:vAlign w:val="bottom"/>
            <w:hideMark/>
          </w:tcPr>
          <w:p w14:paraId="5FADB4BF"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40</w:t>
            </w:r>
          </w:p>
        </w:tc>
        <w:tc>
          <w:tcPr>
            <w:tcW w:w="1360" w:type="dxa"/>
            <w:shd w:val="clear" w:color="auto" w:fill="auto"/>
            <w:noWrap/>
            <w:vAlign w:val="bottom"/>
            <w:hideMark/>
          </w:tcPr>
          <w:p w14:paraId="25FBED43"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23</w:t>
            </w:r>
          </w:p>
        </w:tc>
        <w:tc>
          <w:tcPr>
            <w:tcW w:w="1540" w:type="dxa"/>
            <w:shd w:val="clear" w:color="auto" w:fill="auto"/>
            <w:noWrap/>
            <w:vAlign w:val="bottom"/>
            <w:hideMark/>
          </w:tcPr>
          <w:p w14:paraId="4CC9F011"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197</w:t>
            </w:r>
          </w:p>
        </w:tc>
      </w:tr>
      <w:tr w:rsidR="00CB452A" w:rsidRPr="00ED570F" w14:paraId="0F74FD41" w14:textId="77777777" w:rsidTr="00CB452A">
        <w:trPr>
          <w:trHeight w:val="300"/>
        </w:trPr>
        <w:tc>
          <w:tcPr>
            <w:tcW w:w="860" w:type="dxa"/>
            <w:shd w:val="clear" w:color="auto" w:fill="auto"/>
            <w:noWrap/>
            <w:vAlign w:val="bottom"/>
            <w:hideMark/>
          </w:tcPr>
          <w:p w14:paraId="2986E920" w14:textId="77777777" w:rsidR="00CB452A" w:rsidRPr="00ED570F" w:rsidRDefault="00CB452A" w:rsidP="00CB452A">
            <w:pPr>
              <w:spacing w:after="0" w:line="240" w:lineRule="auto"/>
              <w:jc w:val="right"/>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1682</w:t>
            </w:r>
          </w:p>
        </w:tc>
        <w:tc>
          <w:tcPr>
            <w:tcW w:w="1180" w:type="dxa"/>
            <w:shd w:val="clear" w:color="auto" w:fill="auto"/>
            <w:noWrap/>
            <w:vAlign w:val="bottom"/>
            <w:hideMark/>
          </w:tcPr>
          <w:p w14:paraId="37AA4A2A"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20,357</w:t>
            </w:r>
          </w:p>
        </w:tc>
        <w:tc>
          <w:tcPr>
            <w:tcW w:w="1940" w:type="dxa"/>
            <w:shd w:val="clear" w:color="auto" w:fill="auto"/>
            <w:noWrap/>
            <w:vAlign w:val="bottom"/>
            <w:hideMark/>
          </w:tcPr>
          <w:p w14:paraId="1AEC096C"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5,646,597</w:t>
            </w:r>
          </w:p>
        </w:tc>
        <w:tc>
          <w:tcPr>
            <w:tcW w:w="1580" w:type="dxa"/>
            <w:shd w:val="clear" w:color="auto" w:fill="auto"/>
            <w:noWrap/>
            <w:vAlign w:val="bottom"/>
            <w:hideMark/>
          </w:tcPr>
          <w:p w14:paraId="6C3237BE"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2,754,177</w:t>
            </w:r>
          </w:p>
        </w:tc>
        <w:tc>
          <w:tcPr>
            <w:tcW w:w="1600" w:type="dxa"/>
            <w:shd w:val="clear" w:color="auto" w:fill="auto"/>
            <w:noWrap/>
            <w:vAlign w:val="bottom"/>
            <w:hideMark/>
          </w:tcPr>
          <w:p w14:paraId="5D91671D"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238,829</w:t>
            </w:r>
          </w:p>
        </w:tc>
        <w:tc>
          <w:tcPr>
            <w:tcW w:w="1360" w:type="dxa"/>
            <w:shd w:val="clear" w:color="auto" w:fill="auto"/>
            <w:noWrap/>
            <w:vAlign w:val="bottom"/>
            <w:hideMark/>
          </w:tcPr>
          <w:p w14:paraId="2E2D9D60"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56,466</w:t>
            </w:r>
          </w:p>
        </w:tc>
        <w:tc>
          <w:tcPr>
            <w:tcW w:w="1540" w:type="dxa"/>
            <w:shd w:val="clear" w:color="auto" w:fill="auto"/>
            <w:noWrap/>
            <w:vAlign w:val="bottom"/>
            <w:hideMark/>
          </w:tcPr>
          <w:p w14:paraId="26FB3D8C"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2,597,125</w:t>
            </w:r>
          </w:p>
        </w:tc>
      </w:tr>
      <w:tr w:rsidR="00CB452A" w:rsidRPr="00ED570F" w14:paraId="2FBF13A1" w14:textId="77777777" w:rsidTr="00CB452A">
        <w:trPr>
          <w:trHeight w:val="300"/>
        </w:trPr>
        <w:tc>
          <w:tcPr>
            <w:tcW w:w="860" w:type="dxa"/>
            <w:shd w:val="clear" w:color="auto" w:fill="auto"/>
            <w:noWrap/>
            <w:vAlign w:val="bottom"/>
            <w:hideMark/>
          </w:tcPr>
          <w:p w14:paraId="16244E7A" w14:textId="77777777" w:rsidR="00CB452A" w:rsidRPr="00ED570F" w:rsidRDefault="00CB452A" w:rsidP="00CB452A">
            <w:pPr>
              <w:spacing w:after="0" w:line="240" w:lineRule="auto"/>
              <w:jc w:val="right"/>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1683</w:t>
            </w:r>
          </w:p>
        </w:tc>
        <w:tc>
          <w:tcPr>
            <w:tcW w:w="1180" w:type="dxa"/>
            <w:shd w:val="clear" w:color="auto" w:fill="auto"/>
            <w:noWrap/>
            <w:vAlign w:val="bottom"/>
            <w:hideMark/>
          </w:tcPr>
          <w:p w14:paraId="09E36A14"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1,858</w:t>
            </w:r>
          </w:p>
        </w:tc>
        <w:tc>
          <w:tcPr>
            <w:tcW w:w="1940" w:type="dxa"/>
            <w:shd w:val="clear" w:color="auto" w:fill="auto"/>
            <w:noWrap/>
            <w:vAlign w:val="bottom"/>
            <w:hideMark/>
          </w:tcPr>
          <w:p w14:paraId="746926E0"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147,441</w:t>
            </w:r>
          </w:p>
        </w:tc>
        <w:tc>
          <w:tcPr>
            <w:tcW w:w="1580" w:type="dxa"/>
            <w:shd w:val="clear" w:color="auto" w:fill="auto"/>
            <w:noWrap/>
            <w:vAlign w:val="bottom"/>
            <w:hideMark/>
          </w:tcPr>
          <w:p w14:paraId="010566A0"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89,804</w:t>
            </w:r>
          </w:p>
        </w:tc>
        <w:tc>
          <w:tcPr>
            <w:tcW w:w="1600" w:type="dxa"/>
            <w:shd w:val="clear" w:color="auto" w:fill="auto"/>
            <w:noWrap/>
            <w:vAlign w:val="bottom"/>
            <w:hideMark/>
          </w:tcPr>
          <w:p w14:paraId="473EB65B"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420</w:t>
            </w:r>
          </w:p>
        </w:tc>
        <w:tc>
          <w:tcPr>
            <w:tcW w:w="1360" w:type="dxa"/>
            <w:shd w:val="clear" w:color="auto" w:fill="auto"/>
            <w:noWrap/>
            <w:vAlign w:val="bottom"/>
            <w:hideMark/>
          </w:tcPr>
          <w:p w14:paraId="4BE69DAC"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1,474</w:t>
            </w:r>
          </w:p>
        </w:tc>
        <w:tc>
          <w:tcPr>
            <w:tcW w:w="1540" w:type="dxa"/>
            <w:shd w:val="clear" w:color="auto" w:fill="auto"/>
            <w:noWrap/>
            <w:vAlign w:val="bottom"/>
            <w:hideMark/>
          </w:tcPr>
          <w:p w14:paraId="693BA1E7" w14:textId="77777777" w:rsidR="00CB452A" w:rsidRPr="00ED570F" w:rsidRDefault="00CB452A" w:rsidP="00CB452A">
            <w:pPr>
              <w:spacing w:after="0" w:line="240" w:lineRule="auto"/>
              <w:jc w:val="center"/>
              <w:rPr>
                <w:rFonts w:ascii="Calibri" w:eastAsia="Times New Roman" w:hAnsi="Calibri" w:cs="Calibri"/>
                <w:color w:val="000000"/>
                <w:sz w:val="20"/>
                <w:szCs w:val="20"/>
                <w:lang w:eastAsia="sl-SI"/>
              </w:rPr>
            </w:pPr>
            <w:r w:rsidRPr="00ED570F">
              <w:rPr>
                <w:rFonts w:ascii="Calibri" w:eastAsia="Times New Roman" w:hAnsi="Calibri" w:cs="Calibri"/>
                <w:color w:val="000000"/>
                <w:sz w:val="20"/>
                <w:szCs w:val="20"/>
                <w:lang w:eastAsia="sl-SI"/>
              </w:rPr>
              <w:t>55,743</w:t>
            </w:r>
          </w:p>
        </w:tc>
      </w:tr>
    </w:tbl>
    <w:p w14:paraId="16D6A6EF" w14:textId="77777777" w:rsidR="00CB452A" w:rsidRDefault="00CB452A" w:rsidP="00CB452A">
      <w:pPr>
        <w:rPr>
          <w:lang w:eastAsia="sl-SI"/>
        </w:rPr>
      </w:pPr>
    </w:p>
    <w:p w14:paraId="43CECB1B" w14:textId="77777777" w:rsidR="00CB452A" w:rsidRDefault="00CB452A" w:rsidP="00CB452A">
      <w:pPr>
        <w:rPr>
          <w:lang w:eastAsia="sl-SI"/>
        </w:rPr>
      </w:pPr>
      <w:r>
        <w:rPr>
          <w:lang w:eastAsia="sl-SI"/>
        </w:rPr>
        <w:t xml:space="preserve">Pregled vodovodnih sistemov je podan na spodnji sliki: </w:t>
      </w:r>
    </w:p>
    <w:p w14:paraId="49F647CA" w14:textId="77777777" w:rsidR="00CB452A" w:rsidRDefault="00CB452A" w:rsidP="00CB452A">
      <w:pPr>
        <w:keepNext/>
        <w:jc w:val="center"/>
      </w:pPr>
      <w:r>
        <w:rPr>
          <w:noProof/>
          <w:lang w:eastAsia="sl-SI"/>
        </w:rPr>
        <w:drawing>
          <wp:inline distT="0" distB="0" distL="0" distR="0" wp14:anchorId="190DC1FE" wp14:editId="100BDE5C">
            <wp:extent cx="4391246" cy="3601247"/>
            <wp:effectExtent l="0" t="0" r="9525" b="0"/>
            <wp:docPr id="2111931270" name="Picture 211193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395206" cy="3604495"/>
                    </a:xfrm>
                    <a:prstGeom prst="rect">
                      <a:avLst/>
                    </a:prstGeom>
                    <a:noFill/>
                    <a:ln>
                      <a:noFill/>
                    </a:ln>
                  </pic:spPr>
                </pic:pic>
              </a:graphicData>
            </a:graphic>
          </wp:inline>
        </w:drawing>
      </w:r>
    </w:p>
    <w:p w14:paraId="725C6BB6" w14:textId="28F81FE6" w:rsidR="00CB452A" w:rsidRDefault="00CB452A" w:rsidP="00CB452A">
      <w:pPr>
        <w:pStyle w:val="Napis"/>
        <w:rPr>
          <w:noProof/>
          <w:lang w:eastAsia="sl-SI"/>
        </w:rPr>
      </w:pPr>
      <w:bookmarkStart w:id="484" w:name="_Toc97026901"/>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50</w:t>
      </w:r>
      <w:r w:rsidR="008334B2">
        <w:fldChar w:fldCharType="end"/>
      </w:r>
      <w:r>
        <w:t xml:space="preserve">: </w:t>
      </w:r>
      <w:r w:rsidRPr="00D35FA6">
        <w:t>Vodovodni sistemi v Mestni Občini Nova Gorica – severni del  (Vir ZKGJI).</w:t>
      </w:r>
      <w:bookmarkEnd w:id="484"/>
    </w:p>
    <w:p w14:paraId="65A686D1" w14:textId="77777777" w:rsidR="00CB452A" w:rsidRDefault="00CB452A" w:rsidP="00CB452A">
      <w:pPr>
        <w:rPr>
          <w:noProof/>
          <w:lang w:eastAsia="sl-SI"/>
        </w:rPr>
      </w:pPr>
    </w:p>
    <w:p w14:paraId="73D2681D" w14:textId="77777777" w:rsidR="00CB452A" w:rsidRDefault="00CB452A" w:rsidP="00CB452A">
      <w:pPr>
        <w:keepNext/>
        <w:jc w:val="center"/>
      </w:pPr>
      <w:r>
        <w:rPr>
          <w:noProof/>
          <w:lang w:eastAsia="sl-SI"/>
        </w:rPr>
        <w:lastRenderedPageBreak/>
        <w:drawing>
          <wp:inline distT="0" distB="0" distL="0" distR="0" wp14:anchorId="1D95DD9C" wp14:editId="23DADBB1">
            <wp:extent cx="4795284" cy="3492051"/>
            <wp:effectExtent l="0" t="0" r="5715" b="0"/>
            <wp:docPr id="2111931271" name="Picture 211193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09215" cy="3502196"/>
                    </a:xfrm>
                    <a:prstGeom prst="rect">
                      <a:avLst/>
                    </a:prstGeom>
                    <a:noFill/>
                    <a:ln>
                      <a:noFill/>
                    </a:ln>
                  </pic:spPr>
                </pic:pic>
              </a:graphicData>
            </a:graphic>
          </wp:inline>
        </w:drawing>
      </w:r>
    </w:p>
    <w:p w14:paraId="408EF9AF" w14:textId="5E8FE2C8" w:rsidR="00CB452A" w:rsidRDefault="00CB452A" w:rsidP="00CB452A">
      <w:pPr>
        <w:pStyle w:val="Napis"/>
        <w:jc w:val="center"/>
        <w:rPr>
          <w:noProof/>
          <w:lang w:eastAsia="sl-SI"/>
        </w:rPr>
      </w:pPr>
      <w:bookmarkStart w:id="485" w:name="_Toc97026902"/>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51</w:t>
      </w:r>
      <w:r w:rsidR="008334B2">
        <w:fldChar w:fldCharType="end"/>
      </w:r>
      <w:r>
        <w:t xml:space="preserve">: </w:t>
      </w:r>
      <w:r w:rsidRPr="00EA3C3F">
        <w:t>Vodovodni sistemi v Mestni Občini Nova Gorica – južni del (Vir ZKGJI).</w:t>
      </w:r>
      <w:bookmarkEnd w:id="485"/>
    </w:p>
    <w:p w14:paraId="50B856E8" w14:textId="77B2BCBA" w:rsidR="00CB452A" w:rsidRPr="00CB452A" w:rsidRDefault="00CB452A" w:rsidP="00CB452A">
      <w:pPr>
        <w:rPr>
          <w:lang w:eastAsia="sl-SI"/>
        </w:rPr>
      </w:pPr>
      <w:r w:rsidRPr="00CB452A">
        <w:rPr>
          <w:lang w:eastAsia="sl-SI"/>
        </w:rPr>
        <w:t>Poleg javnih vodovodnih sistemov v mestni občini Nova Gorica na podlagi podatkov ZKGJI delujejo še zasebni vodovodni sistemi (vir: ZKGJI). Ker izvajalec javne službe nima izdelanega programa oskrbe s pitno vodo (obvezna storitev javne službe po 22. členu uredbe o oskrbi s pitno vodo 88/12), sistemska strategija glede navedenih sistemov ni opredeljena.</w:t>
      </w:r>
    </w:p>
    <w:tbl>
      <w:tblPr>
        <w:tblStyle w:val="Tabelamrea"/>
        <w:tblW w:w="0" w:type="auto"/>
        <w:tblLook w:val="04A0" w:firstRow="1" w:lastRow="0" w:firstColumn="1" w:lastColumn="0" w:noHBand="0" w:noVBand="1"/>
      </w:tblPr>
      <w:tblGrid>
        <w:gridCol w:w="1271"/>
        <w:gridCol w:w="3544"/>
      </w:tblGrid>
      <w:tr w:rsidR="00CB452A" w:rsidRPr="00CB452A" w14:paraId="68F147B9" w14:textId="77777777" w:rsidTr="00CB452A">
        <w:tc>
          <w:tcPr>
            <w:tcW w:w="1271" w:type="dxa"/>
          </w:tcPr>
          <w:p w14:paraId="4AEAD59A" w14:textId="77777777" w:rsidR="00CB452A" w:rsidRPr="00CB452A" w:rsidRDefault="00CB452A" w:rsidP="00CB452A">
            <w:pPr>
              <w:rPr>
                <w:lang w:eastAsia="sl-SI"/>
              </w:rPr>
            </w:pPr>
            <w:r w:rsidRPr="00CB452A">
              <w:rPr>
                <w:lang w:eastAsia="sl-SI"/>
              </w:rPr>
              <w:t xml:space="preserve">Oznaka </w:t>
            </w:r>
          </w:p>
        </w:tc>
        <w:tc>
          <w:tcPr>
            <w:tcW w:w="3544" w:type="dxa"/>
          </w:tcPr>
          <w:p w14:paraId="2E114E30" w14:textId="77777777" w:rsidR="00CB452A" w:rsidRPr="00CB452A" w:rsidRDefault="00CB452A" w:rsidP="00CB452A">
            <w:pPr>
              <w:rPr>
                <w:lang w:eastAsia="sl-SI"/>
              </w:rPr>
            </w:pPr>
            <w:r w:rsidRPr="00CB452A">
              <w:rPr>
                <w:lang w:eastAsia="sl-SI"/>
              </w:rPr>
              <w:t>Naziv vodovodnega sistema</w:t>
            </w:r>
          </w:p>
        </w:tc>
      </w:tr>
      <w:tr w:rsidR="00CB452A" w:rsidRPr="00CB452A" w14:paraId="13C1C4D9" w14:textId="77777777" w:rsidTr="00CB452A">
        <w:tc>
          <w:tcPr>
            <w:tcW w:w="1271" w:type="dxa"/>
          </w:tcPr>
          <w:p w14:paraId="0B597E92" w14:textId="77777777" w:rsidR="00CB452A" w:rsidRPr="00CB452A" w:rsidRDefault="00CB452A" w:rsidP="00CB452A">
            <w:pPr>
              <w:rPr>
                <w:lang w:eastAsia="sl-SI"/>
              </w:rPr>
            </w:pPr>
            <w:r w:rsidRPr="00CB452A">
              <w:rPr>
                <w:lang w:eastAsia="sl-SI"/>
              </w:rPr>
              <w:t>75</w:t>
            </w:r>
          </w:p>
        </w:tc>
        <w:tc>
          <w:tcPr>
            <w:tcW w:w="3544" w:type="dxa"/>
          </w:tcPr>
          <w:p w14:paraId="03594BE8" w14:textId="77777777" w:rsidR="00CB452A" w:rsidRPr="00CB452A" w:rsidRDefault="00CB452A" w:rsidP="00CB452A">
            <w:pPr>
              <w:rPr>
                <w:lang w:eastAsia="sl-SI"/>
              </w:rPr>
            </w:pPr>
            <w:r w:rsidRPr="00CB452A">
              <w:rPr>
                <w:lang w:eastAsia="sl-SI"/>
              </w:rPr>
              <w:t xml:space="preserve">Šmihel </w:t>
            </w:r>
          </w:p>
        </w:tc>
      </w:tr>
      <w:tr w:rsidR="00CB452A" w:rsidRPr="00CB452A" w14:paraId="35AE4383" w14:textId="77777777" w:rsidTr="00CB452A">
        <w:tc>
          <w:tcPr>
            <w:tcW w:w="1271" w:type="dxa"/>
          </w:tcPr>
          <w:p w14:paraId="0BA969D7" w14:textId="77777777" w:rsidR="00CB452A" w:rsidRPr="00CB452A" w:rsidRDefault="00CB452A" w:rsidP="00CB452A">
            <w:pPr>
              <w:rPr>
                <w:lang w:eastAsia="sl-SI"/>
              </w:rPr>
            </w:pPr>
            <w:r w:rsidRPr="00CB452A">
              <w:rPr>
                <w:lang w:eastAsia="sl-SI"/>
              </w:rPr>
              <w:t>80</w:t>
            </w:r>
          </w:p>
        </w:tc>
        <w:tc>
          <w:tcPr>
            <w:tcW w:w="3544" w:type="dxa"/>
          </w:tcPr>
          <w:p w14:paraId="7D4E08A3" w14:textId="77777777" w:rsidR="00CB452A" w:rsidRPr="00CB452A" w:rsidRDefault="00CB452A" w:rsidP="00CB452A">
            <w:pPr>
              <w:rPr>
                <w:lang w:eastAsia="sl-SI"/>
              </w:rPr>
            </w:pPr>
            <w:r w:rsidRPr="00CB452A">
              <w:rPr>
                <w:lang w:eastAsia="sl-SI"/>
              </w:rPr>
              <w:t xml:space="preserve">Ravnica </w:t>
            </w:r>
          </w:p>
        </w:tc>
      </w:tr>
      <w:tr w:rsidR="00CB452A" w:rsidRPr="00CB452A" w14:paraId="6C429E60" w14:textId="77777777" w:rsidTr="00CB452A">
        <w:tc>
          <w:tcPr>
            <w:tcW w:w="1271" w:type="dxa"/>
          </w:tcPr>
          <w:p w14:paraId="7960BA73" w14:textId="77777777" w:rsidR="00CB452A" w:rsidRPr="00CB452A" w:rsidRDefault="00CB452A" w:rsidP="00CB452A">
            <w:pPr>
              <w:rPr>
                <w:lang w:eastAsia="sl-SI"/>
              </w:rPr>
            </w:pPr>
            <w:r w:rsidRPr="00CB452A">
              <w:rPr>
                <w:lang w:eastAsia="sl-SI"/>
              </w:rPr>
              <w:t xml:space="preserve">30 </w:t>
            </w:r>
          </w:p>
        </w:tc>
        <w:tc>
          <w:tcPr>
            <w:tcW w:w="3544" w:type="dxa"/>
          </w:tcPr>
          <w:p w14:paraId="0EDDC105" w14:textId="77777777" w:rsidR="00CB452A" w:rsidRPr="00CB452A" w:rsidRDefault="00CB452A" w:rsidP="00CB452A">
            <w:pPr>
              <w:rPr>
                <w:lang w:eastAsia="sl-SI"/>
              </w:rPr>
            </w:pPr>
            <w:proofErr w:type="spellStart"/>
            <w:r w:rsidRPr="00CB452A">
              <w:rPr>
                <w:lang w:eastAsia="sl-SI"/>
              </w:rPr>
              <w:t>Dragovica</w:t>
            </w:r>
            <w:proofErr w:type="spellEnd"/>
          </w:p>
        </w:tc>
      </w:tr>
      <w:tr w:rsidR="00CB452A" w:rsidRPr="00CB452A" w14:paraId="52164AED" w14:textId="77777777" w:rsidTr="00CB452A">
        <w:tc>
          <w:tcPr>
            <w:tcW w:w="1271" w:type="dxa"/>
          </w:tcPr>
          <w:p w14:paraId="52C2C69B" w14:textId="77777777" w:rsidR="00CB452A" w:rsidRPr="00CB452A" w:rsidRDefault="00CB452A" w:rsidP="00CB452A">
            <w:pPr>
              <w:rPr>
                <w:lang w:eastAsia="sl-SI"/>
              </w:rPr>
            </w:pPr>
            <w:r w:rsidRPr="00CB452A">
              <w:rPr>
                <w:lang w:eastAsia="sl-SI"/>
              </w:rPr>
              <w:t>85</w:t>
            </w:r>
          </w:p>
        </w:tc>
        <w:tc>
          <w:tcPr>
            <w:tcW w:w="3544" w:type="dxa"/>
          </w:tcPr>
          <w:p w14:paraId="1549FA5C" w14:textId="77777777" w:rsidR="00CB452A" w:rsidRPr="00CB452A" w:rsidRDefault="00CB452A" w:rsidP="00CB452A">
            <w:pPr>
              <w:rPr>
                <w:lang w:eastAsia="sl-SI"/>
              </w:rPr>
            </w:pPr>
            <w:r w:rsidRPr="00CB452A">
              <w:rPr>
                <w:lang w:eastAsia="sl-SI"/>
              </w:rPr>
              <w:t>Vitovlje</w:t>
            </w:r>
          </w:p>
        </w:tc>
      </w:tr>
    </w:tbl>
    <w:p w14:paraId="7C957ECE" w14:textId="77777777" w:rsidR="00CB452A" w:rsidRDefault="00CB452A" w:rsidP="00CB452A">
      <w:pPr>
        <w:rPr>
          <w:lang w:eastAsia="sl-SI"/>
        </w:rPr>
      </w:pPr>
    </w:p>
    <w:p w14:paraId="489E6141" w14:textId="47DCCC46" w:rsidR="00CB452A" w:rsidRPr="00CB452A" w:rsidRDefault="00CB452A" w:rsidP="00CB452A">
      <w:pPr>
        <w:rPr>
          <w:lang w:eastAsia="sl-SI"/>
        </w:rPr>
      </w:pPr>
      <w:r w:rsidRPr="00CB452A">
        <w:rPr>
          <w:lang w:eastAsia="sl-SI"/>
        </w:rPr>
        <w:t xml:space="preserve">Polni prenos zasebnih vodovodnih sistemov v last in upravljanje v okviru izvajanja obvezne lokalne gospodarske službe varstva okolja pa je zahteven proces, ki se pogosto sooča z izzivi: </w:t>
      </w:r>
    </w:p>
    <w:p w14:paraId="1EBCABEB" w14:textId="77777777" w:rsidR="00CB452A" w:rsidRPr="00CB452A" w:rsidRDefault="00CB452A" w:rsidP="00900691">
      <w:pPr>
        <w:pStyle w:val="Odstavekseznama"/>
        <w:numPr>
          <w:ilvl w:val="1"/>
          <w:numId w:val="46"/>
        </w:numPr>
        <w:rPr>
          <w:rFonts w:ascii="Trebuchet MS" w:hAnsi="Trebuchet MS"/>
          <w:lang w:eastAsia="sl-SI"/>
        </w:rPr>
      </w:pPr>
      <w:r w:rsidRPr="00CB452A">
        <w:rPr>
          <w:rFonts w:ascii="Trebuchet MS" w:hAnsi="Trebuchet MS"/>
          <w:lang w:eastAsia="sl-SI"/>
        </w:rPr>
        <w:t xml:space="preserve">Pomanjkljive dokumentacije o načinu izvedbe in vzdrževalnih posegih na zasebnih vodovodnih sistemih. </w:t>
      </w:r>
    </w:p>
    <w:p w14:paraId="471C0E0B" w14:textId="77777777" w:rsidR="00CB452A" w:rsidRPr="00CB452A" w:rsidRDefault="00CB452A" w:rsidP="00900691">
      <w:pPr>
        <w:pStyle w:val="Odstavekseznama"/>
        <w:numPr>
          <w:ilvl w:val="1"/>
          <w:numId w:val="46"/>
        </w:numPr>
        <w:rPr>
          <w:rFonts w:ascii="Trebuchet MS" w:hAnsi="Trebuchet MS"/>
          <w:lang w:eastAsia="sl-SI"/>
        </w:rPr>
      </w:pPr>
      <w:r w:rsidRPr="00CB452A">
        <w:rPr>
          <w:rFonts w:ascii="Trebuchet MS" w:hAnsi="Trebuchet MS"/>
          <w:lang w:eastAsia="sl-SI"/>
        </w:rPr>
        <w:t xml:space="preserve">Pomanjkljivemu upoštevanju tehničnih standardov pri izvedbi zasebnih vodovodnih sistemov, </w:t>
      </w:r>
    </w:p>
    <w:p w14:paraId="1A539444" w14:textId="77777777" w:rsidR="00CB452A" w:rsidRPr="00CB452A" w:rsidRDefault="00CB452A" w:rsidP="00900691">
      <w:pPr>
        <w:pStyle w:val="Odstavekseznama"/>
        <w:numPr>
          <w:ilvl w:val="1"/>
          <w:numId w:val="46"/>
        </w:numPr>
        <w:rPr>
          <w:rFonts w:ascii="Trebuchet MS" w:hAnsi="Trebuchet MS"/>
          <w:lang w:eastAsia="sl-SI"/>
        </w:rPr>
      </w:pPr>
      <w:r w:rsidRPr="00CB452A">
        <w:rPr>
          <w:rFonts w:ascii="Trebuchet MS" w:hAnsi="Trebuchet MS"/>
          <w:lang w:eastAsia="sl-SI"/>
        </w:rPr>
        <w:t xml:space="preserve">Pogosto odsotnemu pravilnemu načinu izvajanja meritev na zasebnih vodovodnih sistemih, kar vključuje količino načrpane vode, količine odvzete vode iz vodovodnih sistemov in iskanju vodnih izgub, </w:t>
      </w:r>
    </w:p>
    <w:p w14:paraId="136BA722" w14:textId="77777777" w:rsidR="00CB452A" w:rsidRPr="00CB452A" w:rsidRDefault="00CB452A" w:rsidP="00900691">
      <w:pPr>
        <w:pStyle w:val="Odstavekseznama"/>
        <w:numPr>
          <w:ilvl w:val="1"/>
          <w:numId w:val="46"/>
        </w:numPr>
        <w:rPr>
          <w:rFonts w:ascii="Trebuchet MS" w:hAnsi="Trebuchet MS"/>
          <w:lang w:eastAsia="sl-SI"/>
        </w:rPr>
      </w:pPr>
      <w:r w:rsidRPr="00CB452A">
        <w:rPr>
          <w:rFonts w:ascii="Trebuchet MS" w:hAnsi="Trebuchet MS"/>
          <w:lang w:eastAsia="sl-SI"/>
        </w:rPr>
        <w:t xml:space="preserve">Odsotnosti načrtovanja in izvajanja preventivnih vzdrževalnih ukrepov, </w:t>
      </w:r>
    </w:p>
    <w:p w14:paraId="23F78032" w14:textId="77777777" w:rsidR="00CB452A" w:rsidRPr="00CB452A" w:rsidRDefault="00CB452A" w:rsidP="00900691">
      <w:pPr>
        <w:pStyle w:val="Odstavekseznama"/>
        <w:numPr>
          <w:ilvl w:val="1"/>
          <w:numId w:val="46"/>
        </w:numPr>
        <w:rPr>
          <w:rFonts w:ascii="Trebuchet MS" w:hAnsi="Trebuchet MS"/>
          <w:lang w:eastAsia="sl-SI"/>
        </w:rPr>
      </w:pPr>
      <w:r w:rsidRPr="00CB452A">
        <w:rPr>
          <w:rFonts w:ascii="Trebuchet MS" w:hAnsi="Trebuchet MS"/>
          <w:lang w:eastAsia="sl-SI"/>
        </w:rPr>
        <w:lastRenderedPageBreak/>
        <w:t xml:space="preserve">Neurejenem pravnem statusu zasebnih vodovodnih sistemov, kar vključuje tako stanje vodne pravice, kakor tudi pravico graditi. </w:t>
      </w:r>
    </w:p>
    <w:p w14:paraId="68FDC485" w14:textId="77777777" w:rsidR="00CB452A" w:rsidRPr="00CB452A" w:rsidRDefault="00CB452A" w:rsidP="00900691">
      <w:pPr>
        <w:pStyle w:val="Odstavekseznama"/>
        <w:numPr>
          <w:ilvl w:val="1"/>
          <w:numId w:val="46"/>
        </w:numPr>
        <w:spacing w:after="120"/>
        <w:ind w:left="1434" w:hanging="357"/>
        <w:rPr>
          <w:rFonts w:ascii="Trebuchet MS" w:hAnsi="Trebuchet MS"/>
          <w:lang w:eastAsia="sl-SI"/>
        </w:rPr>
      </w:pPr>
      <w:r w:rsidRPr="00CB452A">
        <w:rPr>
          <w:rFonts w:ascii="Trebuchet MS" w:hAnsi="Trebuchet MS"/>
          <w:lang w:eastAsia="sl-SI"/>
        </w:rPr>
        <w:t xml:space="preserve">Neurejenim mehanizmom zaračunavanja storitev stroškov amortizacije, vzdrževanja in delovanja zasebnih vodovodnih sistemov. </w:t>
      </w:r>
    </w:p>
    <w:p w14:paraId="5BD75716" w14:textId="77777777" w:rsidR="00CB452A" w:rsidRPr="00CB452A" w:rsidRDefault="00CB452A" w:rsidP="00CB452A">
      <w:pPr>
        <w:rPr>
          <w:lang w:eastAsia="sl-SI"/>
        </w:rPr>
      </w:pPr>
      <w:r w:rsidRPr="00CB452A">
        <w:rPr>
          <w:lang w:eastAsia="sl-SI"/>
        </w:rPr>
        <w:t xml:space="preserve">Zaradi teh prevladujočih težav je prenos zasebnih vodovodnih sistemov v last in upravljanje, kakor je predvideno z uredbo o pitni vodi izredno zahteven proces, ki pogosto vodi v celotno novo izgradnjo vodovodnega sistema, saj je le tako mogoče zagotoviti skladnost s pravnimi, tehničnimi in ekonomsko/finančnimi vidiki obratovanja vodovodnih sistemov. </w:t>
      </w:r>
    </w:p>
    <w:p w14:paraId="6F34C6E6" w14:textId="77777777" w:rsidR="00CB452A" w:rsidRPr="00CB452A" w:rsidRDefault="00CB452A" w:rsidP="00CB452A">
      <w:pPr>
        <w:rPr>
          <w:lang w:eastAsia="sl-SI"/>
        </w:rPr>
      </w:pPr>
      <w:r w:rsidRPr="00CB452A">
        <w:rPr>
          <w:lang w:eastAsia="sl-SI"/>
        </w:rPr>
        <w:t xml:space="preserve">V nadaljevanju je podani kratek opis zasnove javnih vodovodnih sistemov s katerim upravlja izvajalec javne službe Vodovodi in kanalizacija Nova Gorica </w:t>
      </w:r>
      <w:proofErr w:type="spellStart"/>
      <w:r w:rsidRPr="00CB452A">
        <w:rPr>
          <w:lang w:eastAsia="sl-SI"/>
        </w:rPr>
        <w:t>d.d</w:t>
      </w:r>
      <w:proofErr w:type="spellEnd"/>
      <w:r w:rsidRPr="00CB452A">
        <w:rPr>
          <w:lang w:eastAsia="sl-SI"/>
        </w:rPr>
        <w:t xml:space="preserve">. </w:t>
      </w:r>
    </w:p>
    <w:p w14:paraId="2F92A80E" w14:textId="77777777" w:rsidR="00CB452A" w:rsidRPr="00A74AF4" w:rsidRDefault="00CB452A" w:rsidP="00CB452A">
      <w:pPr>
        <w:rPr>
          <w:lang w:eastAsia="sl-SI"/>
        </w:rPr>
      </w:pPr>
      <w:r>
        <w:rPr>
          <w:lang w:eastAsia="sl-SI"/>
        </w:rPr>
        <w:t xml:space="preserve">Pregled javnih vodovodnih sistemov v mestni občini Nova Gorica: </w:t>
      </w:r>
    </w:p>
    <w:tbl>
      <w:tblPr>
        <w:tblStyle w:val="TableGrid"/>
        <w:tblW w:w="8419" w:type="dxa"/>
        <w:tblInd w:w="1" w:type="dxa"/>
        <w:tblCellMar>
          <w:top w:w="4" w:type="dxa"/>
          <w:left w:w="107" w:type="dxa"/>
          <w:right w:w="78" w:type="dxa"/>
        </w:tblCellMar>
        <w:tblLook w:val="04A0" w:firstRow="1" w:lastRow="0" w:firstColumn="1" w:lastColumn="0" w:noHBand="0" w:noVBand="1"/>
      </w:tblPr>
      <w:tblGrid>
        <w:gridCol w:w="3826"/>
        <w:gridCol w:w="2400"/>
        <w:gridCol w:w="2193"/>
      </w:tblGrid>
      <w:tr w:rsidR="00CB452A" w:rsidRPr="00A74AF4" w14:paraId="66723828" w14:textId="77777777" w:rsidTr="00CB452A">
        <w:trPr>
          <w:trHeight w:val="287"/>
        </w:trPr>
        <w:tc>
          <w:tcPr>
            <w:tcW w:w="3826" w:type="dxa"/>
            <w:tcBorders>
              <w:top w:val="single" w:sz="4" w:space="0" w:color="000000"/>
              <w:left w:val="single" w:sz="4" w:space="0" w:color="000000"/>
              <w:bottom w:val="single" w:sz="4" w:space="0" w:color="000000"/>
              <w:right w:val="single" w:sz="4" w:space="0" w:color="000000"/>
            </w:tcBorders>
          </w:tcPr>
          <w:p w14:paraId="203C61D3" w14:textId="77777777" w:rsidR="00CB452A" w:rsidRPr="00A74AF4" w:rsidRDefault="00CB452A" w:rsidP="00CB452A">
            <w:pPr>
              <w:spacing w:line="259" w:lineRule="auto"/>
              <w:jc w:val="left"/>
            </w:pPr>
            <w:r w:rsidRPr="00A74AF4">
              <w:t xml:space="preserve">1241 Bate </w:t>
            </w:r>
          </w:p>
        </w:tc>
        <w:tc>
          <w:tcPr>
            <w:tcW w:w="2400" w:type="dxa"/>
            <w:tcBorders>
              <w:top w:val="single" w:sz="4" w:space="0" w:color="000000"/>
              <w:left w:val="single" w:sz="4" w:space="0" w:color="000000"/>
              <w:bottom w:val="single" w:sz="4" w:space="0" w:color="000000"/>
              <w:right w:val="single" w:sz="4" w:space="0" w:color="000000"/>
            </w:tcBorders>
          </w:tcPr>
          <w:p w14:paraId="478190ED" w14:textId="77777777" w:rsidR="00CB452A" w:rsidRPr="00A74AF4" w:rsidRDefault="00CB452A" w:rsidP="00CB452A">
            <w:pPr>
              <w:spacing w:line="259" w:lineRule="auto"/>
              <w:jc w:val="left"/>
            </w:pPr>
            <w:r w:rsidRPr="00A74AF4">
              <w:t xml:space="preserve"> </w:t>
            </w:r>
          </w:p>
        </w:tc>
        <w:tc>
          <w:tcPr>
            <w:tcW w:w="2193" w:type="dxa"/>
            <w:tcBorders>
              <w:top w:val="single" w:sz="4" w:space="0" w:color="000000"/>
              <w:left w:val="single" w:sz="4" w:space="0" w:color="000000"/>
              <w:bottom w:val="single" w:sz="4" w:space="0" w:color="000000"/>
              <w:right w:val="single" w:sz="4" w:space="0" w:color="000000"/>
            </w:tcBorders>
          </w:tcPr>
          <w:p w14:paraId="50A1B38E" w14:textId="77777777" w:rsidR="00CB452A" w:rsidRPr="00A74AF4" w:rsidRDefault="00CB452A" w:rsidP="00CB452A">
            <w:pPr>
              <w:spacing w:line="259" w:lineRule="auto"/>
              <w:jc w:val="left"/>
            </w:pPr>
            <w:r w:rsidRPr="00A74AF4">
              <w:t xml:space="preserve"> </w:t>
            </w:r>
          </w:p>
        </w:tc>
      </w:tr>
      <w:tr w:rsidR="00CB452A" w:rsidRPr="00A74AF4" w14:paraId="1DDBD62D" w14:textId="77777777" w:rsidTr="00A74AF4">
        <w:trPr>
          <w:trHeight w:val="193"/>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6E1541C" w14:textId="77777777" w:rsidR="00CB452A" w:rsidRPr="00A74AF4" w:rsidRDefault="00CB452A" w:rsidP="00CB452A">
            <w:pPr>
              <w:spacing w:line="259" w:lineRule="auto"/>
              <w:jc w:val="left"/>
            </w:pPr>
            <w:r w:rsidRPr="00A74AF4">
              <w:t xml:space="preserve">JAVNI VODOVOD   ……ID/zaporedna št.………. </w:t>
            </w:r>
          </w:p>
        </w:tc>
        <w:tc>
          <w:tcPr>
            <w:tcW w:w="240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D64A07F" w14:textId="77777777" w:rsidR="00CB452A" w:rsidRPr="00A74AF4" w:rsidRDefault="00CB452A" w:rsidP="00CB452A">
            <w:pPr>
              <w:spacing w:line="259" w:lineRule="auto"/>
              <w:jc w:val="left"/>
            </w:pPr>
            <w:r w:rsidRPr="00A74AF4">
              <w:t xml:space="preserve">ŠTEVILO </w:t>
            </w:r>
          </w:p>
        </w:tc>
        <w:tc>
          <w:tcPr>
            <w:tcW w:w="21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86DF850" w14:textId="77777777" w:rsidR="00CB452A" w:rsidRPr="00A74AF4" w:rsidRDefault="00CB452A" w:rsidP="00CB452A">
            <w:pPr>
              <w:spacing w:line="259" w:lineRule="auto"/>
              <w:jc w:val="left"/>
            </w:pPr>
            <w:r w:rsidRPr="00A74AF4">
              <w:t xml:space="preserve">KOMENTAR </w:t>
            </w:r>
          </w:p>
        </w:tc>
      </w:tr>
      <w:tr w:rsidR="00CB452A" w:rsidRPr="00A74AF4" w14:paraId="6B0BAA84"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5B45045" w14:textId="77777777" w:rsidR="00CB452A" w:rsidRPr="00A74AF4" w:rsidRDefault="00CB452A" w:rsidP="00CB452A">
            <w:pPr>
              <w:spacing w:line="259" w:lineRule="auto"/>
              <w:jc w:val="left"/>
            </w:pPr>
            <w:r w:rsidRPr="00A74AF4">
              <w:t xml:space="preserve">DOLŽINA CEVI BREZ PRIKLJUČKOV [m] </w:t>
            </w:r>
          </w:p>
        </w:tc>
        <w:tc>
          <w:tcPr>
            <w:tcW w:w="2400" w:type="dxa"/>
            <w:tcBorders>
              <w:top w:val="single" w:sz="4" w:space="0" w:color="000000"/>
              <w:left w:val="single" w:sz="4" w:space="0" w:color="000000"/>
              <w:bottom w:val="single" w:sz="4" w:space="0" w:color="000000"/>
              <w:right w:val="single" w:sz="4" w:space="0" w:color="000000"/>
            </w:tcBorders>
          </w:tcPr>
          <w:p w14:paraId="41782B54" w14:textId="77777777" w:rsidR="00CB452A" w:rsidRPr="00A74AF4" w:rsidRDefault="00CB452A" w:rsidP="00CB452A">
            <w:pPr>
              <w:spacing w:line="259" w:lineRule="auto"/>
              <w:jc w:val="left"/>
            </w:pPr>
            <w:r w:rsidRPr="00A74AF4">
              <w:t xml:space="preserve">17568 </w:t>
            </w:r>
          </w:p>
        </w:tc>
        <w:tc>
          <w:tcPr>
            <w:tcW w:w="2193" w:type="dxa"/>
            <w:tcBorders>
              <w:top w:val="single" w:sz="4" w:space="0" w:color="000000"/>
              <w:left w:val="single" w:sz="4" w:space="0" w:color="000000"/>
              <w:bottom w:val="single" w:sz="4" w:space="0" w:color="000000"/>
              <w:right w:val="single" w:sz="4" w:space="0" w:color="000000"/>
            </w:tcBorders>
          </w:tcPr>
          <w:p w14:paraId="3A22FB33" w14:textId="77777777" w:rsidR="00CB452A" w:rsidRPr="00A74AF4" w:rsidRDefault="00CB452A" w:rsidP="00CB452A">
            <w:pPr>
              <w:spacing w:line="259" w:lineRule="auto"/>
              <w:jc w:val="left"/>
            </w:pPr>
            <w:r w:rsidRPr="00A74AF4">
              <w:t xml:space="preserve"> </w:t>
            </w:r>
          </w:p>
        </w:tc>
      </w:tr>
      <w:tr w:rsidR="00CB452A" w:rsidRPr="00A74AF4" w14:paraId="667DB26B"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99985BC" w14:textId="77777777" w:rsidR="00CB452A" w:rsidRPr="00A74AF4" w:rsidRDefault="00CB452A" w:rsidP="00CB452A">
            <w:pPr>
              <w:spacing w:line="259" w:lineRule="auto"/>
              <w:jc w:val="left"/>
            </w:pPr>
            <w:r w:rsidRPr="00A74AF4">
              <w:t xml:space="preserve">VODOHRAN   </w:t>
            </w:r>
          </w:p>
        </w:tc>
        <w:tc>
          <w:tcPr>
            <w:tcW w:w="2400" w:type="dxa"/>
            <w:tcBorders>
              <w:top w:val="single" w:sz="4" w:space="0" w:color="000000"/>
              <w:left w:val="single" w:sz="4" w:space="0" w:color="000000"/>
              <w:bottom w:val="single" w:sz="4" w:space="0" w:color="000000"/>
              <w:right w:val="single" w:sz="4" w:space="0" w:color="000000"/>
            </w:tcBorders>
          </w:tcPr>
          <w:p w14:paraId="51AC59D5" w14:textId="77777777" w:rsidR="00CB452A" w:rsidRPr="00A74AF4" w:rsidRDefault="00CB452A" w:rsidP="00CB452A">
            <w:pPr>
              <w:spacing w:line="259" w:lineRule="auto"/>
              <w:jc w:val="left"/>
            </w:pPr>
            <w:r w:rsidRPr="00A74AF4">
              <w:t xml:space="preserve">2 </w:t>
            </w:r>
          </w:p>
        </w:tc>
        <w:tc>
          <w:tcPr>
            <w:tcW w:w="2193" w:type="dxa"/>
            <w:tcBorders>
              <w:top w:val="single" w:sz="4" w:space="0" w:color="000000"/>
              <w:left w:val="single" w:sz="4" w:space="0" w:color="000000"/>
              <w:bottom w:val="single" w:sz="4" w:space="0" w:color="000000"/>
              <w:right w:val="single" w:sz="4" w:space="0" w:color="000000"/>
            </w:tcBorders>
          </w:tcPr>
          <w:p w14:paraId="5BFF26BB" w14:textId="77777777" w:rsidR="00CB452A" w:rsidRPr="00A74AF4" w:rsidRDefault="00CB452A" w:rsidP="00CB452A">
            <w:pPr>
              <w:spacing w:line="259" w:lineRule="auto"/>
              <w:jc w:val="left"/>
            </w:pPr>
            <w:r w:rsidRPr="00A74AF4">
              <w:t xml:space="preserve"> </w:t>
            </w:r>
          </w:p>
        </w:tc>
      </w:tr>
      <w:tr w:rsidR="00CB452A" w:rsidRPr="00A74AF4" w14:paraId="2490E019"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F328E94" w14:textId="77777777" w:rsidR="00CB452A" w:rsidRPr="00A74AF4" w:rsidRDefault="00CB452A" w:rsidP="00CB452A">
            <w:pPr>
              <w:spacing w:line="259" w:lineRule="auto"/>
              <w:jc w:val="left"/>
            </w:pPr>
            <w:r w:rsidRPr="00A74AF4">
              <w:t xml:space="preserve">ČRPALIŠČE  </w:t>
            </w:r>
          </w:p>
        </w:tc>
        <w:tc>
          <w:tcPr>
            <w:tcW w:w="2400" w:type="dxa"/>
            <w:tcBorders>
              <w:top w:val="single" w:sz="4" w:space="0" w:color="000000"/>
              <w:left w:val="single" w:sz="4" w:space="0" w:color="000000"/>
              <w:bottom w:val="single" w:sz="4" w:space="0" w:color="000000"/>
              <w:right w:val="single" w:sz="4" w:space="0" w:color="000000"/>
            </w:tcBorders>
          </w:tcPr>
          <w:p w14:paraId="5194D08E" w14:textId="77777777" w:rsidR="00CB452A" w:rsidRPr="00A74AF4" w:rsidRDefault="00CB452A" w:rsidP="00CB452A">
            <w:pPr>
              <w:spacing w:line="259" w:lineRule="auto"/>
              <w:jc w:val="left"/>
            </w:pPr>
            <w:r w:rsidRPr="00A74AF4">
              <w:t xml:space="preserve">3 </w:t>
            </w:r>
          </w:p>
        </w:tc>
        <w:tc>
          <w:tcPr>
            <w:tcW w:w="2193" w:type="dxa"/>
            <w:tcBorders>
              <w:top w:val="single" w:sz="4" w:space="0" w:color="000000"/>
              <w:left w:val="single" w:sz="4" w:space="0" w:color="000000"/>
              <w:bottom w:val="single" w:sz="4" w:space="0" w:color="000000"/>
              <w:right w:val="single" w:sz="4" w:space="0" w:color="000000"/>
            </w:tcBorders>
          </w:tcPr>
          <w:p w14:paraId="5511BD1D" w14:textId="77777777" w:rsidR="00CB452A" w:rsidRPr="00A74AF4" w:rsidRDefault="00CB452A" w:rsidP="00CB452A">
            <w:pPr>
              <w:spacing w:line="259" w:lineRule="auto"/>
              <w:jc w:val="left"/>
            </w:pPr>
            <w:r w:rsidRPr="00A74AF4">
              <w:t xml:space="preserve"> </w:t>
            </w:r>
          </w:p>
        </w:tc>
      </w:tr>
      <w:tr w:rsidR="00CB452A" w:rsidRPr="00A74AF4" w14:paraId="00700853"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4F1DB66" w14:textId="77777777" w:rsidR="00CB452A" w:rsidRPr="00A74AF4" w:rsidRDefault="00CB452A" w:rsidP="00CB452A">
            <w:pPr>
              <w:spacing w:line="259" w:lineRule="auto"/>
              <w:jc w:val="left"/>
            </w:pPr>
            <w:r w:rsidRPr="00A74AF4">
              <w:t xml:space="preserve">NAPRAVE ZA OBDELAVO PITNE VODE  </w:t>
            </w:r>
          </w:p>
        </w:tc>
        <w:tc>
          <w:tcPr>
            <w:tcW w:w="2400" w:type="dxa"/>
            <w:tcBorders>
              <w:top w:val="single" w:sz="4" w:space="0" w:color="000000"/>
              <w:left w:val="single" w:sz="4" w:space="0" w:color="000000"/>
              <w:bottom w:val="single" w:sz="4" w:space="0" w:color="000000"/>
              <w:right w:val="single" w:sz="4" w:space="0" w:color="000000"/>
            </w:tcBorders>
          </w:tcPr>
          <w:p w14:paraId="2D7ABA5D" w14:textId="77777777" w:rsidR="00CB452A" w:rsidRPr="00A74AF4" w:rsidRDefault="00CB452A" w:rsidP="00CB452A">
            <w:pPr>
              <w:spacing w:line="259" w:lineRule="auto"/>
              <w:jc w:val="left"/>
            </w:pPr>
            <w:r w:rsidRPr="00A74AF4">
              <w:t xml:space="preserve">2 </w:t>
            </w:r>
          </w:p>
        </w:tc>
        <w:tc>
          <w:tcPr>
            <w:tcW w:w="2193" w:type="dxa"/>
            <w:tcBorders>
              <w:top w:val="single" w:sz="4" w:space="0" w:color="000000"/>
              <w:left w:val="single" w:sz="4" w:space="0" w:color="000000"/>
              <w:bottom w:val="single" w:sz="4" w:space="0" w:color="000000"/>
              <w:right w:val="single" w:sz="4" w:space="0" w:color="000000"/>
            </w:tcBorders>
          </w:tcPr>
          <w:p w14:paraId="584C4140" w14:textId="77777777" w:rsidR="00CB452A" w:rsidRPr="00A74AF4" w:rsidRDefault="00CB452A" w:rsidP="00CB452A">
            <w:pPr>
              <w:spacing w:line="259" w:lineRule="auto"/>
              <w:jc w:val="left"/>
            </w:pPr>
            <w:r w:rsidRPr="00A74AF4">
              <w:t xml:space="preserve"> </w:t>
            </w:r>
          </w:p>
        </w:tc>
      </w:tr>
      <w:tr w:rsidR="00CB452A" w:rsidRPr="00A74AF4" w14:paraId="0B321547" w14:textId="77777777" w:rsidTr="00A74AF4">
        <w:trPr>
          <w:trHeight w:val="377"/>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4FC03FC" w14:textId="77777777" w:rsidR="00CB452A" w:rsidRPr="00A74AF4" w:rsidRDefault="00CB452A" w:rsidP="00CB452A">
            <w:pPr>
              <w:spacing w:line="259" w:lineRule="auto"/>
              <w:jc w:val="left"/>
            </w:pPr>
            <w:r w:rsidRPr="00A74AF4">
              <w:t xml:space="preserve">OBJEKT ZA BOGATENJE ALI AKTIVNO ZAŠČITO VODONOSNIKA  </w:t>
            </w:r>
          </w:p>
        </w:tc>
        <w:tc>
          <w:tcPr>
            <w:tcW w:w="2400" w:type="dxa"/>
            <w:tcBorders>
              <w:top w:val="single" w:sz="4" w:space="0" w:color="000000"/>
              <w:left w:val="single" w:sz="4" w:space="0" w:color="000000"/>
              <w:bottom w:val="single" w:sz="4" w:space="0" w:color="000000"/>
              <w:right w:val="single" w:sz="4" w:space="0" w:color="000000"/>
            </w:tcBorders>
          </w:tcPr>
          <w:p w14:paraId="3331BE5B" w14:textId="77777777" w:rsidR="00CB452A" w:rsidRPr="00A74AF4" w:rsidRDefault="00CB452A" w:rsidP="00CB452A">
            <w:pPr>
              <w:spacing w:line="259" w:lineRule="auto"/>
              <w:jc w:val="left"/>
            </w:pPr>
            <w:r w:rsidRPr="00A74AF4">
              <w:t xml:space="preserve">0 </w:t>
            </w:r>
          </w:p>
        </w:tc>
        <w:tc>
          <w:tcPr>
            <w:tcW w:w="2193" w:type="dxa"/>
            <w:tcBorders>
              <w:top w:val="single" w:sz="4" w:space="0" w:color="000000"/>
              <w:left w:val="single" w:sz="4" w:space="0" w:color="000000"/>
              <w:bottom w:val="single" w:sz="4" w:space="0" w:color="000000"/>
              <w:right w:val="single" w:sz="4" w:space="0" w:color="000000"/>
            </w:tcBorders>
          </w:tcPr>
          <w:p w14:paraId="166065E7" w14:textId="77777777" w:rsidR="00CB452A" w:rsidRPr="00A74AF4" w:rsidRDefault="00CB452A" w:rsidP="00CB452A">
            <w:pPr>
              <w:spacing w:line="259" w:lineRule="auto"/>
              <w:jc w:val="left"/>
            </w:pPr>
            <w:r w:rsidRPr="00A74AF4">
              <w:t xml:space="preserve"> </w:t>
            </w:r>
          </w:p>
        </w:tc>
      </w:tr>
      <w:tr w:rsidR="00CB452A" w:rsidRPr="00A74AF4" w14:paraId="488D7B08" w14:textId="77777777" w:rsidTr="00A74AF4">
        <w:trPr>
          <w:trHeight w:val="701"/>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B670DC7" w14:textId="77777777" w:rsidR="00CB452A" w:rsidRPr="00A74AF4" w:rsidRDefault="00CB452A" w:rsidP="00CB452A">
            <w:pPr>
              <w:spacing w:line="259" w:lineRule="auto"/>
              <w:jc w:val="left"/>
            </w:pPr>
            <w:r w:rsidRPr="00A74AF4">
              <w:t xml:space="preserve">DRUGA OPREMA IN OBJEKTI - NAVESTI  </w:t>
            </w:r>
          </w:p>
        </w:tc>
        <w:tc>
          <w:tcPr>
            <w:tcW w:w="2400" w:type="dxa"/>
            <w:tcBorders>
              <w:top w:val="single" w:sz="4" w:space="0" w:color="000000"/>
              <w:left w:val="single" w:sz="4" w:space="0" w:color="000000"/>
              <w:bottom w:val="single" w:sz="4" w:space="0" w:color="000000"/>
              <w:right w:val="single" w:sz="4" w:space="0" w:color="000000"/>
            </w:tcBorders>
          </w:tcPr>
          <w:p w14:paraId="5B883B9F" w14:textId="77777777" w:rsidR="00CB452A" w:rsidRPr="00A74AF4" w:rsidRDefault="00CB452A" w:rsidP="00CB452A">
            <w:pPr>
              <w:spacing w:line="259" w:lineRule="auto"/>
              <w:jc w:val="left"/>
            </w:pPr>
            <w:r w:rsidRPr="00A74AF4">
              <w:t xml:space="preserve">27 HIDRANTOV </w:t>
            </w:r>
          </w:p>
          <w:p w14:paraId="146422AC" w14:textId="77777777" w:rsidR="00CB452A" w:rsidRPr="00A74AF4" w:rsidRDefault="00CB452A" w:rsidP="00900691">
            <w:pPr>
              <w:numPr>
                <w:ilvl w:val="0"/>
                <w:numId w:val="45"/>
              </w:numPr>
              <w:spacing w:line="259" w:lineRule="auto"/>
              <w:ind w:hanging="151"/>
              <w:jc w:val="left"/>
            </w:pPr>
            <w:r w:rsidRPr="00A74AF4">
              <w:t xml:space="preserve">REZBREMENILNIK </w:t>
            </w:r>
          </w:p>
          <w:p w14:paraId="6092E724" w14:textId="77777777" w:rsidR="00CB452A" w:rsidRPr="00A74AF4" w:rsidRDefault="00CB452A" w:rsidP="00900691">
            <w:pPr>
              <w:numPr>
                <w:ilvl w:val="0"/>
                <w:numId w:val="45"/>
              </w:numPr>
              <w:spacing w:line="259" w:lineRule="auto"/>
              <w:ind w:hanging="151"/>
              <w:jc w:val="left"/>
            </w:pPr>
            <w:r w:rsidRPr="00A74AF4">
              <w:t xml:space="preserve">ZAJETJI </w:t>
            </w:r>
          </w:p>
        </w:tc>
        <w:tc>
          <w:tcPr>
            <w:tcW w:w="2193" w:type="dxa"/>
            <w:tcBorders>
              <w:top w:val="single" w:sz="4" w:space="0" w:color="000000"/>
              <w:left w:val="single" w:sz="4" w:space="0" w:color="000000"/>
              <w:bottom w:val="single" w:sz="4" w:space="0" w:color="000000"/>
              <w:right w:val="single" w:sz="4" w:space="0" w:color="000000"/>
            </w:tcBorders>
          </w:tcPr>
          <w:p w14:paraId="7EBA34EE" w14:textId="77777777" w:rsidR="00CB452A" w:rsidRPr="00A74AF4" w:rsidRDefault="00CB452A" w:rsidP="00CB452A">
            <w:pPr>
              <w:spacing w:line="259" w:lineRule="auto"/>
              <w:jc w:val="left"/>
            </w:pPr>
            <w:r w:rsidRPr="00A74AF4">
              <w:t xml:space="preserve"> </w:t>
            </w:r>
          </w:p>
        </w:tc>
      </w:tr>
      <w:tr w:rsidR="00CB452A" w:rsidRPr="00A74AF4" w14:paraId="253C1304"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6B5C363" w14:textId="77777777" w:rsidR="00CB452A" w:rsidRPr="00A74AF4" w:rsidRDefault="00CB452A" w:rsidP="00CB452A">
            <w:pPr>
              <w:spacing w:line="259" w:lineRule="auto"/>
              <w:jc w:val="left"/>
            </w:pPr>
            <w:r w:rsidRPr="00A74AF4">
              <w:t>KOLIČINA VODE, KI JO ZAGOTAVLJA [m</w:t>
            </w:r>
            <w:r w:rsidRPr="00A74AF4">
              <w:rPr>
                <w:vertAlign w:val="superscript"/>
              </w:rPr>
              <w:t>3</w:t>
            </w:r>
            <w:r w:rsidRPr="00A74AF4">
              <w:t xml:space="preserve">] </w:t>
            </w:r>
          </w:p>
        </w:tc>
        <w:tc>
          <w:tcPr>
            <w:tcW w:w="2400" w:type="dxa"/>
            <w:tcBorders>
              <w:top w:val="single" w:sz="4" w:space="0" w:color="000000"/>
              <w:left w:val="single" w:sz="4" w:space="0" w:color="000000"/>
              <w:bottom w:val="single" w:sz="4" w:space="0" w:color="000000"/>
              <w:right w:val="single" w:sz="4" w:space="0" w:color="000000"/>
            </w:tcBorders>
          </w:tcPr>
          <w:p w14:paraId="361592DE" w14:textId="77777777" w:rsidR="00CB452A" w:rsidRPr="00A74AF4" w:rsidRDefault="00CB452A" w:rsidP="00CB452A">
            <w:pPr>
              <w:spacing w:line="259" w:lineRule="auto"/>
              <w:jc w:val="left"/>
            </w:pPr>
            <w:r w:rsidRPr="00A74AF4">
              <w:t xml:space="preserve">22439 </w:t>
            </w:r>
          </w:p>
        </w:tc>
        <w:tc>
          <w:tcPr>
            <w:tcW w:w="2193" w:type="dxa"/>
            <w:tcBorders>
              <w:top w:val="single" w:sz="4" w:space="0" w:color="000000"/>
              <w:left w:val="single" w:sz="4" w:space="0" w:color="000000"/>
              <w:bottom w:val="single" w:sz="4" w:space="0" w:color="000000"/>
              <w:right w:val="single" w:sz="4" w:space="0" w:color="000000"/>
            </w:tcBorders>
          </w:tcPr>
          <w:p w14:paraId="74B029AF" w14:textId="77777777" w:rsidR="00CB452A" w:rsidRPr="00A74AF4" w:rsidRDefault="00CB452A" w:rsidP="00CB452A">
            <w:pPr>
              <w:spacing w:line="259" w:lineRule="auto"/>
              <w:jc w:val="left"/>
            </w:pPr>
            <w:r w:rsidRPr="00A74AF4">
              <w:t xml:space="preserve"> </w:t>
            </w:r>
          </w:p>
        </w:tc>
      </w:tr>
      <w:tr w:rsidR="00CB452A" w:rsidRPr="00A74AF4" w14:paraId="156B3DAA" w14:textId="77777777" w:rsidTr="00A74AF4">
        <w:trPr>
          <w:trHeight w:val="376"/>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CB23E6C" w14:textId="77777777" w:rsidR="00CB452A" w:rsidRPr="00A74AF4" w:rsidRDefault="00CB452A" w:rsidP="00CB452A">
            <w:pPr>
              <w:spacing w:line="259" w:lineRule="auto"/>
              <w:jc w:val="left"/>
            </w:pPr>
            <w:r w:rsidRPr="00A74AF4">
              <w:t xml:space="preserve">VODOVOD VPISAN V KATASTER JAVNE INFRASTRUKTURE </w:t>
            </w:r>
          </w:p>
        </w:tc>
        <w:tc>
          <w:tcPr>
            <w:tcW w:w="2400" w:type="dxa"/>
            <w:tcBorders>
              <w:top w:val="single" w:sz="4" w:space="0" w:color="000000"/>
              <w:left w:val="single" w:sz="4" w:space="0" w:color="000000"/>
              <w:bottom w:val="single" w:sz="4" w:space="0" w:color="000000"/>
              <w:right w:val="single" w:sz="4" w:space="0" w:color="000000"/>
            </w:tcBorders>
          </w:tcPr>
          <w:p w14:paraId="2D117107" w14:textId="77777777" w:rsidR="00CB452A" w:rsidRPr="00A74AF4" w:rsidRDefault="00CB452A" w:rsidP="00CB452A">
            <w:pPr>
              <w:spacing w:line="259" w:lineRule="auto"/>
              <w:jc w:val="left"/>
            </w:pPr>
            <w:r w:rsidRPr="00A74AF4">
              <w:t xml:space="preserve">DA </w:t>
            </w:r>
          </w:p>
          <w:p w14:paraId="1129F170" w14:textId="77777777" w:rsidR="00CB452A" w:rsidRPr="00A74AF4" w:rsidRDefault="00CB452A" w:rsidP="00CB452A">
            <w:pPr>
              <w:spacing w:line="259" w:lineRule="auto"/>
              <w:jc w:val="left"/>
            </w:pPr>
            <w:r w:rsidRPr="00A74AF4">
              <w:t xml:space="preserve"> </w:t>
            </w:r>
          </w:p>
        </w:tc>
        <w:tc>
          <w:tcPr>
            <w:tcW w:w="2193" w:type="dxa"/>
            <w:tcBorders>
              <w:top w:val="single" w:sz="4" w:space="0" w:color="000000"/>
              <w:left w:val="single" w:sz="4" w:space="0" w:color="000000"/>
              <w:bottom w:val="single" w:sz="4" w:space="0" w:color="000000"/>
              <w:right w:val="single" w:sz="4" w:space="0" w:color="000000"/>
            </w:tcBorders>
          </w:tcPr>
          <w:p w14:paraId="11200BA4" w14:textId="77777777" w:rsidR="00CB452A" w:rsidRPr="00A74AF4" w:rsidRDefault="00CB452A" w:rsidP="00CB452A">
            <w:pPr>
              <w:spacing w:line="259" w:lineRule="auto"/>
              <w:jc w:val="left"/>
            </w:pPr>
            <w:r w:rsidRPr="00A74AF4">
              <w:t xml:space="preserve"> </w:t>
            </w:r>
          </w:p>
        </w:tc>
      </w:tr>
    </w:tbl>
    <w:p w14:paraId="4E29673E" w14:textId="77777777" w:rsidR="00CB452A" w:rsidRPr="00A74AF4" w:rsidRDefault="00CB452A" w:rsidP="00CB452A">
      <w:r w:rsidRPr="00A74AF4">
        <w:t xml:space="preserve">Skupaj vseh vodov je </w:t>
      </w:r>
      <w:r w:rsidRPr="00A74AF4">
        <w:rPr>
          <w:rFonts w:eastAsia="Arial" w:cs="Arial"/>
        </w:rPr>
        <w:t xml:space="preserve">19964 m. </w:t>
      </w:r>
    </w:p>
    <w:tbl>
      <w:tblPr>
        <w:tblStyle w:val="TableGrid"/>
        <w:tblW w:w="8419" w:type="dxa"/>
        <w:tblInd w:w="1" w:type="dxa"/>
        <w:tblCellMar>
          <w:top w:w="5" w:type="dxa"/>
          <w:left w:w="107" w:type="dxa"/>
          <w:right w:w="78" w:type="dxa"/>
        </w:tblCellMar>
        <w:tblLook w:val="04A0" w:firstRow="1" w:lastRow="0" w:firstColumn="1" w:lastColumn="0" w:noHBand="0" w:noVBand="1"/>
      </w:tblPr>
      <w:tblGrid>
        <w:gridCol w:w="3826"/>
        <w:gridCol w:w="2400"/>
        <w:gridCol w:w="2193"/>
      </w:tblGrid>
      <w:tr w:rsidR="00CB452A" w:rsidRPr="00A74AF4" w14:paraId="206A2E77" w14:textId="77777777" w:rsidTr="00CB452A">
        <w:trPr>
          <w:trHeight w:val="288"/>
        </w:trPr>
        <w:tc>
          <w:tcPr>
            <w:tcW w:w="3826" w:type="dxa"/>
            <w:tcBorders>
              <w:top w:val="single" w:sz="4" w:space="0" w:color="000000"/>
              <w:left w:val="single" w:sz="4" w:space="0" w:color="000000"/>
              <w:bottom w:val="single" w:sz="4" w:space="0" w:color="000000"/>
              <w:right w:val="single" w:sz="4" w:space="0" w:color="000000"/>
            </w:tcBorders>
          </w:tcPr>
          <w:p w14:paraId="0427732B" w14:textId="77777777" w:rsidR="00CB452A" w:rsidRPr="00A74AF4" w:rsidRDefault="00CB452A" w:rsidP="00CB452A">
            <w:pPr>
              <w:spacing w:line="259" w:lineRule="auto"/>
              <w:jc w:val="left"/>
            </w:pPr>
            <w:r w:rsidRPr="00A74AF4">
              <w:t xml:space="preserve">1244 Kromberk </w:t>
            </w:r>
          </w:p>
        </w:tc>
        <w:tc>
          <w:tcPr>
            <w:tcW w:w="2400" w:type="dxa"/>
            <w:tcBorders>
              <w:top w:val="single" w:sz="4" w:space="0" w:color="000000"/>
              <w:left w:val="single" w:sz="4" w:space="0" w:color="000000"/>
              <w:bottom w:val="single" w:sz="4" w:space="0" w:color="000000"/>
              <w:right w:val="single" w:sz="4" w:space="0" w:color="000000"/>
            </w:tcBorders>
          </w:tcPr>
          <w:p w14:paraId="7879E8CC" w14:textId="77777777" w:rsidR="00CB452A" w:rsidRPr="00A74AF4" w:rsidRDefault="00CB452A" w:rsidP="00CB452A">
            <w:pPr>
              <w:spacing w:line="259" w:lineRule="auto"/>
              <w:jc w:val="left"/>
            </w:pPr>
            <w:r w:rsidRPr="00A74AF4">
              <w:t xml:space="preserve"> </w:t>
            </w:r>
          </w:p>
        </w:tc>
        <w:tc>
          <w:tcPr>
            <w:tcW w:w="2193" w:type="dxa"/>
            <w:tcBorders>
              <w:top w:val="single" w:sz="4" w:space="0" w:color="000000"/>
              <w:left w:val="single" w:sz="4" w:space="0" w:color="000000"/>
              <w:bottom w:val="single" w:sz="4" w:space="0" w:color="000000"/>
              <w:right w:val="single" w:sz="4" w:space="0" w:color="000000"/>
            </w:tcBorders>
          </w:tcPr>
          <w:p w14:paraId="77E4D271" w14:textId="77777777" w:rsidR="00CB452A" w:rsidRPr="00A74AF4" w:rsidRDefault="00CB452A" w:rsidP="00CB452A">
            <w:pPr>
              <w:spacing w:line="259" w:lineRule="auto"/>
              <w:jc w:val="left"/>
            </w:pPr>
            <w:r w:rsidRPr="00A74AF4">
              <w:t xml:space="preserve"> </w:t>
            </w:r>
          </w:p>
        </w:tc>
      </w:tr>
      <w:tr w:rsidR="00CB452A" w:rsidRPr="00A74AF4" w14:paraId="7D895ED4" w14:textId="77777777" w:rsidTr="00A74AF4">
        <w:trPr>
          <w:trHeight w:val="192"/>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48556FC" w14:textId="77777777" w:rsidR="00CB452A" w:rsidRPr="00A74AF4" w:rsidRDefault="00CB452A" w:rsidP="00CB452A">
            <w:pPr>
              <w:spacing w:line="259" w:lineRule="auto"/>
              <w:jc w:val="left"/>
            </w:pPr>
            <w:r w:rsidRPr="00A74AF4">
              <w:t xml:space="preserve">JAVNI VODOVOD   ……ID/zaporedna št.………. </w:t>
            </w:r>
          </w:p>
        </w:tc>
        <w:tc>
          <w:tcPr>
            <w:tcW w:w="240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A66CD87" w14:textId="77777777" w:rsidR="00CB452A" w:rsidRPr="00A74AF4" w:rsidRDefault="00CB452A" w:rsidP="00CB452A">
            <w:pPr>
              <w:spacing w:line="259" w:lineRule="auto"/>
              <w:jc w:val="left"/>
            </w:pPr>
            <w:r w:rsidRPr="00A74AF4">
              <w:t xml:space="preserve">ŠTEVILO </w:t>
            </w:r>
          </w:p>
        </w:tc>
        <w:tc>
          <w:tcPr>
            <w:tcW w:w="21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4E76E90" w14:textId="77777777" w:rsidR="00CB452A" w:rsidRPr="00A74AF4" w:rsidRDefault="00CB452A" w:rsidP="00CB452A">
            <w:pPr>
              <w:spacing w:line="259" w:lineRule="auto"/>
              <w:jc w:val="left"/>
            </w:pPr>
            <w:r w:rsidRPr="00A74AF4">
              <w:t xml:space="preserve">KOMENTAR </w:t>
            </w:r>
          </w:p>
        </w:tc>
      </w:tr>
      <w:tr w:rsidR="00CB452A" w:rsidRPr="00A74AF4" w14:paraId="3CD5723B"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A07E706" w14:textId="77777777" w:rsidR="00CB452A" w:rsidRPr="00A74AF4" w:rsidRDefault="00CB452A" w:rsidP="00CB452A">
            <w:pPr>
              <w:spacing w:line="259" w:lineRule="auto"/>
              <w:jc w:val="left"/>
            </w:pPr>
            <w:r w:rsidRPr="00A74AF4">
              <w:t xml:space="preserve">DOLŽINA CEVI BREZ PRIKLJUČKOV [m] </w:t>
            </w:r>
          </w:p>
        </w:tc>
        <w:tc>
          <w:tcPr>
            <w:tcW w:w="2400" w:type="dxa"/>
            <w:tcBorders>
              <w:top w:val="single" w:sz="4" w:space="0" w:color="000000"/>
              <w:left w:val="single" w:sz="4" w:space="0" w:color="000000"/>
              <w:bottom w:val="single" w:sz="4" w:space="0" w:color="000000"/>
              <w:right w:val="single" w:sz="4" w:space="0" w:color="000000"/>
            </w:tcBorders>
          </w:tcPr>
          <w:p w14:paraId="3C369C55" w14:textId="77777777" w:rsidR="00CB452A" w:rsidRPr="00A74AF4" w:rsidRDefault="00CB452A" w:rsidP="00CB452A">
            <w:pPr>
              <w:spacing w:line="259" w:lineRule="auto"/>
              <w:jc w:val="left"/>
            </w:pPr>
            <w:r w:rsidRPr="00A74AF4">
              <w:t xml:space="preserve">9356 </w:t>
            </w:r>
          </w:p>
        </w:tc>
        <w:tc>
          <w:tcPr>
            <w:tcW w:w="2193" w:type="dxa"/>
            <w:tcBorders>
              <w:top w:val="single" w:sz="4" w:space="0" w:color="000000"/>
              <w:left w:val="single" w:sz="4" w:space="0" w:color="000000"/>
              <w:bottom w:val="single" w:sz="4" w:space="0" w:color="000000"/>
              <w:right w:val="single" w:sz="4" w:space="0" w:color="000000"/>
            </w:tcBorders>
          </w:tcPr>
          <w:p w14:paraId="161849D7" w14:textId="77777777" w:rsidR="00CB452A" w:rsidRPr="00A74AF4" w:rsidRDefault="00CB452A" w:rsidP="00CB452A">
            <w:pPr>
              <w:spacing w:line="259" w:lineRule="auto"/>
              <w:jc w:val="left"/>
            </w:pPr>
            <w:r w:rsidRPr="00A74AF4">
              <w:t xml:space="preserve"> </w:t>
            </w:r>
          </w:p>
        </w:tc>
      </w:tr>
      <w:tr w:rsidR="00CB452A" w:rsidRPr="00A74AF4" w14:paraId="11D3AD77"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38C12F4" w14:textId="77777777" w:rsidR="00CB452A" w:rsidRPr="00A74AF4" w:rsidRDefault="00CB452A" w:rsidP="00CB452A">
            <w:pPr>
              <w:spacing w:line="259" w:lineRule="auto"/>
              <w:jc w:val="left"/>
            </w:pPr>
            <w:r w:rsidRPr="00A74AF4">
              <w:t xml:space="preserve">VODOHRAN   </w:t>
            </w:r>
          </w:p>
        </w:tc>
        <w:tc>
          <w:tcPr>
            <w:tcW w:w="2400" w:type="dxa"/>
            <w:tcBorders>
              <w:top w:val="single" w:sz="4" w:space="0" w:color="000000"/>
              <w:left w:val="single" w:sz="4" w:space="0" w:color="000000"/>
              <w:bottom w:val="single" w:sz="4" w:space="0" w:color="000000"/>
              <w:right w:val="single" w:sz="4" w:space="0" w:color="000000"/>
            </w:tcBorders>
          </w:tcPr>
          <w:p w14:paraId="0FC00C76" w14:textId="77777777" w:rsidR="00CB452A" w:rsidRPr="00A74AF4" w:rsidRDefault="00CB452A" w:rsidP="00CB452A">
            <w:pPr>
              <w:spacing w:line="259" w:lineRule="auto"/>
              <w:jc w:val="left"/>
            </w:pPr>
            <w:r w:rsidRPr="00A74AF4">
              <w:t xml:space="preserve">5 </w:t>
            </w:r>
          </w:p>
        </w:tc>
        <w:tc>
          <w:tcPr>
            <w:tcW w:w="2193" w:type="dxa"/>
            <w:tcBorders>
              <w:top w:val="single" w:sz="4" w:space="0" w:color="000000"/>
              <w:left w:val="single" w:sz="4" w:space="0" w:color="000000"/>
              <w:bottom w:val="single" w:sz="4" w:space="0" w:color="000000"/>
              <w:right w:val="single" w:sz="4" w:space="0" w:color="000000"/>
            </w:tcBorders>
          </w:tcPr>
          <w:p w14:paraId="55AABAF8" w14:textId="77777777" w:rsidR="00CB452A" w:rsidRPr="00A74AF4" w:rsidRDefault="00CB452A" w:rsidP="00CB452A">
            <w:pPr>
              <w:spacing w:line="259" w:lineRule="auto"/>
              <w:jc w:val="left"/>
            </w:pPr>
            <w:r w:rsidRPr="00A74AF4">
              <w:t xml:space="preserve"> </w:t>
            </w:r>
          </w:p>
        </w:tc>
      </w:tr>
      <w:tr w:rsidR="00CB452A" w:rsidRPr="00A74AF4" w14:paraId="0E0D1527"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0B25AE4" w14:textId="77777777" w:rsidR="00CB452A" w:rsidRPr="00A74AF4" w:rsidRDefault="00CB452A" w:rsidP="00CB452A">
            <w:pPr>
              <w:spacing w:line="259" w:lineRule="auto"/>
              <w:jc w:val="left"/>
            </w:pPr>
            <w:r w:rsidRPr="00A74AF4">
              <w:t xml:space="preserve">ČRPALIŠČE  </w:t>
            </w:r>
          </w:p>
        </w:tc>
        <w:tc>
          <w:tcPr>
            <w:tcW w:w="2400" w:type="dxa"/>
            <w:tcBorders>
              <w:top w:val="single" w:sz="4" w:space="0" w:color="000000"/>
              <w:left w:val="single" w:sz="4" w:space="0" w:color="000000"/>
              <w:bottom w:val="single" w:sz="4" w:space="0" w:color="000000"/>
              <w:right w:val="single" w:sz="4" w:space="0" w:color="000000"/>
            </w:tcBorders>
          </w:tcPr>
          <w:p w14:paraId="55559A32" w14:textId="77777777" w:rsidR="00CB452A" w:rsidRPr="00A74AF4" w:rsidRDefault="00CB452A" w:rsidP="00CB452A">
            <w:pPr>
              <w:spacing w:line="259" w:lineRule="auto"/>
              <w:jc w:val="left"/>
            </w:pPr>
            <w:r w:rsidRPr="00A74AF4">
              <w:t xml:space="preserve">2 </w:t>
            </w:r>
          </w:p>
        </w:tc>
        <w:tc>
          <w:tcPr>
            <w:tcW w:w="2193" w:type="dxa"/>
            <w:tcBorders>
              <w:top w:val="single" w:sz="4" w:space="0" w:color="000000"/>
              <w:left w:val="single" w:sz="4" w:space="0" w:color="000000"/>
              <w:bottom w:val="single" w:sz="4" w:space="0" w:color="000000"/>
              <w:right w:val="single" w:sz="4" w:space="0" w:color="000000"/>
            </w:tcBorders>
          </w:tcPr>
          <w:p w14:paraId="500940F0" w14:textId="77777777" w:rsidR="00CB452A" w:rsidRPr="00A74AF4" w:rsidRDefault="00CB452A" w:rsidP="00CB452A">
            <w:pPr>
              <w:spacing w:line="259" w:lineRule="auto"/>
              <w:jc w:val="left"/>
            </w:pPr>
            <w:r w:rsidRPr="00A74AF4">
              <w:t xml:space="preserve"> </w:t>
            </w:r>
          </w:p>
        </w:tc>
      </w:tr>
      <w:tr w:rsidR="00CB452A" w:rsidRPr="00A74AF4" w14:paraId="13C74BB6"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6F1241B" w14:textId="77777777" w:rsidR="00CB452A" w:rsidRPr="00A74AF4" w:rsidRDefault="00CB452A" w:rsidP="00CB452A">
            <w:pPr>
              <w:spacing w:line="259" w:lineRule="auto"/>
              <w:jc w:val="left"/>
            </w:pPr>
            <w:r w:rsidRPr="00A74AF4">
              <w:t xml:space="preserve">NAPRAVE ZA OBDELAVO PITNE VODE  </w:t>
            </w:r>
          </w:p>
        </w:tc>
        <w:tc>
          <w:tcPr>
            <w:tcW w:w="2400" w:type="dxa"/>
            <w:tcBorders>
              <w:top w:val="single" w:sz="4" w:space="0" w:color="000000"/>
              <w:left w:val="single" w:sz="4" w:space="0" w:color="000000"/>
              <w:bottom w:val="single" w:sz="4" w:space="0" w:color="000000"/>
              <w:right w:val="single" w:sz="4" w:space="0" w:color="000000"/>
            </w:tcBorders>
          </w:tcPr>
          <w:p w14:paraId="0C02D65C" w14:textId="77777777" w:rsidR="00CB452A" w:rsidRPr="00A74AF4" w:rsidRDefault="00CB452A" w:rsidP="00CB452A">
            <w:pPr>
              <w:spacing w:line="259" w:lineRule="auto"/>
              <w:jc w:val="left"/>
            </w:pPr>
            <w:r w:rsidRPr="00A74AF4">
              <w:t xml:space="preserve">2 </w:t>
            </w:r>
          </w:p>
        </w:tc>
        <w:tc>
          <w:tcPr>
            <w:tcW w:w="2193" w:type="dxa"/>
            <w:tcBorders>
              <w:top w:val="single" w:sz="4" w:space="0" w:color="000000"/>
              <w:left w:val="single" w:sz="4" w:space="0" w:color="000000"/>
              <w:bottom w:val="single" w:sz="4" w:space="0" w:color="000000"/>
              <w:right w:val="single" w:sz="4" w:space="0" w:color="000000"/>
            </w:tcBorders>
          </w:tcPr>
          <w:p w14:paraId="63E643E3" w14:textId="77777777" w:rsidR="00CB452A" w:rsidRPr="00A74AF4" w:rsidRDefault="00CB452A" w:rsidP="00CB452A">
            <w:pPr>
              <w:spacing w:line="259" w:lineRule="auto"/>
              <w:jc w:val="left"/>
            </w:pPr>
            <w:r w:rsidRPr="00A74AF4">
              <w:t xml:space="preserve">DEZINFEKCIJA </w:t>
            </w:r>
          </w:p>
        </w:tc>
      </w:tr>
      <w:tr w:rsidR="00CB452A" w:rsidRPr="00A74AF4" w14:paraId="4B04C0B5" w14:textId="77777777" w:rsidTr="00A74AF4">
        <w:trPr>
          <w:trHeight w:val="379"/>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FB03C56" w14:textId="77777777" w:rsidR="00CB452A" w:rsidRPr="00A74AF4" w:rsidRDefault="00CB452A" w:rsidP="00CB452A">
            <w:pPr>
              <w:spacing w:line="259" w:lineRule="auto"/>
              <w:jc w:val="left"/>
            </w:pPr>
            <w:r w:rsidRPr="00A74AF4">
              <w:t xml:space="preserve">OBJEKT ZA BOGATENJE ALI AKTIVNO ZAŠČITO VODONOSNIKA  </w:t>
            </w:r>
          </w:p>
        </w:tc>
        <w:tc>
          <w:tcPr>
            <w:tcW w:w="2400" w:type="dxa"/>
            <w:tcBorders>
              <w:top w:val="single" w:sz="4" w:space="0" w:color="000000"/>
              <w:left w:val="single" w:sz="4" w:space="0" w:color="000000"/>
              <w:bottom w:val="single" w:sz="4" w:space="0" w:color="000000"/>
              <w:right w:val="single" w:sz="4" w:space="0" w:color="000000"/>
            </w:tcBorders>
          </w:tcPr>
          <w:p w14:paraId="0707AA6E" w14:textId="77777777" w:rsidR="00CB452A" w:rsidRPr="00A74AF4" w:rsidRDefault="00CB452A" w:rsidP="00CB452A">
            <w:pPr>
              <w:spacing w:line="259" w:lineRule="auto"/>
              <w:jc w:val="left"/>
            </w:pPr>
            <w:r w:rsidRPr="00A74AF4">
              <w:t xml:space="preserve">0 </w:t>
            </w:r>
          </w:p>
        </w:tc>
        <w:tc>
          <w:tcPr>
            <w:tcW w:w="2193" w:type="dxa"/>
            <w:tcBorders>
              <w:top w:val="single" w:sz="4" w:space="0" w:color="000000"/>
              <w:left w:val="single" w:sz="4" w:space="0" w:color="000000"/>
              <w:bottom w:val="single" w:sz="4" w:space="0" w:color="000000"/>
              <w:right w:val="single" w:sz="4" w:space="0" w:color="000000"/>
            </w:tcBorders>
          </w:tcPr>
          <w:p w14:paraId="4C21E2C0" w14:textId="77777777" w:rsidR="00CB452A" w:rsidRPr="00A74AF4" w:rsidRDefault="00CB452A" w:rsidP="00CB452A">
            <w:pPr>
              <w:spacing w:line="259" w:lineRule="auto"/>
              <w:jc w:val="left"/>
            </w:pPr>
            <w:r w:rsidRPr="00A74AF4">
              <w:t xml:space="preserve"> </w:t>
            </w:r>
          </w:p>
        </w:tc>
      </w:tr>
      <w:tr w:rsidR="00CB452A" w:rsidRPr="00A74AF4" w14:paraId="229B7DE9" w14:textId="77777777" w:rsidTr="00A74AF4">
        <w:trPr>
          <w:trHeight w:val="47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061BB3F" w14:textId="77777777" w:rsidR="00CB452A" w:rsidRPr="00A74AF4" w:rsidRDefault="00CB452A" w:rsidP="00CB452A">
            <w:pPr>
              <w:spacing w:line="259" w:lineRule="auto"/>
              <w:jc w:val="left"/>
            </w:pPr>
            <w:r w:rsidRPr="00A74AF4">
              <w:t xml:space="preserve">DRUGA OPREMA IN OBJEKTI - NAVESTI  </w:t>
            </w:r>
          </w:p>
        </w:tc>
        <w:tc>
          <w:tcPr>
            <w:tcW w:w="2400" w:type="dxa"/>
            <w:tcBorders>
              <w:top w:val="single" w:sz="4" w:space="0" w:color="000000"/>
              <w:left w:val="single" w:sz="4" w:space="0" w:color="000000"/>
              <w:bottom w:val="single" w:sz="4" w:space="0" w:color="000000"/>
              <w:right w:val="single" w:sz="4" w:space="0" w:color="000000"/>
            </w:tcBorders>
          </w:tcPr>
          <w:p w14:paraId="10590B0C" w14:textId="77777777" w:rsidR="00CB452A" w:rsidRPr="00A74AF4" w:rsidRDefault="00CB452A" w:rsidP="00CB452A">
            <w:pPr>
              <w:spacing w:line="259" w:lineRule="auto"/>
              <w:jc w:val="left"/>
            </w:pPr>
            <w:r w:rsidRPr="00A74AF4">
              <w:t xml:space="preserve">43 HIDRANTOV </w:t>
            </w:r>
          </w:p>
          <w:p w14:paraId="430996D0" w14:textId="77777777" w:rsidR="00CB452A" w:rsidRPr="00A74AF4" w:rsidRDefault="00CB452A" w:rsidP="00CB452A">
            <w:pPr>
              <w:spacing w:line="259" w:lineRule="auto"/>
              <w:jc w:val="left"/>
            </w:pPr>
            <w:r w:rsidRPr="00A74AF4">
              <w:t xml:space="preserve">4 ZAJETJA </w:t>
            </w:r>
          </w:p>
        </w:tc>
        <w:tc>
          <w:tcPr>
            <w:tcW w:w="2193" w:type="dxa"/>
            <w:tcBorders>
              <w:top w:val="single" w:sz="4" w:space="0" w:color="000000"/>
              <w:left w:val="single" w:sz="4" w:space="0" w:color="000000"/>
              <w:bottom w:val="single" w:sz="4" w:space="0" w:color="000000"/>
              <w:right w:val="single" w:sz="4" w:space="0" w:color="000000"/>
            </w:tcBorders>
          </w:tcPr>
          <w:p w14:paraId="61EB8007" w14:textId="77777777" w:rsidR="00CB452A" w:rsidRPr="00A74AF4" w:rsidRDefault="00CB452A" w:rsidP="00CB452A">
            <w:pPr>
              <w:spacing w:line="259" w:lineRule="auto"/>
              <w:jc w:val="left"/>
            </w:pPr>
            <w:r w:rsidRPr="00A74AF4">
              <w:t xml:space="preserve"> </w:t>
            </w:r>
          </w:p>
        </w:tc>
      </w:tr>
      <w:tr w:rsidR="00CB452A" w:rsidRPr="00A74AF4" w14:paraId="35EC7C92"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23A26AA" w14:textId="77777777" w:rsidR="00CB452A" w:rsidRPr="00A74AF4" w:rsidRDefault="00CB452A" w:rsidP="00CB452A">
            <w:pPr>
              <w:spacing w:line="259" w:lineRule="auto"/>
              <w:jc w:val="left"/>
            </w:pPr>
            <w:r w:rsidRPr="00A74AF4">
              <w:lastRenderedPageBreak/>
              <w:t>KOLIČINA VODE, KI JO ZAGOTAVLJA [m</w:t>
            </w:r>
            <w:r w:rsidRPr="00A74AF4">
              <w:rPr>
                <w:vertAlign w:val="superscript"/>
              </w:rPr>
              <w:t>3</w:t>
            </w:r>
            <w:r w:rsidRPr="00A74AF4">
              <w:t xml:space="preserve">] </w:t>
            </w:r>
          </w:p>
        </w:tc>
        <w:tc>
          <w:tcPr>
            <w:tcW w:w="2400" w:type="dxa"/>
            <w:tcBorders>
              <w:top w:val="single" w:sz="4" w:space="0" w:color="000000"/>
              <w:left w:val="single" w:sz="4" w:space="0" w:color="000000"/>
              <w:bottom w:val="single" w:sz="4" w:space="0" w:color="000000"/>
              <w:right w:val="single" w:sz="4" w:space="0" w:color="000000"/>
            </w:tcBorders>
          </w:tcPr>
          <w:p w14:paraId="4BEA2B7D" w14:textId="77777777" w:rsidR="00CB452A" w:rsidRPr="00A74AF4" w:rsidRDefault="00CB452A" w:rsidP="00CB452A">
            <w:pPr>
              <w:spacing w:line="259" w:lineRule="auto"/>
              <w:jc w:val="left"/>
            </w:pPr>
            <w:r w:rsidRPr="00A74AF4">
              <w:t xml:space="preserve">112513 </w:t>
            </w:r>
          </w:p>
        </w:tc>
        <w:tc>
          <w:tcPr>
            <w:tcW w:w="2193" w:type="dxa"/>
            <w:tcBorders>
              <w:top w:val="single" w:sz="4" w:space="0" w:color="000000"/>
              <w:left w:val="single" w:sz="4" w:space="0" w:color="000000"/>
              <w:bottom w:val="single" w:sz="4" w:space="0" w:color="000000"/>
              <w:right w:val="single" w:sz="4" w:space="0" w:color="000000"/>
            </w:tcBorders>
          </w:tcPr>
          <w:p w14:paraId="71932B2E" w14:textId="77777777" w:rsidR="00CB452A" w:rsidRPr="00A74AF4" w:rsidRDefault="00CB452A" w:rsidP="00CB452A">
            <w:pPr>
              <w:spacing w:line="259" w:lineRule="auto"/>
              <w:jc w:val="left"/>
            </w:pPr>
            <w:r w:rsidRPr="00A74AF4">
              <w:t xml:space="preserve"> </w:t>
            </w:r>
          </w:p>
        </w:tc>
      </w:tr>
      <w:tr w:rsidR="00CB452A" w:rsidRPr="00A74AF4" w14:paraId="5CB9272C" w14:textId="77777777" w:rsidTr="00A74AF4">
        <w:trPr>
          <w:trHeight w:val="377"/>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C73C66E" w14:textId="77777777" w:rsidR="00CB452A" w:rsidRPr="00A74AF4" w:rsidRDefault="00CB452A" w:rsidP="00CB452A">
            <w:pPr>
              <w:spacing w:line="259" w:lineRule="auto"/>
              <w:jc w:val="left"/>
            </w:pPr>
            <w:r w:rsidRPr="00A74AF4">
              <w:t xml:space="preserve">VODOVOD VPISAN V KATASTER JAVNE INFRASTRUKTURE </w:t>
            </w:r>
          </w:p>
        </w:tc>
        <w:tc>
          <w:tcPr>
            <w:tcW w:w="2400" w:type="dxa"/>
            <w:tcBorders>
              <w:top w:val="single" w:sz="4" w:space="0" w:color="000000"/>
              <w:left w:val="single" w:sz="4" w:space="0" w:color="000000"/>
              <w:bottom w:val="single" w:sz="4" w:space="0" w:color="000000"/>
              <w:right w:val="single" w:sz="4" w:space="0" w:color="000000"/>
            </w:tcBorders>
          </w:tcPr>
          <w:p w14:paraId="10903830" w14:textId="77777777" w:rsidR="00CB452A" w:rsidRPr="00A74AF4" w:rsidRDefault="00CB452A" w:rsidP="00CB452A">
            <w:pPr>
              <w:spacing w:line="259" w:lineRule="auto"/>
              <w:jc w:val="left"/>
            </w:pPr>
            <w:r w:rsidRPr="00A74AF4">
              <w:t xml:space="preserve">DA </w:t>
            </w:r>
          </w:p>
          <w:p w14:paraId="07C85532" w14:textId="77777777" w:rsidR="00CB452A" w:rsidRPr="00A74AF4" w:rsidRDefault="00CB452A" w:rsidP="00CB452A">
            <w:pPr>
              <w:spacing w:line="259" w:lineRule="auto"/>
              <w:jc w:val="left"/>
            </w:pPr>
            <w:r w:rsidRPr="00A74AF4">
              <w:t xml:space="preserve"> </w:t>
            </w:r>
          </w:p>
        </w:tc>
        <w:tc>
          <w:tcPr>
            <w:tcW w:w="2193" w:type="dxa"/>
            <w:tcBorders>
              <w:top w:val="single" w:sz="4" w:space="0" w:color="000000"/>
              <w:left w:val="single" w:sz="4" w:space="0" w:color="000000"/>
              <w:bottom w:val="single" w:sz="4" w:space="0" w:color="000000"/>
              <w:right w:val="single" w:sz="4" w:space="0" w:color="000000"/>
            </w:tcBorders>
          </w:tcPr>
          <w:p w14:paraId="2B7904C8" w14:textId="77777777" w:rsidR="00CB452A" w:rsidRPr="00A74AF4" w:rsidRDefault="00CB452A" w:rsidP="00CB452A">
            <w:pPr>
              <w:spacing w:line="259" w:lineRule="auto"/>
              <w:jc w:val="left"/>
            </w:pPr>
            <w:r w:rsidRPr="00A74AF4">
              <w:t xml:space="preserve"> </w:t>
            </w:r>
          </w:p>
        </w:tc>
      </w:tr>
    </w:tbl>
    <w:p w14:paraId="7120C34A" w14:textId="519DFDB0" w:rsidR="00CB452A" w:rsidRPr="00A74AF4" w:rsidRDefault="00CB452A" w:rsidP="00A74AF4">
      <w:r w:rsidRPr="00A74AF4">
        <w:t xml:space="preserve">Skupaj vseh vodov je </w:t>
      </w:r>
      <w:r w:rsidRPr="00A74AF4">
        <w:rPr>
          <w:rFonts w:eastAsia="Arial" w:cs="Arial"/>
        </w:rPr>
        <w:t xml:space="preserve">13822 m. </w:t>
      </w:r>
    </w:p>
    <w:tbl>
      <w:tblPr>
        <w:tblStyle w:val="TableGrid"/>
        <w:tblW w:w="8419" w:type="dxa"/>
        <w:tblInd w:w="1" w:type="dxa"/>
        <w:tblCellMar>
          <w:top w:w="4" w:type="dxa"/>
          <w:left w:w="106" w:type="dxa"/>
          <w:right w:w="78" w:type="dxa"/>
        </w:tblCellMar>
        <w:tblLook w:val="04A0" w:firstRow="1" w:lastRow="0" w:firstColumn="1" w:lastColumn="0" w:noHBand="0" w:noVBand="1"/>
      </w:tblPr>
      <w:tblGrid>
        <w:gridCol w:w="3826"/>
        <w:gridCol w:w="2400"/>
        <w:gridCol w:w="2193"/>
      </w:tblGrid>
      <w:tr w:rsidR="00CB452A" w:rsidRPr="00A74AF4" w14:paraId="7BD82DDD" w14:textId="77777777" w:rsidTr="00CB452A">
        <w:trPr>
          <w:trHeight w:val="287"/>
        </w:trPr>
        <w:tc>
          <w:tcPr>
            <w:tcW w:w="3826" w:type="dxa"/>
            <w:tcBorders>
              <w:top w:val="single" w:sz="4" w:space="0" w:color="000000"/>
              <w:left w:val="single" w:sz="4" w:space="0" w:color="000000"/>
              <w:bottom w:val="single" w:sz="4" w:space="0" w:color="000000"/>
              <w:right w:val="single" w:sz="4" w:space="0" w:color="000000"/>
            </w:tcBorders>
          </w:tcPr>
          <w:p w14:paraId="10F0DF54" w14:textId="77777777" w:rsidR="00CB452A" w:rsidRPr="00A74AF4" w:rsidRDefault="00CB452A" w:rsidP="00CB452A">
            <w:pPr>
              <w:spacing w:line="259" w:lineRule="auto"/>
              <w:jc w:val="left"/>
            </w:pPr>
            <w:r w:rsidRPr="00A74AF4">
              <w:t xml:space="preserve">1245 Vrba (Ozeljan) </w:t>
            </w:r>
          </w:p>
        </w:tc>
        <w:tc>
          <w:tcPr>
            <w:tcW w:w="2400" w:type="dxa"/>
            <w:tcBorders>
              <w:top w:val="single" w:sz="4" w:space="0" w:color="000000"/>
              <w:left w:val="single" w:sz="4" w:space="0" w:color="000000"/>
              <w:bottom w:val="single" w:sz="4" w:space="0" w:color="000000"/>
              <w:right w:val="single" w:sz="4" w:space="0" w:color="000000"/>
            </w:tcBorders>
          </w:tcPr>
          <w:p w14:paraId="03B44D4C" w14:textId="77777777" w:rsidR="00CB452A" w:rsidRPr="00A74AF4" w:rsidRDefault="00CB452A" w:rsidP="00CB452A">
            <w:pPr>
              <w:spacing w:line="259" w:lineRule="auto"/>
              <w:jc w:val="left"/>
            </w:pPr>
            <w:r w:rsidRPr="00A74AF4">
              <w:t xml:space="preserve"> </w:t>
            </w:r>
          </w:p>
        </w:tc>
        <w:tc>
          <w:tcPr>
            <w:tcW w:w="2193" w:type="dxa"/>
            <w:tcBorders>
              <w:top w:val="single" w:sz="4" w:space="0" w:color="000000"/>
              <w:left w:val="single" w:sz="4" w:space="0" w:color="000000"/>
              <w:bottom w:val="single" w:sz="4" w:space="0" w:color="000000"/>
              <w:right w:val="single" w:sz="4" w:space="0" w:color="000000"/>
            </w:tcBorders>
          </w:tcPr>
          <w:p w14:paraId="3705FD6E" w14:textId="77777777" w:rsidR="00CB452A" w:rsidRPr="00A74AF4" w:rsidRDefault="00CB452A" w:rsidP="00CB452A">
            <w:pPr>
              <w:spacing w:line="259" w:lineRule="auto"/>
              <w:jc w:val="left"/>
            </w:pPr>
            <w:r w:rsidRPr="00A74AF4">
              <w:t xml:space="preserve"> </w:t>
            </w:r>
          </w:p>
        </w:tc>
      </w:tr>
      <w:tr w:rsidR="00CB452A" w:rsidRPr="00A74AF4" w14:paraId="5B45EDAB" w14:textId="77777777" w:rsidTr="00A74AF4">
        <w:trPr>
          <w:trHeight w:val="193"/>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F646D60" w14:textId="77777777" w:rsidR="00CB452A" w:rsidRPr="00A74AF4" w:rsidRDefault="00CB452A" w:rsidP="00CB452A">
            <w:pPr>
              <w:spacing w:line="259" w:lineRule="auto"/>
              <w:jc w:val="left"/>
            </w:pPr>
            <w:r w:rsidRPr="00A74AF4">
              <w:t xml:space="preserve">JAVNI VODOVOD   ……ID/zaporedna št.………. </w:t>
            </w:r>
          </w:p>
        </w:tc>
        <w:tc>
          <w:tcPr>
            <w:tcW w:w="240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AC4B98B" w14:textId="77777777" w:rsidR="00CB452A" w:rsidRPr="00A74AF4" w:rsidRDefault="00CB452A" w:rsidP="00CB452A">
            <w:pPr>
              <w:spacing w:line="259" w:lineRule="auto"/>
              <w:jc w:val="left"/>
            </w:pPr>
            <w:r w:rsidRPr="00A74AF4">
              <w:t xml:space="preserve">ŠTEVILO </w:t>
            </w:r>
          </w:p>
        </w:tc>
        <w:tc>
          <w:tcPr>
            <w:tcW w:w="21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80ECFC8" w14:textId="77777777" w:rsidR="00CB452A" w:rsidRPr="00A74AF4" w:rsidRDefault="00CB452A" w:rsidP="00CB452A">
            <w:pPr>
              <w:spacing w:line="259" w:lineRule="auto"/>
              <w:jc w:val="left"/>
            </w:pPr>
            <w:r w:rsidRPr="00A74AF4">
              <w:t xml:space="preserve">KOMENTAR </w:t>
            </w:r>
          </w:p>
        </w:tc>
      </w:tr>
      <w:tr w:rsidR="00CB452A" w:rsidRPr="00A74AF4" w14:paraId="6C495D0A"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4BB93F0" w14:textId="77777777" w:rsidR="00CB452A" w:rsidRPr="00A74AF4" w:rsidRDefault="00CB452A" w:rsidP="00CB452A">
            <w:pPr>
              <w:spacing w:line="259" w:lineRule="auto"/>
              <w:jc w:val="left"/>
            </w:pPr>
            <w:r w:rsidRPr="00A74AF4">
              <w:t xml:space="preserve">DOLŽINA CEVI BREZ PRIKLJUČKOV [m] </w:t>
            </w:r>
          </w:p>
        </w:tc>
        <w:tc>
          <w:tcPr>
            <w:tcW w:w="2400" w:type="dxa"/>
            <w:tcBorders>
              <w:top w:val="single" w:sz="4" w:space="0" w:color="000000"/>
              <w:left w:val="single" w:sz="4" w:space="0" w:color="000000"/>
              <w:bottom w:val="single" w:sz="4" w:space="0" w:color="000000"/>
              <w:right w:val="single" w:sz="4" w:space="0" w:color="000000"/>
            </w:tcBorders>
          </w:tcPr>
          <w:p w14:paraId="4B27175C" w14:textId="77777777" w:rsidR="00CB452A" w:rsidRPr="00A74AF4" w:rsidRDefault="00CB452A" w:rsidP="00CB452A">
            <w:pPr>
              <w:spacing w:line="259" w:lineRule="auto"/>
              <w:jc w:val="left"/>
            </w:pPr>
            <w:r w:rsidRPr="00A74AF4">
              <w:t xml:space="preserve">7401 </w:t>
            </w:r>
          </w:p>
        </w:tc>
        <w:tc>
          <w:tcPr>
            <w:tcW w:w="2193" w:type="dxa"/>
            <w:tcBorders>
              <w:top w:val="single" w:sz="4" w:space="0" w:color="000000"/>
              <w:left w:val="single" w:sz="4" w:space="0" w:color="000000"/>
              <w:bottom w:val="single" w:sz="4" w:space="0" w:color="000000"/>
              <w:right w:val="single" w:sz="4" w:space="0" w:color="000000"/>
            </w:tcBorders>
          </w:tcPr>
          <w:p w14:paraId="35B7EE9A" w14:textId="77777777" w:rsidR="00CB452A" w:rsidRPr="00A74AF4" w:rsidRDefault="00CB452A" w:rsidP="00CB452A">
            <w:pPr>
              <w:spacing w:line="259" w:lineRule="auto"/>
              <w:jc w:val="left"/>
            </w:pPr>
            <w:r w:rsidRPr="00A74AF4">
              <w:t xml:space="preserve"> </w:t>
            </w:r>
          </w:p>
        </w:tc>
      </w:tr>
      <w:tr w:rsidR="00CB452A" w:rsidRPr="00A74AF4" w14:paraId="7078ED95"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5833354" w14:textId="77777777" w:rsidR="00CB452A" w:rsidRPr="00A74AF4" w:rsidRDefault="00CB452A" w:rsidP="00CB452A">
            <w:pPr>
              <w:spacing w:line="259" w:lineRule="auto"/>
              <w:jc w:val="left"/>
            </w:pPr>
            <w:r w:rsidRPr="00A74AF4">
              <w:t xml:space="preserve">VODOHRAN   </w:t>
            </w:r>
          </w:p>
        </w:tc>
        <w:tc>
          <w:tcPr>
            <w:tcW w:w="2400" w:type="dxa"/>
            <w:tcBorders>
              <w:top w:val="single" w:sz="4" w:space="0" w:color="000000"/>
              <w:left w:val="single" w:sz="4" w:space="0" w:color="000000"/>
              <w:bottom w:val="single" w:sz="4" w:space="0" w:color="000000"/>
              <w:right w:val="single" w:sz="4" w:space="0" w:color="000000"/>
            </w:tcBorders>
          </w:tcPr>
          <w:p w14:paraId="25551088" w14:textId="77777777" w:rsidR="00CB452A" w:rsidRPr="00A74AF4" w:rsidRDefault="00CB452A" w:rsidP="00CB452A">
            <w:pPr>
              <w:spacing w:line="259" w:lineRule="auto"/>
              <w:jc w:val="left"/>
            </w:pPr>
            <w:r w:rsidRPr="00A74AF4">
              <w:t xml:space="preserve">3 </w:t>
            </w:r>
          </w:p>
        </w:tc>
        <w:tc>
          <w:tcPr>
            <w:tcW w:w="2193" w:type="dxa"/>
            <w:tcBorders>
              <w:top w:val="single" w:sz="4" w:space="0" w:color="000000"/>
              <w:left w:val="single" w:sz="4" w:space="0" w:color="000000"/>
              <w:bottom w:val="single" w:sz="4" w:space="0" w:color="000000"/>
              <w:right w:val="single" w:sz="4" w:space="0" w:color="000000"/>
            </w:tcBorders>
          </w:tcPr>
          <w:p w14:paraId="4B680447" w14:textId="77777777" w:rsidR="00CB452A" w:rsidRPr="00A74AF4" w:rsidRDefault="00CB452A" w:rsidP="00CB452A">
            <w:pPr>
              <w:spacing w:line="259" w:lineRule="auto"/>
              <w:jc w:val="left"/>
            </w:pPr>
            <w:r w:rsidRPr="00A74AF4">
              <w:t xml:space="preserve"> </w:t>
            </w:r>
          </w:p>
        </w:tc>
      </w:tr>
      <w:tr w:rsidR="00CB452A" w:rsidRPr="00A74AF4" w14:paraId="6B9C5407"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A3F6C81" w14:textId="77777777" w:rsidR="00CB452A" w:rsidRPr="00A74AF4" w:rsidRDefault="00CB452A" w:rsidP="00CB452A">
            <w:pPr>
              <w:spacing w:line="259" w:lineRule="auto"/>
              <w:jc w:val="left"/>
            </w:pPr>
            <w:r w:rsidRPr="00A74AF4">
              <w:t xml:space="preserve">ČRPALIŠČE  </w:t>
            </w:r>
          </w:p>
        </w:tc>
        <w:tc>
          <w:tcPr>
            <w:tcW w:w="2400" w:type="dxa"/>
            <w:tcBorders>
              <w:top w:val="single" w:sz="4" w:space="0" w:color="000000"/>
              <w:left w:val="single" w:sz="4" w:space="0" w:color="000000"/>
              <w:bottom w:val="single" w:sz="4" w:space="0" w:color="000000"/>
              <w:right w:val="single" w:sz="4" w:space="0" w:color="000000"/>
            </w:tcBorders>
          </w:tcPr>
          <w:p w14:paraId="1E3288FA" w14:textId="77777777" w:rsidR="00CB452A" w:rsidRPr="00A74AF4" w:rsidRDefault="00CB452A" w:rsidP="00CB452A">
            <w:pPr>
              <w:spacing w:line="259" w:lineRule="auto"/>
              <w:jc w:val="left"/>
            </w:pPr>
            <w:r w:rsidRPr="00A74AF4">
              <w:t xml:space="preserve">0 </w:t>
            </w:r>
          </w:p>
        </w:tc>
        <w:tc>
          <w:tcPr>
            <w:tcW w:w="2193" w:type="dxa"/>
            <w:tcBorders>
              <w:top w:val="single" w:sz="4" w:space="0" w:color="000000"/>
              <w:left w:val="single" w:sz="4" w:space="0" w:color="000000"/>
              <w:bottom w:val="single" w:sz="4" w:space="0" w:color="000000"/>
              <w:right w:val="single" w:sz="4" w:space="0" w:color="000000"/>
            </w:tcBorders>
          </w:tcPr>
          <w:p w14:paraId="13BD98D1" w14:textId="77777777" w:rsidR="00CB452A" w:rsidRPr="00A74AF4" w:rsidRDefault="00CB452A" w:rsidP="00CB452A">
            <w:pPr>
              <w:spacing w:line="259" w:lineRule="auto"/>
              <w:jc w:val="left"/>
            </w:pPr>
            <w:r w:rsidRPr="00A74AF4">
              <w:t xml:space="preserve"> </w:t>
            </w:r>
          </w:p>
        </w:tc>
      </w:tr>
      <w:tr w:rsidR="00CB452A" w:rsidRPr="00A74AF4" w14:paraId="31B4F23A"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7508308" w14:textId="77777777" w:rsidR="00CB452A" w:rsidRPr="00A74AF4" w:rsidRDefault="00CB452A" w:rsidP="00CB452A">
            <w:pPr>
              <w:spacing w:line="259" w:lineRule="auto"/>
              <w:jc w:val="left"/>
            </w:pPr>
            <w:r w:rsidRPr="00A74AF4">
              <w:t xml:space="preserve">NAPRAVE ZA OBDELAVO PITNE VODE  </w:t>
            </w:r>
          </w:p>
        </w:tc>
        <w:tc>
          <w:tcPr>
            <w:tcW w:w="2400" w:type="dxa"/>
            <w:tcBorders>
              <w:top w:val="single" w:sz="4" w:space="0" w:color="000000"/>
              <w:left w:val="single" w:sz="4" w:space="0" w:color="000000"/>
              <w:bottom w:val="single" w:sz="4" w:space="0" w:color="000000"/>
              <w:right w:val="single" w:sz="4" w:space="0" w:color="000000"/>
            </w:tcBorders>
          </w:tcPr>
          <w:p w14:paraId="16BFB8BA" w14:textId="77777777" w:rsidR="00CB452A" w:rsidRPr="00A74AF4" w:rsidRDefault="00CB452A" w:rsidP="00CB452A">
            <w:pPr>
              <w:spacing w:line="259" w:lineRule="auto"/>
              <w:jc w:val="left"/>
            </w:pPr>
            <w:r w:rsidRPr="00A74AF4">
              <w:t xml:space="preserve">1 </w:t>
            </w:r>
          </w:p>
        </w:tc>
        <w:tc>
          <w:tcPr>
            <w:tcW w:w="2193" w:type="dxa"/>
            <w:tcBorders>
              <w:top w:val="single" w:sz="4" w:space="0" w:color="000000"/>
              <w:left w:val="single" w:sz="4" w:space="0" w:color="000000"/>
              <w:bottom w:val="single" w:sz="4" w:space="0" w:color="000000"/>
              <w:right w:val="single" w:sz="4" w:space="0" w:color="000000"/>
            </w:tcBorders>
          </w:tcPr>
          <w:p w14:paraId="541E83D9" w14:textId="77777777" w:rsidR="00CB452A" w:rsidRPr="00A74AF4" w:rsidRDefault="00CB452A" w:rsidP="00CB452A">
            <w:pPr>
              <w:spacing w:line="259" w:lineRule="auto"/>
              <w:jc w:val="left"/>
            </w:pPr>
            <w:r w:rsidRPr="00A74AF4">
              <w:t xml:space="preserve"> </w:t>
            </w:r>
          </w:p>
        </w:tc>
      </w:tr>
      <w:tr w:rsidR="00CB452A" w:rsidRPr="00A74AF4" w14:paraId="7E826124" w14:textId="77777777" w:rsidTr="00A74AF4">
        <w:trPr>
          <w:trHeight w:val="378"/>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5BD5F1C" w14:textId="77777777" w:rsidR="00CB452A" w:rsidRPr="00A74AF4" w:rsidRDefault="00CB452A" w:rsidP="00CB452A">
            <w:pPr>
              <w:spacing w:line="259" w:lineRule="auto"/>
              <w:jc w:val="left"/>
            </w:pPr>
            <w:r w:rsidRPr="00A74AF4">
              <w:t xml:space="preserve">OBJEKT ZA BOGATENJE ALI AKTIVNO ZAŠČITO VODONOSNIKA  </w:t>
            </w:r>
          </w:p>
        </w:tc>
        <w:tc>
          <w:tcPr>
            <w:tcW w:w="2400" w:type="dxa"/>
            <w:tcBorders>
              <w:top w:val="single" w:sz="4" w:space="0" w:color="000000"/>
              <w:left w:val="single" w:sz="4" w:space="0" w:color="000000"/>
              <w:bottom w:val="single" w:sz="4" w:space="0" w:color="000000"/>
              <w:right w:val="single" w:sz="4" w:space="0" w:color="000000"/>
            </w:tcBorders>
          </w:tcPr>
          <w:p w14:paraId="4CF665F3" w14:textId="77777777" w:rsidR="00CB452A" w:rsidRPr="00A74AF4" w:rsidRDefault="00CB452A" w:rsidP="00CB452A">
            <w:pPr>
              <w:spacing w:line="259" w:lineRule="auto"/>
              <w:jc w:val="left"/>
            </w:pPr>
            <w:r w:rsidRPr="00A74AF4">
              <w:t xml:space="preserve">0 </w:t>
            </w:r>
          </w:p>
        </w:tc>
        <w:tc>
          <w:tcPr>
            <w:tcW w:w="2193" w:type="dxa"/>
            <w:tcBorders>
              <w:top w:val="single" w:sz="4" w:space="0" w:color="000000"/>
              <w:left w:val="single" w:sz="4" w:space="0" w:color="000000"/>
              <w:bottom w:val="single" w:sz="4" w:space="0" w:color="000000"/>
              <w:right w:val="single" w:sz="4" w:space="0" w:color="000000"/>
            </w:tcBorders>
          </w:tcPr>
          <w:p w14:paraId="23B1FEA2" w14:textId="77777777" w:rsidR="00CB452A" w:rsidRPr="00A74AF4" w:rsidRDefault="00CB452A" w:rsidP="00CB452A">
            <w:pPr>
              <w:spacing w:line="259" w:lineRule="auto"/>
              <w:jc w:val="left"/>
            </w:pPr>
            <w:r w:rsidRPr="00A74AF4">
              <w:t xml:space="preserve"> </w:t>
            </w:r>
          </w:p>
        </w:tc>
      </w:tr>
      <w:tr w:rsidR="00CB452A" w:rsidRPr="00A74AF4" w14:paraId="4F40A44E" w14:textId="77777777" w:rsidTr="00A74AF4">
        <w:trPr>
          <w:trHeight w:val="699"/>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AD5AF8A" w14:textId="77777777" w:rsidR="00CB452A" w:rsidRPr="00A74AF4" w:rsidRDefault="00CB452A" w:rsidP="00CB452A">
            <w:pPr>
              <w:spacing w:line="259" w:lineRule="auto"/>
              <w:jc w:val="left"/>
            </w:pPr>
            <w:r w:rsidRPr="00A74AF4">
              <w:t xml:space="preserve">DRUGA OPREMA IN OBJEKTI - NAVESTI  </w:t>
            </w:r>
          </w:p>
        </w:tc>
        <w:tc>
          <w:tcPr>
            <w:tcW w:w="2400" w:type="dxa"/>
            <w:tcBorders>
              <w:top w:val="single" w:sz="4" w:space="0" w:color="000000"/>
              <w:left w:val="single" w:sz="4" w:space="0" w:color="000000"/>
              <w:bottom w:val="single" w:sz="4" w:space="0" w:color="000000"/>
              <w:right w:val="single" w:sz="4" w:space="0" w:color="000000"/>
            </w:tcBorders>
          </w:tcPr>
          <w:p w14:paraId="22BC3EF1" w14:textId="77777777" w:rsidR="00CB452A" w:rsidRPr="00A74AF4" w:rsidRDefault="00CB452A" w:rsidP="00CB452A">
            <w:pPr>
              <w:spacing w:line="259" w:lineRule="auto"/>
              <w:jc w:val="left"/>
            </w:pPr>
            <w:r w:rsidRPr="00A74AF4">
              <w:t xml:space="preserve">1 RAZBREMENILNIK  </w:t>
            </w:r>
          </w:p>
          <w:p w14:paraId="2AC75621" w14:textId="77777777" w:rsidR="00CB452A" w:rsidRPr="00A74AF4" w:rsidRDefault="00CB452A" w:rsidP="00CB452A">
            <w:pPr>
              <w:spacing w:line="259" w:lineRule="auto"/>
              <w:jc w:val="left"/>
            </w:pPr>
            <w:r w:rsidRPr="00A74AF4">
              <w:t xml:space="preserve">12 HIDRANTOV </w:t>
            </w:r>
          </w:p>
          <w:p w14:paraId="3C3FFAC4" w14:textId="77777777" w:rsidR="00CB452A" w:rsidRPr="00A74AF4" w:rsidRDefault="00CB452A" w:rsidP="00CB452A">
            <w:pPr>
              <w:spacing w:line="259" w:lineRule="auto"/>
              <w:jc w:val="left"/>
            </w:pPr>
            <w:r w:rsidRPr="00A74AF4">
              <w:t xml:space="preserve">1 ZAJETJE </w:t>
            </w:r>
          </w:p>
        </w:tc>
        <w:tc>
          <w:tcPr>
            <w:tcW w:w="2193" w:type="dxa"/>
            <w:tcBorders>
              <w:top w:val="single" w:sz="4" w:space="0" w:color="000000"/>
              <w:left w:val="single" w:sz="4" w:space="0" w:color="000000"/>
              <w:bottom w:val="single" w:sz="4" w:space="0" w:color="000000"/>
              <w:right w:val="single" w:sz="4" w:space="0" w:color="000000"/>
            </w:tcBorders>
          </w:tcPr>
          <w:p w14:paraId="7D8415AE" w14:textId="77777777" w:rsidR="00CB452A" w:rsidRPr="00A74AF4" w:rsidRDefault="00CB452A" w:rsidP="00CB452A">
            <w:pPr>
              <w:spacing w:line="259" w:lineRule="auto"/>
              <w:jc w:val="left"/>
            </w:pPr>
            <w:r w:rsidRPr="00A74AF4">
              <w:t xml:space="preserve"> </w:t>
            </w:r>
          </w:p>
        </w:tc>
      </w:tr>
      <w:tr w:rsidR="00CB452A" w:rsidRPr="00A74AF4" w14:paraId="7DEF1EA4" w14:textId="77777777" w:rsidTr="00A74AF4">
        <w:trPr>
          <w:trHeight w:val="239"/>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DEC13FB" w14:textId="77777777" w:rsidR="00CB452A" w:rsidRPr="00A74AF4" w:rsidRDefault="00CB452A" w:rsidP="00CB452A">
            <w:pPr>
              <w:spacing w:line="259" w:lineRule="auto"/>
              <w:ind w:left="1"/>
              <w:jc w:val="left"/>
            </w:pPr>
            <w:r w:rsidRPr="00A74AF4">
              <w:t>KOLIČINA VODE, KI JO ZAGOTAVLJA [m</w:t>
            </w:r>
            <w:r w:rsidRPr="00A74AF4">
              <w:rPr>
                <w:vertAlign w:val="superscript"/>
              </w:rPr>
              <w:t>3</w:t>
            </w:r>
            <w:r w:rsidRPr="00A74AF4">
              <w:t xml:space="preserve">] </w:t>
            </w:r>
          </w:p>
        </w:tc>
        <w:tc>
          <w:tcPr>
            <w:tcW w:w="2400" w:type="dxa"/>
            <w:tcBorders>
              <w:top w:val="single" w:sz="4" w:space="0" w:color="000000"/>
              <w:left w:val="single" w:sz="4" w:space="0" w:color="000000"/>
              <w:bottom w:val="single" w:sz="4" w:space="0" w:color="000000"/>
              <w:right w:val="single" w:sz="4" w:space="0" w:color="000000"/>
            </w:tcBorders>
          </w:tcPr>
          <w:p w14:paraId="64C7879B" w14:textId="77777777" w:rsidR="00CB452A" w:rsidRPr="00A74AF4" w:rsidRDefault="00CB452A" w:rsidP="00CB452A">
            <w:pPr>
              <w:spacing w:line="259" w:lineRule="auto"/>
              <w:ind w:left="2"/>
              <w:jc w:val="left"/>
            </w:pPr>
            <w:r w:rsidRPr="00A74AF4">
              <w:t xml:space="preserve">50974 </w:t>
            </w:r>
          </w:p>
        </w:tc>
        <w:tc>
          <w:tcPr>
            <w:tcW w:w="2193" w:type="dxa"/>
            <w:tcBorders>
              <w:top w:val="single" w:sz="4" w:space="0" w:color="000000"/>
              <w:left w:val="single" w:sz="4" w:space="0" w:color="000000"/>
              <w:bottom w:val="single" w:sz="4" w:space="0" w:color="000000"/>
              <w:right w:val="single" w:sz="4" w:space="0" w:color="000000"/>
            </w:tcBorders>
          </w:tcPr>
          <w:p w14:paraId="55AA3639" w14:textId="77777777" w:rsidR="00CB452A" w:rsidRPr="00A74AF4" w:rsidRDefault="00CB452A" w:rsidP="00CB452A">
            <w:pPr>
              <w:spacing w:line="259" w:lineRule="auto"/>
              <w:jc w:val="left"/>
            </w:pPr>
            <w:r w:rsidRPr="00A74AF4">
              <w:t xml:space="preserve"> </w:t>
            </w:r>
          </w:p>
        </w:tc>
      </w:tr>
      <w:tr w:rsidR="00CB452A" w:rsidRPr="00A74AF4" w14:paraId="51C072BB" w14:textId="77777777" w:rsidTr="00A74AF4">
        <w:trPr>
          <w:trHeight w:val="469"/>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9777608" w14:textId="77777777" w:rsidR="00CB452A" w:rsidRPr="00A74AF4" w:rsidRDefault="00CB452A" w:rsidP="00CB452A">
            <w:pPr>
              <w:spacing w:line="259" w:lineRule="auto"/>
              <w:ind w:left="1"/>
              <w:jc w:val="left"/>
            </w:pPr>
            <w:r w:rsidRPr="00A74AF4">
              <w:t xml:space="preserve">VODOVOD VPISAN V KATASTER JAVNE INFRASTRUKTURE </w:t>
            </w:r>
          </w:p>
        </w:tc>
        <w:tc>
          <w:tcPr>
            <w:tcW w:w="2400" w:type="dxa"/>
            <w:tcBorders>
              <w:top w:val="single" w:sz="4" w:space="0" w:color="000000"/>
              <w:left w:val="single" w:sz="4" w:space="0" w:color="000000"/>
              <w:bottom w:val="single" w:sz="4" w:space="0" w:color="000000"/>
              <w:right w:val="single" w:sz="4" w:space="0" w:color="000000"/>
            </w:tcBorders>
          </w:tcPr>
          <w:p w14:paraId="56F805DE" w14:textId="77777777" w:rsidR="00CB452A" w:rsidRPr="00A74AF4" w:rsidRDefault="00CB452A" w:rsidP="00CB452A">
            <w:pPr>
              <w:spacing w:line="259" w:lineRule="auto"/>
              <w:ind w:left="2"/>
              <w:jc w:val="left"/>
            </w:pPr>
            <w:r w:rsidRPr="00A74AF4">
              <w:t xml:space="preserve">DA </w:t>
            </w:r>
          </w:p>
          <w:p w14:paraId="0406043F" w14:textId="77777777" w:rsidR="00CB452A" w:rsidRPr="00A74AF4" w:rsidRDefault="00CB452A" w:rsidP="00CB452A">
            <w:pPr>
              <w:spacing w:line="259" w:lineRule="auto"/>
              <w:ind w:left="2"/>
              <w:jc w:val="left"/>
            </w:pPr>
            <w:r w:rsidRPr="00A74AF4">
              <w:t xml:space="preserve"> </w:t>
            </w:r>
          </w:p>
        </w:tc>
        <w:tc>
          <w:tcPr>
            <w:tcW w:w="2193" w:type="dxa"/>
            <w:tcBorders>
              <w:top w:val="single" w:sz="4" w:space="0" w:color="000000"/>
              <w:left w:val="single" w:sz="4" w:space="0" w:color="000000"/>
              <w:bottom w:val="single" w:sz="4" w:space="0" w:color="000000"/>
              <w:right w:val="single" w:sz="4" w:space="0" w:color="000000"/>
            </w:tcBorders>
          </w:tcPr>
          <w:p w14:paraId="75DD9C41" w14:textId="77777777" w:rsidR="00CB452A" w:rsidRPr="00A74AF4" w:rsidRDefault="00CB452A" w:rsidP="00CB452A">
            <w:pPr>
              <w:spacing w:line="259" w:lineRule="auto"/>
              <w:jc w:val="left"/>
            </w:pPr>
            <w:r w:rsidRPr="00A74AF4">
              <w:t xml:space="preserve"> </w:t>
            </w:r>
          </w:p>
        </w:tc>
      </w:tr>
    </w:tbl>
    <w:p w14:paraId="5EB6E7B3" w14:textId="45AC89DD" w:rsidR="00CB452A" w:rsidRPr="00A74AF4" w:rsidRDefault="00CB452A" w:rsidP="00A74AF4">
      <w:r w:rsidRPr="00A74AF4">
        <w:t xml:space="preserve">Skupaj vseh vodov je </w:t>
      </w:r>
      <w:r w:rsidRPr="00A74AF4">
        <w:rPr>
          <w:rFonts w:eastAsia="Arial" w:cs="Arial"/>
        </w:rPr>
        <w:t xml:space="preserve">10172 m. </w:t>
      </w:r>
    </w:p>
    <w:tbl>
      <w:tblPr>
        <w:tblStyle w:val="TableGrid"/>
        <w:tblW w:w="8419" w:type="dxa"/>
        <w:tblInd w:w="1" w:type="dxa"/>
        <w:tblCellMar>
          <w:top w:w="4" w:type="dxa"/>
          <w:left w:w="107" w:type="dxa"/>
          <w:right w:w="78" w:type="dxa"/>
        </w:tblCellMar>
        <w:tblLook w:val="04A0" w:firstRow="1" w:lastRow="0" w:firstColumn="1" w:lastColumn="0" w:noHBand="0" w:noVBand="1"/>
      </w:tblPr>
      <w:tblGrid>
        <w:gridCol w:w="3826"/>
        <w:gridCol w:w="2400"/>
        <w:gridCol w:w="2193"/>
      </w:tblGrid>
      <w:tr w:rsidR="00CB452A" w:rsidRPr="00A74AF4" w14:paraId="4A9E05D9" w14:textId="77777777" w:rsidTr="00CB452A">
        <w:trPr>
          <w:trHeight w:val="287"/>
        </w:trPr>
        <w:tc>
          <w:tcPr>
            <w:tcW w:w="3826" w:type="dxa"/>
            <w:tcBorders>
              <w:top w:val="single" w:sz="4" w:space="0" w:color="000000"/>
              <w:left w:val="single" w:sz="4" w:space="0" w:color="000000"/>
              <w:bottom w:val="single" w:sz="4" w:space="0" w:color="000000"/>
              <w:right w:val="single" w:sz="4" w:space="0" w:color="000000"/>
            </w:tcBorders>
          </w:tcPr>
          <w:p w14:paraId="29E3B098" w14:textId="77777777" w:rsidR="00CB452A" w:rsidRPr="00A74AF4" w:rsidRDefault="00CB452A" w:rsidP="00CB452A">
            <w:pPr>
              <w:spacing w:line="259" w:lineRule="auto"/>
              <w:jc w:val="left"/>
            </w:pPr>
            <w:r w:rsidRPr="00A74AF4">
              <w:t xml:space="preserve">1248 Hubelj  </w:t>
            </w:r>
          </w:p>
        </w:tc>
        <w:tc>
          <w:tcPr>
            <w:tcW w:w="2400" w:type="dxa"/>
            <w:tcBorders>
              <w:top w:val="single" w:sz="4" w:space="0" w:color="000000"/>
              <w:left w:val="single" w:sz="4" w:space="0" w:color="000000"/>
              <w:bottom w:val="single" w:sz="4" w:space="0" w:color="000000"/>
              <w:right w:val="single" w:sz="4" w:space="0" w:color="000000"/>
            </w:tcBorders>
          </w:tcPr>
          <w:p w14:paraId="1EFA86A5" w14:textId="77777777" w:rsidR="00CB452A" w:rsidRPr="00A74AF4" w:rsidRDefault="00CB452A" w:rsidP="00CB452A">
            <w:pPr>
              <w:spacing w:line="259" w:lineRule="auto"/>
              <w:jc w:val="left"/>
            </w:pPr>
            <w:r w:rsidRPr="00A74AF4">
              <w:t xml:space="preserve"> </w:t>
            </w:r>
          </w:p>
        </w:tc>
        <w:tc>
          <w:tcPr>
            <w:tcW w:w="2193" w:type="dxa"/>
            <w:tcBorders>
              <w:top w:val="single" w:sz="4" w:space="0" w:color="000000"/>
              <w:left w:val="single" w:sz="4" w:space="0" w:color="000000"/>
              <w:bottom w:val="single" w:sz="4" w:space="0" w:color="000000"/>
              <w:right w:val="single" w:sz="4" w:space="0" w:color="000000"/>
            </w:tcBorders>
          </w:tcPr>
          <w:p w14:paraId="0C0C301A" w14:textId="77777777" w:rsidR="00CB452A" w:rsidRPr="00A74AF4" w:rsidRDefault="00CB452A" w:rsidP="00CB452A">
            <w:pPr>
              <w:spacing w:line="259" w:lineRule="auto"/>
              <w:jc w:val="left"/>
            </w:pPr>
            <w:r w:rsidRPr="00A74AF4">
              <w:t xml:space="preserve"> </w:t>
            </w:r>
          </w:p>
        </w:tc>
      </w:tr>
      <w:tr w:rsidR="00CB452A" w:rsidRPr="00A74AF4" w14:paraId="44AE0D3E" w14:textId="77777777" w:rsidTr="00A74AF4">
        <w:trPr>
          <w:trHeight w:val="193"/>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B533CB6" w14:textId="77777777" w:rsidR="00CB452A" w:rsidRPr="00A74AF4" w:rsidRDefault="00CB452A" w:rsidP="00CB452A">
            <w:pPr>
              <w:spacing w:line="259" w:lineRule="auto"/>
              <w:jc w:val="left"/>
            </w:pPr>
            <w:r w:rsidRPr="00A74AF4">
              <w:t xml:space="preserve">JAVNI VODOVOD   ……ID/zaporedna št.………. </w:t>
            </w:r>
          </w:p>
        </w:tc>
        <w:tc>
          <w:tcPr>
            <w:tcW w:w="240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34CD4A8" w14:textId="77777777" w:rsidR="00CB452A" w:rsidRPr="00A74AF4" w:rsidRDefault="00CB452A" w:rsidP="00CB452A">
            <w:pPr>
              <w:spacing w:line="259" w:lineRule="auto"/>
              <w:jc w:val="left"/>
            </w:pPr>
            <w:r w:rsidRPr="00A74AF4">
              <w:t xml:space="preserve">ŠTEVILO </w:t>
            </w:r>
          </w:p>
        </w:tc>
        <w:tc>
          <w:tcPr>
            <w:tcW w:w="21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586EFE6" w14:textId="77777777" w:rsidR="00CB452A" w:rsidRPr="00A74AF4" w:rsidRDefault="00CB452A" w:rsidP="00CB452A">
            <w:pPr>
              <w:spacing w:line="259" w:lineRule="auto"/>
              <w:jc w:val="left"/>
            </w:pPr>
            <w:r w:rsidRPr="00A74AF4">
              <w:t xml:space="preserve">KOMENTAR </w:t>
            </w:r>
          </w:p>
        </w:tc>
      </w:tr>
      <w:tr w:rsidR="00CB452A" w:rsidRPr="00A74AF4" w14:paraId="7A20B322"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43ED053" w14:textId="77777777" w:rsidR="00CB452A" w:rsidRPr="00A74AF4" w:rsidRDefault="00CB452A" w:rsidP="00CB452A">
            <w:pPr>
              <w:spacing w:line="259" w:lineRule="auto"/>
              <w:jc w:val="left"/>
            </w:pPr>
            <w:r w:rsidRPr="00A74AF4">
              <w:t xml:space="preserve">DOLŽINA CEVI BREZ PRIKLJUČKOV [m] </w:t>
            </w:r>
          </w:p>
        </w:tc>
        <w:tc>
          <w:tcPr>
            <w:tcW w:w="2400" w:type="dxa"/>
            <w:tcBorders>
              <w:top w:val="single" w:sz="4" w:space="0" w:color="000000"/>
              <w:left w:val="single" w:sz="4" w:space="0" w:color="000000"/>
              <w:bottom w:val="single" w:sz="4" w:space="0" w:color="000000"/>
              <w:right w:val="single" w:sz="4" w:space="0" w:color="000000"/>
            </w:tcBorders>
          </w:tcPr>
          <w:p w14:paraId="58CAE0F5" w14:textId="77777777" w:rsidR="00CB452A" w:rsidRPr="00A74AF4" w:rsidRDefault="00CB452A" w:rsidP="00CB452A">
            <w:pPr>
              <w:spacing w:line="259" w:lineRule="auto"/>
              <w:jc w:val="left"/>
            </w:pPr>
            <w:r w:rsidRPr="00A74AF4">
              <w:t xml:space="preserve">70622 </w:t>
            </w:r>
          </w:p>
        </w:tc>
        <w:tc>
          <w:tcPr>
            <w:tcW w:w="2193" w:type="dxa"/>
            <w:tcBorders>
              <w:top w:val="single" w:sz="4" w:space="0" w:color="000000"/>
              <w:left w:val="single" w:sz="4" w:space="0" w:color="000000"/>
              <w:bottom w:val="single" w:sz="4" w:space="0" w:color="000000"/>
              <w:right w:val="single" w:sz="4" w:space="0" w:color="000000"/>
            </w:tcBorders>
          </w:tcPr>
          <w:p w14:paraId="7A250AEA" w14:textId="77777777" w:rsidR="00CB452A" w:rsidRPr="00A74AF4" w:rsidRDefault="00CB452A" w:rsidP="00CB452A">
            <w:pPr>
              <w:spacing w:line="259" w:lineRule="auto"/>
              <w:jc w:val="left"/>
            </w:pPr>
            <w:r w:rsidRPr="00A74AF4">
              <w:t xml:space="preserve"> </w:t>
            </w:r>
          </w:p>
        </w:tc>
      </w:tr>
      <w:tr w:rsidR="00CB452A" w:rsidRPr="00A74AF4" w14:paraId="7D1F8AB5"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3851091" w14:textId="77777777" w:rsidR="00CB452A" w:rsidRPr="00A74AF4" w:rsidRDefault="00CB452A" w:rsidP="00CB452A">
            <w:pPr>
              <w:spacing w:line="259" w:lineRule="auto"/>
              <w:jc w:val="left"/>
            </w:pPr>
            <w:r w:rsidRPr="00A74AF4">
              <w:t xml:space="preserve">VODOHRAN   </w:t>
            </w:r>
          </w:p>
        </w:tc>
        <w:tc>
          <w:tcPr>
            <w:tcW w:w="2400" w:type="dxa"/>
            <w:tcBorders>
              <w:top w:val="single" w:sz="4" w:space="0" w:color="000000"/>
              <w:left w:val="single" w:sz="4" w:space="0" w:color="000000"/>
              <w:bottom w:val="single" w:sz="4" w:space="0" w:color="000000"/>
              <w:right w:val="single" w:sz="4" w:space="0" w:color="000000"/>
            </w:tcBorders>
          </w:tcPr>
          <w:p w14:paraId="32D97633" w14:textId="77777777" w:rsidR="00CB452A" w:rsidRPr="00A74AF4" w:rsidRDefault="00CB452A" w:rsidP="00CB452A">
            <w:pPr>
              <w:spacing w:line="259" w:lineRule="auto"/>
              <w:jc w:val="left"/>
            </w:pPr>
            <w:r w:rsidRPr="00A74AF4">
              <w:t xml:space="preserve">10 </w:t>
            </w:r>
          </w:p>
        </w:tc>
        <w:tc>
          <w:tcPr>
            <w:tcW w:w="2193" w:type="dxa"/>
            <w:tcBorders>
              <w:top w:val="single" w:sz="4" w:space="0" w:color="000000"/>
              <w:left w:val="single" w:sz="4" w:space="0" w:color="000000"/>
              <w:bottom w:val="single" w:sz="4" w:space="0" w:color="000000"/>
              <w:right w:val="single" w:sz="4" w:space="0" w:color="000000"/>
            </w:tcBorders>
          </w:tcPr>
          <w:p w14:paraId="5B984F1A" w14:textId="77777777" w:rsidR="00CB452A" w:rsidRPr="00A74AF4" w:rsidRDefault="00CB452A" w:rsidP="00CB452A">
            <w:pPr>
              <w:spacing w:line="259" w:lineRule="auto"/>
              <w:jc w:val="left"/>
            </w:pPr>
            <w:r w:rsidRPr="00A74AF4">
              <w:t xml:space="preserve"> </w:t>
            </w:r>
          </w:p>
        </w:tc>
      </w:tr>
      <w:tr w:rsidR="00CB452A" w:rsidRPr="00A74AF4" w14:paraId="246E3D97"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E194208" w14:textId="77777777" w:rsidR="00CB452A" w:rsidRPr="00A74AF4" w:rsidRDefault="00CB452A" w:rsidP="00CB452A">
            <w:pPr>
              <w:spacing w:line="259" w:lineRule="auto"/>
              <w:jc w:val="left"/>
            </w:pPr>
            <w:r w:rsidRPr="00A74AF4">
              <w:t xml:space="preserve">ČRPALIŠČE  </w:t>
            </w:r>
          </w:p>
        </w:tc>
        <w:tc>
          <w:tcPr>
            <w:tcW w:w="2400" w:type="dxa"/>
            <w:tcBorders>
              <w:top w:val="single" w:sz="4" w:space="0" w:color="000000"/>
              <w:left w:val="single" w:sz="4" w:space="0" w:color="000000"/>
              <w:bottom w:val="single" w:sz="4" w:space="0" w:color="000000"/>
              <w:right w:val="single" w:sz="4" w:space="0" w:color="000000"/>
            </w:tcBorders>
          </w:tcPr>
          <w:p w14:paraId="6A07058B" w14:textId="77777777" w:rsidR="00CB452A" w:rsidRPr="00A74AF4" w:rsidRDefault="00CB452A" w:rsidP="00CB452A">
            <w:pPr>
              <w:spacing w:line="259" w:lineRule="auto"/>
              <w:jc w:val="left"/>
            </w:pPr>
            <w:r w:rsidRPr="00A74AF4">
              <w:t xml:space="preserve">9 </w:t>
            </w:r>
          </w:p>
        </w:tc>
        <w:tc>
          <w:tcPr>
            <w:tcW w:w="2193" w:type="dxa"/>
            <w:tcBorders>
              <w:top w:val="single" w:sz="4" w:space="0" w:color="000000"/>
              <w:left w:val="single" w:sz="4" w:space="0" w:color="000000"/>
              <w:bottom w:val="single" w:sz="4" w:space="0" w:color="000000"/>
              <w:right w:val="single" w:sz="4" w:space="0" w:color="000000"/>
            </w:tcBorders>
          </w:tcPr>
          <w:p w14:paraId="2A6CA121" w14:textId="77777777" w:rsidR="00CB452A" w:rsidRPr="00A74AF4" w:rsidRDefault="00CB452A" w:rsidP="00CB452A">
            <w:pPr>
              <w:spacing w:line="259" w:lineRule="auto"/>
              <w:jc w:val="left"/>
            </w:pPr>
            <w:r w:rsidRPr="00A74AF4">
              <w:t xml:space="preserve"> </w:t>
            </w:r>
          </w:p>
        </w:tc>
      </w:tr>
      <w:tr w:rsidR="00CB452A" w:rsidRPr="00A74AF4" w14:paraId="3FECDE6D"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43D9216" w14:textId="77777777" w:rsidR="00CB452A" w:rsidRPr="00A74AF4" w:rsidRDefault="00CB452A" w:rsidP="00CB452A">
            <w:pPr>
              <w:spacing w:line="259" w:lineRule="auto"/>
              <w:jc w:val="left"/>
            </w:pPr>
            <w:r w:rsidRPr="00A74AF4">
              <w:t xml:space="preserve">NAPRAVE ZA OBDELAVO PITNE VODE  </w:t>
            </w:r>
          </w:p>
        </w:tc>
        <w:tc>
          <w:tcPr>
            <w:tcW w:w="2400" w:type="dxa"/>
            <w:tcBorders>
              <w:top w:val="single" w:sz="4" w:space="0" w:color="000000"/>
              <w:left w:val="single" w:sz="4" w:space="0" w:color="000000"/>
              <w:bottom w:val="single" w:sz="4" w:space="0" w:color="000000"/>
              <w:right w:val="single" w:sz="4" w:space="0" w:color="000000"/>
            </w:tcBorders>
          </w:tcPr>
          <w:p w14:paraId="391A33BA" w14:textId="77777777" w:rsidR="00CB452A" w:rsidRPr="00A74AF4" w:rsidRDefault="00CB452A" w:rsidP="00CB452A">
            <w:pPr>
              <w:spacing w:line="259" w:lineRule="auto"/>
              <w:jc w:val="left"/>
            </w:pPr>
            <w:r w:rsidRPr="00A74AF4">
              <w:t xml:space="preserve">2 </w:t>
            </w:r>
          </w:p>
        </w:tc>
        <w:tc>
          <w:tcPr>
            <w:tcW w:w="2193" w:type="dxa"/>
            <w:tcBorders>
              <w:top w:val="single" w:sz="4" w:space="0" w:color="000000"/>
              <w:left w:val="single" w:sz="4" w:space="0" w:color="000000"/>
              <w:bottom w:val="single" w:sz="4" w:space="0" w:color="000000"/>
              <w:right w:val="single" w:sz="4" w:space="0" w:color="000000"/>
            </w:tcBorders>
          </w:tcPr>
          <w:p w14:paraId="3D3F4954" w14:textId="009FAD69" w:rsidR="00CB452A" w:rsidRPr="00A74AF4" w:rsidRDefault="006315B0" w:rsidP="00CB452A">
            <w:pPr>
              <w:spacing w:line="259" w:lineRule="auto"/>
              <w:jc w:val="left"/>
            </w:pPr>
            <w:r>
              <w:t xml:space="preserve">2 x </w:t>
            </w:r>
            <w:r w:rsidR="00CB452A" w:rsidRPr="00A74AF4">
              <w:t xml:space="preserve">DEZINFEKCIJA </w:t>
            </w:r>
          </w:p>
        </w:tc>
      </w:tr>
      <w:tr w:rsidR="00CB452A" w:rsidRPr="00A74AF4" w14:paraId="1C21AC07" w14:textId="77777777" w:rsidTr="00A74AF4">
        <w:trPr>
          <w:trHeight w:val="377"/>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D1DDD4D" w14:textId="77777777" w:rsidR="00CB452A" w:rsidRPr="00A74AF4" w:rsidRDefault="00CB452A" w:rsidP="00CB452A">
            <w:pPr>
              <w:spacing w:line="259" w:lineRule="auto"/>
              <w:jc w:val="left"/>
            </w:pPr>
            <w:r w:rsidRPr="00A74AF4">
              <w:t xml:space="preserve">OBJEKT ZA BOGATENJE ALI AKTIVNO ZAŠČITO VODONOSNIKA  </w:t>
            </w:r>
          </w:p>
        </w:tc>
        <w:tc>
          <w:tcPr>
            <w:tcW w:w="2400" w:type="dxa"/>
            <w:tcBorders>
              <w:top w:val="single" w:sz="4" w:space="0" w:color="000000"/>
              <w:left w:val="single" w:sz="4" w:space="0" w:color="000000"/>
              <w:bottom w:val="single" w:sz="4" w:space="0" w:color="000000"/>
              <w:right w:val="single" w:sz="4" w:space="0" w:color="000000"/>
            </w:tcBorders>
          </w:tcPr>
          <w:p w14:paraId="7DBFCDC7" w14:textId="77777777" w:rsidR="00CB452A" w:rsidRPr="00A74AF4" w:rsidRDefault="00CB452A" w:rsidP="00CB452A">
            <w:pPr>
              <w:spacing w:line="259" w:lineRule="auto"/>
              <w:jc w:val="left"/>
            </w:pPr>
            <w:r w:rsidRPr="00A74AF4">
              <w:t xml:space="preserve">0 </w:t>
            </w:r>
          </w:p>
        </w:tc>
        <w:tc>
          <w:tcPr>
            <w:tcW w:w="2193" w:type="dxa"/>
            <w:tcBorders>
              <w:top w:val="single" w:sz="4" w:space="0" w:color="000000"/>
              <w:left w:val="single" w:sz="4" w:space="0" w:color="000000"/>
              <w:bottom w:val="single" w:sz="4" w:space="0" w:color="000000"/>
              <w:right w:val="single" w:sz="4" w:space="0" w:color="000000"/>
            </w:tcBorders>
          </w:tcPr>
          <w:p w14:paraId="42464068" w14:textId="77777777" w:rsidR="00CB452A" w:rsidRPr="00A74AF4" w:rsidRDefault="00CB452A" w:rsidP="00CB452A">
            <w:pPr>
              <w:spacing w:line="259" w:lineRule="auto"/>
              <w:jc w:val="left"/>
            </w:pPr>
            <w:r w:rsidRPr="00A74AF4">
              <w:t xml:space="preserve"> </w:t>
            </w:r>
          </w:p>
        </w:tc>
      </w:tr>
      <w:tr w:rsidR="00CB452A" w:rsidRPr="00A74AF4" w14:paraId="4F69C3B2" w14:textId="77777777" w:rsidTr="00A74AF4">
        <w:trPr>
          <w:trHeight w:val="47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2D13EA4" w14:textId="77777777" w:rsidR="00CB452A" w:rsidRPr="00A74AF4" w:rsidRDefault="00CB452A" w:rsidP="00CB452A">
            <w:pPr>
              <w:spacing w:line="259" w:lineRule="auto"/>
              <w:jc w:val="left"/>
            </w:pPr>
            <w:r w:rsidRPr="00A74AF4">
              <w:t xml:space="preserve">DRUGA OPREMA IN OBJEKTI - NAVESTI  </w:t>
            </w:r>
          </w:p>
        </w:tc>
        <w:tc>
          <w:tcPr>
            <w:tcW w:w="2400" w:type="dxa"/>
            <w:tcBorders>
              <w:top w:val="single" w:sz="4" w:space="0" w:color="000000"/>
              <w:left w:val="single" w:sz="4" w:space="0" w:color="000000"/>
              <w:bottom w:val="single" w:sz="4" w:space="0" w:color="000000"/>
              <w:right w:val="single" w:sz="4" w:space="0" w:color="000000"/>
            </w:tcBorders>
          </w:tcPr>
          <w:p w14:paraId="405CF8F6" w14:textId="77777777" w:rsidR="00CB452A" w:rsidRPr="00A74AF4" w:rsidRDefault="00CB452A" w:rsidP="00CB452A">
            <w:pPr>
              <w:spacing w:line="259" w:lineRule="auto"/>
              <w:jc w:val="left"/>
            </w:pPr>
            <w:r w:rsidRPr="00A74AF4">
              <w:t xml:space="preserve">1 RAZBREMENILNIK </w:t>
            </w:r>
          </w:p>
          <w:p w14:paraId="49C7D7F9" w14:textId="77777777" w:rsidR="00CB452A" w:rsidRPr="00A74AF4" w:rsidRDefault="00CB452A" w:rsidP="00CB452A">
            <w:pPr>
              <w:spacing w:line="259" w:lineRule="auto"/>
              <w:jc w:val="left"/>
            </w:pPr>
            <w:r w:rsidRPr="00A74AF4">
              <w:t xml:space="preserve">187 HIDRANTOV </w:t>
            </w:r>
          </w:p>
        </w:tc>
        <w:tc>
          <w:tcPr>
            <w:tcW w:w="2193" w:type="dxa"/>
            <w:tcBorders>
              <w:top w:val="single" w:sz="4" w:space="0" w:color="000000"/>
              <w:left w:val="single" w:sz="4" w:space="0" w:color="000000"/>
              <w:bottom w:val="single" w:sz="4" w:space="0" w:color="000000"/>
              <w:right w:val="single" w:sz="4" w:space="0" w:color="000000"/>
            </w:tcBorders>
          </w:tcPr>
          <w:p w14:paraId="12B546CC" w14:textId="77777777" w:rsidR="00CB452A" w:rsidRPr="00A74AF4" w:rsidRDefault="00CB452A" w:rsidP="00CB452A">
            <w:pPr>
              <w:spacing w:line="259" w:lineRule="auto"/>
              <w:jc w:val="left"/>
            </w:pPr>
            <w:r w:rsidRPr="00A74AF4">
              <w:t xml:space="preserve"> </w:t>
            </w:r>
          </w:p>
        </w:tc>
      </w:tr>
      <w:tr w:rsidR="00CB452A" w:rsidRPr="00A74AF4" w14:paraId="5BB6267E" w14:textId="77777777" w:rsidTr="00A74AF4">
        <w:trPr>
          <w:trHeight w:val="241"/>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785575C" w14:textId="77777777" w:rsidR="00CB452A" w:rsidRPr="00A74AF4" w:rsidRDefault="00CB452A" w:rsidP="00CB452A">
            <w:pPr>
              <w:spacing w:line="259" w:lineRule="auto"/>
              <w:jc w:val="left"/>
            </w:pPr>
            <w:r w:rsidRPr="00A74AF4">
              <w:t>KOLIČINA VODE, KI JO ZAGOTAVLJA [m</w:t>
            </w:r>
            <w:r w:rsidRPr="00A74AF4">
              <w:rPr>
                <w:vertAlign w:val="superscript"/>
              </w:rPr>
              <w:t>3</w:t>
            </w:r>
            <w:r w:rsidRPr="00A74AF4">
              <w:t xml:space="preserve">] </w:t>
            </w:r>
          </w:p>
        </w:tc>
        <w:tc>
          <w:tcPr>
            <w:tcW w:w="2400" w:type="dxa"/>
            <w:tcBorders>
              <w:top w:val="single" w:sz="4" w:space="0" w:color="000000"/>
              <w:left w:val="single" w:sz="4" w:space="0" w:color="000000"/>
              <w:bottom w:val="single" w:sz="4" w:space="0" w:color="000000"/>
              <w:right w:val="single" w:sz="4" w:space="0" w:color="000000"/>
            </w:tcBorders>
          </w:tcPr>
          <w:p w14:paraId="41753A24" w14:textId="77777777" w:rsidR="00CB452A" w:rsidRPr="00A74AF4" w:rsidRDefault="00CB452A" w:rsidP="00CB452A">
            <w:pPr>
              <w:spacing w:line="259" w:lineRule="auto"/>
              <w:jc w:val="left"/>
            </w:pPr>
            <w:r w:rsidRPr="00A74AF4">
              <w:t xml:space="preserve">580694 </w:t>
            </w:r>
          </w:p>
        </w:tc>
        <w:tc>
          <w:tcPr>
            <w:tcW w:w="2193" w:type="dxa"/>
            <w:tcBorders>
              <w:top w:val="single" w:sz="4" w:space="0" w:color="000000"/>
              <w:left w:val="single" w:sz="4" w:space="0" w:color="000000"/>
              <w:bottom w:val="single" w:sz="4" w:space="0" w:color="000000"/>
              <w:right w:val="single" w:sz="4" w:space="0" w:color="000000"/>
            </w:tcBorders>
          </w:tcPr>
          <w:p w14:paraId="49444920" w14:textId="77777777" w:rsidR="00CB452A" w:rsidRPr="00A74AF4" w:rsidRDefault="00CB452A" w:rsidP="00CB452A">
            <w:pPr>
              <w:spacing w:line="259" w:lineRule="auto"/>
              <w:jc w:val="left"/>
            </w:pPr>
            <w:r w:rsidRPr="00A74AF4">
              <w:t xml:space="preserve"> </w:t>
            </w:r>
          </w:p>
        </w:tc>
      </w:tr>
      <w:tr w:rsidR="00CB452A" w:rsidRPr="00A74AF4" w14:paraId="1E36444C" w14:textId="77777777" w:rsidTr="00A74AF4">
        <w:trPr>
          <w:trHeight w:val="377"/>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5EF8FC1" w14:textId="77777777" w:rsidR="00CB452A" w:rsidRPr="00A74AF4" w:rsidRDefault="00CB452A" w:rsidP="00CB452A">
            <w:pPr>
              <w:spacing w:line="259" w:lineRule="auto"/>
              <w:jc w:val="left"/>
            </w:pPr>
            <w:r w:rsidRPr="00A74AF4">
              <w:t xml:space="preserve">VODOVOD VPISAN V KATASTER JAVNE INFRASTRUKTURE </w:t>
            </w:r>
          </w:p>
        </w:tc>
        <w:tc>
          <w:tcPr>
            <w:tcW w:w="2400" w:type="dxa"/>
            <w:tcBorders>
              <w:top w:val="single" w:sz="4" w:space="0" w:color="000000"/>
              <w:left w:val="single" w:sz="4" w:space="0" w:color="000000"/>
              <w:bottom w:val="single" w:sz="4" w:space="0" w:color="000000"/>
              <w:right w:val="single" w:sz="4" w:space="0" w:color="000000"/>
            </w:tcBorders>
          </w:tcPr>
          <w:p w14:paraId="026AD31B" w14:textId="77777777" w:rsidR="00CB452A" w:rsidRPr="00A74AF4" w:rsidRDefault="00CB452A" w:rsidP="00CB452A">
            <w:pPr>
              <w:spacing w:line="259" w:lineRule="auto"/>
              <w:jc w:val="left"/>
            </w:pPr>
            <w:r w:rsidRPr="00A74AF4">
              <w:t xml:space="preserve">DA </w:t>
            </w:r>
          </w:p>
        </w:tc>
        <w:tc>
          <w:tcPr>
            <w:tcW w:w="2193" w:type="dxa"/>
            <w:tcBorders>
              <w:top w:val="single" w:sz="4" w:space="0" w:color="000000"/>
              <w:left w:val="single" w:sz="4" w:space="0" w:color="000000"/>
              <w:bottom w:val="single" w:sz="4" w:space="0" w:color="000000"/>
              <w:right w:val="single" w:sz="4" w:space="0" w:color="000000"/>
            </w:tcBorders>
          </w:tcPr>
          <w:p w14:paraId="57316D2D" w14:textId="77777777" w:rsidR="00CB452A" w:rsidRPr="00A74AF4" w:rsidRDefault="00CB452A" w:rsidP="00CB452A">
            <w:pPr>
              <w:spacing w:line="259" w:lineRule="auto"/>
              <w:jc w:val="left"/>
            </w:pPr>
            <w:r w:rsidRPr="00A74AF4">
              <w:t xml:space="preserve"> </w:t>
            </w:r>
          </w:p>
        </w:tc>
      </w:tr>
    </w:tbl>
    <w:p w14:paraId="22E6E623" w14:textId="77777777" w:rsidR="00CB452A" w:rsidRPr="00A74AF4" w:rsidRDefault="00CB452A" w:rsidP="00CB452A">
      <w:r w:rsidRPr="00A74AF4">
        <w:t xml:space="preserve">Skupaj vseh vodov je </w:t>
      </w:r>
      <w:r w:rsidRPr="00A74AF4">
        <w:rPr>
          <w:rFonts w:eastAsia="Arial" w:cs="Arial"/>
        </w:rPr>
        <w:t xml:space="preserve">95325 m.  </w:t>
      </w:r>
    </w:p>
    <w:p w14:paraId="19738ED6" w14:textId="01900F79" w:rsidR="00A74AF4" w:rsidRDefault="00A74AF4" w:rsidP="00CB452A">
      <w:pPr>
        <w:spacing w:after="0"/>
        <w:jc w:val="left"/>
        <w:rPr>
          <w:rFonts w:eastAsia="Arial" w:cs="Arial"/>
        </w:rPr>
      </w:pPr>
    </w:p>
    <w:p w14:paraId="0EAE5746" w14:textId="77777777" w:rsidR="00A74AF4" w:rsidRPr="00A74AF4" w:rsidRDefault="00A74AF4" w:rsidP="00CB452A">
      <w:pPr>
        <w:spacing w:after="0"/>
        <w:jc w:val="left"/>
        <w:rPr>
          <w:rFonts w:eastAsia="Arial" w:cs="Arial"/>
        </w:rPr>
      </w:pPr>
    </w:p>
    <w:tbl>
      <w:tblPr>
        <w:tblStyle w:val="TableGrid"/>
        <w:tblW w:w="8419" w:type="dxa"/>
        <w:tblInd w:w="1" w:type="dxa"/>
        <w:tblCellMar>
          <w:top w:w="6" w:type="dxa"/>
          <w:left w:w="107" w:type="dxa"/>
          <w:right w:w="78" w:type="dxa"/>
        </w:tblCellMar>
        <w:tblLook w:val="04A0" w:firstRow="1" w:lastRow="0" w:firstColumn="1" w:lastColumn="0" w:noHBand="0" w:noVBand="1"/>
      </w:tblPr>
      <w:tblGrid>
        <w:gridCol w:w="3826"/>
        <w:gridCol w:w="2400"/>
        <w:gridCol w:w="2193"/>
      </w:tblGrid>
      <w:tr w:rsidR="00CB452A" w:rsidRPr="00A74AF4" w14:paraId="61527998" w14:textId="77777777" w:rsidTr="00CB452A">
        <w:trPr>
          <w:trHeight w:val="288"/>
        </w:trPr>
        <w:tc>
          <w:tcPr>
            <w:tcW w:w="3826" w:type="dxa"/>
            <w:tcBorders>
              <w:top w:val="single" w:sz="4" w:space="0" w:color="000000"/>
              <w:left w:val="single" w:sz="4" w:space="0" w:color="000000"/>
              <w:bottom w:val="single" w:sz="4" w:space="0" w:color="000000"/>
              <w:right w:val="single" w:sz="4" w:space="0" w:color="000000"/>
            </w:tcBorders>
          </w:tcPr>
          <w:p w14:paraId="15AE91AE" w14:textId="77777777" w:rsidR="00CB452A" w:rsidRPr="00A74AF4" w:rsidRDefault="00CB452A" w:rsidP="00CB452A">
            <w:pPr>
              <w:spacing w:line="259" w:lineRule="auto"/>
              <w:jc w:val="left"/>
            </w:pPr>
            <w:r w:rsidRPr="00A74AF4">
              <w:lastRenderedPageBreak/>
              <w:t xml:space="preserve">1249 Slatna – Grgar </w:t>
            </w:r>
          </w:p>
        </w:tc>
        <w:tc>
          <w:tcPr>
            <w:tcW w:w="2400" w:type="dxa"/>
            <w:tcBorders>
              <w:top w:val="single" w:sz="4" w:space="0" w:color="000000"/>
              <w:left w:val="single" w:sz="4" w:space="0" w:color="000000"/>
              <w:bottom w:val="single" w:sz="4" w:space="0" w:color="000000"/>
              <w:right w:val="single" w:sz="4" w:space="0" w:color="000000"/>
            </w:tcBorders>
          </w:tcPr>
          <w:p w14:paraId="65177C3A" w14:textId="77777777" w:rsidR="00CB452A" w:rsidRPr="00A74AF4" w:rsidRDefault="00CB452A" w:rsidP="00CB452A">
            <w:pPr>
              <w:spacing w:line="259" w:lineRule="auto"/>
              <w:jc w:val="left"/>
            </w:pPr>
            <w:r w:rsidRPr="00A74AF4">
              <w:t xml:space="preserve"> </w:t>
            </w:r>
          </w:p>
        </w:tc>
        <w:tc>
          <w:tcPr>
            <w:tcW w:w="2193" w:type="dxa"/>
            <w:tcBorders>
              <w:top w:val="single" w:sz="4" w:space="0" w:color="000000"/>
              <w:left w:val="single" w:sz="4" w:space="0" w:color="000000"/>
              <w:bottom w:val="single" w:sz="4" w:space="0" w:color="000000"/>
              <w:right w:val="single" w:sz="4" w:space="0" w:color="000000"/>
            </w:tcBorders>
          </w:tcPr>
          <w:p w14:paraId="5105A9DE" w14:textId="77777777" w:rsidR="00CB452A" w:rsidRPr="00A74AF4" w:rsidRDefault="00CB452A" w:rsidP="00CB452A">
            <w:pPr>
              <w:spacing w:line="259" w:lineRule="auto"/>
              <w:jc w:val="left"/>
            </w:pPr>
            <w:r w:rsidRPr="00A74AF4">
              <w:t xml:space="preserve"> </w:t>
            </w:r>
          </w:p>
        </w:tc>
      </w:tr>
      <w:tr w:rsidR="00CB452A" w:rsidRPr="00A74AF4" w14:paraId="42C9E60B" w14:textId="77777777" w:rsidTr="00A74AF4">
        <w:trPr>
          <w:trHeight w:val="192"/>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40FB527" w14:textId="77777777" w:rsidR="00CB452A" w:rsidRPr="00A74AF4" w:rsidRDefault="00CB452A" w:rsidP="00CB452A">
            <w:pPr>
              <w:spacing w:line="259" w:lineRule="auto"/>
              <w:jc w:val="left"/>
            </w:pPr>
            <w:r w:rsidRPr="00A74AF4">
              <w:t xml:space="preserve">JAVNI VODOVOD   ……ID/zaporedna št.………. </w:t>
            </w:r>
          </w:p>
        </w:tc>
        <w:tc>
          <w:tcPr>
            <w:tcW w:w="240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9A57973" w14:textId="77777777" w:rsidR="00CB452A" w:rsidRPr="00A74AF4" w:rsidRDefault="00CB452A" w:rsidP="00CB452A">
            <w:pPr>
              <w:spacing w:line="259" w:lineRule="auto"/>
              <w:jc w:val="left"/>
            </w:pPr>
            <w:r w:rsidRPr="00A74AF4">
              <w:t xml:space="preserve">ŠTEVILO </w:t>
            </w:r>
          </w:p>
        </w:tc>
        <w:tc>
          <w:tcPr>
            <w:tcW w:w="21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C311A47" w14:textId="77777777" w:rsidR="00CB452A" w:rsidRPr="00A74AF4" w:rsidRDefault="00CB452A" w:rsidP="00CB452A">
            <w:pPr>
              <w:spacing w:line="259" w:lineRule="auto"/>
              <w:jc w:val="left"/>
            </w:pPr>
            <w:r w:rsidRPr="00A74AF4">
              <w:t xml:space="preserve">KOMENTAR </w:t>
            </w:r>
          </w:p>
        </w:tc>
      </w:tr>
      <w:tr w:rsidR="00CB452A" w:rsidRPr="00A74AF4" w14:paraId="0B6F70BA"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68AFC13" w14:textId="77777777" w:rsidR="00CB452A" w:rsidRPr="00A74AF4" w:rsidRDefault="00CB452A" w:rsidP="00CB452A">
            <w:pPr>
              <w:spacing w:line="259" w:lineRule="auto"/>
              <w:jc w:val="left"/>
            </w:pPr>
            <w:r w:rsidRPr="00A74AF4">
              <w:t xml:space="preserve">DOLŽINA CEVI BREZ PRIKLJUČKOV [m] </w:t>
            </w:r>
          </w:p>
        </w:tc>
        <w:tc>
          <w:tcPr>
            <w:tcW w:w="2400" w:type="dxa"/>
            <w:tcBorders>
              <w:top w:val="single" w:sz="4" w:space="0" w:color="000000"/>
              <w:left w:val="single" w:sz="4" w:space="0" w:color="000000"/>
              <w:bottom w:val="single" w:sz="4" w:space="0" w:color="000000"/>
              <w:right w:val="single" w:sz="4" w:space="0" w:color="000000"/>
            </w:tcBorders>
          </w:tcPr>
          <w:p w14:paraId="2CF55B11" w14:textId="77777777" w:rsidR="00CB452A" w:rsidRPr="00A74AF4" w:rsidRDefault="00CB452A" w:rsidP="00CB452A">
            <w:pPr>
              <w:spacing w:line="259" w:lineRule="auto"/>
              <w:jc w:val="left"/>
            </w:pPr>
            <w:r w:rsidRPr="00A74AF4">
              <w:t xml:space="preserve">14983 </w:t>
            </w:r>
          </w:p>
        </w:tc>
        <w:tc>
          <w:tcPr>
            <w:tcW w:w="2193" w:type="dxa"/>
            <w:tcBorders>
              <w:top w:val="single" w:sz="4" w:space="0" w:color="000000"/>
              <w:left w:val="single" w:sz="4" w:space="0" w:color="000000"/>
              <w:bottom w:val="single" w:sz="4" w:space="0" w:color="000000"/>
              <w:right w:val="single" w:sz="4" w:space="0" w:color="000000"/>
            </w:tcBorders>
          </w:tcPr>
          <w:p w14:paraId="5BB35FCF" w14:textId="77777777" w:rsidR="00CB452A" w:rsidRPr="00A74AF4" w:rsidRDefault="00CB452A" w:rsidP="00CB452A">
            <w:pPr>
              <w:spacing w:line="259" w:lineRule="auto"/>
              <w:jc w:val="left"/>
            </w:pPr>
            <w:r w:rsidRPr="00A74AF4">
              <w:t xml:space="preserve"> </w:t>
            </w:r>
          </w:p>
        </w:tc>
      </w:tr>
      <w:tr w:rsidR="00CB452A" w:rsidRPr="00A74AF4" w14:paraId="101A4330"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D4451F5" w14:textId="77777777" w:rsidR="00CB452A" w:rsidRPr="00A74AF4" w:rsidRDefault="00CB452A" w:rsidP="00CB452A">
            <w:pPr>
              <w:spacing w:line="259" w:lineRule="auto"/>
              <w:jc w:val="left"/>
            </w:pPr>
            <w:r w:rsidRPr="00A74AF4">
              <w:t xml:space="preserve">VODOHRAN   </w:t>
            </w:r>
          </w:p>
        </w:tc>
        <w:tc>
          <w:tcPr>
            <w:tcW w:w="2400" w:type="dxa"/>
            <w:tcBorders>
              <w:top w:val="single" w:sz="4" w:space="0" w:color="000000"/>
              <w:left w:val="single" w:sz="4" w:space="0" w:color="000000"/>
              <w:bottom w:val="single" w:sz="4" w:space="0" w:color="000000"/>
              <w:right w:val="single" w:sz="4" w:space="0" w:color="000000"/>
            </w:tcBorders>
          </w:tcPr>
          <w:p w14:paraId="5108FB4B" w14:textId="77777777" w:rsidR="00CB452A" w:rsidRPr="00A74AF4" w:rsidRDefault="00CB452A" w:rsidP="00CB452A">
            <w:pPr>
              <w:spacing w:line="259" w:lineRule="auto"/>
              <w:jc w:val="left"/>
            </w:pPr>
            <w:r w:rsidRPr="00A74AF4">
              <w:t xml:space="preserve">3 </w:t>
            </w:r>
          </w:p>
        </w:tc>
        <w:tc>
          <w:tcPr>
            <w:tcW w:w="2193" w:type="dxa"/>
            <w:tcBorders>
              <w:top w:val="single" w:sz="4" w:space="0" w:color="000000"/>
              <w:left w:val="single" w:sz="4" w:space="0" w:color="000000"/>
              <w:bottom w:val="single" w:sz="4" w:space="0" w:color="000000"/>
              <w:right w:val="single" w:sz="4" w:space="0" w:color="000000"/>
            </w:tcBorders>
          </w:tcPr>
          <w:p w14:paraId="609D5D89" w14:textId="77777777" w:rsidR="00CB452A" w:rsidRPr="00A74AF4" w:rsidRDefault="00CB452A" w:rsidP="00CB452A">
            <w:pPr>
              <w:spacing w:line="259" w:lineRule="auto"/>
              <w:jc w:val="left"/>
            </w:pPr>
            <w:r w:rsidRPr="00A74AF4">
              <w:t xml:space="preserve"> </w:t>
            </w:r>
          </w:p>
        </w:tc>
      </w:tr>
      <w:tr w:rsidR="00CB452A" w:rsidRPr="00A74AF4" w14:paraId="0C69CD17"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A9049EC" w14:textId="77777777" w:rsidR="00CB452A" w:rsidRPr="00A74AF4" w:rsidRDefault="00CB452A" w:rsidP="00CB452A">
            <w:pPr>
              <w:spacing w:line="259" w:lineRule="auto"/>
              <w:jc w:val="left"/>
            </w:pPr>
            <w:r w:rsidRPr="00A74AF4">
              <w:t xml:space="preserve">ČRPALIŠČE  </w:t>
            </w:r>
          </w:p>
        </w:tc>
        <w:tc>
          <w:tcPr>
            <w:tcW w:w="2400" w:type="dxa"/>
            <w:tcBorders>
              <w:top w:val="single" w:sz="4" w:space="0" w:color="000000"/>
              <w:left w:val="single" w:sz="4" w:space="0" w:color="000000"/>
              <w:bottom w:val="single" w:sz="4" w:space="0" w:color="000000"/>
              <w:right w:val="single" w:sz="4" w:space="0" w:color="000000"/>
            </w:tcBorders>
          </w:tcPr>
          <w:p w14:paraId="6C70D97E" w14:textId="77777777" w:rsidR="00CB452A" w:rsidRPr="00A74AF4" w:rsidRDefault="00CB452A" w:rsidP="00CB452A">
            <w:pPr>
              <w:spacing w:line="259" w:lineRule="auto"/>
              <w:jc w:val="left"/>
            </w:pPr>
            <w:r w:rsidRPr="00A74AF4">
              <w:t xml:space="preserve">3 </w:t>
            </w:r>
          </w:p>
        </w:tc>
        <w:tc>
          <w:tcPr>
            <w:tcW w:w="2193" w:type="dxa"/>
            <w:tcBorders>
              <w:top w:val="single" w:sz="4" w:space="0" w:color="000000"/>
              <w:left w:val="single" w:sz="4" w:space="0" w:color="000000"/>
              <w:bottom w:val="single" w:sz="4" w:space="0" w:color="000000"/>
              <w:right w:val="single" w:sz="4" w:space="0" w:color="000000"/>
            </w:tcBorders>
          </w:tcPr>
          <w:p w14:paraId="4054B328" w14:textId="77777777" w:rsidR="00CB452A" w:rsidRPr="00A74AF4" w:rsidRDefault="00CB452A" w:rsidP="00CB452A">
            <w:pPr>
              <w:spacing w:line="259" w:lineRule="auto"/>
              <w:jc w:val="left"/>
            </w:pPr>
            <w:r w:rsidRPr="00A74AF4">
              <w:t xml:space="preserve"> </w:t>
            </w:r>
          </w:p>
        </w:tc>
      </w:tr>
      <w:tr w:rsidR="00CB452A" w:rsidRPr="00A74AF4" w14:paraId="0DB59E3A"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1EDB0BD" w14:textId="77777777" w:rsidR="00CB452A" w:rsidRPr="00A74AF4" w:rsidRDefault="00CB452A" w:rsidP="00CB452A">
            <w:pPr>
              <w:spacing w:line="259" w:lineRule="auto"/>
              <w:jc w:val="left"/>
            </w:pPr>
            <w:r w:rsidRPr="00A74AF4">
              <w:t xml:space="preserve">NAPRAVE ZA OBDELAVO PITNE VODE  </w:t>
            </w:r>
          </w:p>
        </w:tc>
        <w:tc>
          <w:tcPr>
            <w:tcW w:w="2400" w:type="dxa"/>
            <w:tcBorders>
              <w:top w:val="single" w:sz="4" w:space="0" w:color="000000"/>
              <w:left w:val="single" w:sz="4" w:space="0" w:color="000000"/>
              <w:bottom w:val="single" w:sz="4" w:space="0" w:color="000000"/>
              <w:right w:val="single" w:sz="4" w:space="0" w:color="000000"/>
            </w:tcBorders>
          </w:tcPr>
          <w:p w14:paraId="26A22425" w14:textId="77777777" w:rsidR="00CB452A" w:rsidRPr="00A74AF4" w:rsidRDefault="00CB452A" w:rsidP="00CB452A">
            <w:pPr>
              <w:spacing w:line="259" w:lineRule="auto"/>
              <w:jc w:val="left"/>
            </w:pPr>
            <w:r w:rsidRPr="00A74AF4">
              <w:t xml:space="preserve">1 </w:t>
            </w:r>
          </w:p>
        </w:tc>
        <w:tc>
          <w:tcPr>
            <w:tcW w:w="2193" w:type="dxa"/>
            <w:tcBorders>
              <w:top w:val="single" w:sz="4" w:space="0" w:color="000000"/>
              <w:left w:val="single" w:sz="4" w:space="0" w:color="000000"/>
              <w:bottom w:val="single" w:sz="4" w:space="0" w:color="000000"/>
              <w:right w:val="single" w:sz="4" w:space="0" w:color="000000"/>
            </w:tcBorders>
          </w:tcPr>
          <w:p w14:paraId="35515EFB" w14:textId="77777777" w:rsidR="00CB452A" w:rsidRPr="00A74AF4" w:rsidRDefault="00CB452A" w:rsidP="00CB452A">
            <w:pPr>
              <w:spacing w:line="259" w:lineRule="auto"/>
              <w:jc w:val="left"/>
            </w:pPr>
            <w:r w:rsidRPr="00A74AF4">
              <w:t xml:space="preserve"> </w:t>
            </w:r>
          </w:p>
        </w:tc>
      </w:tr>
      <w:tr w:rsidR="00CB452A" w:rsidRPr="00A74AF4" w14:paraId="01946081" w14:textId="77777777" w:rsidTr="00A74AF4">
        <w:trPr>
          <w:trHeight w:val="379"/>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B83BEC9" w14:textId="77777777" w:rsidR="00CB452A" w:rsidRPr="00A74AF4" w:rsidRDefault="00CB452A" w:rsidP="00CB452A">
            <w:pPr>
              <w:spacing w:line="259" w:lineRule="auto"/>
              <w:jc w:val="left"/>
            </w:pPr>
            <w:r w:rsidRPr="00A74AF4">
              <w:t xml:space="preserve">OBJEKT ZA BOGATENJE ALI AKTIVNO ZAŠČITO VODONOSNIKA  </w:t>
            </w:r>
          </w:p>
        </w:tc>
        <w:tc>
          <w:tcPr>
            <w:tcW w:w="2400" w:type="dxa"/>
            <w:tcBorders>
              <w:top w:val="single" w:sz="4" w:space="0" w:color="000000"/>
              <w:left w:val="single" w:sz="4" w:space="0" w:color="000000"/>
              <w:bottom w:val="single" w:sz="4" w:space="0" w:color="000000"/>
              <w:right w:val="single" w:sz="4" w:space="0" w:color="000000"/>
            </w:tcBorders>
          </w:tcPr>
          <w:p w14:paraId="583AE2D6" w14:textId="77777777" w:rsidR="00CB452A" w:rsidRPr="00A74AF4" w:rsidRDefault="00CB452A" w:rsidP="00CB452A">
            <w:pPr>
              <w:spacing w:line="259" w:lineRule="auto"/>
              <w:jc w:val="left"/>
            </w:pPr>
            <w:r w:rsidRPr="00A74AF4">
              <w:t xml:space="preserve">0 </w:t>
            </w:r>
          </w:p>
        </w:tc>
        <w:tc>
          <w:tcPr>
            <w:tcW w:w="2193" w:type="dxa"/>
            <w:tcBorders>
              <w:top w:val="single" w:sz="4" w:space="0" w:color="000000"/>
              <w:left w:val="single" w:sz="4" w:space="0" w:color="000000"/>
              <w:bottom w:val="single" w:sz="4" w:space="0" w:color="000000"/>
              <w:right w:val="single" w:sz="4" w:space="0" w:color="000000"/>
            </w:tcBorders>
          </w:tcPr>
          <w:p w14:paraId="661CFFF6" w14:textId="77777777" w:rsidR="00CB452A" w:rsidRPr="00A74AF4" w:rsidRDefault="00CB452A" w:rsidP="00CB452A">
            <w:pPr>
              <w:spacing w:line="259" w:lineRule="auto"/>
              <w:jc w:val="left"/>
            </w:pPr>
            <w:r w:rsidRPr="00A74AF4">
              <w:t xml:space="preserve"> </w:t>
            </w:r>
          </w:p>
        </w:tc>
      </w:tr>
      <w:tr w:rsidR="00CB452A" w:rsidRPr="00A74AF4" w14:paraId="6BBED66D" w14:textId="77777777" w:rsidTr="00A74AF4">
        <w:trPr>
          <w:trHeight w:val="471"/>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446EA10" w14:textId="77777777" w:rsidR="00CB452A" w:rsidRPr="00A74AF4" w:rsidRDefault="00CB452A" w:rsidP="00CB452A">
            <w:pPr>
              <w:spacing w:line="259" w:lineRule="auto"/>
              <w:jc w:val="left"/>
            </w:pPr>
            <w:r w:rsidRPr="00A74AF4">
              <w:t xml:space="preserve">DRUGA OPREMA IN OBJEKTI - NAVESTI  </w:t>
            </w:r>
          </w:p>
        </w:tc>
        <w:tc>
          <w:tcPr>
            <w:tcW w:w="2400" w:type="dxa"/>
            <w:tcBorders>
              <w:top w:val="single" w:sz="4" w:space="0" w:color="000000"/>
              <w:left w:val="single" w:sz="4" w:space="0" w:color="000000"/>
              <w:bottom w:val="single" w:sz="4" w:space="0" w:color="000000"/>
              <w:right w:val="single" w:sz="4" w:space="0" w:color="000000"/>
            </w:tcBorders>
          </w:tcPr>
          <w:p w14:paraId="1F8E404E" w14:textId="77777777" w:rsidR="00CB452A" w:rsidRPr="00A74AF4" w:rsidRDefault="00CB452A" w:rsidP="00CB452A">
            <w:pPr>
              <w:spacing w:line="259" w:lineRule="auto"/>
              <w:jc w:val="left"/>
            </w:pPr>
            <w:r w:rsidRPr="00A74AF4">
              <w:t xml:space="preserve">44 HIDRANTOV </w:t>
            </w:r>
          </w:p>
          <w:p w14:paraId="2F45C32C" w14:textId="77777777" w:rsidR="00CB452A" w:rsidRPr="00A74AF4" w:rsidRDefault="00CB452A" w:rsidP="00CB452A">
            <w:pPr>
              <w:spacing w:line="259" w:lineRule="auto"/>
              <w:jc w:val="left"/>
            </w:pPr>
            <w:r w:rsidRPr="00A74AF4">
              <w:t xml:space="preserve">6 ZAJETJI </w:t>
            </w:r>
          </w:p>
        </w:tc>
        <w:tc>
          <w:tcPr>
            <w:tcW w:w="2193" w:type="dxa"/>
            <w:tcBorders>
              <w:top w:val="single" w:sz="4" w:space="0" w:color="000000"/>
              <w:left w:val="single" w:sz="4" w:space="0" w:color="000000"/>
              <w:bottom w:val="single" w:sz="4" w:space="0" w:color="000000"/>
              <w:right w:val="single" w:sz="4" w:space="0" w:color="000000"/>
            </w:tcBorders>
          </w:tcPr>
          <w:p w14:paraId="225D2E1D" w14:textId="77777777" w:rsidR="00CB452A" w:rsidRPr="00A74AF4" w:rsidRDefault="00CB452A" w:rsidP="00CB452A">
            <w:pPr>
              <w:spacing w:line="259" w:lineRule="auto"/>
              <w:jc w:val="left"/>
            </w:pPr>
            <w:r w:rsidRPr="00A74AF4">
              <w:t xml:space="preserve"> </w:t>
            </w:r>
          </w:p>
        </w:tc>
      </w:tr>
      <w:tr w:rsidR="00CB452A" w:rsidRPr="00A74AF4" w14:paraId="149EC730"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3350B86" w14:textId="77777777" w:rsidR="00CB452A" w:rsidRPr="00A74AF4" w:rsidRDefault="00CB452A" w:rsidP="00CB452A">
            <w:pPr>
              <w:spacing w:line="259" w:lineRule="auto"/>
              <w:jc w:val="left"/>
            </w:pPr>
            <w:r w:rsidRPr="00A74AF4">
              <w:t>KOLIČINA VODE, KI JO ZAGOTAVLJA [m</w:t>
            </w:r>
            <w:r w:rsidRPr="00A74AF4">
              <w:rPr>
                <w:vertAlign w:val="superscript"/>
              </w:rPr>
              <w:t>3</w:t>
            </w:r>
            <w:r w:rsidRPr="00A74AF4">
              <w:t xml:space="preserve">] </w:t>
            </w:r>
          </w:p>
        </w:tc>
        <w:tc>
          <w:tcPr>
            <w:tcW w:w="2400" w:type="dxa"/>
            <w:tcBorders>
              <w:top w:val="single" w:sz="4" w:space="0" w:color="000000"/>
              <w:left w:val="single" w:sz="4" w:space="0" w:color="000000"/>
              <w:bottom w:val="single" w:sz="4" w:space="0" w:color="000000"/>
              <w:right w:val="single" w:sz="4" w:space="0" w:color="000000"/>
            </w:tcBorders>
          </w:tcPr>
          <w:p w14:paraId="7507CF8B" w14:textId="77777777" w:rsidR="00CB452A" w:rsidRPr="00A74AF4" w:rsidRDefault="00CB452A" w:rsidP="00CB452A">
            <w:pPr>
              <w:spacing w:line="259" w:lineRule="auto"/>
              <w:jc w:val="left"/>
            </w:pPr>
            <w:r w:rsidRPr="00A74AF4">
              <w:t xml:space="preserve">40169 </w:t>
            </w:r>
          </w:p>
        </w:tc>
        <w:tc>
          <w:tcPr>
            <w:tcW w:w="2193" w:type="dxa"/>
            <w:tcBorders>
              <w:top w:val="single" w:sz="4" w:space="0" w:color="000000"/>
              <w:left w:val="single" w:sz="4" w:space="0" w:color="000000"/>
              <w:bottom w:val="single" w:sz="4" w:space="0" w:color="000000"/>
              <w:right w:val="single" w:sz="4" w:space="0" w:color="000000"/>
            </w:tcBorders>
          </w:tcPr>
          <w:p w14:paraId="47B20CB8" w14:textId="77777777" w:rsidR="00CB452A" w:rsidRPr="00A74AF4" w:rsidRDefault="00CB452A" w:rsidP="00CB452A">
            <w:pPr>
              <w:spacing w:line="259" w:lineRule="auto"/>
              <w:jc w:val="left"/>
            </w:pPr>
            <w:r w:rsidRPr="00A74AF4">
              <w:t xml:space="preserve"> </w:t>
            </w:r>
          </w:p>
        </w:tc>
      </w:tr>
      <w:tr w:rsidR="00CB452A" w:rsidRPr="00A74AF4" w14:paraId="2983BB31" w14:textId="77777777" w:rsidTr="00A74AF4">
        <w:trPr>
          <w:trHeight w:val="376"/>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A4C35D6" w14:textId="77777777" w:rsidR="00CB452A" w:rsidRPr="00A74AF4" w:rsidRDefault="00CB452A" w:rsidP="00CB452A">
            <w:pPr>
              <w:spacing w:line="259" w:lineRule="auto"/>
              <w:jc w:val="left"/>
            </w:pPr>
            <w:r w:rsidRPr="00A74AF4">
              <w:t xml:space="preserve">VODOVOD VPISAN V KATASTER JAVNE INFRASTRUKTURE </w:t>
            </w:r>
          </w:p>
        </w:tc>
        <w:tc>
          <w:tcPr>
            <w:tcW w:w="2400" w:type="dxa"/>
            <w:tcBorders>
              <w:top w:val="single" w:sz="4" w:space="0" w:color="000000"/>
              <w:left w:val="single" w:sz="4" w:space="0" w:color="000000"/>
              <w:bottom w:val="single" w:sz="4" w:space="0" w:color="000000"/>
              <w:right w:val="single" w:sz="4" w:space="0" w:color="000000"/>
            </w:tcBorders>
          </w:tcPr>
          <w:p w14:paraId="48BA0B76" w14:textId="77777777" w:rsidR="00CB452A" w:rsidRPr="00A74AF4" w:rsidRDefault="00CB452A" w:rsidP="00CB452A">
            <w:pPr>
              <w:spacing w:line="259" w:lineRule="auto"/>
              <w:jc w:val="left"/>
            </w:pPr>
            <w:r w:rsidRPr="00A74AF4">
              <w:t xml:space="preserve">DA </w:t>
            </w:r>
          </w:p>
        </w:tc>
        <w:tc>
          <w:tcPr>
            <w:tcW w:w="2193" w:type="dxa"/>
            <w:tcBorders>
              <w:top w:val="single" w:sz="4" w:space="0" w:color="000000"/>
              <w:left w:val="single" w:sz="4" w:space="0" w:color="000000"/>
              <w:bottom w:val="single" w:sz="4" w:space="0" w:color="000000"/>
              <w:right w:val="single" w:sz="4" w:space="0" w:color="000000"/>
            </w:tcBorders>
          </w:tcPr>
          <w:p w14:paraId="24569AF7" w14:textId="77777777" w:rsidR="00CB452A" w:rsidRPr="00A74AF4" w:rsidRDefault="00CB452A" w:rsidP="00CB452A">
            <w:pPr>
              <w:spacing w:line="259" w:lineRule="auto"/>
              <w:jc w:val="left"/>
            </w:pPr>
            <w:r w:rsidRPr="00A74AF4">
              <w:t xml:space="preserve"> </w:t>
            </w:r>
          </w:p>
        </w:tc>
      </w:tr>
    </w:tbl>
    <w:p w14:paraId="4BAECE3F" w14:textId="086C50E2" w:rsidR="00CB452A" w:rsidRPr="00A74AF4" w:rsidRDefault="00CB452A" w:rsidP="00A74AF4">
      <w:r w:rsidRPr="00A74AF4">
        <w:t xml:space="preserve">Skupaj vseh vodov je </w:t>
      </w:r>
      <w:r w:rsidRPr="00A74AF4">
        <w:rPr>
          <w:rFonts w:eastAsia="Arial" w:cs="Arial"/>
        </w:rPr>
        <w:t xml:space="preserve">18774 m. </w:t>
      </w:r>
    </w:p>
    <w:tbl>
      <w:tblPr>
        <w:tblStyle w:val="TableGrid"/>
        <w:tblW w:w="8419" w:type="dxa"/>
        <w:tblInd w:w="1" w:type="dxa"/>
        <w:tblCellMar>
          <w:top w:w="4" w:type="dxa"/>
          <w:left w:w="107" w:type="dxa"/>
          <w:right w:w="78" w:type="dxa"/>
        </w:tblCellMar>
        <w:tblLook w:val="04A0" w:firstRow="1" w:lastRow="0" w:firstColumn="1" w:lastColumn="0" w:noHBand="0" w:noVBand="1"/>
      </w:tblPr>
      <w:tblGrid>
        <w:gridCol w:w="3826"/>
        <w:gridCol w:w="2400"/>
        <w:gridCol w:w="2193"/>
      </w:tblGrid>
      <w:tr w:rsidR="00CB452A" w:rsidRPr="00A74AF4" w14:paraId="3B26C3A4" w14:textId="77777777" w:rsidTr="00CB452A">
        <w:trPr>
          <w:trHeight w:val="287"/>
        </w:trPr>
        <w:tc>
          <w:tcPr>
            <w:tcW w:w="3826" w:type="dxa"/>
            <w:tcBorders>
              <w:top w:val="single" w:sz="4" w:space="0" w:color="000000"/>
              <w:left w:val="single" w:sz="4" w:space="0" w:color="000000"/>
              <w:bottom w:val="single" w:sz="4" w:space="0" w:color="000000"/>
              <w:right w:val="single" w:sz="4" w:space="0" w:color="000000"/>
            </w:tcBorders>
          </w:tcPr>
          <w:p w14:paraId="0C2B224D" w14:textId="77777777" w:rsidR="00CB452A" w:rsidRPr="00A74AF4" w:rsidRDefault="00CB452A" w:rsidP="00CB452A">
            <w:pPr>
              <w:spacing w:line="259" w:lineRule="auto"/>
              <w:jc w:val="left"/>
            </w:pPr>
            <w:r w:rsidRPr="00A74AF4">
              <w:t xml:space="preserve">1250 Čepovan – Lokve </w:t>
            </w:r>
          </w:p>
        </w:tc>
        <w:tc>
          <w:tcPr>
            <w:tcW w:w="2400" w:type="dxa"/>
            <w:tcBorders>
              <w:top w:val="single" w:sz="4" w:space="0" w:color="000000"/>
              <w:left w:val="single" w:sz="4" w:space="0" w:color="000000"/>
              <w:bottom w:val="single" w:sz="4" w:space="0" w:color="000000"/>
              <w:right w:val="single" w:sz="4" w:space="0" w:color="000000"/>
            </w:tcBorders>
          </w:tcPr>
          <w:p w14:paraId="6DCFAE86" w14:textId="77777777" w:rsidR="00CB452A" w:rsidRPr="00A74AF4" w:rsidRDefault="00CB452A" w:rsidP="00CB452A">
            <w:pPr>
              <w:spacing w:line="259" w:lineRule="auto"/>
              <w:jc w:val="left"/>
            </w:pPr>
            <w:r w:rsidRPr="00A74AF4">
              <w:t xml:space="preserve"> </w:t>
            </w:r>
          </w:p>
        </w:tc>
        <w:tc>
          <w:tcPr>
            <w:tcW w:w="2193" w:type="dxa"/>
            <w:tcBorders>
              <w:top w:val="single" w:sz="4" w:space="0" w:color="000000"/>
              <w:left w:val="single" w:sz="4" w:space="0" w:color="000000"/>
              <w:bottom w:val="single" w:sz="4" w:space="0" w:color="000000"/>
              <w:right w:val="single" w:sz="4" w:space="0" w:color="000000"/>
            </w:tcBorders>
          </w:tcPr>
          <w:p w14:paraId="5367409E" w14:textId="77777777" w:rsidR="00CB452A" w:rsidRPr="00A74AF4" w:rsidRDefault="00CB452A" w:rsidP="00CB452A">
            <w:pPr>
              <w:spacing w:line="259" w:lineRule="auto"/>
              <w:jc w:val="left"/>
            </w:pPr>
            <w:r w:rsidRPr="00A74AF4">
              <w:t xml:space="preserve"> </w:t>
            </w:r>
          </w:p>
        </w:tc>
      </w:tr>
      <w:tr w:rsidR="00CB452A" w:rsidRPr="00A74AF4" w14:paraId="051E20CA" w14:textId="77777777" w:rsidTr="00A74AF4">
        <w:trPr>
          <w:trHeight w:val="193"/>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92C470A" w14:textId="77777777" w:rsidR="00CB452A" w:rsidRPr="00A74AF4" w:rsidRDefault="00CB452A" w:rsidP="00CB452A">
            <w:pPr>
              <w:spacing w:line="259" w:lineRule="auto"/>
              <w:jc w:val="left"/>
            </w:pPr>
            <w:r w:rsidRPr="00A74AF4">
              <w:t xml:space="preserve">JAVNI VODOVOD   ……ID/zaporedna št.………. </w:t>
            </w:r>
          </w:p>
        </w:tc>
        <w:tc>
          <w:tcPr>
            <w:tcW w:w="240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2AE2A05" w14:textId="77777777" w:rsidR="00CB452A" w:rsidRPr="00A74AF4" w:rsidRDefault="00CB452A" w:rsidP="00CB452A">
            <w:pPr>
              <w:spacing w:line="259" w:lineRule="auto"/>
              <w:jc w:val="left"/>
            </w:pPr>
            <w:r w:rsidRPr="00A74AF4">
              <w:t xml:space="preserve">ŠTEVILO </w:t>
            </w:r>
          </w:p>
        </w:tc>
        <w:tc>
          <w:tcPr>
            <w:tcW w:w="21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E8EBE0F" w14:textId="77777777" w:rsidR="00CB452A" w:rsidRPr="00A74AF4" w:rsidRDefault="00CB452A" w:rsidP="00CB452A">
            <w:pPr>
              <w:spacing w:line="259" w:lineRule="auto"/>
              <w:jc w:val="left"/>
            </w:pPr>
            <w:r w:rsidRPr="00A74AF4">
              <w:t xml:space="preserve">KOMENTAR </w:t>
            </w:r>
          </w:p>
        </w:tc>
      </w:tr>
      <w:tr w:rsidR="00CB452A" w:rsidRPr="00A74AF4" w14:paraId="6F56536F"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FDCA8F7" w14:textId="77777777" w:rsidR="00CB452A" w:rsidRPr="00A74AF4" w:rsidRDefault="00CB452A" w:rsidP="00CB452A">
            <w:pPr>
              <w:spacing w:line="259" w:lineRule="auto"/>
              <w:jc w:val="left"/>
            </w:pPr>
            <w:r w:rsidRPr="00A74AF4">
              <w:t xml:space="preserve">DOLŽINA CEVI BREZ PRIKLJUČKOV [m] </w:t>
            </w:r>
          </w:p>
        </w:tc>
        <w:tc>
          <w:tcPr>
            <w:tcW w:w="2400" w:type="dxa"/>
            <w:tcBorders>
              <w:top w:val="single" w:sz="4" w:space="0" w:color="000000"/>
              <w:left w:val="single" w:sz="4" w:space="0" w:color="000000"/>
              <w:bottom w:val="single" w:sz="4" w:space="0" w:color="000000"/>
              <w:right w:val="single" w:sz="4" w:space="0" w:color="000000"/>
            </w:tcBorders>
          </w:tcPr>
          <w:p w14:paraId="7F4B05C9" w14:textId="77777777" w:rsidR="00CB452A" w:rsidRPr="00A74AF4" w:rsidRDefault="00CB452A" w:rsidP="00CB452A">
            <w:pPr>
              <w:spacing w:line="259" w:lineRule="auto"/>
              <w:jc w:val="left"/>
            </w:pPr>
            <w:r w:rsidRPr="00A74AF4">
              <w:t xml:space="preserve">40058 </w:t>
            </w:r>
          </w:p>
        </w:tc>
        <w:tc>
          <w:tcPr>
            <w:tcW w:w="2193" w:type="dxa"/>
            <w:tcBorders>
              <w:top w:val="single" w:sz="4" w:space="0" w:color="000000"/>
              <w:left w:val="single" w:sz="4" w:space="0" w:color="000000"/>
              <w:bottom w:val="single" w:sz="4" w:space="0" w:color="000000"/>
              <w:right w:val="single" w:sz="4" w:space="0" w:color="000000"/>
            </w:tcBorders>
          </w:tcPr>
          <w:p w14:paraId="7C29EC2C" w14:textId="77777777" w:rsidR="00CB452A" w:rsidRPr="00A74AF4" w:rsidRDefault="00CB452A" w:rsidP="00CB452A">
            <w:pPr>
              <w:spacing w:line="259" w:lineRule="auto"/>
              <w:jc w:val="left"/>
            </w:pPr>
            <w:r w:rsidRPr="00A74AF4">
              <w:t xml:space="preserve"> </w:t>
            </w:r>
          </w:p>
        </w:tc>
      </w:tr>
      <w:tr w:rsidR="00CB452A" w:rsidRPr="00A74AF4" w14:paraId="0EF8AA4B"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DCBC87A" w14:textId="77777777" w:rsidR="00CB452A" w:rsidRPr="00A74AF4" w:rsidRDefault="00CB452A" w:rsidP="00CB452A">
            <w:pPr>
              <w:spacing w:line="259" w:lineRule="auto"/>
              <w:jc w:val="left"/>
            </w:pPr>
            <w:r w:rsidRPr="00A74AF4">
              <w:t xml:space="preserve">VODOHRAN   </w:t>
            </w:r>
          </w:p>
        </w:tc>
        <w:tc>
          <w:tcPr>
            <w:tcW w:w="2400" w:type="dxa"/>
            <w:tcBorders>
              <w:top w:val="single" w:sz="4" w:space="0" w:color="000000"/>
              <w:left w:val="single" w:sz="4" w:space="0" w:color="000000"/>
              <w:bottom w:val="single" w:sz="4" w:space="0" w:color="000000"/>
              <w:right w:val="single" w:sz="4" w:space="0" w:color="000000"/>
            </w:tcBorders>
          </w:tcPr>
          <w:p w14:paraId="6DD6D399" w14:textId="77777777" w:rsidR="00CB452A" w:rsidRPr="00A74AF4" w:rsidRDefault="00CB452A" w:rsidP="00CB452A">
            <w:pPr>
              <w:spacing w:line="259" w:lineRule="auto"/>
              <w:jc w:val="left"/>
            </w:pPr>
            <w:r w:rsidRPr="00A74AF4">
              <w:t xml:space="preserve">10 </w:t>
            </w:r>
          </w:p>
        </w:tc>
        <w:tc>
          <w:tcPr>
            <w:tcW w:w="2193" w:type="dxa"/>
            <w:tcBorders>
              <w:top w:val="single" w:sz="4" w:space="0" w:color="000000"/>
              <w:left w:val="single" w:sz="4" w:space="0" w:color="000000"/>
              <w:bottom w:val="single" w:sz="4" w:space="0" w:color="000000"/>
              <w:right w:val="single" w:sz="4" w:space="0" w:color="000000"/>
            </w:tcBorders>
          </w:tcPr>
          <w:p w14:paraId="65808845" w14:textId="77777777" w:rsidR="00CB452A" w:rsidRPr="00A74AF4" w:rsidRDefault="00CB452A" w:rsidP="00CB452A">
            <w:pPr>
              <w:spacing w:line="259" w:lineRule="auto"/>
              <w:jc w:val="left"/>
            </w:pPr>
            <w:r w:rsidRPr="00A74AF4">
              <w:t xml:space="preserve"> </w:t>
            </w:r>
          </w:p>
        </w:tc>
      </w:tr>
      <w:tr w:rsidR="00CB452A" w:rsidRPr="00A74AF4" w14:paraId="31948995"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4A9AFF2" w14:textId="77777777" w:rsidR="00CB452A" w:rsidRPr="00A74AF4" w:rsidRDefault="00CB452A" w:rsidP="00CB452A">
            <w:pPr>
              <w:spacing w:line="259" w:lineRule="auto"/>
              <w:jc w:val="left"/>
            </w:pPr>
            <w:r w:rsidRPr="00A74AF4">
              <w:t xml:space="preserve">ČRPALIŠČE  </w:t>
            </w:r>
          </w:p>
        </w:tc>
        <w:tc>
          <w:tcPr>
            <w:tcW w:w="2400" w:type="dxa"/>
            <w:tcBorders>
              <w:top w:val="single" w:sz="4" w:space="0" w:color="000000"/>
              <w:left w:val="single" w:sz="4" w:space="0" w:color="000000"/>
              <w:bottom w:val="single" w:sz="4" w:space="0" w:color="000000"/>
              <w:right w:val="single" w:sz="4" w:space="0" w:color="000000"/>
            </w:tcBorders>
          </w:tcPr>
          <w:p w14:paraId="2CCFD9AA" w14:textId="77777777" w:rsidR="00CB452A" w:rsidRPr="00A74AF4" w:rsidRDefault="00CB452A" w:rsidP="00CB452A">
            <w:pPr>
              <w:spacing w:line="259" w:lineRule="auto"/>
              <w:jc w:val="left"/>
            </w:pPr>
            <w:r w:rsidRPr="00A74AF4">
              <w:t xml:space="preserve">3 </w:t>
            </w:r>
          </w:p>
        </w:tc>
        <w:tc>
          <w:tcPr>
            <w:tcW w:w="2193" w:type="dxa"/>
            <w:tcBorders>
              <w:top w:val="single" w:sz="4" w:space="0" w:color="000000"/>
              <w:left w:val="single" w:sz="4" w:space="0" w:color="000000"/>
              <w:bottom w:val="single" w:sz="4" w:space="0" w:color="000000"/>
              <w:right w:val="single" w:sz="4" w:space="0" w:color="000000"/>
            </w:tcBorders>
          </w:tcPr>
          <w:p w14:paraId="3CDE2740" w14:textId="77777777" w:rsidR="00CB452A" w:rsidRPr="00A74AF4" w:rsidRDefault="00CB452A" w:rsidP="00CB452A">
            <w:pPr>
              <w:spacing w:line="259" w:lineRule="auto"/>
              <w:jc w:val="left"/>
            </w:pPr>
            <w:r w:rsidRPr="00A74AF4">
              <w:t xml:space="preserve"> </w:t>
            </w:r>
          </w:p>
        </w:tc>
      </w:tr>
      <w:tr w:rsidR="00CB452A" w:rsidRPr="00A74AF4" w14:paraId="36A53269"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A6EEFF9" w14:textId="77777777" w:rsidR="00CB452A" w:rsidRPr="00A74AF4" w:rsidRDefault="00CB452A" w:rsidP="00CB452A">
            <w:pPr>
              <w:spacing w:line="259" w:lineRule="auto"/>
              <w:jc w:val="left"/>
            </w:pPr>
            <w:r w:rsidRPr="00A74AF4">
              <w:t xml:space="preserve">NAPRAVE ZA OBDELAVO PITNE VODE  </w:t>
            </w:r>
          </w:p>
        </w:tc>
        <w:tc>
          <w:tcPr>
            <w:tcW w:w="2400" w:type="dxa"/>
            <w:tcBorders>
              <w:top w:val="single" w:sz="4" w:space="0" w:color="000000"/>
              <w:left w:val="single" w:sz="4" w:space="0" w:color="000000"/>
              <w:bottom w:val="single" w:sz="4" w:space="0" w:color="000000"/>
              <w:right w:val="single" w:sz="4" w:space="0" w:color="000000"/>
            </w:tcBorders>
          </w:tcPr>
          <w:p w14:paraId="7CF8EAEF" w14:textId="77777777" w:rsidR="00CB452A" w:rsidRPr="00A74AF4" w:rsidRDefault="00CB452A" w:rsidP="00CB452A">
            <w:pPr>
              <w:spacing w:line="259" w:lineRule="auto"/>
              <w:jc w:val="left"/>
            </w:pPr>
            <w:r w:rsidRPr="00A74AF4">
              <w:t xml:space="preserve">1 </w:t>
            </w:r>
          </w:p>
        </w:tc>
        <w:tc>
          <w:tcPr>
            <w:tcW w:w="2193" w:type="dxa"/>
            <w:tcBorders>
              <w:top w:val="single" w:sz="4" w:space="0" w:color="000000"/>
              <w:left w:val="single" w:sz="4" w:space="0" w:color="000000"/>
              <w:bottom w:val="single" w:sz="4" w:space="0" w:color="000000"/>
              <w:right w:val="single" w:sz="4" w:space="0" w:color="000000"/>
            </w:tcBorders>
          </w:tcPr>
          <w:p w14:paraId="7459DDF7" w14:textId="77777777" w:rsidR="00CB452A" w:rsidRPr="00A74AF4" w:rsidRDefault="00CB452A" w:rsidP="00CB452A">
            <w:pPr>
              <w:spacing w:line="259" w:lineRule="auto"/>
              <w:jc w:val="left"/>
            </w:pPr>
            <w:r w:rsidRPr="00A74AF4">
              <w:t xml:space="preserve"> </w:t>
            </w:r>
          </w:p>
        </w:tc>
      </w:tr>
      <w:tr w:rsidR="00CB452A" w:rsidRPr="00A74AF4" w14:paraId="157EC666" w14:textId="77777777" w:rsidTr="00A74AF4">
        <w:trPr>
          <w:trHeight w:val="378"/>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A8BAC59" w14:textId="77777777" w:rsidR="00CB452A" w:rsidRPr="00A74AF4" w:rsidRDefault="00CB452A" w:rsidP="00CB452A">
            <w:pPr>
              <w:spacing w:line="259" w:lineRule="auto"/>
              <w:jc w:val="left"/>
            </w:pPr>
            <w:r w:rsidRPr="00A74AF4">
              <w:t xml:space="preserve">OBJEKT ZA BOGATENJE ALI AKTIVNO ZAŠČITO VODONOSNIKA  </w:t>
            </w:r>
          </w:p>
        </w:tc>
        <w:tc>
          <w:tcPr>
            <w:tcW w:w="2400" w:type="dxa"/>
            <w:tcBorders>
              <w:top w:val="single" w:sz="4" w:space="0" w:color="000000"/>
              <w:left w:val="single" w:sz="4" w:space="0" w:color="000000"/>
              <w:bottom w:val="single" w:sz="4" w:space="0" w:color="000000"/>
              <w:right w:val="single" w:sz="4" w:space="0" w:color="000000"/>
            </w:tcBorders>
          </w:tcPr>
          <w:p w14:paraId="5B5FDA1A" w14:textId="77777777" w:rsidR="00CB452A" w:rsidRPr="00A74AF4" w:rsidRDefault="00CB452A" w:rsidP="00CB452A">
            <w:pPr>
              <w:spacing w:line="259" w:lineRule="auto"/>
              <w:jc w:val="left"/>
            </w:pPr>
            <w:r w:rsidRPr="00A74AF4">
              <w:t xml:space="preserve">0 </w:t>
            </w:r>
          </w:p>
        </w:tc>
        <w:tc>
          <w:tcPr>
            <w:tcW w:w="2193" w:type="dxa"/>
            <w:tcBorders>
              <w:top w:val="single" w:sz="4" w:space="0" w:color="000000"/>
              <w:left w:val="single" w:sz="4" w:space="0" w:color="000000"/>
              <w:bottom w:val="single" w:sz="4" w:space="0" w:color="000000"/>
              <w:right w:val="single" w:sz="4" w:space="0" w:color="000000"/>
            </w:tcBorders>
          </w:tcPr>
          <w:p w14:paraId="073EF662" w14:textId="77777777" w:rsidR="00CB452A" w:rsidRPr="00A74AF4" w:rsidRDefault="00CB452A" w:rsidP="00CB452A">
            <w:pPr>
              <w:spacing w:line="259" w:lineRule="auto"/>
              <w:jc w:val="left"/>
            </w:pPr>
            <w:r w:rsidRPr="00A74AF4">
              <w:t xml:space="preserve"> </w:t>
            </w:r>
          </w:p>
        </w:tc>
      </w:tr>
      <w:tr w:rsidR="00CB452A" w:rsidRPr="00A74AF4" w14:paraId="24396E2B" w14:textId="77777777" w:rsidTr="00A74AF4">
        <w:trPr>
          <w:trHeight w:val="70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B8E04C2" w14:textId="77777777" w:rsidR="00CB452A" w:rsidRPr="00A74AF4" w:rsidRDefault="00CB452A" w:rsidP="00CB452A">
            <w:pPr>
              <w:spacing w:line="259" w:lineRule="auto"/>
              <w:jc w:val="left"/>
            </w:pPr>
            <w:r w:rsidRPr="00A74AF4">
              <w:t xml:space="preserve">DRUGA OPREMA IN OBJEKTI - NAVESTI  </w:t>
            </w:r>
          </w:p>
        </w:tc>
        <w:tc>
          <w:tcPr>
            <w:tcW w:w="2400" w:type="dxa"/>
            <w:tcBorders>
              <w:top w:val="single" w:sz="4" w:space="0" w:color="000000"/>
              <w:left w:val="single" w:sz="4" w:space="0" w:color="000000"/>
              <w:bottom w:val="single" w:sz="4" w:space="0" w:color="000000"/>
              <w:right w:val="single" w:sz="4" w:space="0" w:color="000000"/>
            </w:tcBorders>
          </w:tcPr>
          <w:p w14:paraId="525947D0" w14:textId="77777777" w:rsidR="00CB452A" w:rsidRPr="00A74AF4" w:rsidRDefault="00CB452A" w:rsidP="00CB452A">
            <w:pPr>
              <w:spacing w:line="259" w:lineRule="auto"/>
              <w:jc w:val="left"/>
            </w:pPr>
            <w:r w:rsidRPr="00A74AF4">
              <w:t xml:space="preserve">1 RAZBREMENILNIK  </w:t>
            </w:r>
          </w:p>
          <w:p w14:paraId="4624DF63" w14:textId="77777777" w:rsidR="00CB452A" w:rsidRPr="00A74AF4" w:rsidRDefault="00CB452A" w:rsidP="00CB452A">
            <w:pPr>
              <w:spacing w:line="259" w:lineRule="auto"/>
              <w:jc w:val="left"/>
            </w:pPr>
            <w:r w:rsidRPr="00A74AF4">
              <w:t xml:space="preserve">69 HIDRANTOV </w:t>
            </w:r>
          </w:p>
          <w:p w14:paraId="0F9AB73A" w14:textId="77777777" w:rsidR="00CB452A" w:rsidRPr="00A74AF4" w:rsidRDefault="00CB452A" w:rsidP="00CB452A">
            <w:pPr>
              <w:spacing w:line="259" w:lineRule="auto"/>
              <w:jc w:val="left"/>
            </w:pPr>
            <w:r w:rsidRPr="00A74AF4">
              <w:t xml:space="preserve">5 ZAJETJI </w:t>
            </w:r>
          </w:p>
        </w:tc>
        <w:tc>
          <w:tcPr>
            <w:tcW w:w="2193" w:type="dxa"/>
            <w:tcBorders>
              <w:top w:val="single" w:sz="4" w:space="0" w:color="000000"/>
              <w:left w:val="single" w:sz="4" w:space="0" w:color="000000"/>
              <w:bottom w:val="single" w:sz="4" w:space="0" w:color="000000"/>
              <w:right w:val="single" w:sz="4" w:space="0" w:color="000000"/>
            </w:tcBorders>
          </w:tcPr>
          <w:p w14:paraId="3D73F2E1" w14:textId="77777777" w:rsidR="00CB452A" w:rsidRPr="00A74AF4" w:rsidRDefault="00CB452A" w:rsidP="00CB452A">
            <w:pPr>
              <w:spacing w:line="259" w:lineRule="auto"/>
              <w:jc w:val="left"/>
            </w:pPr>
            <w:r w:rsidRPr="00A74AF4">
              <w:t xml:space="preserve"> </w:t>
            </w:r>
          </w:p>
        </w:tc>
      </w:tr>
      <w:tr w:rsidR="00CB452A" w:rsidRPr="00A74AF4" w14:paraId="4E04277A"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A442596" w14:textId="77777777" w:rsidR="00CB452A" w:rsidRPr="00A74AF4" w:rsidRDefault="00CB452A" w:rsidP="00CB452A">
            <w:pPr>
              <w:spacing w:line="259" w:lineRule="auto"/>
              <w:jc w:val="left"/>
            </w:pPr>
            <w:r w:rsidRPr="00A74AF4">
              <w:t>KOLIČINA VODE, KI JO ZAGOTAVLJA [m</w:t>
            </w:r>
            <w:r w:rsidRPr="00A74AF4">
              <w:rPr>
                <w:vertAlign w:val="superscript"/>
              </w:rPr>
              <w:t>3</w:t>
            </w:r>
            <w:r w:rsidRPr="00A74AF4">
              <w:t xml:space="preserve">] </w:t>
            </w:r>
          </w:p>
        </w:tc>
        <w:tc>
          <w:tcPr>
            <w:tcW w:w="2400" w:type="dxa"/>
            <w:tcBorders>
              <w:top w:val="single" w:sz="4" w:space="0" w:color="000000"/>
              <w:left w:val="single" w:sz="4" w:space="0" w:color="000000"/>
              <w:bottom w:val="single" w:sz="4" w:space="0" w:color="000000"/>
              <w:right w:val="single" w:sz="4" w:space="0" w:color="000000"/>
            </w:tcBorders>
          </w:tcPr>
          <w:p w14:paraId="3362CDA6" w14:textId="77777777" w:rsidR="00CB452A" w:rsidRPr="00A74AF4" w:rsidRDefault="00CB452A" w:rsidP="00CB452A">
            <w:pPr>
              <w:spacing w:line="259" w:lineRule="auto"/>
              <w:jc w:val="left"/>
            </w:pPr>
            <w:r w:rsidRPr="00A74AF4">
              <w:t xml:space="preserve">45173 </w:t>
            </w:r>
          </w:p>
        </w:tc>
        <w:tc>
          <w:tcPr>
            <w:tcW w:w="2193" w:type="dxa"/>
            <w:tcBorders>
              <w:top w:val="single" w:sz="4" w:space="0" w:color="000000"/>
              <w:left w:val="single" w:sz="4" w:space="0" w:color="000000"/>
              <w:bottom w:val="single" w:sz="4" w:space="0" w:color="000000"/>
              <w:right w:val="single" w:sz="4" w:space="0" w:color="000000"/>
            </w:tcBorders>
          </w:tcPr>
          <w:p w14:paraId="70783131" w14:textId="77777777" w:rsidR="00CB452A" w:rsidRPr="00A74AF4" w:rsidRDefault="00CB452A" w:rsidP="00CB452A">
            <w:pPr>
              <w:spacing w:line="259" w:lineRule="auto"/>
              <w:jc w:val="left"/>
            </w:pPr>
            <w:r w:rsidRPr="00A74AF4">
              <w:t xml:space="preserve"> </w:t>
            </w:r>
          </w:p>
        </w:tc>
      </w:tr>
      <w:tr w:rsidR="00CB452A" w:rsidRPr="00A74AF4" w14:paraId="0FF5AEC5" w14:textId="77777777" w:rsidTr="00A74AF4">
        <w:trPr>
          <w:trHeight w:val="378"/>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06B44C5" w14:textId="77777777" w:rsidR="00CB452A" w:rsidRPr="00A74AF4" w:rsidRDefault="00CB452A" w:rsidP="00CB452A">
            <w:pPr>
              <w:spacing w:line="259" w:lineRule="auto"/>
              <w:jc w:val="left"/>
            </w:pPr>
            <w:r w:rsidRPr="00A74AF4">
              <w:t xml:space="preserve">VODOVOD VPISAN V KATASTER JAVNE INFRASTRUKTURE </w:t>
            </w:r>
          </w:p>
        </w:tc>
        <w:tc>
          <w:tcPr>
            <w:tcW w:w="2400" w:type="dxa"/>
            <w:tcBorders>
              <w:top w:val="single" w:sz="4" w:space="0" w:color="000000"/>
              <w:left w:val="single" w:sz="4" w:space="0" w:color="000000"/>
              <w:bottom w:val="single" w:sz="4" w:space="0" w:color="000000"/>
              <w:right w:val="single" w:sz="4" w:space="0" w:color="000000"/>
            </w:tcBorders>
          </w:tcPr>
          <w:p w14:paraId="7E39FE0C" w14:textId="77777777" w:rsidR="00CB452A" w:rsidRPr="00A74AF4" w:rsidRDefault="00CB452A" w:rsidP="00CB452A">
            <w:pPr>
              <w:spacing w:line="259" w:lineRule="auto"/>
              <w:jc w:val="left"/>
            </w:pPr>
            <w:r w:rsidRPr="00A74AF4">
              <w:t xml:space="preserve">DA </w:t>
            </w:r>
          </w:p>
        </w:tc>
        <w:tc>
          <w:tcPr>
            <w:tcW w:w="2193" w:type="dxa"/>
            <w:tcBorders>
              <w:top w:val="single" w:sz="4" w:space="0" w:color="000000"/>
              <w:left w:val="single" w:sz="4" w:space="0" w:color="000000"/>
              <w:bottom w:val="single" w:sz="4" w:space="0" w:color="000000"/>
              <w:right w:val="single" w:sz="4" w:space="0" w:color="000000"/>
            </w:tcBorders>
          </w:tcPr>
          <w:p w14:paraId="11D41350" w14:textId="77777777" w:rsidR="00CB452A" w:rsidRPr="00A74AF4" w:rsidRDefault="00CB452A" w:rsidP="00CB452A">
            <w:pPr>
              <w:spacing w:line="259" w:lineRule="auto"/>
              <w:jc w:val="left"/>
            </w:pPr>
            <w:r w:rsidRPr="00A74AF4">
              <w:t xml:space="preserve"> </w:t>
            </w:r>
          </w:p>
        </w:tc>
      </w:tr>
    </w:tbl>
    <w:p w14:paraId="79C3A454" w14:textId="626C040C" w:rsidR="00CB452A" w:rsidRPr="00A74AF4" w:rsidRDefault="00CB452A" w:rsidP="00642FD9">
      <w:r w:rsidRPr="00A74AF4">
        <w:t xml:space="preserve">Skupaj vseh vodov je </w:t>
      </w:r>
      <w:r w:rsidRPr="00A74AF4">
        <w:rPr>
          <w:rFonts w:eastAsia="Arial" w:cs="Arial"/>
        </w:rPr>
        <w:t xml:space="preserve">46693 m. </w:t>
      </w:r>
    </w:p>
    <w:tbl>
      <w:tblPr>
        <w:tblStyle w:val="TableGrid"/>
        <w:tblW w:w="8419" w:type="dxa"/>
        <w:tblInd w:w="1" w:type="dxa"/>
        <w:tblCellMar>
          <w:top w:w="4" w:type="dxa"/>
          <w:left w:w="106" w:type="dxa"/>
          <w:right w:w="78" w:type="dxa"/>
        </w:tblCellMar>
        <w:tblLook w:val="04A0" w:firstRow="1" w:lastRow="0" w:firstColumn="1" w:lastColumn="0" w:noHBand="0" w:noVBand="1"/>
      </w:tblPr>
      <w:tblGrid>
        <w:gridCol w:w="3826"/>
        <w:gridCol w:w="2400"/>
        <w:gridCol w:w="2193"/>
      </w:tblGrid>
      <w:tr w:rsidR="00CB452A" w:rsidRPr="00A74AF4" w14:paraId="604E7862" w14:textId="77777777" w:rsidTr="00CB452A">
        <w:trPr>
          <w:trHeight w:val="287"/>
        </w:trPr>
        <w:tc>
          <w:tcPr>
            <w:tcW w:w="3826" w:type="dxa"/>
            <w:tcBorders>
              <w:top w:val="single" w:sz="4" w:space="0" w:color="000000"/>
              <w:left w:val="single" w:sz="4" w:space="0" w:color="000000"/>
              <w:bottom w:val="single" w:sz="4" w:space="0" w:color="000000"/>
              <w:right w:val="single" w:sz="4" w:space="0" w:color="000000"/>
            </w:tcBorders>
          </w:tcPr>
          <w:p w14:paraId="61842027" w14:textId="77777777" w:rsidR="00CB452A" w:rsidRPr="00A74AF4" w:rsidRDefault="00CB452A" w:rsidP="00CB452A">
            <w:pPr>
              <w:spacing w:line="259" w:lineRule="auto"/>
              <w:jc w:val="left"/>
            </w:pPr>
            <w:r w:rsidRPr="00A74AF4">
              <w:t xml:space="preserve">1512 Sveto </w:t>
            </w:r>
          </w:p>
        </w:tc>
        <w:tc>
          <w:tcPr>
            <w:tcW w:w="2400" w:type="dxa"/>
            <w:tcBorders>
              <w:top w:val="single" w:sz="4" w:space="0" w:color="000000"/>
              <w:left w:val="single" w:sz="4" w:space="0" w:color="000000"/>
              <w:bottom w:val="single" w:sz="4" w:space="0" w:color="000000"/>
              <w:right w:val="single" w:sz="4" w:space="0" w:color="000000"/>
            </w:tcBorders>
          </w:tcPr>
          <w:p w14:paraId="24D258E7" w14:textId="77777777" w:rsidR="00CB452A" w:rsidRPr="00A74AF4" w:rsidRDefault="00CB452A" w:rsidP="00CB452A">
            <w:pPr>
              <w:spacing w:line="259" w:lineRule="auto"/>
              <w:jc w:val="left"/>
            </w:pPr>
            <w:r w:rsidRPr="00A74AF4">
              <w:t xml:space="preserve"> </w:t>
            </w:r>
          </w:p>
        </w:tc>
        <w:tc>
          <w:tcPr>
            <w:tcW w:w="2193" w:type="dxa"/>
            <w:tcBorders>
              <w:top w:val="single" w:sz="4" w:space="0" w:color="000000"/>
              <w:left w:val="single" w:sz="4" w:space="0" w:color="000000"/>
              <w:bottom w:val="single" w:sz="4" w:space="0" w:color="000000"/>
              <w:right w:val="single" w:sz="4" w:space="0" w:color="000000"/>
            </w:tcBorders>
          </w:tcPr>
          <w:p w14:paraId="34A95C80" w14:textId="77777777" w:rsidR="00CB452A" w:rsidRPr="00A74AF4" w:rsidRDefault="00CB452A" w:rsidP="00CB452A">
            <w:pPr>
              <w:spacing w:line="259" w:lineRule="auto"/>
              <w:jc w:val="left"/>
            </w:pPr>
            <w:r w:rsidRPr="00A74AF4">
              <w:t xml:space="preserve"> </w:t>
            </w:r>
          </w:p>
        </w:tc>
      </w:tr>
      <w:tr w:rsidR="00CB452A" w:rsidRPr="00A74AF4" w14:paraId="157DB8A7" w14:textId="77777777" w:rsidTr="00A74AF4">
        <w:trPr>
          <w:trHeight w:val="193"/>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D6D384B" w14:textId="77777777" w:rsidR="00CB452A" w:rsidRPr="00A74AF4" w:rsidRDefault="00CB452A" w:rsidP="00CB452A">
            <w:pPr>
              <w:spacing w:line="259" w:lineRule="auto"/>
              <w:jc w:val="left"/>
            </w:pPr>
            <w:r w:rsidRPr="00A74AF4">
              <w:t xml:space="preserve">JAVNI VODOVOD   ……ID/zaporedna št.………. </w:t>
            </w:r>
          </w:p>
        </w:tc>
        <w:tc>
          <w:tcPr>
            <w:tcW w:w="240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2157648" w14:textId="77777777" w:rsidR="00CB452A" w:rsidRPr="00A74AF4" w:rsidRDefault="00CB452A" w:rsidP="00CB452A">
            <w:pPr>
              <w:spacing w:line="259" w:lineRule="auto"/>
              <w:jc w:val="left"/>
            </w:pPr>
            <w:r w:rsidRPr="00A74AF4">
              <w:t xml:space="preserve">ŠTEVILO </w:t>
            </w:r>
          </w:p>
        </w:tc>
        <w:tc>
          <w:tcPr>
            <w:tcW w:w="21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C676440" w14:textId="77777777" w:rsidR="00CB452A" w:rsidRPr="00A74AF4" w:rsidRDefault="00CB452A" w:rsidP="00CB452A">
            <w:pPr>
              <w:spacing w:line="259" w:lineRule="auto"/>
              <w:jc w:val="left"/>
            </w:pPr>
            <w:r w:rsidRPr="00A74AF4">
              <w:t xml:space="preserve">KOMENTAR </w:t>
            </w:r>
          </w:p>
        </w:tc>
      </w:tr>
      <w:tr w:rsidR="00CB452A" w:rsidRPr="00A74AF4" w14:paraId="5062D039"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321AA80" w14:textId="77777777" w:rsidR="00CB452A" w:rsidRPr="00A74AF4" w:rsidRDefault="00CB452A" w:rsidP="00CB452A">
            <w:pPr>
              <w:spacing w:line="259" w:lineRule="auto"/>
              <w:jc w:val="left"/>
            </w:pPr>
            <w:r w:rsidRPr="00A74AF4">
              <w:t xml:space="preserve">DOLŽINA CEVI BREZ PRIKLJUČKOV [m] </w:t>
            </w:r>
          </w:p>
        </w:tc>
        <w:tc>
          <w:tcPr>
            <w:tcW w:w="2400" w:type="dxa"/>
            <w:tcBorders>
              <w:top w:val="single" w:sz="4" w:space="0" w:color="000000"/>
              <w:left w:val="single" w:sz="4" w:space="0" w:color="000000"/>
              <w:bottom w:val="single" w:sz="4" w:space="0" w:color="000000"/>
              <w:right w:val="single" w:sz="4" w:space="0" w:color="000000"/>
            </w:tcBorders>
          </w:tcPr>
          <w:p w14:paraId="0D969D16" w14:textId="77777777" w:rsidR="00CB452A" w:rsidRPr="00A74AF4" w:rsidRDefault="00CB452A" w:rsidP="00CB452A">
            <w:pPr>
              <w:spacing w:line="259" w:lineRule="auto"/>
              <w:jc w:val="left"/>
            </w:pPr>
            <w:r w:rsidRPr="00A74AF4">
              <w:t xml:space="preserve">891 </w:t>
            </w:r>
          </w:p>
        </w:tc>
        <w:tc>
          <w:tcPr>
            <w:tcW w:w="2193" w:type="dxa"/>
            <w:tcBorders>
              <w:top w:val="single" w:sz="4" w:space="0" w:color="000000"/>
              <w:left w:val="single" w:sz="4" w:space="0" w:color="000000"/>
              <w:bottom w:val="single" w:sz="4" w:space="0" w:color="000000"/>
              <w:right w:val="single" w:sz="4" w:space="0" w:color="000000"/>
            </w:tcBorders>
          </w:tcPr>
          <w:p w14:paraId="66150B63" w14:textId="77777777" w:rsidR="00CB452A" w:rsidRPr="00A74AF4" w:rsidRDefault="00CB452A" w:rsidP="00CB452A">
            <w:pPr>
              <w:spacing w:line="259" w:lineRule="auto"/>
              <w:jc w:val="left"/>
            </w:pPr>
            <w:r w:rsidRPr="00A74AF4">
              <w:t xml:space="preserve"> </w:t>
            </w:r>
          </w:p>
        </w:tc>
      </w:tr>
      <w:tr w:rsidR="00CB452A" w:rsidRPr="00A74AF4" w14:paraId="1233FD53"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9DAECD3" w14:textId="77777777" w:rsidR="00CB452A" w:rsidRPr="00A74AF4" w:rsidRDefault="00CB452A" w:rsidP="00CB452A">
            <w:pPr>
              <w:spacing w:line="259" w:lineRule="auto"/>
              <w:jc w:val="left"/>
            </w:pPr>
            <w:r w:rsidRPr="00A74AF4">
              <w:t xml:space="preserve">VODOHRAN   </w:t>
            </w:r>
          </w:p>
        </w:tc>
        <w:tc>
          <w:tcPr>
            <w:tcW w:w="2400" w:type="dxa"/>
            <w:tcBorders>
              <w:top w:val="single" w:sz="4" w:space="0" w:color="000000"/>
              <w:left w:val="single" w:sz="4" w:space="0" w:color="000000"/>
              <w:bottom w:val="single" w:sz="4" w:space="0" w:color="000000"/>
              <w:right w:val="single" w:sz="4" w:space="0" w:color="000000"/>
            </w:tcBorders>
          </w:tcPr>
          <w:p w14:paraId="5EBC5DDA" w14:textId="77777777" w:rsidR="00CB452A" w:rsidRPr="00A74AF4" w:rsidRDefault="00CB452A" w:rsidP="00CB452A">
            <w:pPr>
              <w:spacing w:line="259" w:lineRule="auto"/>
              <w:jc w:val="left"/>
            </w:pPr>
            <w:r w:rsidRPr="00A74AF4">
              <w:t xml:space="preserve">1 </w:t>
            </w:r>
          </w:p>
        </w:tc>
        <w:tc>
          <w:tcPr>
            <w:tcW w:w="2193" w:type="dxa"/>
            <w:tcBorders>
              <w:top w:val="single" w:sz="4" w:space="0" w:color="000000"/>
              <w:left w:val="single" w:sz="4" w:space="0" w:color="000000"/>
              <w:bottom w:val="single" w:sz="4" w:space="0" w:color="000000"/>
              <w:right w:val="single" w:sz="4" w:space="0" w:color="000000"/>
            </w:tcBorders>
          </w:tcPr>
          <w:p w14:paraId="7B695021" w14:textId="77777777" w:rsidR="00CB452A" w:rsidRPr="00A74AF4" w:rsidRDefault="00CB452A" w:rsidP="00CB452A">
            <w:pPr>
              <w:spacing w:line="259" w:lineRule="auto"/>
              <w:jc w:val="left"/>
            </w:pPr>
            <w:r w:rsidRPr="00A74AF4">
              <w:t xml:space="preserve"> </w:t>
            </w:r>
          </w:p>
        </w:tc>
      </w:tr>
      <w:tr w:rsidR="00CB452A" w:rsidRPr="00A74AF4" w14:paraId="381380DD"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F8A0C07" w14:textId="77777777" w:rsidR="00CB452A" w:rsidRPr="00A74AF4" w:rsidRDefault="00CB452A" w:rsidP="00CB452A">
            <w:pPr>
              <w:spacing w:line="259" w:lineRule="auto"/>
              <w:jc w:val="left"/>
            </w:pPr>
            <w:r w:rsidRPr="00A74AF4">
              <w:t xml:space="preserve">ČRPALIŠČE  </w:t>
            </w:r>
          </w:p>
        </w:tc>
        <w:tc>
          <w:tcPr>
            <w:tcW w:w="2400" w:type="dxa"/>
            <w:tcBorders>
              <w:top w:val="single" w:sz="4" w:space="0" w:color="000000"/>
              <w:left w:val="single" w:sz="4" w:space="0" w:color="000000"/>
              <w:bottom w:val="single" w:sz="4" w:space="0" w:color="000000"/>
              <w:right w:val="single" w:sz="4" w:space="0" w:color="000000"/>
            </w:tcBorders>
          </w:tcPr>
          <w:p w14:paraId="1DFC4F32" w14:textId="77777777" w:rsidR="00CB452A" w:rsidRPr="00A74AF4" w:rsidRDefault="00CB452A" w:rsidP="00CB452A">
            <w:pPr>
              <w:spacing w:line="259" w:lineRule="auto"/>
              <w:jc w:val="left"/>
            </w:pPr>
            <w:r w:rsidRPr="00A74AF4">
              <w:t xml:space="preserve">1 </w:t>
            </w:r>
          </w:p>
        </w:tc>
        <w:tc>
          <w:tcPr>
            <w:tcW w:w="2193" w:type="dxa"/>
            <w:tcBorders>
              <w:top w:val="single" w:sz="4" w:space="0" w:color="000000"/>
              <w:left w:val="single" w:sz="4" w:space="0" w:color="000000"/>
              <w:bottom w:val="single" w:sz="4" w:space="0" w:color="000000"/>
              <w:right w:val="single" w:sz="4" w:space="0" w:color="000000"/>
            </w:tcBorders>
          </w:tcPr>
          <w:p w14:paraId="7377054E" w14:textId="77777777" w:rsidR="00CB452A" w:rsidRPr="00A74AF4" w:rsidRDefault="00CB452A" w:rsidP="00CB452A">
            <w:pPr>
              <w:spacing w:line="259" w:lineRule="auto"/>
              <w:jc w:val="left"/>
            </w:pPr>
            <w:r w:rsidRPr="00A74AF4">
              <w:t xml:space="preserve"> </w:t>
            </w:r>
          </w:p>
        </w:tc>
      </w:tr>
      <w:tr w:rsidR="00CB452A" w:rsidRPr="00A74AF4" w14:paraId="7290A472"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F437E1E" w14:textId="77777777" w:rsidR="00CB452A" w:rsidRPr="00A74AF4" w:rsidRDefault="00CB452A" w:rsidP="00CB452A">
            <w:pPr>
              <w:spacing w:line="259" w:lineRule="auto"/>
              <w:jc w:val="left"/>
            </w:pPr>
            <w:r w:rsidRPr="00A74AF4">
              <w:t xml:space="preserve">NAPRAVE ZA OBDELAVO PITNE VODE  </w:t>
            </w:r>
          </w:p>
        </w:tc>
        <w:tc>
          <w:tcPr>
            <w:tcW w:w="2400" w:type="dxa"/>
            <w:tcBorders>
              <w:top w:val="single" w:sz="4" w:space="0" w:color="000000"/>
              <w:left w:val="single" w:sz="4" w:space="0" w:color="000000"/>
              <w:bottom w:val="single" w:sz="4" w:space="0" w:color="000000"/>
              <w:right w:val="single" w:sz="4" w:space="0" w:color="000000"/>
            </w:tcBorders>
          </w:tcPr>
          <w:p w14:paraId="3B4A2AF4" w14:textId="77777777" w:rsidR="00CB452A" w:rsidRPr="00A74AF4" w:rsidRDefault="00CB452A" w:rsidP="00CB452A">
            <w:pPr>
              <w:spacing w:line="259" w:lineRule="auto"/>
              <w:jc w:val="left"/>
            </w:pPr>
            <w:r w:rsidRPr="00A74AF4">
              <w:t xml:space="preserve">1 </w:t>
            </w:r>
          </w:p>
        </w:tc>
        <w:tc>
          <w:tcPr>
            <w:tcW w:w="2193" w:type="dxa"/>
            <w:tcBorders>
              <w:top w:val="single" w:sz="4" w:space="0" w:color="000000"/>
              <w:left w:val="single" w:sz="4" w:space="0" w:color="000000"/>
              <w:bottom w:val="single" w:sz="4" w:space="0" w:color="000000"/>
              <w:right w:val="single" w:sz="4" w:space="0" w:color="000000"/>
            </w:tcBorders>
          </w:tcPr>
          <w:p w14:paraId="275E9541" w14:textId="77777777" w:rsidR="00CB452A" w:rsidRPr="00A74AF4" w:rsidRDefault="00CB452A" w:rsidP="00CB452A">
            <w:pPr>
              <w:spacing w:line="259" w:lineRule="auto"/>
              <w:jc w:val="left"/>
            </w:pPr>
            <w:r w:rsidRPr="00A74AF4">
              <w:t xml:space="preserve"> </w:t>
            </w:r>
          </w:p>
        </w:tc>
      </w:tr>
      <w:tr w:rsidR="00CB452A" w:rsidRPr="00A74AF4" w14:paraId="0FB75BC6" w14:textId="77777777" w:rsidTr="00A74AF4">
        <w:trPr>
          <w:trHeight w:val="377"/>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2018E58" w14:textId="77777777" w:rsidR="00CB452A" w:rsidRPr="00A74AF4" w:rsidRDefault="00CB452A" w:rsidP="00CB452A">
            <w:pPr>
              <w:spacing w:line="259" w:lineRule="auto"/>
              <w:jc w:val="left"/>
            </w:pPr>
            <w:r w:rsidRPr="00A74AF4">
              <w:lastRenderedPageBreak/>
              <w:t xml:space="preserve">OBJEKT ZA BOGATENJE ALI AKTIVNO ZAŠČITO VODONOSNIKA  </w:t>
            </w:r>
          </w:p>
        </w:tc>
        <w:tc>
          <w:tcPr>
            <w:tcW w:w="2400" w:type="dxa"/>
            <w:tcBorders>
              <w:top w:val="single" w:sz="4" w:space="0" w:color="000000"/>
              <w:left w:val="single" w:sz="4" w:space="0" w:color="000000"/>
              <w:bottom w:val="single" w:sz="4" w:space="0" w:color="000000"/>
              <w:right w:val="single" w:sz="4" w:space="0" w:color="000000"/>
            </w:tcBorders>
          </w:tcPr>
          <w:p w14:paraId="00BE9339" w14:textId="77777777" w:rsidR="00CB452A" w:rsidRPr="00A74AF4" w:rsidRDefault="00CB452A" w:rsidP="00CB452A">
            <w:pPr>
              <w:spacing w:line="259" w:lineRule="auto"/>
              <w:jc w:val="left"/>
            </w:pPr>
            <w:r w:rsidRPr="00A74AF4">
              <w:t xml:space="preserve">0 </w:t>
            </w:r>
          </w:p>
        </w:tc>
        <w:tc>
          <w:tcPr>
            <w:tcW w:w="2193" w:type="dxa"/>
            <w:tcBorders>
              <w:top w:val="single" w:sz="4" w:space="0" w:color="000000"/>
              <w:left w:val="single" w:sz="4" w:space="0" w:color="000000"/>
              <w:bottom w:val="single" w:sz="4" w:space="0" w:color="000000"/>
              <w:right w:val="single" w:sz="4" w:space="0" w:color="000000"/>
            </w:tcBorders>
          </w:tcPr>
          <w:p w14:paraId="2A22AF99" w14:textId="77777777" w:rsidR="00CB452A" w:rsidRPr="00A74AF4" w:rsidRDefault="00CB452A" w:rsidP="00CB452A">
            <w:pPr>
              <w:spacing w:line="259" w:lineRule="auto"/>
              <w:jc w:val="left"/>
            </w:pPr>
            <w:r w:rsidRPr="00A74AF4">
              <w:t xml:space="preserve"> </w:t>
            </w:r>
          </w:p>
        </w:tc>
      </w:tr>
      <w:tr w:rsidR="00CB452A" w:rsidRPr="00A74AF4" w14:paraId="0F77D09A" w14:textId="77777777" w:rsidTr="00A74AF4">
        <w:trPr>
          <w:trHeight w:val="239"/>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8487C15" w14:textId="77777777" w:rsidR="00CB452A" w:rsidRPr="00A74AF4" w:rsidRDefault="00CB452A" w:rsidP="00CB452A">
            <w:pPr>
              <w:spacing w:line="259" w:lineRule="auto"/>
              <w:jc w:val="left"/>
            </w:pPr>
            <w:r w:rsidRPr="00A74AF4">
              <w:t xml:space="preserve">DRUGA OPREMA IN OBJEKTI - NAVESTI  </w:t>
            </w:r>
          </w:p>
        </w:tc>
        <w:tc>
          <w:tcPr>
            <w:tcW w:w="2400" w:type="dxa"/>
            <w:tcBorders>
              <w:top w:val="single" w:sz="4" w:space="0" w:color="000000"/>
              <w:left w:val="single" w:sz="4" w:space="0" w:color="000000"/>
              <w:bottom w:val="single" w:sz="4" w:space="0" w:color="000000"/>
              <w:right w:val="single" w:sz="4" w:space="0" w:color="000000"/>
            </w:tcBorders>
          </w:tcPr>
          <w:p w14:paraId="5FCCF5D9" w14:textId="77777777" w:rsidR="00CB452A" w:rsidRPr="00A74AF4" w:rsidRDefault="00CB452A" w:rsidP="00CB452A">
            <w:pPr>
              <w:spacing w:line="259" w:lineRule="auto"/>
              <w:jc w:val="left"/>
            </w:pPr>
            <w:r w:rsidRPr="00A74AF4">
              <w:t xml:space="preserve">3 HIDRANTI </w:t>
            </w:r>
          </w:p>
        </w:tc>
        <w:tc>
          <w:tcPr>
            <w:tcW w:w="2193" w:type="dxa"/>
            <w:tcBorders>
              <w:top w:val="single" w:sz="4" w:space="0" w:color="000000"/>
              <w:left w:val="single" w:sz="4" w:space="0" w:color="000000"/>
              <w:bottom w:val="single" w:sz="4" w:space="0" w:color="000000"/>
              <w:right w:val="single" w:sz="4" w:space="0" w:color="000000"/>
            </w:tcBorders>
          </w:tcPr>
          <w:p w14:paraId="55008193" w14:textId="77777777" w:rsidR="00CB452A" w:rsidRPr="00A74AF4" w:rsidRDefault="00CB452A" w:rsidP="00CB452A">
            <w:pPr>
              <w:spacing w:line="259" w:lineRule="auto"/>
              <w:jc w:val="left"/>
            </w:pPr>
            <w:r w:rsidRPr="00A74AF4">
              <w:t xml:space="preserve"> </w:t>
            </w:r>
          </w:p>
        </w:tc>
      </w:tr>
      <w:tr w:rsidR="00CB452A" w:rsidRPr="00A74AF4" w14:paraId="7D4FC5B8" w14:textId="77777777" w:rsidTr="00A74AF4">
        <w:trPr>
          <w:trHeight w:val="239"/>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28A6284" w14:textId="77777777" w:rsidR="00CB452A" w:rsidRPr="00A74AF4" w:rsidRDefault="00CB452A" w:rsidP="00CB452A">
            <w:pPr>
              <w:spacing w:after="160" w:line="259" w:lineRule="auto"/>
              <w:jc w:val="left"/>
            </w:pPr>
          </w:p>
        </w:tc>
        <w:tc>
          <w:tcPr>
            <w:tcW w:w="2400" w:type="dxa"/>
            <w:tcBorders>
              <w:top w:val="single" w:sz="4" w:space="0" w:color="000000"/>
              <w:left w:val="single" w:sz="4" w:space="0" w:color="000000"/>
              <w:bottom w:val="single" w:sz="4" w:space="0" w:color="000000"/>
              <w:right w:val="single" w:sz="4" w:space="0" w:color="000000"/>
            </w:tcBorders>
          </w:tcPr>
          <w:p w14:paraId="11F208C5" w14:textId="77777777" w:rsidR="00CB452A" w:rsidRPr="00A74AF4" w:rsidRDefault="00CB452A" w:rsidP="00CB452A">
            <w:pPr>
              <w:spacing w:line="259" w:lineRule="auto"/>
              <w:ind w:left="2"/>
              <w:jc w:val="left"/>
            </w:pPr>
            <w:r w:rsidRPr="00A74AF4">
              <w:t xml:space="preserve">1 ZAJETJE </w:t>
            </w:r>
          </w:p>
        </w:tc>
        <w:tc>
          <w:tcPr>
            <w:tcW w:w="2193" w:type="dxa"/>
            <w:tcBorders>
              <w:top w:val="single" w:sz="4" w:space="0" w:color="000000"/>
              <w:left w:val="single" w:sz="4" w:space="0" w:color="000000"/>
              <w:bottom w:val="single" w:sz="4" w:space="0" w:color="000000"/>
              <w:right w:val="single" w:sz="4" w:space="0" w:color="000000"/>
            </w:tcBorders>
          </w:tcPr>
          <w:p w14:paraId="0D47247F" w14:textId="77777777" w:rsidR="00CB452A" w:rsidRPr="00A74AF4" w:rsidRDefault="00CB452A" w:rsidP="00CB452A">
            <w:pPr>
              <w:spacing w:after="160" w:line="259" w:lineRule="auto"/>
              <w:jc w:val="left"/>
            </w:pPr>
          </w:p>
        </w:tc>
      </w:tr>
      <w:tr w:rsidR="00CB452A" w:rsidRPr="00A74AF4" w14:paraId="76C59FD1"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8611CC6" w14:textId="77777777" w:rsidR="00CB452A" w:rsidRPr="00A74AF4" w:rsidRDefault="00CB452A" w:rsidP="00CB452A">
            <w:pPr>
              <w:spacing w:line="259" w:lineRule="auto"/>
              <w:ind w:left="1"/>
              <w:jc w:val="left"/>
            </w:pPr>
            <w:r w:rsidRPr="00A74AF4">
              <w:t>KOLIČINA VODE, KI JO ZAGOTAVLJA [m</w:t>
            </w:r>
            <w:r w:rsidRPr="00A74AF4">
              <w:rPr>
                <w:vertAlign w:val="superscript"/>
              </w:rPr>
              <w:t>3</w:t>
            </w:r>
            <w:r w:rsidRPr="00A74AF4">
              <w:t xml:space="preserve">] </w:t>
            </w:r>
          </w:p>
        </w:tc>
        <w:tc>
          <w:tcPr>
            <w:tcW w:w="2400" w:type="dxa"/>
            <w:tcBorders>
              <w:top w:val="single" w:sz="4" w:space="0" w:color="000000"/>
              <w:left w:val="single" w:sz="4" w:space="0" w:color="000000"/>
              <w:bottom w:val="single" w:sz="4" w:space="0" w:color="000000"/>
              <w:right w:val="single" w:sz="4" w:space="0" w:color="000000"/>
            </w:tcBorders>
          </w:tcPr>
          <w:p w14:paraId="4099DEBA" w14:textId="77777777" w:rsidR="00CB452A" w:rsidRPr="00A74AF4" w:rsidRDefault="00CB452A" w:rsidP="00CB452A">
            <w:pPr>
              <w:spacing w:line="259" w:lineRule="auto"/>
              <w:ind w:left="2"/>
              <w:jc w:val="left"/>
            </w:pPr>
            <w:r w:rsidRPr="00A74AF4">
              <w:t xml:space="preserve">1180 </w:t>
            </w:r>
          </w:p>
        </w:tc>
        <w:tc>
          <w:tcPr>
            <w:tcW w:w="2193" w:type="dxa"/>
            <w:tcBorders>
              <w:top w:val="single" w:sz="4" w:space="0" w:color="000000"/>
              <w:left w:val="single" w:sz="4" w:space="0" w:color="000000"/>
              <w:bottom w:val="single" w:sz="4" w:space="0" w:color="000000"/>
              <w:right w:val="single" w:sz="4" w:space="0" w:color="000000"/>
            </w:tcBorders>
          </w:tcPr>
          <w:p w14:paraId="6A0256B7" w14:textId="77777777" w:rsidR="00CB452A" w:rsidRPr="00A74AF4" w:rsidRDefault="00CB452A" w:rsidP="00CB452A">
            <w:pPr>
              <w:spacing w:line="259" w:lineRule="auto"/>
              <w:jc w:val="left"/>
            </w:pPr>
            <w:r w:rsidRPr="00A74AF4">
              <w:t xml:space="preserve"> </w:t>
            </w:r>
          </w:p>
        </w:tc>
      </w:tr>
      <w:tr w:rsidR="00CB452A" w:rsidRPr="00A74AF4" w14:paraId="6F05E7C8" w14:textId="77777777" w:rsidTr="00A74AF4">
        <w:trPr>
          <w:trHeight w:val="469"/>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6910000" w14:textId="77777777" w:rsidR="00CB452A" w:rsidRPr="00A74AF4" w:rsidRDefault="00CB452A" w:rsidP="00CB452A">
            <w:pPr>
              <w:spacing w:line="259" w:lineRule="auto"/>
              <w:ind w:left="1"/>
              <w:jc w:val="left"/>
            </w:pPr>
            <w:r w:rsidRPr="00A74AF4">
              <w:t xml:space="preserve">VODOVOD VPISAN V KATASTER JAVNE INFRASTRUKTURE </w:t>
            </w:r>
          </w:p>
        </w:tc>
        <w:tc>
          <w:tcPr>
            <w:tcW w:w="2400" w:type="dxa"/>
            <w:tcBorders>
              <w:top w:val="single" w:sz="4" w:space="0" w:color="000000"/>
              <w:left w:val="single" w:sz="4" w:space="0" w:color="000000"/>
              <w:bottom w:val="single" w:sz="4" w:space="0" w:color="000000"/>
              <w:right w:val="single" w:sz="4" w:space="0" w:color="000000"/>
            </w:tcBorders>
          </w:tcPr>
          <w:p w14:paraId="53B9C934" w14:textId="77777777" w:rsidR="00CB452A" w:rsidRPr="00A74AF4" w:rsidRDefault="00CB452A" w:rsidP="00CB452A">
            <w:pPr>
              <w:spacing w:line="259" w:lineRule="auto"/>
              <w:ind w:left="2"/>
              <w:jc w:val="left"/>
            </w:pPr>
            <w:r w:rsidRPr="00A74AF4">
              <w:t xml:space="preserve">DA – 12.02.2009 </w:t>
            </w:r>
          </w:p>
          <w:p w14:paraId="1968BB7E" w14:textId="77777777" w:rsidR="00CB452A" w:rsidRPr="00A74AF4" w:rsidRDefault="00CB452A" w:rsidP="00CB452A">
            <w:pPr>
              <w:spacing w:line="259" w:lineRule="auto"/>
              <w:ind w:left="2"/>
              <w:jc w:val="left"/>
            </w:pPr>
            <w:r w:rsidRPr="00A74AF4">
              <w:t xml:space="preserve"> </w:t>
            </w:r>
          </w:p>
        </w:tc>
        <w:tc>
          <w:tcPr>
            <w:tcW w:w="2193" w:type="dxa"/>
            <w:tcBorders>
              <w:top w:val="single" w:sz="4" w:space="0" w:color="000000"/>
              <w:left w:val="single" w:sz="4" w:space="0" w:color="000000"/>
              <w:bottom w:val="single" w:sz="4" w:space="0" w:color="000000"/>
              <w:right w:val="single" w:sz="4" w:space="0" w:color="000000"/>
            </w:tcBorders>
          </w:tcPr>
          <w:p w14:paraId="61ED7DF4" w14:textId="77777777" w:rsidR="00CB452A" w:rsidRPr="00A74AF4" w:rsidRDefault="00CB452A" w:rsidP="00CB452A">
            <w:pPr>
              <w:spacing w:line="259" w:lineRule="auto"/>
              <w:jc w:val="left"/>
            </w:pPr>
            <w:r w:rsidRPr="00A74AF4">
              <w:t xml:space="preserve"> </w:t>
            </w:r>
          </w:p>
        </w:tc>
      </w:tr>
    </w:tbl>
    <w:p w14:paraId="3AD87FE5" w14:textId="24CF849B" w:rsidR="00CB452A" w:rsidRPr="00A74AF4" w:rsidRDefault="00CB452A" w:rsidP="00642FD9">
      <w:r w:rsidRPr="00A74AF4">
        <w:t xml:space="preserve">Skupaj vseh vodov je </w:t>
      </w:r>
      <w:r w:rsidRPr="00A74AF4">
        <w:rPr>
          <w:rFonts w:eastAsia="Arial" w:cs="Arial"/>
        </w:rPr>
        <w:t xml:space="preserve">1052 m. </w:t>
      </w:r>
    </w:p>
    <w:tbl>
      <w:tblPr>
        <w:tblStyle w:val="TableGrid"/>
        <w:tblW w:w="8435" w:type="dxa"/>
        <w:tblInd w:w="-52" w:type="dxa"/>
        <w:tblCellMar>
          <w:top w:w="4" w:type="dxa"/>
          <w:left w:w="107" w:type="dxa"/>
          <w:right w:w="84" w:type="dxa"/>
        </w:tblCellMar>
        <w:tblLook w:val="04A0" w:firstRow="1" w:lastRow="0" w:firstColumn="1" w:lastColumn="0" w:noHBand="0" w:noVBand="1"/>
      </w:tblPr>
      <w:tblGrid>
        <w:gridCol w:w="3832"/>
        <w:gridCol w:w="2405"/>
        <w:gridCol w:w="2198"/>
      </w:tblGrid>
      <w:tr w:rsidR="00CB452A" w:rsidRPr="00A74AF4" w14:paraId="73B7E07B" w14:textId="77777777" w:rsidTr="00CB452A">
        <w:trPr>
          <w:trHeight w:val="287"/>
        </w:trPr>
        <w:tc>
          <w:tcPr>
            <w:tcW w:w="3832" w:type="dxa"/>
            <w:tcBorders>
              <w:top w:val="single" w:sz="4" w:space="0" w:color="000000"/>
              <w:left w:val="single" w:sz="4" w:space="0" w:color="000000"/>
              <w:bottom w:val="single" w:sz="4" w:space="0" w:color="000000"/>
              <w:right w:val="single" w:sz="4" w:space="0" w:color="000000"/>
            </w:tcBorders>
          </w:tcPr>
          <w:p w14:paraId="1EAF3BD3" w14:textId="77777777" w:rsidR="00CB452A" w:rsidRPr="00A74AF4" w:rsidRDefault="00CB452A" w:rsidP="00CB452A">
            <w:pPr>
              <w:spacing w:line="259" w:lineRule="auto"/>
              <w:jc w:val="left"/>
            </w:pPr>
            <w:r w:rsidRPr="00A74AF4">
              <w:t xml:space="preserve">1513 Dol - Čepovan </w:t>
            </w:r>
          </w:p>
        </w:tc>
        <w:tc>
          <w:tcPr>
            <w:tcW w:w="2405" w:type="dxa"/>
            <w:tcBorders>
              <w:top w:val="single" w:sz="4" w:space="0" w:color="000000"/>
              <w:left w:val="single" w:sz="4" w:space="0" w:color="000000"/>
              <w:bottom w:val="single" w:sz="4" w:space="0" w:color="000000"/>
              <w:right w:val="single" w:sz="4" w:space="0" w:color="000000"/>
            </w:tcBorders>
          </w:tcPr>
          <w:p w14:paraId="4396DA01" w14:textId="77777777" w:rsidR="00CB452A" w:rsidRPr="00A74AF4" w:rsidRDefault="00CB452A" w:rsidP="00CB452A">
            <w:pPr>
              <w:spacing w:line="259" w:lineRule="auto"/>
              <w:ind w:left="1"/>
              <w:jc w:val="left"/>
            </w:pPr>
            <w:r w:rsidRPr="00A74AF4">
              <w:t xml:space="preserve"> </w:t>
            </w:r>
          </w:p>
        </w:tc>
        <w:tc>
          <w:tcPr>
            <w:tcW w:w="2198" w:type="dxa"/>
            <w:tcBorders>
              <w:top w:val="single" w:sz="4" w:space="0" w:color="000000"/>
              <w:left w:val="single" w:sz="4" w:space="0" w:color="000000"/>
              <w:bottom w:val="single" w:sz="4" w:space="0" w:color="000000"/>
              <w:right w:val="single" w:sz="4" w:space="0" w:color="000000"/>
            </w:tcBorders>
          </w:tcPr>
          <w:p w14:paraId="0D3635BA" w14:textId="77777777" w:rsidR="00CB452A" w:rsidRPr="00A74AF4" w:rsidRDefault="00CB452A" w:rsidP="00CB452A">
            <w:pPr>
              <w:spacing w:line="259" w:lineRule="auto"/>
              <w:ind w:left="1"/>
              <w:jc w:val="left"/>
            </w:pPr>
            <w:r w:rsidRPr="00A74AF4">
              <w:t xml:space="preserve"> </w:t>
            </w:r>
          </w:p>
        </w:tc>
      </w:tr>
      <w:tr w:rsidR="00CB452A" w:rsidRPr="00A74AF4" w14:paraId="0387C79F" w14:textId="77777777" w:rsidTr="00A74AF4">
        <w:trPr>
          <w:trHeight w:val="193"/>
        </w:trPr>
        <w:tc>
          <w:tcPr>
            <w:tcW w:w="383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02BCC8F" w14:textId="77777777" w:rsidR="00CB452A" w:rsidRPr="00A74AF4" w:rsidRDefault="00CB452A" w:rsidP="00CB452A">
            <w:pPr>
              <w:spacing w:line="259" w:lineRule="auto"/>
              <w:jc w:val="left"/>
            </w:pPr>
            <w:r w:rsidRPr="00A74AF4">
              <w:t xml:space="preserve">JAVNI VODOVOD   ……ID/zaporedna št.………. </w:t>
            </w:r>
          </w:p>
        </w:tc>
        <w:tc>
          <w:tcPr>
            <w:tcW w:w="240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B539025" w14:textId="77777777" w:rsidR="00CB452A" w:rsidRPr="00A74AF4" w:rsidRDefault="00CB452A" w:rsidP="00CB452A">
            <w:pPr>
              <w:spacing w:line="259" w:lineRule="auto"/>
              <w:ind w:left="1"/>
              <w:jc w:val="left"/>
            </w:pPr>
            <w:r w:rsidRPr="00A74AF4">
              <w:t xml:space="preserve">ŠTEVILO </w:t>
            </w:r>
          </w:p>
        </w:tc>
        <w:tc>
          <w:tcPr>
            <w:tcW w:w="219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FCDC192" w14:textId="77777777" w:rsidR="00CB452A" w:rsidRPr="00A74AF4" w:rsidRDefault="00CB452A" w:rsidP="00CB452A">
            <w:pPr>
              <w:spacing w:line="259" w:lineRule="auto"/>
              <w:ind w:left="1"/>
              <w:jc w:val="left"/>
            </w:pPr>
            <w:r w:rsidRPr="00A74AF4">
              <w:t xml:space="preserve">KOMENTAR </w:t>
            </w:r>
          </w:p>
        </w:tc>
      </w:tr>
      <w:tr w:rsidR="00CB452A" w:rsidRPr="00A74AF4" w14:paraId="10608552" w14:textId="77777777" w:rsidTr="00A74AF4">
        <w:trPr>
          <w:trHeight w:val="240"/>
        </w:trPr>
        <w:tc>
          <w:tcPr>
            <w:tcW w:w="383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B01E07A" w14:textId="77777777" w:rsidR="00CB452A" w:rsidRPr="00A74AF4" w:rsidRDefault="00CB452A" w:rsidP="00CB452A">
            <w:pPr>
              <w:spacing w:line="259" w:lineRule="auto"/>
              <w:jc w:val="left"/>
            </w:pPr>
            <w:r w:rsidRPr="00A74AF4">
              <w:t xml:space="preserve">DOLŽINA CEVI BREZ PRIKLJUČKOV [m] </w:t>
            </w:r>
          </w:p>
        </w:tc>
        <w:tc>
          <w:tcPr>
            <w:tcW w:w="2405" w:type="dxa"/>
            <w:tcBorders>
              <w:top w:val="single" w:sz="4" w:space="0" w:color="000000"/>
              <w:left w:val="single" w:sz="4" w:space="0" w:color="000000"/>
              <w:bottom w:val="single" w:sz="4" w:space="0" w:color="000000"/>
              <w:right w:val="single" w:sz="4" w:space="0" w:color="000000"/>
            </w:tcBorders>
          </w:tcPr>
          <w:p w14:paraId="620D6742" w14:textId="77777777" w:rsidR="00CB452A" w:rsidRPr="00A74AF4" w:rsidRDefault="00CB452A" w:rsidP="00CB452A">
            <w:pPr>
              <w:spacing w:line="259" w:lineRule="auto"/>
              <w:ind w:left="1"/>
              <w:jc w:val="left"/>
            </w:pPr>
            <w:r w:rsidRPr="00A74AF4">
              <w:t xml:space="preserve">2602 </w:t>
            </w:r>
          </w:p>
        </w:tc>
        <w:tc>
          <w:tcPr>
            <w:tcW w:w="2198" w:type="dxa"/>
            <w:tcBorders>
              <w:top w:val="single" w:sz="4" w:space="0" w:color="000000"/>
              <w:left w:val="single" w:sz="4" w:space="0" w:color="000000"/>
              <w:bottom w:val="single" w:sz="4" w:space="0" w:color="000000"/>
              <w:right w:val="single" w:sz="4" w:space="0" w:color="000000"/>
            </w:tcBorders>
          </w:tcPr>
          <w:p w14:paraId="373F3EFF" w14:textId="77777777" w:rsidR="00CB452A" w:rsidRPr="00A74AF4" w:rsidRDefault="00CB452A" w:rsidP="00CB452A">
            <w:pPr>
              <w:spacing w:line="259" w:lineRule="auto"/>
              <w:ind w:left="1"/>
              <w:jc w:val="left"/>
            </w:pPr>
            <w:r w:rsidRPr="00A74AF4">
              <w:t xml:space="preserve"> </w:t>
            </w:r>
          </w:p>
        </w:tc>
      </w:tr>
      <w:tr w:rsidR="00CB452A" w:rsidRPr="00A74AF4" w14:paraId="6A1996CD" w14:textId="77777777" w:rsidTr="00A74AF4">
        <w:trPr>
          <w:trHeight w:val="240"/>
        </w:trPr>
        <w:tc>
          <w:tcPr>
            <w:tcW w:w="383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1E7559B" w14:textId="77777777" w:rsidR="00CB452A" w:rsidRPr="00A74AF4" w:rsidRDefault="00CB452A" w:rsidP="00CB452A">
            <w:pPr>
              <w:spacing w:line="259" w:lineRule="auto"/>
              <w:jc w:val="left"/>
            </w:pPr>
            <w:r w:rsidRPr="00A74AF4">
              <w:t xml:space="preserve">VODOHRAN   </w:t>
            </w:r>
          </w:p>
        </w:tc>
        <w:tc>
          <w:tcPr>
            <w:tcW w:w="2405" w:type="dxa"/>
            <w:tcBorders>
              <w:top w:val="single" w:sz="4" w:space="0" w:color="000000"/>
              <w:left w:val="single" w:sz="4" w:space="0" w:color="000000"/>
              <w:bottom w:val="single" w:sz="4" w:space="0" w:color="000000"/>
              <w:right w:val="single" w:sz="4" w:space="0" w:color="000000"/>
            </w:tcBorders>
          </w:tcPr>
          <w:p w14:paraId="02CC0BB5" w14:textId="77777777" w:rsidR="00CB452A" w:rsidRPr="00A74AF4" w:rsidRDefault="00CB452A" w:rsidP="00CB452A">
            <w:pPr>
              <w:spacing w:line="259" w:lineRule="auto"/>
              <w:ind w:left="1"/>
              <w:jc w:val="left"/>
            </w:pPr>
            <w:r w:rsidRPr="00A74AF4">
              <w:t xml:space="preserve">1 </w:t>
            </w:r>
          </w:p>
        </w:tc>
        <w:tc>
          <w:tcPr>
            <w:tcW w:w="2198" w:type="dxa"/>
            <w:tcBorders>
              <w:top w:val="single" w:sz="4" w:space="0" w:color="000000"/>
              <w:left w:val="single" w:sz="4" w:space="0" w:color="000000"/>
              <w:bottom w:val="single" w:sz="4" w:space="0" w:color="000000"/>
              <w:right w:val="single" w:sz="4" w:space="0" w:color="000000"/>
            </w:tcBorders>
          </w:tcPr>
          <w:p w14:paraId="68E9BD8C" w14:textId="77777777" w:rsidR="00CB452A" w:rsidRPr="00A74AF4" w:rsidRDefault="00CB452A" w:rsidP="00CB452A">
            <w:pPr>
              <w:spacing w:line="259" w:lineRule="auto"/>
              <w:ind w:left="1"/>
              <w:jc w:val="left"/>
            </w:pPr>
            <w:r w:rsidRPr="00A74AF4">
              <w:t xml:space="preserve"> </w:t>
            </w:r>
          </w:p>
        </w:tc>
      </w:tr>
      <w:tr w:rsidR="00CB452A" w:rsidRPr="00A74AF4" w14:paraId="7997D591" w14:textId="77777777" w:rsidTr="00A74AF4">
        <w:trPr>
          <w:trHeight w:val="240"/>
        </w:trPr>
        <w:tc>
          <w:tcPr>
            <w:tcW w:w="383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2BB1960" w14:textId="77777777" w:rsidR="00CB452A" w:rsidRPr="00A74AF4" w:rsidRDefault="00CB452A" w:rsidP="00CB452A">
            <w:pPr>
              <w:spacing w:line="259" w:lineRule="auto"/>
              <w:jc w:val="left"/>
            </w:pPr>
            <w:r w:rsidRPr="00A74AF4">
              <w:t xml:space="preserve">ČRPALIŠČE  </w:t>
            </w:r>
          </w:p>
        </w:tc>
        <w:tc>
          <w:tcPr>
            <w:tcW w:w="2405" w:type="dxa"/>
            <w:tcBorders>
              <w:top w:val="single" w:sz="4" w:space="0" w:color="000000"/>
              <w:left w:val="single" w:sz="4" w:space="0" w:color="000000"/>
              <w:bottom w:val="single" w:sz="4" w:space="0" w:color="000000"/>
              <w:right w:val="single" w:sz="4" w:space="0" w:color="000000"/>
            </w:tcBorders>
          </w:tcPr>
          <w:p w14:paraId="0EC96F17" w14:textId="77777777" w:rsidR="00CB452A" w:rsidRPr="00A74AF4" w:rsidRDefault="00CB452A" w:rsidP="00CB452A">
            <w:pPr>
              <w:spacing w:line="259" w:lineRule="auto"/>
              <w:ind w:left="1"/>
              <w:jc w:val="left"/>
            </w:pPr>
            <w:r w:rsidRPr="00A74AF4">
              <w:t xml:space="preserve">1 </w:t>
            </w:r>
          </w:p>
        </w:tc>
        <w:tc>
          <w:tcPr>
            <w:tcW w:w="2198" w:type="dxa"/>
            <w:tcBorders>
              <w:top w:val="single" w:sz="4" w:space="0" w:color="000000"/>
              <w:left w:val="single" w:sz="4" w:space="0" w:color="000000"/>
              <w:bottom w:val="single" w:sz="4" w:space="0" w:color="000000"/>
              <w:right w:val="single" w:sz="4" w:space="0" w:color="000000"/>
            </w:tcBorders>
          </w:tcPr>
          <w:p w14:paraId="60B77888" w14:textId="77777777" w:rsidR="00CB452A" w:rsidRPr="00A74AF4" w:rsidRDefault="00CB452A" w:rsidP="00CB452A">
            <w:pPr>
              <w:spacing w:line="259" w:lineRule="auto"/>
              <w:ind w:left="1"/>
              <w:jc w:val="left"/>
            </w:pPr>
            <w:r w:rsidRPr="00A74AF4">
              <w:t xml:space="preserve"> </w:t>
            </w:r>
          </w:p>
        </w:tc>
      </w:tr>
      <w:tr w:rsidR="00CB452A" w:rsidRPr="00A74AF4" w14:paraId="26669C76" w14:textId="77777777" w:rsidTr="00A74AF4">
        <w:trPr>
          <w:trHeight w:val="240"/>
        </w:trPr>
        <w:tc>
          <w:tcPr>
            <w:tcW w:w="383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0E9058C" w14:textId="77777777" w:rsidR="00CB452A" w:rsidRPr="00A74AF4" w:rsidRDefault="00CB452A" w:rsidP="00CB452A">
            <w:pPr>
              <w:spacing w:line="259" w:lineRule="auto"/>
              <w:jc w:val="left"/>
            </w:pPr>
            <w:r w:rsidRPr="00A74AF4">
              <w:t xml:space="preserve">NAPRAVE ZA OBDELAVO PITNE VODE  </w:t>
            </w:r>
          </w:p>
        </w:tc>
        <w:tc>
          <w:tcPr>
            <w:tcW w:w="2405" w:type="dxa"/>
            <w:tcBorders>
              <w:top w:val="single" w:sz="4" w:space="0" w:color="000000"/>
              <w:left w:val="single" w:sz="4" w:space="0" w:color="000000"/>
              <w:bottom w:val="single" w:sz="4" w:space="0" w:color="000000"/>
              <w:right w:val="single" w:sz="4" w:space="0" w:color="000000"/>
            </w:tcBorders>
          </w:tcPr>
          <w:p w14:paraId="1686BF07" w14:textId="77777777" w:rsidR="00CB452A" w:rsidRPr="00A74AF4" w:rsidRDefault="00CB452A" w:rsidP="00CB452A">
            <w:pPr>
              <w:spacing w:line="259" w:lineRule="auto"/>
              <w:ind w:left="1"/>
              <w:jc w:val="left"/>
            </w:pPr>
            <w:r w:rsidRPr="00A74AF4">
              <w:t xml:space="preserve">1 </w:t>
            </w:r>
          </w:p>
        </w:tc>
        <w:tc>
          <w:tcPr>
            <w:tcW w:w="2198" w:type="dxa"/>
            <w:tcBorders>
              <w:top w:val="single" w:sz="4" w:space="0" w:color="000000"/>
              <w:left w:val="single" w:sz="4" w:space="0" w:color="000000"/>
              <w:bottom w:val="single" w:sz="4" w:space="0" w:color="000000"/>
              <w:right w:val="single" w:sz="4" w:space="0" w:color="000000"/>
            </w:tcBorders>
          </w:tcPr>
          <w:p w14:paraId="4A5B29FD" w14:textId="77777777" w:rsidR="00CB452A" w:rsidRPr="00A74AF4" w:rsidRDefault="00CB452A" w:rsidP="00CB452A">
            <w:pPr>
              <w:spacing w:line="259" w:lineRule="auto"/>
              <w:ind w:left="1"/>
              <w:jc w:val="left"/>
            </w:pPr>
            <w:r w:rsidRPr="00A74AF4">
              <w:t xml:space="preserve"> </w:t>
            </w:r>
          </w:p>
        </w:tc>
      </w:tr>
      <w:tr w:rsidR="00CB452A" w:rsidRPr="00A74AF4" w14:paraId="00FF5AF0" w14:textId="77777777" w:rsidTr="00A74AF4">
        <w:trPr>
          <w:trHeight w:val="377"/>
        </w:trPr>
        <w:tc>
          <w:tcPr>
            <w:tcW w:w="383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98D34A2" w14:textId="77777777" w:rsidR="00CB452A" w:rsidRPr="00A74AF4" w:rsidRDefault="00CB452A" w:rsidP="00CB452A">
            <w:pPr>
              <w:spacing w:line="259" w:lineRule="auto"/>
              <w:jc w:val="left"/>
            </w:pPr>
            <w:r w:rsidRPr="00A74AF4">
              <w:t xml:space="preserve">OBJEKT ZA BOGATENJE ALI AKTIVNO ZAŠČITO VODONOSNIKA  </w:t>
            </w:r>
          </w:p>
        </w:tc>
        <w:tc>
          <w:tcPr>
            <w:tcW w:w="2405" w:type="dxa"/>
            <w:tcBorders>
              <w:top w:val="single" w:sz="4" w:space="0" w:color="000000"/>
              <w:left w:val="single" w:sz="4" w:space="0" w:color="000000"/>
              <w:bottom w:val="single" w:sz="4" w:space="0" w:color="000000"/>
              <w:right w:val="single" w:sz="4" w:space="0" w:color="000000"/>
            </w:tcBorders>
          </w:tcPr>
          <w:p w14:paraId="4928F58E" w14:textId="77777777" w:rsidR="00CB452A" w:rsidRPr="00A74AF4" w:rsidRDefault="00CB452A" w:rsidP="00CB452A">
            <w:pPr>
              <w:spacing w:line="259" w:lineRule="auto"/>
              <w:ind w:left="1"/>
              <w:jc w:val="left"/>
            </w:pPr>
            <w:r w:rsidRPr="00A74AF4">
              <w:t xml:space="preserve">0 </w:t>
            </w:r>
          </w:p>
        </w:tc>
        <w:tc>
          <w:tcPr>
            <w:tcW w:w="2198" w:type="dxa"/>
            <w:tcBorders>
              <w:top w:val="single" w:sz="4" w:space="0" w:color="000000"/>
              <w:left w:val="single" w:sz="4" w:space="0" w:color="000000"/>
              <w:bottom w:val="single" w:sz="4" w:space="0" w:color="000000"/>
              <w:right w:val="single" w:sz="4" w:space="0" w:color="000000"/>
            </w:tcBorders>
          </w:tcPr>
          <w:p w14:paraId="43612619" w14:textId="77777777" w:rsidR="00CB452A" w:rsidRPr="00A74AF4" w:rsidRDefault="00CB452A" w:rsidP="00CB452A">
            <w:pPr>
              <w:spacing w:line="259" w:lineRule="auto"/>
              <w:ind w:left="1"/>
              <w:jc w:val="left"/>
            </w:pPr>
            <w:r w:rsidRPr="00A74AF4">
              <w:t xml:space="preserve"> </w:t>
            </w:r>
          </w:p>
        </w:tc>
      </w:tr>
      <w:tr w:rsidR="00CB452A" w:rsidRPr="00A74AF4" w14:paraId="61F705BA" w14:textId="77777777" w:rsidTr="00A74AF4">
        <w:trPr>
          <w:trHeight w:val="471"/>
        </w:trPr>
        <w:tc>
          <w:tcPr>
            <w:tcW w:w="383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F505219" w14:textId="77777777" w:rsidR="00CB452A" w:rsidRPr="00A74AF4" w:rsidRDefault="00CB452A" w:rsidP="00CB452A">
            <w:pPr>
              <w:spacing w:line="259" w:lineRule="auto"/>
              <w:jc w:val="left"/>
            </w:pPr>
            <w:r w:rsidRPr="00A74AF4">
              <w:t xml:space="preserve">DRUGA OPREMA IN OBJEKTI - NAVESTI  </w:t>
            </w:r>
          </w:p>
        </w:tc>
        <w:tc>
          <w:tcPr>
            <w:tcW w:w="2405" w:type="dxa"/>
            <w:tcBorders>
              <w:top w:val="single" w:sz="4" w:space="0" w:color="000000"/>
              <w:left w:val="single" w:sz="4" w:space="0" w:color="000000"/>
              <w:bottom w:val="single" w:sz="4" w:space="0" w:color="000000"/>
              <w:right w:val="single" w:sz="4" w:space="0" w:color="000000"/>
            </w:tcBorders>
          </w:tcPr>
          <w:p w14:paraId="276A69AB" w14:textId="77777777" w:rsidR="00CB452A" w:rsidRPr="00A74AF4" w:rsidRDefault="00CB452A" w:rsidP="00CB452A">
            <w:pPr>
              <w:spacing w:line="259" w:lineRule="auto"/>
              <w:ind w:left="1"/>
              <w:jc w:val="left"/>
            </w:pPr>
            <w:r w:rsidRPr="00A74AF4">
              <w:t xml:space="preserve">12 HIDRANTOV </w:t>
            </w:r>
          </w:p>
          <w:p w14:paraId="3864893B" w14:textId="77777777" w:rsidR="00CB452A" w:rsidRPr="00A74AF4" w:rsidRDefault="00CB452A" w:rsidP="00CB452A">
            <w:pPr>
              <w:spacing w:line="259" w:lineRule="auto"/>
              <w:ind w:left="1"/>
              <w:jc w:val="left"/>
            </w:pPr>
            <w:r w:rsidRPr="00A74AF4">
              <w:t xml:space="preserve">1 ZAJETJE </w:t>
            </w:r>
          </w:p>
        </w:tc>
        <w:tc>
          <w:tcPr>
            <w:tcW w:w="2198" w:type="dxa"/>
            <w:tcBorders>
              <w:top w:val="single" w:sz="4" w:space="0" w:color="000000"/>
              <w:left w:val="single" w:sz="4" w:space="0" w:color="000000"/>
              <w:bottom w:val="single" w:sz="4" w:space="0" w:color="000000"/>
              <w:right w:val="single" w:sz="4" w:space="0" w:color="000000"/>
            </w:tcBorders>
          </w:tcPr>
          <w:p w14:paraId="03F17A8C" w14:textId="77777777" w:rsidR="00CB452A" w:rsidRPr="00A74AF4" w:rsidRDefault="00CB452A" w:rsidP="00CB452A">
            <w:pPr>
              <w:spacing w:line="259" w:lineRule="auto"/>
              <w:ind w:left="1"/>
              <w:jc w:val="left"/>
            </w:pPr>
            <w:r w:rsidRPr="00A74AF4">
              <w:t xml:space="preserve"> </w:t>
            </w:r>
          </w:p>
        </w:tc>
      </w:tr>
      <w:tr w:rsidR="00CB452A" w:rsidRPr="00A74AF4" w14:paraId="1F1AC17B" w14:textId="77777777" w:rsidTr="00A74AF4">
        <w:trPr>
          <w:trHeight w:val="240"/>
        </w:trPr>
        <w:tc>
          <w:tcPr>
            <w:tcW w:w="383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CA3AB9A" w14:textId="77777777" w:rsidR="00CB452A" w:rsidRPr="00A74AF4" w:rsidRDefault="00CB452A" w:rsidP="00CB452A">
            <w:pPr>
              <w:spacing w:line="259" w:lineRule="auto"/>
              <w:jc w:val="left"/>
            </w:pPr>
            <w:r w:rsidRPr="00A74AF4">
              <w:t>KOLIČINA VODE, KI JO ZAGOTAVLJA [m</w:t>
            </w:r>
            <w:r w:rsidRPr="00A74AF4">
              <w:rPr>
                <w:vertAlign w:val="superscript"/>
              </w:rPr>
              <w:t>3</w:t>
            </w:r>
            <w:r w:rsidRPr="00A74AF4">
              <w:t xml:space="preserve">] </w:t>
            </w:r>
          </w:p>
        </w:tc>
        <w:tc>
          <w:tcPr>
            <w:tcW w:w="2405" w:type="dxa"/>
            <w:tcBorders>
              <w:top w:val="single" w:sz="4" w:space="0" w:color="000000"/>
              <w:left w:val="single" w:sz="4" w:space="0" w:color="000000"/>
              <w:bottom w:val="single" w:sz="4" w:space="0" w:color="000000"/>
              <w:right w:val="single" w:sz="4" w:space="0" w:color="000000"/>
            </w:tcBorders>
          </w:tcPr>
          <w:p w14:paraId="0DFB1687" w14:textId="77777777" w:rsidR="00CB452A" w:rsidRPr="00A74AF4" w:rsidRDefault="00CB452A" w:rsidP="00CB452A">
            <w:pPr>
              <w:spacing w:line="259" w:lineRule="auto"/>
              <w:ind w:left="1"/>
              <w:jc w:val="left"/>
            </w:pPr>
            <w:r w:rsidRPr="00A74AF4">
              <w:t xml:space="preserve">2360 </w:t>
            </w:r>
          </w:p>
        </w:tc>
        <w:tc>
          <w:tcPr>
            <w:tcW w:w="2198" w:type="dxa"/>
            <w:tcBorders>
              <w:top w:val="single" w:sz="4" w:space="0" w:color="000000"/>
              <w:left w:val="single" w:sz="4" w:space="0" w:color="000000"/>
              <w:bottom w:val="single" w:sz="4" w:space="0" w:color="000000"/>
              <w:right w:val="single" w:sz="4" w:space="0" w:color="000000"/>
            </w:tcBorders>
          </w:tcPr>
          <w:p w14:paraId="749BFBE0" w14:textId="77777777" w:rsidR="00CB452A" w:rsidRPr="00A74AF4" w:rsidRDefault="00CB452A" w:rsidP="00CB452A">
            <w:pPr>
              <w:spacing w:line="259" w:lineRule="auto"/>
              <w:ind w:left="1"/>
              <w:jc w:val="left"/>
            </w:pPr>
            <w:r w:rsidRPr="00A74AF4">
              <w:t xml:space="preserve"> </w:t>
            </w:r>
          </w:p>
        </w:tc>
      </w:tr>
      <w:tr w:rsidR="00CB452A" w:rsidRPr="00A74AF4" w14:paraId="57FD7C28" w14:textId="77777777" w:rsidTr="00A74AF4">
        <w:trPr>
          <w:trHeight w:val="377"/>
        </w:trPr>
        <w:tc>
          <w:tcPr>
            <w:tcW w:w="383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07D3DF5" w14:textId="77777777" w:rsidR="00CB452A" w:rsidRPr="00A74AF4" w:rsidRDefault="00CB452A" w:rsidP="00CB452A">
            <w:pPr>
              <w:spacing w:line="259" w:lineRule="auto"/>
              <w:jc w:val="left"/>
            </w:pPr>
            <w:r w:rsidRPr="00A74AF4">
              <w:t xml:space="preserve">VODOVOD VPISAN V KATASTER JAVNE INFRASTRUKTURE </w:t>
            </w:r>
          </w:p>
        </w:tc>
        <w:tc>
          <w:tcPr>
            <w:tcW w:w="2405" w:type="dxa"/>
            <w:tcBorders>
              <w:top w:val="single" w:sz="4" w:space="0" w:color="000000"/>
              <w:left w:val="single" w:sz="4" w:space="0" w:color="000000"/>
              <w:bottom w:val="single" w:sz="4" w:space="0" w:color="000000"/>
              <w:right w:val="single" w:sz="4" w:space="0" w:color="000000"/>
            </w:tcBorders>
          </w:tcPr>
          <w:p w14:paraId="3FBEDBA3" w14:textId="77777777" w:rsidR="00CB452A" w:rsidRPr="00A74AF4" w:rsidRDefault="00CB452A" w:rsidP="00CB452A">
            <w:pPr>
              <w:spacing w:line="259" w:lineRule="auto"/>
              <w:ind w:left="1"/>
              <w:jc w:val="left"/>
            </w:pPr>
            <w:r w:rsidRPr="00A74AF4">
              <w:t xml:space="preserve">DA </w:t>
            </w:r>
          </w:p>
        </w:tc>
        <w:tc>
          <w:tcPr>
            <w:tcW w:w="2198" w:type="dxa"/>
            <w:tcBorders>
              <w:top w:val="single" w:sz="4" w:space="0" w:color="000000"/>
              <w:left w:val="single" w:sz="4" w:space="0" w:color="000000"/>
              <w:bottom w:val="single" w:sz="4" w:space="0" w:color="000000"/>
              <w:right w:val="single" w:sz="4" w:space="0" w:color="000000"/>
            </w:tcBorders>
          </w:tcPr>
          <w:p w14:paraId="17FCCAD1" w14:textId="77777777" w:rsidR="00CB452A" w:rsidRPr="00A74AF4" w:rsidRDefault="00CB452A" w:rsidP="00CB452A">
            <w:pPr>
              <w:spacing w:line="259" w:lineRule="auto"/>
              <w:ind w:left="1"/>
              <w:jc w:val="left"/>
            </w:pPr>
            <w:r w:rsidRPr="00A74AF4">
              <w:t xml:space="preserve"> </w:t>
            </w:r>
          </w:p>
        </w:tc>
      </w:tr>
    </w:tbl>
    <w:p w14:paraId="7C2B5B75" w14:textId="65161EB0" w:rsidR="00CB452A" w:rsidRPr="00A74AF4" w:rsidRDefault="00CB452A" w:rsidP="00642FD9">
      <w:r w:rsidRPr="00A74AF4">
        <w:t xml:space="preserve">Skupaj vseh vodov je </w:t>
      </w:r>
      <w:r w:rsidRPr="00A74AF4">
        <w:rPr>
          <w:rFonts w:eastAsia="Arial" w:cs="Arial"/>
        </w:rPr>
        <w:t xml:space="preserve">3368 m. </w:t>
      </w:r>
    </w:p>
    <w:tbl>
      <w:tblPr>
        <w:tblStyle w:val="TableGrid"/>
        <w:tblW w:w="8419" w:type="dxa"/>
        <w:tblInd w:w="1" w:type="dxa"/>
        <w:tblCellMar>
          <w:top w:w="6" w:type="dxa"/>
          <w:left w:w="107" w:type="dxa"/>
          <w:right w:w="78" w:type="dxa"/>
        </w:tblCellMar>
        <w:tblLook w:val="04A0" w:firstRow="1" w:lastRow="0" w:firstColumn="1" w:lastColumn="0" w:noHBand="0" w:noVBand="1"/>
      </w:tblPr>
      <w:tblGrid>
        <w:gridCol w:w="3826"/>
        <w:gridCol w:w="2400"/>
        <w:gridCol w:w="2193"/>
      </w:tblGrid>
      <w:tr w:rsidR="00CB452A" w:rsidRPr="00A74AF4" w14:paraId="0FD325FC" w14:textId="77777777" w:rsidTr="00CB452A">
        <w:trPr>
          <w:trHeight w:val="288"/>
        </w:trPr>
        <w:tc>
          <w:tcPr>
            <w:tcW w:w="3826" w:type="dxa"/>
            <w:tcBorders>
              <w:top w:val="single" w:sz="4" w:space="0" w:color="000000"/>
              <w:left w:val="single" w:sz="4" w:space="0" w:color="000000"/>
              <w:bottom w:val="single" w:sz="4" w:space="0" w:color="000000"/>
              <w:right w:val="single" w:sz="4" w:space="0" w:color="000000"/>
            </w:tcBorders>
          </w:tcPr>
          <w:p w14:paraId="266080C8" w14:textId="77777777" w:rsidR="00CB452A" w:rsidRPr="00A74AF4" w:rsidRDefault="00CB452A" w:rsidP="00CB452A">
            <w:pPr>
              <w:spacing w:line="259" w:lineRule="auto"/>
              <w:jc w:val="left"/>
            </w:pPr>
            <w:r w:rsidRPr="00A74AF4">
              <w:t xml:space="preserve">1682 </w:t>
            </w:r>
            <w:proofErr w:type="spellStart"/>
            <w:r w:rsidRPr="00A74AF4">
              <w:t>Mrzlek</w:t>
            </w:r>
            <w:proofErr w:type="spellEnd"/>
            <w:r w:rsidRPr="00A74AF4">
              <w:t xml:space="preserve"> </w:t>
            </w:r>
          </w:p>
        </w:tc>
        <w:tc>
          <w:tcPr>
            <w:tcW w:w="2400" w:type="dxa"/>
            <w:tcBorders>
              <w:top w:val="single" w:sz="4" w:space="0" w:color="000000"/>
              <w:left w:val="single" w:sz="4" w:space="0" w:color="000000"/>
              <w:bottom w:val="single" w:sz="4" w:space="0" w:color="000000"/>
              <w:right w:val="single" w:sz="4" w:space="0" w:color="000000"/>
            </w:tcBorders>
          </w:tcPr>
          <w:p w14:paraId="5F393413" w14:textId="77777777" w:rsidR="00CB452A" w:rsidRPr="00A74AF4" w:rsidRDefault="00CB452A" w:rsidP="00CB452A">
            <w:pPr>
              <w:spacing w:line="259" w:lineRule="auto"/>
              <w:jc w:val="left"/>
            </w:pPr>
            <w:r w:rsidRPr="00A74AF4">
              <w:t xml:space="preserve"> </w:t>
            </w:r>
          </w:p>
        </w:tc>
        <w:tc>
          <w:tcPr>
            <w:tcW w:w="2193" w:type="dxa"/>
            <w:tcBorders>
              <w:top w:val="single" w:sz="4" w:space="0" w:color="000000"/>
              <w:left w:val="single" w:sz="4" w:space="0" w:color="000000"/>
              <w:bottom w:val="single" w:sz="4" w:space="0" w:color="000000"/>
              <w:right w:val="single" w:sz="4" w:space="0" w:color="000000"/>
            </w:tcBorders>
          </w:tcPr>
          <w:p w14:paraId="308F9851" w14:textId="77777777" w:rsidR="00CB452A" w:rsidRPr="00A74AF4" w:rsidRDefault="00CB452A" w:rsidP="00CB452A">
            <w:pPr>
              <w:spacing w:line="259" w:lineRule="auto"/>
              <w:jc w:val="left"/>
            </w:pPr>
            <w:r w:rsidRPr="00A74AF4">
              <w:t xml:space="preserve"> </w:t>
            </w:r>
          </w:p>
        </w:tc>
      </w:tr>
      <w:tr w:rsidR="00CB452A" w:rsidRPr="00A74AF4" w14:paraId="688587F0" w14:textId="77777777" w:rsidTr="00A74AF4">
        <w:trPr>
          <w:trHeight w:val="192"/>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264DDC2" w14:textId="77777777" w:rsidR="00CB452A" w:rsidRPr="00A74AF4" w:rsidRDefault="00CB452A" w:rsidP="00CB452A">
            <w:pPr>
              <w:spacing w:line="259" w:lineRule="auto"/>
              <w:jc w:val="left"/>
            </w:pPr>
            <w:r w:rsidRPr="00A74AF4">
              <w:t xml:space="preserve">JAVNI VODOVOD   ……ID/zaporedna št.………. </w:t>
            </w:r>
          </w:p>
        </w:tc>
        <w:tc>
          <w:tcPr>
            <w:tcW w:w="240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29C3191" w14:textId="77777777" w:rsidR="00CB452A" w:rsidRPr="00A74AF4" w:rsidRDefault="00CB452A" w:rsidP="00CB452A">
            <w:pPr>
              <w:spacing w:line="259" w:lineRule="auto"/>
              <w:jc w:val="left"/>
            </w:pPr>
            <w:r w:rsidRPr="00A74AF4">
              <w:t xml:space="preserve">ŠTEVILO </w:t>
            </w:r>
          </w:p>
        </w:tc>
        <w:tc>
          <w:tcPr>
            <w:tcW w:w="21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D267C91" w14:textId="77777777" w:rsidR="00CB452A" w:rsidRPr="00A74AF4" w:rsidRDefault="00CB452A" w:rsidP="00CB452A">
            <w:pPr>
              <w:spacing w:line="259" w:lineRule="auto"/>
              <w:jc w:val="left"/>
            </w:pPr>
            <w:r w:rsidRPr="00A74AF4">
              <w:t xml:space="preserve">KOMENTAR </w:t>
            </w:r>
          </w:p>
        </w:tc>
      </w:tr>
      <w:tr w:rsidR="00CB452A" w:rsidRPr="00A74AF4" w14:paraId="6D6D856E"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5BCE40B" w14:textId="77777777" w:rsidR="00CB452A" w:rsidRPr="00A74AF4" w:rsidRDefault="00CB452A" w:rsidP="00CB452A">
            <w:pPr>
              <w:spacing w:line="259" w:lineRule="auto"/>
              <w:jc w:val="left"/>
            </w:pPr>
            <w:r w:rsidRPr="00A74AF4">
              <w:t xml:space="preserve">DOLŽINA CEVI BREZ PRIKLJUČKOV [m] </w:t>
            </w:r>
          </w:p>
        </w:tc>
        <w:tc>
          <w:tcPr>
            <w:tcW w:w="2400" w:type="dxa"/>
            <w:tcBorders>
              <w:top w:val="single" w:sz="4" w:space="0" w:color="000000"/>
              <w:left w:val="single" w:sz="4" w:space="0" w:color="000000"/>
              <w:bottom w:val="single" w:sz="4" w:space="0" w:color="000000"/>
              <w:right w:val="single" w:sz="4" w:space="0" w:color="000000"/>
            </w:tcBorders>
          </w:tcPr>
          <w:p w14:paraId="1A855C61" w14:textId="77777777" w:rsidR="00CB452A" w:rsidRPr="00A74AF4" w:rsidRDefault="00CB452A" w:rsidP="00CB452A">
            <w:pPr>
              <w:spacing w:line="259" w:lineRule="auto"/>
              <w:jc w:val="left"/>
            </w:pPr>
            <w:r w:rsidRPr="00A74AF4">
              <w:t xml:space="preserve">116921 </w:t>
            </w:r>
          </w:p>
        </w:tc>
        <w:tc>
          <w:tcPr>
            <w:tcW w:w="2193" w:type="dxa"/>
            <w:tcBorders>
              <w:top w:val="single" w:sz="4" w:space="0" w:color="000000"/>
              <w:left w:val="single" w:sz="4" w:space="0" w:color="000000"/>
              <w:bottom w:val="single" w:sz="4" w:space="0" w:color="000000"/>
              <w:right w:val="single" w:sz="4" w:space="0" w:color="000000"/>
            </w:tcBorders>
          </w:tcPr>
          <w:p w14:paraId="0935BBAD" w14:textId="77777777" w:rsidR="00CB452A" w:rsidRPr="00A74AF4" w:rsidRDefault="00CB452A" w:rsidP="00CB452A">
            <w:pPr>
              <w:spacing w:line="259" w:lineRule="auto"/>
              <w:jc w:val="left"/>
            </w:pPr>
            <w:r w:rsidRPr="00A74AF4">
              <w:t xml:space="preserve"> </w:t>
            </w:r>
          </w:p>
        </w:tc>
      </w:tr>
      <w:tr w:rsidR="00CB452A" w:rsidRPr="00A74AF4" w14:paraId="58EE7D88"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DA4C5E6" w14:textId="77777777" w:rsidR="00CB452A" w:rsidRPr="00A74AF4" w:rsidRDefault="00CB452A" w:rsidP="00CB452A">
            <w:pPr>
              <w:spacing w:line="259" w:lineRule="auto"/>
              <w:jc w:val="left"/>
            </w:pPr>
            <w:r w:rsidRPr="00A74AF4">
              <w:t xml:space="preserve">VODOHRAN   </w:t>
            </w:r>
          </w:p>
        </w:tc>
        <w:tc>
          <w:tcPr>
            <w:tcW w:w="2400" w:type="dxa"/>
            <w:tcBorders>
              <w:top w:val="single" w:sz="4" w:space="0" w:color="000000"/>
              <w:left w:val="single" w:sz="4" w:space="0" w:color="000000"/>
              <w:bottom w:val="single" w:sz="4" w:space="0" w:color="000000"/>
              <w:right w:val="single" w:sz="4" w:space="0" w:color="000000"/>
            </w:tcBorders>
          </w:tcPr>
          <w:p w14:paraId="5548C2A0" w14:textId="77777777" w:rsidR="00CB452A" w:rsidRPr="00A74AF4" w:rsidRDefault="00CB452A" w:rsidP="00CB452A">
            <w:pPr>
              <w:spacing w:line="259" w:lineRule="auto"/>
              <w:jc w:val="left"/>
            </w:pPr>
            <w:r w:rsidRPr="00A74AF4">
              <w:t xml:space="preserve">12 </w:t>
            </w:r>
          </w:p>
        </w:tc>
        <w:tc>
          <w:tcPr>
            <w:tcW w:w="2193" w:type="dxa"/>
            <w:tcBorders>
              <w:top w:val="single" w:sz="4" w:space="0" w:color="000000"/>
              <w:left w:val="single" w:sz="4" w:space="0" w:color="000000"/>
              <w:bottom w:val="single" w:sz="4" w:space="0" w:color="000000"/>
              <w:right w:val="single" w:sz="4" w:space="0" w:color="000000"/>
            </w:tcBorders>
          </w:tcPr>
          <w:p w14:paraId="635F4532" w14:textId="77777777" w:rsidR="00CB452A" w:rsidRPr="00A74AF4" w:rsidRDefault="00CB452A" w:rsidP="00CB452A">
            <w:pPr>
              <w:spacing w:line="259" w:lineRule="auto"/>
              <w:jc w:val="left"/>
            </w:pPr>
            <w:r w:rsidRPr="00A74AF4">
              <w:t xml:space="preserve"> </w:t>
            </w:r>
          </w:p>
        </w:tc>
      </w:tr>
      <w:tr w:rsidR="00CB452A" w:rsidRPr="00A74AF4" w14:paraId="77FDF29E"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052B999" w14:textId="77777777" w:rsidR="00CB452A" w:rsidRPr="00A74AF4" w:rsidRDefault="00CB452A" w:rsidP="00CB452A">
            <w:pPr>
              <w:spacing w:line="259" w:lineRule="auto"/>
              <w:jc w:val="left"/>
            </w:pPr>
            <w:r w:rsidRPr="00A74AF4">
              <w:t xml:space="preserve">ČRPALIŠČE  </w:t>
            </w:r>
          </w:p>
        </w:tc>
        <w:tc>
          <w:tcPr>
            <w:tcW w:w="2400" w:type="dxa"/>
            <w:tcBorders>
              <w:top w:val="single" w:sz="4" w:space="0" w:color="000000"/>
              <w:left w:val="single" w:sz="4" w:space="0" w:color="000000"/>
              <w:bottom w:val="single" w:sz="4" w:space="0" w:color="000000"/>
              <w:right w:val="single" w:sz="4" w:space="0" w:color="000000"/>
            </w:tcBorders>
          </w:tcPr>
          <w:p w14:paraId="10A711B4" w14:textId="77777777" w:rsidR="00CB452A" w:rsidRPr="00A74AF4" w:rsidRDefault="00CB452A" w:rsidP="00CB452A">
            <w:pPr>
              <w:spacing w:line="259" w:lineRule="auto"/>
              <w:jc w:val="left"/>
            </w:pPr>
            <w:r w:rsidRPr="00A74AF4">
              <w:t xml:space="preserve">17 </w:t>
            </w:r>
          </w:p>
        </w:tc>
        <w:tc>
          <w:tcPr>
            <w:tcW w:w="2193" w:type="dxa"/>
            <w:tcBorders>
              <w:top w:val="single" w:sz="4" w:space="0" w:color="000000"/>
              <w:left w:val="single" w:sz="4" w:space="0" w:color="000000"/>
              <w:bottom w:val="single" w:sz="4" w:space="0" w:color="000000"/>
              <w:right w:val="single" w:sz="4" w:space="0" w:color="000000"/>
            </w:tcBorders>
          </w:tcPr>
          <w:p w14:paraId="745EE82D" w14:textId="77777777" w:rsidR="00CB452A" w:rsidRPr="00A74AF4" w:rsidRDefault="00CB452A" w:rsidP="00CB452A">
            <w:pPr>
              <w:spacing w:line="259" w:lineRule="auto"/>
              <w:jc w:val="left"/>
            </w:pPr>
            <w:r w:rsidRPr="00A74AF4">
              <w:t xml:space="preserve"> </w:t>
            </w:r>
          </w:p>
        </w:tc>
      </w:tr>
      <w:tr w:rsidR="00CB452A" w:rsidRPr="00A74AF4" w14:paraId="29ED54C1"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451835E" w14:textId="77777777" w:rsidR="00CB452A" w:rsidRPr="00A74AF4" w:rsidRDefault="00CB452A" w:rsidP="00CB452A">
            <w:pPr>
              <w:spacing w:line="259" w:lineRule="auto"/>
              <w:jc w:val="left"/>
            </w:pPr>
            <w:r w:rsidRPr="00A74AF4">
              <w:t xml:space="preserve">NAPRAVE ZA OBDELAVO PITNE VODE  </w:t>
            </w:r>
          </w:p>
        </w:tc>
        <w:tc>
          <w:tcPr>
            <w:tcW w:w="2400" w:type="dxa"/>
            <w:tcBorders>
              <w:top w:val="single" w:sz="4" w:space="0" w:color="000000"/>
              <w:left w:val="single" w:sz="4" w:space="0" w:color="000000"/>
              <w:bottom w:val="single" w:sz="4" w:space="0" w:color="000000"/>
              <w:right w:val="single" w:sz="4" w:space="0" w:color="000000"/>
            </w:tcBorders>
          </w:tcPr>
          <w:p w14:paraId="2629A39D" w14:textId="77777777" w:rsidR="00CB452A" w:rsidRPr="00A74AF4" w:rsidRDefault="00CB452A" w:rsidP="00CB452A">
            <w:pPr>
              <w:spacing w:line="259" w:lineRule="auto"/>
              <w:jc w:val="left"/>
            </w:pPr>
            <w:r w:rsidRPr="00A74AF4">
              <w:t xml:space="preserve">2 </w:t>
            </w:r>
          </w:p>
        </w:tc>
        <w:tc>
          <w:tcPr>
            <w:tcW w:w="2193" w:type="dxa"/>
            <w:tcBorders>
              <w:top w:val="single" w:sz="4" w:space="0" w:color="000000"/>
              <w:left w:val="single" w:sz="4" w:space="0" w:color="000000"/>
              <w:bottom w:val="single" w:sz="4" w:space="0" w:color="000000"/>
              <w:right w:val="single" w:sz="4" w:space="0" w:color="000000"/>
            </w:tcBorders>
          </w:tcPr>
          <w:p w14:paraId="2676782E" w14:textId="77777777" w:rsidR="00CB452A" w:rsidRPr="00A74AF4" w:rsidRDefault="00CB452A" w:rsidP="00CB452A">
            <w:pPr>
              <w:spacing w:line="259" w:lineRule="auto"/>
              <w:jc w:val="left"/>
            </w:pPr>
            <w:r w:rsidRPr="00A74AF4">
              <w:t xml:space="preserve"> </w:t>
            </w:r>
          </w:p>
        </w:tc>
      </w:tr>
      <w:tr w:rsidR="00CB452A" w:rsidRPr="00A74AF4" w14:paraId="09F681F5" w14:textId="77777777" w:rsidTr="00A74AF4">
        <w:trPr>
          <w:trHeight w:val="379"/>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0D93400" w14:textId="77777777" w:rsidR="00CB452A" w:rsidRPr="00A74AF4" w:rsidRDefault="00CB452A" w:rsidP="00CB452A">
            <w:pPr>
              <w:spacing w:line="259" w:lineRule="auto"/>
              <w:jc w:val="left"/>
            </w:pPr>
            <w:r w:rsidRPr="00A74AF4">
              <w:t xml:space="preserve">OBJEKT ZA BOGATENJE ALI AKTIVNO ZAŠČITO VODONOSNIKA  </w:t>
            </w:r>
          </w:p>
        </w:tc>
        <w:tc>
          <w:tcPr>
            <w:tcW w:w="2400" w:type="dxa"/>
            <w:tcBorders>
              <w:top w:val="single" w:sz="4" w:space="0" w:color="000000"/>
              <w:left w:val="single" w:sz="4" w:space="0" w:color="000000"/>
              <w:bottom w:val="single" w:sz="4" w:space="0" w:color="000000"/>
              <w:right w:val="single" w:sz="4" w:space="0" w:color="000000"/>
            </w:tcBorders>
          </w:tcPr>
          <w:p w14:paraId="77ACAD34" w14:textId="77777777" w:rsidR="00CB452A" w:rsidRPr="00A74AF4" w:rsidRDefault="00CB452A" w:rsidP="00CB452A">
            <w:pPr>
              <w:spacing w:line="259" w:lineRule="auto"/>
              <w:jc w:val="left"/>
            </w:pPr>
            <w:r w:rsidRPr="00A74AF4">
              <w:t xml:space="preserve">0 </w:t>
            </w:r>
          </w:p>
        </w:tc>
        <w:tc>
          <w:tcPr>
            <w:tcW w:w="2193" w:type="dxa"/>
            <w:tcBorders>
              <w:top w:val="single" w:sz="4" w:space="0" w:color="000000"/>
              <w:left w:val="single" w:sz="4" w:space="0" w:color="000000"/>
              <w:bottom w:val="single" w:sz="4" w:space="0" w:color="000000"/>
              <w:right w:val="single" w:sz="4" w:space="0" w:color="000000"/>
            </w:tcBorders>
          </w:tcPr>
          <w:p w14:paraId="367D8F7D" w14:textId="77777777" w:rsidR="00CB452A" w:rsidRPr="00A74AF4" w:rsidRDefault="00CB452A" w:rsidP="00CB452A">
            <w:pPr>
              <w:spacing w:line="259" w:lineRule="auto"/>
              <w:jc w:val="left"/>
            </w:pPr>
            <w:r w:rsidRPr="00A74AF4">
              <w:t xml:space="preserve"> </w:t>
            </w:r>
          </w:p>
        </w:tc>
      </w:tr>
      <w:tr w:rsidR="00CB452A" w:rsidRPr="00A74AF4" w14:paraId="3C99241D" w14:textId="77777777" w:rsidTr="00A74AF4">
        <w:trPr>
          <w:trHeight w:val="471"/>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0E45BC9" w14:textId="77777777" w:rsidR="00CB452A" w:rsidRPr="00A74AF4" w:rsidRDefault="00CB452A" w:rsidP="00CB452A">
            <w:pPr>
              <w:spacing w:line="259" w:lineRule="auto"/>
              <w:jc w:val="left"/>
            </w:pPr>
            <w:r w:rsidRPr="00A74AF4">
              <w:t xml:space="preserve">DRUGA OPREMA IN OBJEKTI - NAVESTI  </w:t>
            </w:r>
          </w:p>
        </w:tc>
        <w:tc>
          <w:tcPr>
            <w:tcW w:w="2400" w:type="dxa"/>
            <w:tcBorders>
              <w:top w:val="single" w:sz="4" w:space="0" w:color="000000"/>
              <w:left w:val="single" w:sz="4" w:space="0" w:color="000000"/>
              <w:bottom w:val="single" w:sz="4" w:space="0" w:color="000000"/>
              <w:right w:val="single" w:sz="4" w:space="0" w:color="000000"/>
            </w:tcBorders>
          </w:tcPr>
          <w:p w14:paraId="63A2084E" w14:textId="77777777" w:rsidR="00CB452A" w:rsidRPr="00A74AF4" w:rsidRDefault="00CB452A" w:rsidP="00CB452A">
            <w:pPr>
              <w:spacing w:line="259" w:lineRule="auto"/>
              <w:jc w:val="left"/>
            </w:pPr>
            <w:r w:rsidRPr="00A74AF4">
              <w:t xml:space="preserve">485 HIDRANTOV </w:t>
            </w:r>
          </w:p>
          <w:p w14:paraId="5A2593D1" w14:textId="77777777" w:rsidR="00CB452A" w:rsidRPr="00A74AF4" w:rsidRDefault="00CB452A" w:rsidP="00CB452A">
            <w:pPr>
              <w:spacing w:line="259" w:lineRule="auto"/>
              <w:jc w:val="left"/>
            </w:pPr>
            <w:r w:rsidRPr="00A74AF4">
              <w:t xml:space="preserve">1 ZAJETJE </w:t>
            </w:r>
          </w:p>
        </w:tc>
        <w:tc>
          <w:tcPr>
            <w:tcW w:w="2193" w:type="dxa"/>
            <w:tcBorders>
              <w:top w:val="single" w:sz="4" w:space="0" w:color="000000"/>
              <w:left w:val="single" w:sz="4" w:space="0" w:color="000000"/>
              <w:bottom w:val="single" w:sz="4" w:space="0" w:color="000000"/>
              <w:right w:val="single" w:sz="4" w:space="0" w:color="000000"/>
            </w:tcBorders>
          </w:tcPr>
          <w:p w14:paraId="6EA49FF3" w14:textId="77777777" w:rsidR="00CB452A" w:rsidRPr="00A74AF4" w:rsidRDefault="00CB452A" w:rsidP="00CB452A">
            <w:pPr>
              <w:spacing w:line="259" w:lineRule="auto"/>
              <w:jc w:val="left"/>
            </w:pPr>
            <w:r w:rsidRPr="00A74AF4">
              <w:t xml:space="preserve"> </w:t>
            </w:r>
          </w:p>
        </w:tc>
      </w:tr>
      <w:tr w:rsidR="00CB452A" w:rsidRPr="00A74AF4" w14:paraId="799E6478"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A0B49AB" w14:textId="77777777" w:rsidR="00CB452A" w:rsidRPr="00A74AF4" w:rsidRDefault="00CB452A" w:rsidP="00CB452A">
            <w:pPr>
              <w:spacing w:line="259" w:lineRule="auto"/>
              <w:jc w:val="left"/>
            </w:pPr>
            <w:r w:rsidRPr="00A74AF4">
              <w:t>KOLIČINA VODE, KI JO ZAGOTAVLJA [m</w:t>
            </w:r>
            <w:r w:rsidRPr="00A74AF4">
              <w:rPr>
                <w:vertAlign w:val="superscript"/>
              </w:rPr>
              <w:t>3</w:t>
            </w:r>
            <w:r w:rsidRPr="00A74AF4">
              <w:t xml:space="preserve">] </w:t>
            </w:r>
          </w:p>
        </w:tc>
        <w:tc>
          <w:tcPr>
            <w:tcW w:w="2400" w:type="dxa"/>
            <w:tcBorders>
              <w:top w:val="single" w:sz="4" w:space="0" w:color="000000"/>
              <w:left w:val="single" w:sz="4" w:space="0" w:color="000000"/>
              <w:bottom w:val="single" w:sz="4" w:space="0" w:color="000000"/>
              <w:right w:val="single" w:sz="4" w:space="0" w:color="000000"/>
            </w:tcBorders>
          </w:tcPr>
          <w:p w14:paraId="7E161CDA" w14:textId="77777777" w:rsidR="00CB452A" w:rsidRPr="00A74AF4" w:rsidRDefault="00CB452A" w:rsidP="00CB452A">
            <w:pPr>
              <w:spacing w:line="259" w:lineRule="auto"/>
              <w:jc w:val="left"/>
            </w:pPr>
            <w:r w:rsidRPr="00A74AF4">
              <w:t xml:space="preserve">2894546 </w:t>
            </w:r>
          </w:p>
        </w:tc>
        <w:tc>
          <w:tcPr>
            <w:tcW w:w="2193" w:type="dxa"/>
            <w:tcBorders>
              <w:top w:val="single" w:sz="4" w:space="0" w:color="000000"/>
              <w:left w:val="single" w:sz="4" w:space="0" w:color="000000"/>
              <w:bottom w:val="single" w:sz="4" w:space="0" w:color="000000"/>
              <w:right w:val="single" w:sz="4" w:space="0" w:color="000000"/>
            </w:tcBorders>
          </w:tcPr>
          <w:p w14:paraId="315DE170" w14:textId="77777777" w:rsidR="00CB452A" w:rsidRPr="00A74AF4" w:rsidRDefault="00CB452A" w:rsidP="00CB452A">
            <w:pPr>
              <w:spacing w:line="259" w:lineRule="auto"/>
              <w:jc w:val="left"/>
            </w:pPr>
            <w:r w:rsidRPr="00A74AF4">
              <w:t xml:space="preserve"> </w:t>
            </w:r>
          </w:p>
        </w:tc>
      </w:tr>
      <w:tr w:rsidR="00CB452A" w:rsidRPr="00A74AF4" w14:paraId="2240C8D0" w14:textId="77777777" w:rsidTr="00A74AF4">
        <w:trPr>
          <w:trHeight w:val="468"/>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C81472E" w14:textId="77777777" w:rsidR="00CB452A" w:rsidRPr="00A74AF4" w:rsidRDefault="00CB452A" w:rsidP="00CB452A">
            <w:pPr>
              <w:spacing w:line="259" w:lineRule="auto"/>
              <w:jc w:val="left"/>
            </w:pPr>
            <w:r w:rsidRPr="00A74AF4">
              <w:lastRenderedPageBreak/>
              <w:t xml:space="preserve">VODOVOD VPISAN V KATASTER JAVNE INFRASTRUKTURE </w:t>
            </w:r>
          </w:p>
        </w:tc>
        <w:tc>
          <w:tcPr>
            <w:tcW w:w="2400" w:type="dxa"/>
            <w:tcBorders>
              <w:top w:val="single" w:sz="4" w:space="0" w:color="000000"/>
              <w:left w:val="single" w:sz="4" w:space="0" w:color="000000"/>
              <w:bottom w:val="single" w:sz="4" w:space="0" w:color="000000"/>
              <w:right w:val="single" w:sz="4" w:space="0" w:color="000000"/>
            </w:tcBorders>
          </w:tcPr>
          <w:p w14:paraId="169485A8" w14:textId="77777777" w:rsidR="00CB452A" w:rsidRPr="00A74AF4" w:rsidRDefault="00CB452A" w:rsidP="00CB452A">
            <w:pPr>
              <w:spacing w:line="259" w:lineRule="auto"/>
              <w:jc w:val="left"/>
            </w:pPr>
            <w:r w:rsidRPr="00A74AF4">
              <w:t xml:space="preserve">DA </w:t>
            </w:r>
          </w:p>
          <w:p w14:paraId="5AD83E9E" w14:textId="77777777" w:rsidR="00CB452A" w:rsidRPr="00A74AF4" w:rsidRDefault="00CB452A" w:rsidP="00CB452A">
            <w:pPr>
              <w:spacing w:line="259" w:lineRule="auto"/>
              <w:jc w:val="left"/>
            </w:pPr>
            <w:r w:rsidRPr="00A74AF4">
              <w:t xml:space="preserve"> </w:t>
            </w:r>
          </w:p>
        </w:tc>
        <w:tc>
          <w:tcPr>
            <w:tcW w:w="2193" w:type="dxa"/>
            <w:tcBorders>
              <w:top w:val="single" w:sz="4" w:space="0" w:color="000000"/>
              <w:left w:val="single" w:sz="4" w:space="0" w:color="000000"/>
              <w:bottom w:val="single" w:sz="4" w:space="0" w:color="000000"/>
              <w:right w:val="single" w:sz="4" w:space="0" w:color="000000"/>
            </w:tcBorders>
          </w:tcPr>
          <w:p w14:paraId="34E72344" w14:textId="77777777" w:rsidR="00CB452A" w:rsidRPr="00A74AF4" w:rsidRDefault="00CB452A" w:rsidP="00CB452A">
            <w:pPr>
              <w:spacing w:line="259" w:lineRule="auto"/>
              <w:jc w:val="left"/>
            </w:pPr>
            <w:r w:rsidRPr="00A74AF4">
              <w:t xml:space="preserve"> </w:t>
            </w:r>
          </w:p>
        </w:tc>
      </w:tr>
    </w:tbl>
    <w:p w14:paraId="2A6496A0" w14:textId="77777777" w:rsidR="00CB452A" w:rsidRPr="00A74AF4" w:rsidRDefault="00CB452A" w:rsidP="00CB452A">
      <w:r w:rsidRPr="00A74AF4">
        <w:t xml:space="preserve">Skupaj vseh vodov je </w:t>
      </w:r>
      <w:r w:rsidRPr="00A74AF4">
        <w:rPr>
          <w:rFonts w:eastAsia="Arial" w:cs="Arial"/>
        </w:rPr>
        <w:t xml:space="preserve">145958 m. </w:t>
      </w:r>
    </w:p>
    <w:tbl>
      <w:tblPr>
        <w:tblStyle w:val="TableGrid"/>
        <w:tblW w:w="8419" w:type="dxa"/>
        <w:tblInd w:w="1" w:type="dxa"/>
        <w:tblCellMar>
          <w:top w:w="4" w:type="dxa"/>
          <w:left w:w="107" w:type="dxa"/>
          <w:right w:w="78" w:type="dxa"/>
        </w:tblCellMar>
        <w:tblLook w:val="04A0" w:firstRow="1" w:lastRow="0" w:firstColumn="1" w:lastColumn="0" w:noHBand="0" w:noVBand="1"/>
      </w:tblPr>
      <w:tblGrid>
        <w:gridCol w:w="3826"/>
        <w:gridCol w:w="2400"/>
        <w:gridCol w:w="2193"/>
      </w:tblGrid>
      <w:tr w:rsidR="00CB452A" w:rsidRPr="00A74AF4" w14:paraId="03C117B2" w14:textId="77777777" w:rsidTr="00CB452A">
        <w:trPr>
          <w:trHeight w:val="289"/>
        </w:trPr>
        <w:tc>
          <w:tcPr>
            <w:tcW w:w="3826" w:type="dxa"/>
            <w:tcBorders>
              <w:top w:val="single" w:sz="4" w:space="0" w:color="000000"/>
              <w:left w:val="single" w:sz="4" w:space="0" w:color="000000"/>
              <w:bottom w:val="single" w:sz="4" w:space="0" w:color="000000"/>
              <w:right w:val="single" w:sz="4" w:space="0" w:color="000000"/>
            </w:tcBorders>
          </w:tcPr>
          <w:p w14:paraId="6220FEFB" w14:textId="70BEA934" w:rsidR="00CB452A" w:rsidRPr="00A74AF4" w:rsidRDefault="00CB452A" w:rsidP="00CB452A">
            <w:pPr>
              <w:spacing w:line="259" w:lineRule="auto"/>
              <w:jc w:val="left"/>
            </w:pPr>
            <w:r w:rsidRPr="00A74AF4">
              <w:t xml:space="preserve">1243 </w:t>
            </w:r>
            <w:proofErr w:type="spellStart"/>
            <w:r w:rsidRPr="00A74AF4">
              <w:t>Mrzlek</w:t>
            </w:r>
            <w:proofErr w:type="spellEnd"/>
            <w:r w:rsidRPr="00A74AF4">
              <w:t xml:space="preserve"> – Italija </w:t>
            </w:r>
          </w:p>
        </w:tc>
        <w:tc>
          <w:tcPr>
            <w:tcW w:w="2400" w:type="dxa"/>
            <w:tcBorders>
              <w:top w:val="single" w:sz="4" w:space="0" w:color="000000"/>
              <w:left w:val="single" w:sz="4" w:space="0" w:color="000000"/>
              <w:bottom w:val="single" w:sz="4" w:space="0" w:color="000000"/>
              <w:right w:val="single" w:sz="4" w:space="0" w:color="000000"/>
            </w:tcBorders>
          </w:tcPr>
          <w:p w14:paraId="26E2D90C" w14:textId="77777777" w:rsidR="00CB452A" w:rsidRPr="00A74AF4" w:rsidRDefault="00CB452A" w:rsidP="00CB452A">
            <w:pPr>
              <w:spacing w:line="259" w:lineRule="auto"/>
              <w:jc w:val="left"/>
            </w:pPr>
            <w:r w:rsidRPr="00A74AF4">
              <w:t xml:space="preserve"> </w:t>
            </w:r>
          </w:p>
        </w:tc>
        <w:tc>
          <w:tcPr>
            <w:tcW w:w="2193" w:type="dxa"/>
            <w:tcBorders>
              <w:top w:val="single" w:sz="4" w:space="0" w:color="000000"/>
              <w:left w:val="single" w:sz="4" w:space="0" w:color="000000"/>
              <w:bottom w:val="single" w:sz="4" w:space="0" w:color="000000"/>
              <w:right w:val="single" w:sz="4" w:space="0" w:color="000000"/>
            </w:tcBorders>
          </w:tcPr>
          <w:p w14:paraId="67AD707B" w14:textId="77777777" w:rsidR="00CB452A" w:rsidRPr="00A74AF4" w:rsidRDefault="00CB452A" w:rsidP="00CB452A">
            <w:pPr>
              <w:spacing w:line="259" w:lineRule="auto"/>
              <w:jc w:val="left"/>
            </w:pPr>
            <w:r w:rsidRPr="00A74AF4">
              <w:t xml:space="preserve"> </w:t>
            </w:r>
          </w:p>
        </w:tc>
      </w:tr>
      <w:tr w:rsidR="00CB452A" w:rsidRPr="00A74AF4" w14:paraId="7DFB1798" w14:textId="77777777" w:rsidTr="00A74AF4">
        <w:trPr>
          <w:trHeight w:val="192"/>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1B6C88E" w14:textId="77777777" w:rsidR="00CB452A" w:rsidRPr="00A74AF4" w:rsidRDefault="00CB452A" w:rsidP="00CB452A">
            <w:pPr>
              <w:spacing w:line="259" w:lineRule="auto"/>
              <w:jc w:val="left"/>
            </w:pPr>
            <w:r w:rsidRPr="00A74AF4">
              <w:t xml:space="preserve">JAVNI VODOVOD   ……ID/zaporedna št.………. </w:t>
            </w:r>
          </w:p>
        </w:tc>
        <w:tc>
          <w:tcPr>
            <w:tcW w:w="240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C38AE99" w14:textId="77777777" w:rsidR="00CB452A" w:rsidRPr="00A74AF4" w:rsidRDefault="00CB452A" w:rsidP="00CB452A">
            <w:pPr>
              <w:spacing w:line="259" w:lineRule="auto"/>
              <w:jc w:val="left"/>
            </w:pPr>
            <w:r w:rsidRPr="00A74AF4">
              <w:t xml:space="preserve">ŠTEVILO </w:t>
            </w:r>
          </w:p>
        </w:tc>
        <w:tc>
          <w:tcPr>
            <w:tcW w:w="21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58F1A92" w14:textId="77777777" w:rsidR="00CB452A" w:rsidRPr="00A74AF4" w:rsidRDefault="00CB452A" w:rsidP="00CB452A">
            <w:pPr>
              <w:spacing w:line="259" w:lineRule="auto"/>
              <w:jc w:val="left"/>
            </w:pPr>
            <w:r w:rsidRPr="00A74AF4">
              <w:t xml:space="preserve">KOMENTAR </w:t>
            </w:r>
          </w:p>
        </w:tc>
      </w:tr>
      <w:tr w:rsidR="00CB452A" w:rsidRPr="00A74AF4" w14:paraId="30306061"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4C52A24" w14:textId="77777777" w:rsidR="00CB452A" w:rsidRPr="00A74AF4" w:rsidRDefault="00CB452A" w:rsidP="00CB452A">
            <w:pPr>
              <w:spacing w:line="259" w:lineRule="auto"/>
              <w:jc w:val="left"/>
            </w:pPr>
            <w:r w:rsidRPr="00A74AF4">
              <w:t xml:space="preserve">DOLŽINA CEVI BREZ PRIKLJUČKOV [m] </w:t>
            </w:r>
          </w:p>
        </w:tc>
        <w:tc>
          <w:tcPr>
            <w:tcW w:w="2400" w:type="dxa"/>
            <w:tcBorders>
              <w:top w:val="single" w:sz="4" w:space="0" w:color="000000"/>
              <w:left w:val="single" w:sz="4" w:space="0" w:color="000000"/>
              <w:bottom w:val="single" w:sz="4" w:space="0" w:color="000000"/>
              <w:right w:val="single" w:sz="4" w:space="0" w:color="000000"/>
            </w:tcBorders>
          </w:tcPr>
          <w:p w14:paraId="3AEE6DBC" w14:textId="77777777" w:rsidR="00CB452A" w:rsidRPr="00A74AF4" w:rsidRDefault="00CB452A" w:rsidP="00CB452A">
            <w:pPr>
              <w:spacing w:line="259" w:lineRule="auto"/>
              <w:jc w:val="left"/>
            </w:pPr>
            <w:r w:rsidRPr="00A74AF4">
              <w:t xml:space="preserve">185 </w:t>
            </w:r>
          </w:p>
        </w:tc>
        <w:tc>
          <w:tcPr>
            <w:tcW w:w="2193" w:type="dxa"/>
            <w:tcBorders>
              <w:top w:val="single" w:sz="4" w:space="0" w:color="000000"/>
              <w:left w:val="single" w:sz="4" w:space="0" w:color="000000"/>
              <w:bottom w:val="single" w:sz="4" w:space="0" w:color="000000"/>
              <w:right w:val="single" w:sz="4" w:space="0" w:color="000000"/>
            </w:tcBorders>
          </w:tcPr>
          <w:p w14:paraId="67F4AA26" w14:textId="77777777" w:rsidR="00CB452A" w:rsidRPr="00A74AF4" w:rsidRDefault="00CB452A" w:rsidP="00CB452A">
            <w:pPr>
              <w:spacing w:line="259" w:lineRule="auto"/>
              <w:jc w:val="left"/>
            </w:pPr>
            <w:r w:rsidRPr="00A74AF4">
              <w:t xml:space="preserve"> </w:t>
            </w:r>
          </w:p>
        </w:tc>
      </w:tr>
      <w:tr w:rsidR="00CB452A" w:rsidRPr="00A74AF4" w14:paraId="5F3367A7"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AEE2448" w14:textId="77777777" w:rsidR="00CB452A" w:rsidRPr="00A74AF4" w:rsidRDefault="00CB452A" w:rsidP="00CB452A">
            <w:pPr>
              <w:spacing w:line="259" w:lineRule="auto"/>
              <w:jc w:val="left"/>
            </w:pPr>
            <w:r w:rsidRPr="00A74AF4">
              <w:t xml:space="preserve">VODOHRAN   </w:t>
            </w:r>
          </w:p>
        </w:tc>
        <w:tc>
          <w:tcPr>
            <w:tcW w:w="2400" w:type="dxa"/>
            <w:tcBorders>
              <w:top w:val="single" w:sz="4" w:space="0" w:color="000000"/>
              <w:left w:val="single" w:sz="4" w:space="0" w:color="000000"/>
              <w:bottom w:val="single" w:sz="4" w:space="0" w:color="000000"/>
              <w:right w:val="single" w:sz="4" w:space="0" w:color="000000"/>
            </w:tcBorders>
          </w:tcPr>
          <w:p w14:paraId="2CF2BD18" w14:textId="77777777" w:rsidR="00CB452A" w:rsidRPr="00A74AF4" w:rsidRDefault="00CB452A" w:rsidP="00CB452A">
            <w:pPr>
              <w:spacing w:line="259" w:lineRule="auto"/>
              <w:jc w:val="left"/>
            </w:pPr>
            <w:r w:rsidRPr="00A74AF4">
              <w:t xml:space="preserve">0 </w:t>
            </w:r>
          </w:p>
        </w:tc>
        <w:tc>
          <w:tcPr>
            <w:tcW w:w="2193" w:type="dxa"/>
            <w:tcBorders>
              <w:top w:val="single" w:sz="4" w:space="0" w:color="000000"/>
              <w:left w:val="single" w:sz="4" w:space="0" w:color="000000"/>
              <w:bottom w:val="single" w:sz="4" w:space="0" w:color="000000"/>
              <w:right w:val="single" w:sz="4" w:space="0" w:color="000000"/>
            </w:tcBorders>
          </w:tcPr>
          <w:p w14:paraId="774CFA83" w14:textId="77777777" w:rsidR="00CB452A" w:rsidRPr="00A74AF4" w:rsidRDefault="00CB452A" w:rsidP="00CB452A">
            <w:pPr>
              <w:spacing w:line="259" w:lineRule="auto"/>
              <w:jc w:val="left"/>
            </w:pPr>
            <w:r w:rsidRPr="00A74AF4">
              <w:t xml:space="preserve"> </w:t>
            </w:r>
          </w:p>
        </w:tc>
      </w:tr>
      <w:tr w:rsidR="00CB452A" w:rsidRPr="00A74AF4" w14:paraId="45508ADB"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21C5971" w14:textId="77777777" w:rsidR="00CB452A" w:rsidRPr="00A74AF4" w:rsidRDefault="00CB452A" w:rsidP="00CB452A">
            <w:pPr>
              <w:spacing w:line="259" w:lineRule="auto"/>
              <w:jc w:val="left"/>
            </w:pPr>
            <w:r w:rsidRPr="00A74AF4">
              <w:t xml:space="preserve">ČRPALIŠČE  </w:t>
            </w:r>
          </w:p>
        </w:tc>
        <w:tc>
          <w:tcPr>
            <w:tcW w:w="2400" w:type="dxa"/>
            <w:tcBorders>
              <w:top w:val="single" w:sz="4" w:space="0" w:color="000000"/>
              <w:left w:val="single" w:sz="4" w:space="0" w:color="000000"/>
              <w:bottom w:val="single" w:sz="4" w:space="0" w:color="000000"/>
              <w:right w:val="single" w:sz="4" w:space="0" w:color="000000"/>
            </w:tcBorders>
          </w:tcPr>
          <w:p w14:paraId="24A033D9" w14:textId="77777777" w:rsidR="00CB452A" w:rsidRPr="00A74AF4" w:rsidRDefault="00CB452A" w:rsidP="00CB452A">
            <w:pPr>
              <w:spacing w:line="259" w:lineRule="auto"/>
              <w:jc w:val="left"/>
            </w:pPr>
            <w:r w:rsidRPr="00A74AF4">
              <w:t xml:space="preserve">0 </w:t>
            </w:r>
          </w:p>
        </w:tc>
        <w:tc>
          <w:tcPr>
            <w:tcW w:w="2193" w:type="dxa"/>
            <w:tcBorders>
              <w:top w:val="single" w:sz="4" w:space="0" w:color="000000"/>
              <w:left w:val="single" w:sz="4" w:space="0" w:color="000000"/>
              <w:bottom w:val="single" w:sz="4" w:space="0" w:color="000000"/>
              <w:right w:val="single" w:sz="4" w:space="0" w:color="000000"/>
            </w:tcBorders>
          </w:tcPr>
          <w:p w14:paraId="30F1BF9C" w14:textId="77777777" w:rsidR="00CB452A" w:rsidRPr="00A74AF4" w:rsidRDefault="00CB452A" w:rsidP="00CB452A">
            <w:pPr>
              <w:spacing w:line="259" w:lineRule="auto"/>
              <w:jc w:val="left"/>
            </w:pPr>
            <w:r w:rsidRPr="00A74AF4">
              <w:t xml:space="preserve"> </w:t>
            </w:r>
          </w:p>
        </w:tc>
      </w:tr>
      <w:tr w:rsidR="00CB452A" w:rsidRPr="00A74AF4" w14:paraId="6DF320C4" w14:textId="77777777" w:rsidTr="00A74AF4">
        <w:trPr>
          <w:trHeight w:val="239"/>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DEBBC77" w14:textId="77777777" w:rsidR="00CB452A" w:rsidRPr="00A74AF4" w:rsidRDefault="00CB452A" w:rsidP="00CB452A">
            <w:pPr>
              <w:spacing w:line="259" w:lineRule="auto"/>
              <w:jc w:val="left"/>
            </w:pPr>
            <w:r w:rsidRPr="00A74AF4">
              <w:t xml:space="preserve">NAPRAVE ZA OBDELAVO PITNE VODE  </w:t>
            </w:r>
          </w:p>
        </w:tc>
        <w:tc>
          <w:tcPr>
            <w:tcW w:w="2400" w:type="dxa"/>
            <w:tcBorders>
              <w:top w:val="single" w:sz="4" w:space="0" w:color="000000"/>
              <w:left w:val="single" w:sz="4" w:space="0" w:color="000000"/>
              <w:bottom w:val="single" w:sz="4" w:space="0" w:color="000000"/>
              <w:right w:val="single" w:sz="4" w:space="0" w:color="000000"/>
            </w:tcBorders>
          </w:tcPr>
          <w:p w14:paraId="17A9F0F5" w14:textId="77777777" w:rsidR="00CB452A" w:rsidRPr="00A74AF4" w:rsidRDefault="00CB452A" w:rsidP="00CB452A">
            <w:pPr>
              <w:spacing w:line="259" w:lineRule="auto"/>
              <w:jc w:val="left"/>
            </w:pPr>
            <w:r w:rsidRPr="00A74AF4">
              <w:t xml:space="preserve">0 </w:t>
            </w:r>
          </w:p>
        </w:tc>
        <w:tc>
          <w:tcPr>
            <w:tcW w:w="2193" w:type="dxa"/>
            <w:tcBorders>
              <w:top w:val="single" w:sz="4" w:space="0" w:color="000000"/>
              <w:left w:val="single" w:sz="4" w:space="0" w:color="000000"/>
              <w:bottom w:val="single" w:sz="4" w:space="0" w:color="000000"/>
              <w:right w:val="single" w:sz="4" w:space="0" w:color="000000"/>
            </w:tcBorders>
          </w:tcPr>
          <w:p w14:paraId="6D8DA4AB" w14:textId="77777777" w:rsidR="00CB452A" w:rsidRPr="00A74AF4" w:rsidRDefault="00CB452A" w:rsidP="00CB452A">
            <w:pPr>
              <w:spacing w:line="259" w:lineRule="auto"/>
              <w:jc w:val="left"/>
            </w:pPr>
            <w:r w:rsidRPr="00A74AF4">
              <w:t xml:space="preserve"> </w:t>
            </w:r>
          </w:p>
        </w:tc>
      </w:tr>
      <w:tr w:rsidR="00CB452A" w:rsidRPr="00A74AF4" w14:paraId="6CB2E298" w14:textId="77777777" w:rsidTr="00A74AF4">
        <w:trPr>
          <w:trHeight w:val="38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33CE7BB" w14:textId="77777777" w:rsidR="00CB452A" w:rsidRPr="00A74AF4" w:rsidRDefault="00CB452A" w:rsidP="00CB452A">
            <w:pPr>
              <w:spacing w:line="259" w:lineRule="auto"/>
              <w:jc w:val="left"/>
            </w:pPr>
            <w:r w:rsidRPr="00A74AF4">
              <w:t xml:space="preserve">OBJEKT ZA BOGATENJE ALI AKTIVNO ZAŠČITO VODONOSNIKA  </w:t>
            </w:r>
          </w:p>
        </w:tc>
        <w:tc>
          <w:tcPr>
            <w:tcW w:w="2400" w:type="dxa"/>
            <w:tcBorders>
              <w:top w:val="single" w:sz="4" w:space="0" w:color="000000"/>
              <w:left w:val="single" w:sz="4" w:space="0" w:color="000000"/>
              <w:bottom w:val="single" w:sz="4" w:space="0" w:color="000000"/>
              <w:right w:val="single" w:sz="4" w:space="0" w:color="000000"/>
            </w:tcBorders>
          </w:tcPr>
          <w:p w14:paraId="7292B364" w14:textId="77777777" w:rsidR="00CB452A" w:rsidRPr="00A74AF4" w:rsidRDefault="00CB452A" w:rsidP="00CB452A">
            <w:pPr>
              <w:spacing w:line="259" w:lineRule="auto"/>
              <w:jc w:val="left"/>
            </w:pPr>
            <w:r w:rsidRPr="00A74AF4">
              <w:t xml:space="preserve">0 </w:t>
            </w:r>
          </w:p>
        </w:tc>
        <w:tc>
          <w:tcPr>
            <w:tcW w:w="2193" w:type="dxa"/>
            <w:tcBorders>
              <w:top w:val="single" w:sz="4" w:space="0" w:color="000000"/>
              <w:left w:val="single" w:sz="4" w:space="0" w:color="000000"/>
              <w:bottom w:val="single" w:sz="4" w:space="0" w:color="000000"/>
              <w:right w:val="single" w:sz="4" w:space="0" w:color="000000"/>
            </w:tcBorders>
          </w:tcPr>
          <w:p w14:paraId="00F907F5" w14:textId="77777777" w:rsidR="00CB452A" w:rsidRPr="00A74AF4" w:rsidRDefault="00CB452A" w:rsidP="00CB452A">
            <w:pPr>
              <w:spacing w:line="259" w:lineRule="auto"/>
              <w:jc w:val="left"/>
            </w:pPr>
            <w:r w:rsidRPr="00A74AF4">
              <w:t xml:space="preserve"> </w:t>
            </w:r>
          </w:p>
        </w:tc>
      </w:tr>
      <w:tr w:rsidR="00CB452A" w:rsidRPr="00A74AF4" w14:paraId="241AE74B"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5ABE1F3" w14:textId="77777777" w:rsidR="00CB452A" w:rsidRPr="00A74AF4" w:rsidRDefault="00CB452A" w:rsidP="00CB452A">
            <w:pPr>
              <w:spacing w:line="259" w:lineRule="auto"/>
              <w:jc w:val="left"/>
            </w:pPr>
            <w:r w:rsidRPr="00A74AF4">
              <w:t xml:space="preserve">DRUGA OPREMA IN OBJEKTI - NAVESTI  </w:t>
            </w:r>
          </w:p>
        </w:tc>
        <w:tc>
          <w:tcPr>
            <w:tcW w:w="2400" w:type="dxa"/>
            <w:tcBorders>
              <w:top w:val="single" w:sz="4" w:space="0" w:color="000000"/>
              <w:left w:val="single" w:sz="4" w:space="0" w:color="000000"/>
              <w:bottom w:val="single" w:sz="4" w:space="0" w:color="000000"/>
              <w:right w:val="single" w:sz="4" w:space="0" w:color="000000"/>
            </w:tcBorders>
          </w:tcPr>
          <w:p w14:paraId="4E07E88A" w14:textId="77777777" w:rsidR="00CB452A" w:rsidRPr="00A74AF4" w:rsidRDefault="00CB452A" w:rsidP="00CB452A">
            <w:pPr>
              <w:spacing w:line="259" w:lineRule="auto"/>
              <w:jc w:val="left"/>
            </w:pPr>
            <w:r w:rsidRPr="00A74AF4">
              <w:t xml:space="preserve">0 </w:t>
            </w:r>
          </w:p>
        </w:tc>
        <w:tc>
          <w:tcPr>
            <w:tcW w:w="2193" w:type="dxa"/>
            <w:tcBorders>
              <w:top w:val="single" w:sz="4" w:space="0" w:color="000000"/>
              <w:left w:val="single" w:sz="4" w:space="0" w:color="000000"/>
              <w:bottom w:val="single" w:sz="4" w:space="0" w:color="000000"/>
              <w:right w:val="single" w:sz="4" w:space="0" w:color="000000"/>
            </w:tcBorders>
          </w:tcPr>
          <w:p w14:paraId="2070D7FE" w14:textId="77777777" w:rsidR="00CB452A" w:rsidRPr="00A74AF4" w:rsidRDefault="00CB452A" w:rsidP="00CB452A">
            <w:pPr>
              <w:spacing w:line="259" w:lineRule="auto"/>
              <w:jc w:val="left"/>
            </w:pPr>
            <w:r w:rsidRPr="00A74AF4">
              <w:t xml:space="preserve"> </w:t>
            </w:r>
          </w:p>
        </w:tc>
      </w:tr>
      <w:tr w:rsidR="00CB452A" w:rsidRPr="00A74AF4" w14:paraId="15835184"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727EEAE" w14:textId="77777777" w:rsidR="00CB452A" w:rsidRPr="00A74AF4" w:rsidRDefault="00CB452A" w:rsidP="00CB452A">
            <w:pPr>
              <w:spacing w:line="259" w:lineRule="auto"/>
              <w:jc w:val="left"/>
            </w:pPr>
            <w:r w:rsidRPr="00A74AF4">
              <w:t>KOLIČINA VODE, KI JO ZAGOTAVLJA [m</w:t>
            </w:r>
            <w:r w:rsidRPr="00A74AF4">
              <w:rPr>
                <w:vertAlign w:val="superscript"/>
              </w:rPr>
              <w:t>3</w:t>
            </w:r>
            <w:r w:rsidRPr="00A74AF4">
              <w:t xml:space="preserve">] </w:t>
            </w:r>
          </w:p>
        </w:tc>
        <w:tc>
          <w:tcPr>
            <w:tcW w:w="2400" w:type="dxa"/>
            <w:tcBorders>
              <w:top w:val="single" w:sz="4" w:space="0" w:color="000000"/>
              <w:left w:val="single" w:sz="4" w:space="0" w:color="000000"/>
              <w:bottom w:val="single" w:sz="4" w:space="0" w:color="000000"/>
              <w:right w:val="single" w:sz="4" w:space="0" w:color="000000"/>
            </w:tcBorders>
          </w:tcPr>
          <w:p w14:paraId="11FC592A" w14:textId="77777777" w:rsidR="00CB452A" w:rsidRPr="00A74AF4" w:rsidRDefault="00CB452A" w:rsidP="00CB452A">
            <w:pPr>
              <w:spacing w:line="259" w:lineRule="auto"/>
              <w:jc w:val="left"/>
            </w:pPr>
            <w:r w:rsidRPr="00A74AF4">
              <w:t xml:space="preserve">2493162 </w:t>
            </w:r>
          </w:p>
        </w:tc>
        <w:tc>
          <w:tcPr>
            <w:tcW w:w="2193" w:type="dxa"/>
            <w:tcBorders>
              <w:top w:val="single" w:sz="4" w:space="0" w:color="000000"/>
              <w:left w:val="single" w:sz="4" w:space="0" w:color="000000"/>
              <w:bottom w:val="single" w:sz="4" w:space="0" w:color="000000"/>
              <w:right w:val="single" w:sz="4" w:space="0" w:color="000000"/>
            </w:tcBorders>
          </w:tcPr>
          <w:p w14:paraId="18F54C78" w14:textId="77777777" w:rsidR="00CB452A" w:rsidRPr="00A74AF4" w:rsidRDefault="00CB452A" w:rsidP="00CB452A">
            <w:pPr>
              <w:spacing w:line="259" w:lineRule="auto"/>
              <w:jc w:val="left"/>
            </w:pPr>
            <w:r w:rsidRPr="00A74AF4">
              <w:t xml:space="preserve"> </w:t>
            </w:r>
          </w:p>
        </w:tc>
      </w:tr>
      <w:tr w:rsidR="00CB452A" w:rsidRPr="00A74AF4" w14:paraId="59013020" w14:textId="77777777" w:rsidTr="00A74AF4">
        <w:trPr>
          <w:trHeight w:val="376"/>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9DAF816" w14:textId="77777777" w:rsidR="00CB452A" w:rsidRPr="00A74AF4" w:rsidRDefault="00CB452A" w:rsidP="00CB452A">
            <w:pPr>
              <w:spacing w:line="259" w:lineRule="auto"/>
              <w:jc w:val="left"/>
            </w:pPr>
            <w:r w:rsidRPr="00A74AF4">
              <w:t xml:space="preserve">VODOVOD VPISAN V KATASTER JAVNE INFRASTRUKTURE </w:t>
            </w:r>
          </w:p>
        </w:tc>
        <w:tc>
          <w:tcPr>
            <w:tcW w:w="2400" w:type="dxa"/>
            <w:tcBorders>
              <w:top w:val="single" w:sz="4" w:space="0" w:color="000000"/>
              <w:left w:val="single" w:sz="4" w:space="0" w:color="000000"/>
              <w:bottom w:val="single" w:sz="4" w:space="0" w:color="000000"/>
              <w:right w:val="single" w:sz="4" w:space="0" w:color="000000"/>
            </w:tcBorders>
          </w:tcPr>
          <w:p w14:paraId="106C5A9B" w14:textId="77777777" w:rsidR="00CB452A" w:rsidRPr="00A74AF4" w:rsidRDefault="00CB452A" w:rsidP="00CB452A">
            <w:pPr>
              <w:spacing w:line="259" w:lineRule="auto"/>
              <w:jc w:val="left"/>
            </w:pPr>
            <w:r w:rsidRPr="00A74AF4">
              <w:t xml:space="preserve">DA </w:t>
            </w:r>
          </w:p>
        </w:tc>
        <w:tc>
          <w:tcPr>
            <w:tcW w:w="2193" w:type="dxa"/>
            <w:tcBorders>
              <w:top w:val="single" w:sz="4" w:space="0" w:color="000000"/>
              <w:left w:val="single" w:sz="4" w:space="0" w:color="000000"/>
              <w:bottom w:val="single" w:sz="4" w:space="0" w:color="000000"/>
              <w:right w:val="single" w:sz="4" w:space="0" w:color="000000"/>
            </w:tcBorders>
          </w:tcPr>
          <w:p w14:paraId="27DCB464" w14:textId="77777777" w:rsidR="00CB452A" w:rsidRPr="00A74AF4" w:rsidRDefault="00CB452A" w:rsidP="00CB452A">
            <w:pPr>
              <w:spacing w:line="259" w:lineRule="auto"/>
              <w:jc w:val="left"/>
            </w:pPr>
            <w:r w:rsidRPr="00A74AF4">
              <w:t xml:space="preserve"> </w:t>
            </w:r>
          </w:p>
        </w:tc>
      </w:tr>
    </w:tbl>
    <w:p w14:paraId="1DA026A0" w14:textId="77777777" w:rsidR="00CB452A" w:rsidRPr="00A74AF4" w:rsidRDefault="00CB452A" w:rsidP="00CB452A">
      <w:r w:rsidRPr="00A74AF4">
        <w:t xml:space="preserve">Skupaj vseh vodov je </w:t>
      </w:r>
      <w:r w:rsidRPr="00A74AF4">
        <w:rPr>
          <w:rFonts w:eastAsia="Arial" w:cs="Arial"/>
        </w:rPr>
        <w:t xml:space="preserve">185 m. </w:t>
      </w:r>
    </w:p>
    <w:tbl>
      <w:tblPr>
        <w:tblStyle w:val="TableGrid"/>
        <w:tblW w:w="8419" w:type="dxa"/>
        <w:tblInd w:w="1" w:type="dxa"/>
        <w:tblCellMar>
          <w:top w:w="6" w:type="dxa"/>
          <w:left w:w="106" w:type="dxa"/>
          <w:right w:w="78" w:type="dxa"/>
        </w:tblCellMar>
        <w:tblLook w:val="04A0" w:firstRow="1" w:lastRow="0" w:firstColumn="1" w:lastColumn="0" w:noHBand="0" w:noVBand="1"/>
      </w:tblPr>
      <w:tblGrid>
        <w:gridCol w:w="3826"/>
        <w:gridCol w:w="2400"/>
        <w:gridCol w:w="2193"/>
      </w:tblGrid>
      <w:tr w:rsidR="00CB452A" w:rsidRPr="00A74AF4" w14:paraId="6BAF11BF" w14:textId="77777777" w:rsidTr="00CB452A">
        <w:trPr>
          <w:trHeight w:val="288"/>
        </w:trPr>
        <w:tc>
          <w:tcPr>
            <w:tcW w:w="3826" w:type="dxa"/>
            <w:tcBorders>
              <w:top w:val="single" w:sz="4" w:space="0" w:color="000000"/>
              <w:left w:val="single" w:sz="4" w:space="0" w:color="000000"/>
              <w:bottom w:val="single" w:sz="4" w:space="0" w:color="000000"/>
              <w:right w:val="single" w:sz="4" w:space="0" w:color="000000"/>
            </w:tcBorders>
          </w:tcPr>
          <w:p w14:paraId="4423FB45" w14:textId="433C05FE" w:rsidR="00CB452A" w:rsidRPr="00A74AF4" w:rsidRDefault="00CB452A" w:rsidP="00CB452A">
            <w:pPr>
              <w:spacing w:line="259" w:lineRule="auto"/>
              <w:jc w:val="left"/>
            </w:pPr>
            <w:r w:rsidRPr="00A74AF4">
              <w:t xml:space="preserve">1683 Osek-Vitovlje </w:t>
            </w:r>
          </w:p>
        </w:tc>
        <w:tc>
          <w:tcPr>
            <w:tcW w:w="2400" w:type="dxa"/>
            <w:tcBorders>
              <w:top w:val="single" w:sz="4" w:space="0" w:color="000000"/>
              <w:left w:val="single" w:sz="4" w:space="0" w:color="000000"/>
              <w:bottom w:val="single" w:sz="4" w:space="0" w:color="000000"/>
              <w:right w:val="single" w:sz="4" w:space="0" w:color="000000"/>
            </w:tcBorders>
          </w:tcPr>
          <w:p w14:paraId="336B5D5C" w14:textId="77777777" w:rsidR="00CB452A" w:rsidRPr="00A74AF4" w:rsidRDefault="00CB452A" w:rsidP="00CB452A">
            <w:pPr>
              <w:spacing w:line="259" w:lineRule="auto"/>
              <w:jc w:val="left"/>
            </w:pPr>
            <w:r w:rsidRPr="00A74AF4">
              <w:t xml:space="preserve"> </w:t>
            </w:r>
          </w:p>
        </w:tc>
        <w:tc>
          <w:tcPr>
            <w:tcW w:w="2193" w:type="dxa"/>
            <w:tcBorders>
              <w:top w:val="single" w:sz="4" w:space="0" w:color="000000"/>
              <w:left w:val="single" w:sz="4" w:space="0" w:color="000000"/>
              <w:bottom w:val="single" w:sz="4" w:space="0" w:color="000000"/>
              <w:right w:val="single" w:sz="4" w:space="0" w:color="000000"/>
            </w:tcBorders>
          </w:tcPr>
          <w:p w14:paraId="38E95D5A" w14:textId="77777777" w:rsidR="00CB452A" w:rsidRPr="00A74AF4" w:rsidRDefault="00CB452A" w:rsidP="00CB452A">
            <w:pPr>
              <w:spacing w:line="259" w:lineRule="auto"/>
              <w:jc w:val="left"/>
            </w:pPr>
            <w:r w:rsidRPr="00A74AF4">
              <w:t xml:space="preserve"> </w:t>
            </w:r>
          </w:p>
        </w:tc>
      </w:tr>
      <w:tr w:rsidR="00CB452A" w:rsidRPr="00A74AF4" w14:paraId="268F346F" w14:textId="77777777" w:rsidTr="00A74AF4">
        <w:trPr>
          <w:trHeight w:val="192"/>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648B43D" w14:textId="77777777" w:rsidR="00CB452A" w:rsidRPr="00A74AF4" w:rsidRDefault="00CB452A" w:rsidP="00CB452A">
            <w:pPr>
              <w:spacing w:line="259" w:lineRule="auto"/>
              <w:jc w:val="left"/>
            </w:pPr>
            <w:r w:rsidRPr="00A74AF4">
              <w:t xml:space="preserve">JAVNI VODOVOD   ……ID/zaporedna št.………. </w:t>
            </w:r>
          </w:p>
        </w:tc>
        <w:tc>
          <w:tcPr>
            <w:tcW w:w="240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E3758B6" w14:textId="77777777" w:rsidR="00CB452A" w:rsidRPr="00A74AF4" w:rsidRDefault="00CB452A" w:rsidP="00CB452A">
            <w:pPr>
              <w:spacing w:line="259" w:lineRule="auto"/>
              <w:jc w:val="left"/>
            </w:pPr>
            <w:r w:rsidRPr="00A74AF4">
              <w:t xml:space="preserve">ŠTEVILO </w:t>
            </w:r>
          </w:p>
        </w:tc>
        <w:tc>
          <w:tcPr>
            <w:tcW w:w="21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C52FBB5" w14:textId="77777777" w:rsidR="00CB452A" w:rsidRPr="00A74AF4" w:rsidRDefault="00CB452A" w:rsidP="00CB452A">
            <w:pPr>
              <w:spacing w:line="259" w:lineRule="auto"/>
              <w:jc w:val="left"/>
            </w:pPr>
            <w:r w:rsidRPr="00A74AF4">
              <w:t xml:space="preserve">KOMENTAR </w:t>
            </w:r>
          </w:p>
        </w:tc>
      </w:tr>
      <w:tr w:rsidR="00CB452A" w:rsidRPr="00A74AF4" w14:paraId="6ACE8717"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EDB4C75" w14:textId="77777777" w:rsidR="00CB452A" w:rsidRPr="00A74AF4" w:rsidRDefault="00CB452A" w:rsidP="00CB452A">
            <w:pPr>
              <w:spacing w:line="259" w:lineRule="auto"/>
              <w:jc w:val="left"/>
            </w:pPr>
            <w:r w:rsidRPr="00A74AF4">
              <w:t xml:space="preserve">DOLŽINA CEVI BREZ PRIKLJUČKOV [m] </w:t>
            </w:r>
          </w:p>
        </w:tc>
        <w:tc>
          <w:tcPr>
            <w:tcW w:w="2400" w:type="dxa"/>
            <w:tcBorders>
              <w:top w:val="single" w:sz="4" w:space="0" w:color="000000"/>
              <w:left w:val="single" w:sz="4" w:space="0" w:color="000000"/>
              <w:bottom w:val="single" w:sz="4" w:space="0" w:color="000000"/>
              <w:right w:val="single" w:sz="4" w:space="0" w:color="000000"/>
            </w:tcBorders>
          </w:tcPr>
          <w:p w14:paraId="1E10FEF2" w14:textId="77777777" w:rsidR="00CB452A" w:rsidRPr="00A74AF4" w:rsidRDefault="00CB452A" w:rsidP="00CB452A">
            <w:pPr>
              <w:spacing w:line="259" w:lineRule="auto"/>
              <w:jc w:val="left"/>
            </w:pPr>
            <w:r w:rsidRPr="00A74AF4">
              <w:t xml:space="preserve">20213 </w:t>
            </w:r>
          </w:p>
        </w:tc>
        <w:tc>
          <w:tcPr>
            <w:tcW w:w="2193" w:type="dxa"/>
            <w:tcBorders>
              <w:top w:val="single" w:sz="4" w:space="0" w:color="000000"/>
              <w:left w:val="single" w:sz="4" w:space="0" w:color="000000"/>
              <w:bottom w:val="single" w:sz="4" w:space="0" w:color="000000"/>
              <w:right w:val="single" w:sz="4" w:space="0" w:color="000000"/>
            </w:tcBorders>
          </w:tcPr>
          <w:p w14:paraId="0D11469C" w14:textId="77777777" w:rsidR="00CB452A" w:rsidRPr="00A74AF4" w:rsidRDefault="00CB452A" w:rsidP="00CB452A">
            <w:pPr>
              <w:spacing w:line="259" w:lineRule="auto"/>
              <w:jc w:val="left"/>
            </w:pPr>
            <w:r w:rsidRPr="00A74AF4">
              <w:t xml:space="preserve"> </w:t>
            </w:r>
          </w:p>
        </w:tc>
      </w:tr>
      <w:tr w:rsidR="00CB452A" w:rsidRPr="00A74AF4" w14:paraId="0681603B"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02174F2" w14:textId="77777777" w:rsidR="00CB452A" w:rsidRPr="00A74AF4" w:rsidRDefault="00CB452A" w:rsidP="00CB452A">
            <w:pPr>
              <w:spacing w:line="259" w:lineRule="auto"/>
              <w:jc w:val="left"/>
            </w:pPr>
            <w:r w:rsidRPr="00A74AF4">
              <w:t xml:space="preserve">VODOHRAN   </w:t>
            </w:r>
          </w:p>
        </w:tc>
        <w:tc>
          <w:tcPr>
            <w:tcW w:w="2400" w:type="dxa"/>
            <w:tcBorders>
              <w:top w:val="single" w:sz="4" w:space="0" w:color="000000"/>
              <w:left w:val="single" w:sz="4" w:space="0" w:color="000000"/>
              <w:bottom w:val="single" w:sz="4" w:space="0" w:color="000000"/>
              <w:right w:val="single" w:sz="4" w:space="0" w:color="000000"/>
            </w:tcBorders>
          </w:tcPr>
          <w:p w14:paraId="6E90177E" w14:textId="77777777" w:rsidR="00CB452A" w:rsidRPr="00A74AF4" w:rsidRDefault="00CB452A" w:rsidP="00CB452A">
            <w:pPr>
              <w:spacing w:line="259" w:lineRule="auto"/>
              <w:jc w:val="left"/>
            </w:pPr>
            <w:r w:rsidRPr="00A74AF4">
              <w:t xml:space="preserve">3 </w:t>
            </w:r>
          </w:p>
        </w:tc>
        <w:tc>
          <w:tcPr>
            <w:tcW w:w="2193" w:type="dxa"/>
            <w:tcBorders>
              <w:top w:val="single" w:sz="4" w:space="0" w:color="000000"/>
              <w:left w:val="single" w:sz="4" w:space="0" w:color="000000"/>
              <w:bottom w:val="single" w:sz="4" w:space="0" w:color="000000"/>
              <w:right w:val="single" w:sz="4" w:space="0" w:color="000000"/>
            </w:tcBorders>
          </w:tcPr>
          <w:p w14:paraId="28E223BA" w14:textId="77777777" w:rsidR="00CB452A" w:rsidRPr="00A74AF4" w:rsidRDefault="00CB452A" w:rsidP="00CB452A">
            <w:pPr>
              <w:spacing w:line="259" w:lineRule="auto"/>
              <w:jc w:val="left"/>
            </w:pPr>
            <w:r w:rsidRPr="00A74AF4">
              <w:t xml:space="preserve"> </w:t>
            </w:r>
          </w:p>
        </w:tc>
      </w:tr>
      <w:tr w:rsidR="00CB452A" w:rsidRPr="00A74AF4" w14:paraId="06259BB9"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C5559C1" w14:textId="77777777" w:rsidR="00CB452A" w:rsidRPr="00A74AF4" w:rsidRDefault="00CB452A" w:rsidP="00CB452A">
            <w:pPr>
              <w:spacing w:line="259" w:lineRule="auto"/>
              <w:jc w:val="left"/>
            </w:pPr>
            <w:r w:rsidRPr="00A74AF4">
              <w:t xml:space="preserve">ČRPALIŠČE  </w:t>
            </w:r>
          </w:p>
        </w:tc>
        <w:tc>
          <w:tcPr>
            <w:tcW w:w="2400" w:type="dxa"/>
            <w:tcBorders>
              <w:top w:val="single" w:sz="4" w:space="0" w:color="000000"/>
              <w:left w:val="single" w:sz="4" w:space="0" w:color="000000"/>
              <w:bottom w:val="single" w:sz="4" w:space="0" w:color="000000"/>
              <w:right w:val="single" w:sz="4" w:space="0" w:color="000000"/>
            </w:tcBorders>
          </w:tcPr>
          <w:p w14:paraId="6160FBEE" w14:textId="77777777" w:rsidR="00CB452A" w:rsidRPr="00A74AF4" w:rsidRDefault="00CB452A" w:rsidP="00CB452A">
            <w:pPr>
              <w:spacing w:line="259" w:lineRule="auto"/>
              <w:jc w:val="left"/>
            </w:pPr>
            <w:r w:rsidRPr="00A74AF4">
              <w:t xml:space="preserve">1 </w:t>
            </w:r>
          </w:p>
        </w:tc>
        <w:tc>
          <w:tcPr>
            <w:tcW w:w="2193" w:type="dxa"/>
            <w:tcBorders>
              <w:top w:val="single" w:sz="4" w:space="0" w:color="000000"/>
              <w:left w:val="single" w:sz="4" w:space="0" w:color="000000"/>
              <w:bottom w:val="single" w:sz="4" w:space="0" w:color="000000"/>
              <w:right w:val="single" w:sz="4" w:space="0" w:color="000000"/>
            </w:tcBorders>
          </w:tcPr>
          <w:p w14:paraId="60ADC9DA" w14:textId="77777777" w:rsidR="00CB452A" w:rsidRPr="00A74AF4" w:rsidRDefault="00CB452A" w:rsidP="00CB452A">
            <w:pPr>
              <w:spacing w:line="259" w:lineRule="auto"/>
              <w:jc w:val="left"/>
            </w:pPr>
            <w:r w:rsidRPr="00A74AF4">
              <w:t xml:space="preserve"> </w:t>
            </w:r>
          </w:p>
        </w:tc>
      </w:tr>
      <w:tr w:rsidR="00CB452A" w:rsidRPr="00A74AF4" w14:paraId="796D09FF"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BD3AE6B" w14:textId="77777777" w:rsidR="00CB452A" w:rsidRPr="00A74AF4" w:rsidRDefault="00CB452A" w:rsidP="00CB452A">
            <w:pPr>
              <w:spacing w:line="259" w:lineRule="auto"/>
              <w:jc w:val="left"/>
            </w:pPr>
            <w:r w:rsidRPr="00A74AF4">
              <w:t xml:space="preserve">NAPRAVE ZA OBDELAVO PITNE VODE  </w:t>
            </w:r>
          </w:p>
        </w:tc>
        <w:tc>
          <w:tcPr>
            <w:tcW w:w="2400" w:type="dxa"/>
            <w:tcBorders>
              <w:top w:val="single" w:sz="4" w:space="0" w:color="000000"/>
              <w:left w:val="single" w:sz="4" w:space="0" w:color="000000"/>
              <w:bottom w:val="single" w:sz="4" w:space="0" w:color="000000"/>
              <w:right w:val="single" w:sz="4" w:space="0" w:color="000000"/>
            </w:tcBorders>
          </w:tcPr>
          <w:p w14:paraId="32D73123" w14:textId="77777777" w:rsidR="00CB452A" w:rsidRPr="00A74AF4" w:rsidRDefault="00CB452A" w:rsidP="00CB452A">
            <w:pPr>
              <w:spacing w:line="259" w:lineRule="auto"/>
              <w:jc w:val="left"/>
            </w:pPr>
            <w:r w:rsidRPr="00A74AF4">
              <w:t xml:space="preserve">2 </w:t>
            </w:r>
          </w:p>
        </w:tc>
        <w:tc>
          <w:tcPr>
            <w:tcW w:w="2193" w:type="dxa"/>
            <w:tcBorders>
              <w:top w:val="single" w:sz="4" w:space="0" w:color="000000"/>
              <w:left w:val="single" w:sz="4" w:space="0" w:color="000000"/>
              <w:bottom w:val="single" w:sz="4" w:space="0" w:color="000000"/>
              <w:right w:val="single" w:sz="4" w:space="0" w:color="000000"/>
            </w:tcBorders>
          </w:tcPr>
          <w:p w14:paraId="0484E5B5" w14:textId="77777777" w:rsidR="00CB452A" w:rsidRPr="00A74AF4" w:rsidRDefault="00CB452A" w:rsidP="00CB452A">
            <w:pPr>
              <w:spacing w:line="259" w:lineRule="auto"/>
              <w:jc w:val="left"/>
            </w:pPr>
            <w:r w:rsidRPr="00A74AF4">
              <w:t xml:space="preserve">DEZINFEKCIJA </w:t>
            </w:r>
          </w:p>
        </w:tc>
      </w:tr>
      <w:tr w:rsidR="00CB452A" w:rsidRPr="00A74AF4" w14:paraId="388FB12B" w14:textId="77777777" w:rsidTr="00A74AF4">
        <w:trPr>
          <w:trHeight w:val="379"/>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7257325" w14:textId="77777777" w:rsidR="00CB452A" w:rsidRPr="00A74AF4" w:rsidRDefault="00CB452A" w:rsidP="00CB452A">
            <w:pPr>
              <w:spacing w:line="259" w:lineRule="auto"/>
              <w:jc w:val="left"/>
            </w:pPr>
            <w:r w:rsidRPr="00A74AF4">
              <w:t xml:space="preserve">OBJEKT ZA BOGATENJE ALI AKTIVNO ZAŠČITO VODONOSNIKA  </w:t>
            </w:r>
          </w:p>
        </w:tc>
        <w:tc>
          <w:tcPr>
            <w:tcW w:w="2400" w:type="dxa"/>
            <w:tcBorders>
              <w:top w:val="single" w:sz="4" w:space="0" w:color="000000"/>
              <w:left w:val="single" w:sz="4" w:space="0" w:color="000000"/>
              <w:bottom w:val="single" w:sz="4" w:space="0" w:color="000000"/>
              <w:right w:val="single" w:sz="4" w:space="0" w:color="000000"/>
            </w:tcBorders>
          </w:tcPr>
          <w:p w14:paraId="22BF47DB" w14:textId="77777777" w:rsidR="00CB452A" w:rsidRPr="00A74AF4" w:rsidRDefault="00CB452A" w:rsidP="00CB452A">
            <w:pPr>
              <w:spacing w:line="259" w:lineRule="auto"/>
              <w:jc w:val="left"/>
            </w:pPr>
            <w:r w:rsidRPr="00A74AF4">
              <w:t xml:space="preserve">0 </w:t>
            </w:r>
          </w:p>
        </w:tc>
        <w:tc>
          <w:tcPr>
            <w:tcW w:w="2193" w:type="dxa"/>
            <w:tcBorders>
              <w:top w:val="single" w:sz="4" w:space="0" w:color="000000"/>
              <w:left w:val="single" w:sz="4" w:space="0" w:color="000000"/>
              <w:bottom w:val="single" w:sz="4" w:space="0" w:color="000000"/>
              <w:right w:val="single" w:sz="4" w:space="0" w:color="000000"/>
            </w:tcBorders>
          </w:tcPr>
          <w:p w14:paraId="1F34683D" w14:textId="77777777" w:rsidR="00CB452A" w:rsidRPr="00A74AF4" w:rsidRDefault="00CB452A" w:rsidP="00CB452A">
            <w:pPr>
              <w:spacing w:line="259" w:lineRule="auto"/>
              <w:jc w:val="left"/>
            </w:pPr>
            <w:r w:rsidRPr="00A74AF4">
              <w:t xml:space="preserve"> </w:t>
            </w:r>
          </w:p>
        </w:tc>
      </w:tr>
      <w:tr w:rsidR="00CB452A" w:rsidRPr="00A74AF4" w14:paraId="331804E8" w14:textId="77777777" w:rsidTr="00A74AF4">
        <w:trPr>
          <w:trHeight w:val="47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B8CA39F" w14:textId="77777777" w:rsidR="00CB452A" w:rsidRPr="00A74AF4" w:rsidRDefault="00CB452A" w:rsidP="00CB452A">
            <w:pPr>
              <w:spacing w:line="259" w:lineRule="auto"/>
              <w:jc w:val="left"/>
            </w:pPr>
            <w:r w:rsidRPr="00A74AF4">
              <w:t xml:space="preserve">DRUGA OPREMA IN OBJEKTI - NAVESTI  </w:t>
            </w:r>
          </w:p>
        </w:tc>
        <w:tc>
          <w:tcPr>
            <w:tcW w:w="2400" w:type="dxa"/>
            <w:tcBorders>
              <w:top w:val="single" w:sz="4" w:space="0" w:color="000000"/>
              <w:left w:val="single" w:sz="4" w:space="0" w:color="000000"/>
              <w:bottom w:val="single" w:sz="4" w:space="0" w:color="000000"/>
              <w:right w:val="single" w:sz="4" w:space="0" w:color="000000"/>
            </w:tcBorders>
          </w:tcPr>
          <w:p w14:paraId="5D6E0545" w14:textId="77777777" w:rsidR="00CB452A" w:rsidRPr="00A74AF4" w:rsidRDefault="00CB452A" w:rsidP="00CB452A">
            <w:pPr>
              <w:spacing w:line="259" w:lineRule="auto"/>
              <w:jc w:val="left"/>
            </w:pPr>
            <w:r w:rsidRPr="00A74AF4">
              <w:t xml:space="preserve">36 HIDRANTOV </w:t>
            </w:r>
          </w:p>
          <w:p w14:paraId="60CD014E" w14:textId="77777777" w:rsidR="00CB452A" w:rsidRPr="00A74AF4" w:rsidRDefault="00CB452A" w:rsidP="00CB452A">
            <w:pPr>
              <w:spacing w:line="259" w:lineRule="auto"/>
              <w:jc w:val="left"/>
            </w:pPr>
            <w:r w:rsidRPr="00A74AF4">
              <w:t xml:space="preserve">1 RAZBREMENILNIK </w:t>
            </w:r>
          </w:p>
        </w:tc>
        <w:tc>
          <w:tcPr>
            <w:tcW w:w="2193" w:type="dxa"/>
            <w:tcBorders>
              <w:top w:val="single" w:sz="4" w:space="0" w:color="000000"/>
              <w:left w:val="single" w:sz="4" w:space="0" w:color="000000"/>
              <w:bottom w:val="single" w:sz="4" w:space="0" w:color="000000"/>
              <w:right w:val="single" w:sz="4" w:space="0" w:color="000000"/>
            </w:tcBorders>
          </w:tcPr>
          <w:p w14:paraId="33B7F3FD" w14:textId="77777777" w:rsidR="00CB452A" w:rsidRPr="00A74AF4" w:rsidRDefault="00CB452A" w:rsidP="00CB452A">
            <w:pPr>
              <w:spacing w:line="259" w:lineRule="auto"/>
              <w:jc w:val="left"/>
            </w:pPr>
            <w:r w:rsidRPr="00A74AF4">
              <w:t xml:space="preserve"> </w:t>
            </w:r>
          </w:p>
        </w:tc>
      </w:tr>
      <w:tr w:rsidR="00CB452A" w:rsidRPr="00A74AF4" w14:paraId="3646B6AB" w14:textId="77777777" w:rsidTr="00A74AF4">
        <w:trPr>
          <w:trHeight w:val="239"/>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B810383" w14:textId="77777777" w:rsidR="00CB452A" w:rsidRPr="00A74AF4" w:rsidRDefault="00CB452A" w:rsidP="00CB452A">
            <w:pPr>
              <w:spacing w:after="160" w:line="259" w:lineRule="auto"/>
              <w:jc w:val="left"/>
            </w:pPr>
          </w:p>
        </w:tc>
        <w:tc>
          <w:tcPr>
            <w:tcW w:w="2400" w:type="dxa"/>
            <w:tcBorders>
              <w:top w:val="single" w:sz="4" w:space="0" w:color="000000"/>
              <w:left w:val="single" w:sz="4" w:space="0" w:color="000000"/>
              <w:bottom w:val="single" w:sz="4" w:space="0" w:color="000000"/>
              <w:right w:val="single" w:sz="4" w:space="0" w:color="000000"/>
            </w:tcBorders>
          </w:tcPr>
          <w:p w14:paraId="5F707A27" w14:textId="77777777" w:rsidR="00CB452A" w:rsidRPr="00A74AF4" w:rsidRDefault="00CB452A" w:rsidP="00CB452A">
            <w:pPr>
              <w:spacing w:line="259" w:lineRule="auto"/>
              <w:ind w:left="2"/>
              <w:jc w:val="left"/>
            </w:pPr>
            <w:r w:rsidRPr="00A74AF4">
              <w:t xml:space="preserve">2 ZAJETJI </w:t>
            </w:r>
          </w:p>
        </w:tc>
        <w:tc>
          <w:tcPr>
            <w:tcW w:w="2193" w:type="dxa"/>
            <w:tcBorders>
              <w:top w:val="single" w:sz="4" w:space="0" w:color="000000"/>
              <w:left w:val="single" w:sz="4" w:space="0" w:color="000000"/>
              <w:bottom w:val="single" w:sz="4" w:space="0" w:color="000000"/>
              <w:right w:val="single" w:sz="4" w:space="0" w:color="000000"/>
            </w:tcBorders>
          </w:tcPr>
          <w:p w14:paraId="790B0188" w14:textId="77777777" w:rsidR="00CB452A" w:rsidRPr="00A74AF4" w:rsidRDefault="00CB452A" w:rsidP="00CB452A">
            <w:pPr>
              <w:spacing w:after="160" w:line="259" w:lineRule="auto"/>
              <w:jc w:val="left"/>
            </w:pPr>
          </w:p>
        </w:tc>
      </w:tr>
      <w:tr w:rsidR="00CB452A" w:rsidRPr="00A74AF4" w14:paraId="6CF9D325" w14:textId="77777777" w:rsidTr="00A74AF4">
        <w:trPr>
          <w:trHeight w:val="240"/>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1DA8620" w14:textId="77777777" w:rsidR="00CB452A" w:rsidRPr="00A74AF4" w:rsidRDefault="00CB452A" w:rsidP="00CB452A">
            <w:pPr>
              <w:spacing w:line="259" w:lineRule="auto"/>
              <w:ind w:left="1"/>
              <w:jc w:val="left"/>
            </w:pPr>
            <w:r w:rsidRPr="00A74AF4">
              <w:t>KOLIČINA VODE, KI JO ZAGOTAVLJA [m</w:t>
            </w:r>
            <w:r w:rsidRPr="00A74AF4">
              <w:rPr>
                <w:vertAlign w:val="superscript"/>
              </w:rPr>
              <w:t>3</w:t>
            </w:r>
            <w:r w:rsidRPr="00A74AF4">
              <w:t xml:space="preserve">] </w:t>
            </w:r>
          </w:p>
        </w:tc>
        <w:tc>
          <w:tcPr>
            <w:tcW w:w="2400" w:type="dxa"/>
            <w:tcBorders>
              <w:top w:val="single" w:sz="4" w:space="0" w:color="000000"/>
              <w:left w:val="single" w:sz="4" w:space="0" w:color="000000"/>
              <w:bottom w:val="single" w:sz="4" w:space="0" w:color="000000"/>
              <w:right w:val="single" w:sz="4" w:space="0" w:color="000000"/>
            </w:tcBorders>
          </w:tcPr>
          <w:p w14:paraId="475868D2" w14:textId="77777777" w:rsidR="00CB452A" w:rsidRPr="00A74AF4" w:rsidRDefault="00CB452A" w:rsidP="00CB452A">
            <w:pPr>
              <w:spacing w:line="259" w:lineRule="auto"/>
              <w:ind w:left="2"/>
              <w:jc w:val="left"/>
            </w:pPr>
            <w:r w:rsidRPr="00A74AF4">
              <w:t xml:space="preserve">137798 </w:t>
            </w:r>
          </w:p>
        </w:tc>
        <w:tc>
          <w:tcPr>
            <w:tcW w:w="2193" w:type="dxa"/>
            <w:tcBorders>
              <w:top w:val="single" w:sz="4" w:space="0" w:color="000000"/>
              <w:left w:val="single" w:sz="4" w:space="0" w:color="000000"/>
              <w:bottom w:val="single" w:sz="4" w:space="0" w:color="000000"/>
              <w:right w:val="single" w:sz="4" w:space="0" w:color="000000"/>
            </w:tcBorders>
          </w:tcPr>
          <w:p w14:paraId="25BA090C" w14:textId="77777777" w:rsidR="00CB452A" w:rsidRPr="00A74AF4" w:rsidRDefault="00CB452A" w:rsidP="00CB452A">
            <w:pPr>
              <w:spacing w:line="259" w:lineRule="auto"/>
              <w:jc w:val="left"/>
            </w:pPr>
            <w:r w:rsidRPr="00A74AF4">
              <w:t xml:space="preserve"> </w:t>
            </w:r>
          </w:p>
        </w:tc>
      </w:tr>
      <w:tr w:rsidR="00CB452A" w:rsidRPr="00A74AF4" w14:paraId="54309274" w14:textId="77777777" w:rsidTr="00A74AF4">
        <w:trPr>
          <w:trHeight w:val="469"/>
        </w:trPr>
        <w:tc>
          <w:tcPr>
            <w:tcW w:w="38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7261EB6" w14:textId="77777777" w:rsidR="00CB452A" w:rsidRPr="00A74AF4" w:rsidRDefault="00CB452A" w:rsidP="00CB452A">
            <w:pPr>
              <w:spacing w:line="259" w:lineRule="auto"/>
              <w:ind w:left="1"/>
              <w:jc w:val="left"/>
            </w:pPr>
            <w:r w:rsidRPr="00A74AF4">
              <w:t xml:space="preserve">VODOVOD VPISAN V KATASTER JAVNE INFRASTRUKTURE </w:t>
            </w:r>
          </w:p>
        </w:tc>
        <w:tc>
          <w:tcPr>
            <w:tcW w:w="2400" w:type="dxa"/>
            <w:tcBorders>
              <w:top w:val="single" w:sz="4" w:space="0" w:color="000000"/>
              <w:left w:val="single" w:sz="4" w:space="0" w:color="000000"/>
              <w:bottom w:val="single" w:sz="4" w:space="0" w:color="000000"/>
              <w:right w:val="single" w:sz="4" w:space="0" w:color="000000"/>
            </w:tcBorders>
          </w:tcPr>
          <w:p w14:paraId="1C751817" w14:textId="77777777" w:rsidR="00CB452A" w:rsidRPr="00A74AF4" w:rsidRDefault="00CB452A" w:rsidP="00CB452A">
            <w:pPr>
              <w:spacing w:line="259" w:lineRule="auto"/>
              <w:ind w:left="2"/>
              <w:jc w:val="left"/>
            </w:pPr>
            <w:r w:rsidRPr="00A74AF4">
              <w:t xml:space="preserve">DA </w:t>
            </w:r>
          </w:p>
          <w:p w14:paraId="5329FA61" w14:textId="77777777" w:rsidR="00CB452A" w:rsidRPr="00A74AF4" w:rsidRDefault="00CB452A" w:rsidP="00CB452A">
            <w:pPr>
              <w:spacing w:line="259" w:lineRule="auto"/>
              <w:ind w:left="2"/>
              <w:jc w:val="left"/>
            </w:pPr>
            <w:r w:rsidRPr="00A74AF4">
              <w:t xml:space="preserve"> </w:t>
            </w:r>
          </w:p>
        </w:tc>
        <w:tc>
          <w:tcPr>
            <w:tcW w:w="2193" w:type="dxa"/>
            <w:tcBorders>
              <w:top w:val="single" w:sz="4" w:space="0" w:color="000000"/>
              <w:left w:val="single" w:sz="4" w:space="0" w:color="000000"/>
              <w:bottom w:val="single" w:sz="4" w:space="0" w:color="000000"/>
              <w:right w:val="single" w:sz="4" w:space="0" w:color="000000"/>
            </w:tcBorders>
          </w:tcPr>
          <w:p w14:paraId="0C7734C8" w14:textId="77777777" w:rsidR="00CB452A" w:rsidRPr="00A74AF4" w:rsidRDefault="00CB452A" w:rsidP="00CB452A">
            <w:pPr>
              <w:spacing w:line="259" w:lineRule="auto"/>
              <w:jc w:val="left"/>
            </w:pPr>
            <w:r w:rsidRPr="00A74AF4">
              <w:t xml:space="preserve"> </w:t>
            </w:r>
          </w:p>
        </w:tc>
      </w:tr>
    </w:tbl>
    <w:p w14:paraId="666F5603" w14:textId="0CC08A94" w:rsidR="00642FD9" w:rsidRDefault="00CB452A" w:rsidP="00CB452A">
      <w:pPr>
        <w:rPr>
          <w:rFonts w:eastAsia="Arial" w:cs="Arial"/>
        </w:rPr>
      </w:pPr>
      <w:r w:rsidRPr="00A74AF4">
        <w:t xml:space="preserve">Skupaj vseh vodov je </w:t>
      </w:r>
      <w:r w:rsidRPr="00A74AF4">
        <w:rPr>
          <w:rFonts w:eastAsia="Arial" w:cs="Arial"/>
        </w:rPr>
        <w:t xml:space="preserve">28933 m. </w:t>
      </w:r>
    </w:p>
    <w:p w14:paraId="51911513" w14:textId="77777777" w:rsidR="00642FD9" w:rsidRDefault="00642FD9">
      <w:pPr>
        <w:jc w:val="left"/>
        <w:rPr>
          <w:rFonts w:eastAsia="Arial" w:cs="Arial"/>
        </w:rPr>
      </w:pPr>
      <w:r>
        <w:rPr>
          <w:rFonts w:eastAsia="Arial" w:cs="Arial"/>
        </w:rPr>
        <w:br w:type="page"/>
      </w:r>
    </w:p>
    <w:p w14:paraId="7DB515EC" w14:textId="06400D61" w:rsidR="006235CD" w:rsidRDefault="006235CD" w:rsidP="006235CD">
      <w:pPr>
        <w:pStyle w:val="Naslov3"/>
      </w:pPr>
      <w:r>
        <w:lastRenderedPageBreak/>
        <w:t xml:space="preserve"> </w:t>
      </w:r>
      <w:bookmarkStart w:id="486" w:name="_Toc65412253"/>
      <w:bookmarkStart w:id="487" w:name="_Ref65431520"/>
      <w:bookmarkStart w:id="488" w:name="_Ref65431689"/>
      <w:bookmarkStart w:id="489" w:name="_Toc97026803"/>
      <w:r w:rsidRPr="008664C5">
        <w:t xml:space="preserve">Ocena potencialnih vplivov podnebnih sprememb na sektor po kazalnikih za sektor </w:t>
      </w:r>
      <w:r>
        <w:t>vodovodni sistemi</w:t>
      </w:r>
      <w:bookmarkEnd w:id="486"/>
      <w:bookmarkEnd w:id="487"/>
      <w:bookmarkEnd w:id="488"/>
      <w:bookmarkEnd w:id="489"/>
    </w:p>
    <w:p w14:paraId="271703F5" w14:textId="77777777" w:rsidR="006235CD" w:rsidRDefault="006235CD" w:rsidP="00CE43D7">
      <w:pPr>
        <w:pStyle w:val="Naslov4"/>
      </w:pPr>
      <w:r>
        <w:t>Odsotnost padavin v obliki snega</w:t>
      </w:r>
    </w:p>
    <w:p w14:paraId="1F20F0E5" w14:textId="77777777" w:rsidR="00A74AF4" w:rsidRDefault="00A74AF4" w:rsidP="00A74AF4">
      <w:pPr>
        <w:rPr>
          <w:lang w:eastAsia="sl-SI"/>
        </w:rPr>
      </w:pPr>
      <w:r>
        <w:rPr>
          <w:lang w:eastAsia="sl-SI"/>
        </w:rPr>
        <w:t xml:space="preserve">Snežna odeja načeloma predstavlja dodatni izolator (poleg globine polaganja), ki preprečuje zmrzovanje vodovodnih cevi v času nastopa ekstremno nizkih temperatur, vendar snežna odeja za </w:t>
      </w:r>
      <w:r w:rsidRPr="00BB1FBE">
        <w:rPr>
          <w:lang w:eastAsia="sl-SI"/>
        </w:rPr>
        <w:t>območje oskrbe s pitno vodo je v primeru Mestne občine Nova Gorica dejavnik le za vodovodne sisteme na Trnovski planoti (ID 1250, ID 1241, 1512 in 1249). Vodovodni</w:t>
      </w:r>
      <w:r>
        <w:rPr>
          <w:lang w:eastAsia="sl-SI"/>
        </w:rPr>
        <w:t xml:space="preserve"> sistemi v na območju od naselja Nova Gorica, pa vse do Branika niso močno izpostavljena tveganju zmrzali zaradi blage, mediteranske klime. Tudi takrat, ko sneg zapade se le redko obdrži za več dni skupaj. Glede na nizko nevarnost pojava ekstremno nizkih temperatur bi bil ustrezni standard polaganja vodovodnih cevi okvirno </w:t>
      </w:r>
      <w:r w:rsidRPr="00C6026A">
        <w:rPr>
          <w:lang w:eastAsia="sl-SI"/>
        </w:rPr>
        <w:t>1,2</w:t>
      </w:r>
      <w:r>
        <w:rPr>
          <w:lang w:eastAsia="sl-SI"/>
        </w:rPr>
        <w:t xml:space="preserve"> metra prekritja nad temenom cevi </w:t>
      </w:r>
      <w:r w:rsidRPr="00BB1FBE">
        <w:rPr>
          <w:lang w:eastAsia="sl-SI"/>
        </w:rPr>
        <w:t>(TEHNIČNI PRAVILNIK). Za vodovodne</w:t>
      </w:r>
      <w:r>
        <w:rPr>
          <w:lang w:eastAsia="sl-SI"/>
        </w:rPr>
        <w:t xml:space="preserve"> sisteme na Trnovski planoti predlagamo zahtevo po večjem prekritju (1,5 m). </w:t>
      </w:r>
    </w:p>
    <w:p w14:paraId="4DC653FD" w14:textId="77777777" w:rsidR="00A74AF4" w:rsidRDefault="00A74AF4" w:rsidP="00A74AF4">
      <w:pPr>
        <w:rPr>
          <w:lang w:eastAsia="sl-SI"/>
        </w:rPr>
      </w:pPr>
      <w:r>
        <w:rPr>
          <w:lang w:eastAsia="sl-SI"/>
        </w:rPr>
        <w:t xml:space="preserve">Ne glede na ocenjeno majhno nevarnost je potrebno pri upoštevanju zaščitnega prekritja kot opredeljenega standarda vztrajati, saj lahko občasni zimski vdori hladnega zraka še vedno predstavljajo nevarnost zmrzovanja. Ustrezno prekritje je še toliko pomembnejše z vidika </w:t>
      </w:r>
      <w:proofErr w:type="spellStart"/>
      <w:r>
        <w:rPr>
          <w:lang w:eastAsia="sl-SI"/>
        </w:rPr>
        <w:t>izolativnega</w:t>
      </w:r>
      <w:proofErr w:type="spellEnd"/>
      <w:r>
        <w:rPr>
          <w:lang w:eastAsia="sl-SI"/>
        </w:rPr>
        <w:t xml:space="preserve"> prekritja kot zaščite pred pregrevanjem vode v času vročinskih valov. </w:t>
      </w:r>
    </w:p>
    <w:p w14:paraId="28036AAA" w14:textId="77777777" w:rsidR="006235CD" w:rsidRDefault="006235CD" w:rsidP="00CE43D7">
      <w:pPr>
        <w:pStyle w:val="Naslov4"/>
      </w:pPr>
      <w:proofErr w:type="spellStart"/>
      <w:r>
        <w:t>Socioekonomske</w:t>
      </w:r>
      <w:proofErr w:type="spellEnd"/>
      <w:r>
        <w:t xml:space="preserve"> in demografske spremembe </w:t>
      </w:r>
    </w:p>
    <w:p w14:paraId="6D861232" w14:textId="77777777" w:rsidR="00A74AF4" w:rsidRDefault="00A74AF4" w:rsidP="00A74AF4">
      <w:pPr>
        <w:rPr>
          <w:lang w:eastAsia="sl-SI"/>
        </w:rPr>
      </w:pPr>
      <w:proofErr w:type="spellStart"/>
      <w:r>
        <w:rPr>
          <w:lang w:eastAsia="sl-SI"/>
        </w:rPr>
        <w:t>Socioekonomske</w:t>
      </w:r>
      <w:proofErr w:type="spellEnd"/>
      <w:r>
        <w:rPr>
          <w:lang w:eastAsia="sl-SI"/>
        </w:rPr>
        <w:t xml:space="preserve"> in demografske spremembe so povezane z demografsko sliko Mestne občine Nova Gorica, obstoječimi migracijami v in iz občine Nova Gorica, ter migracijskimi tokovi, ki bi jih lahko </w:t>
      </w:r>
      <w:r w:rsidRPr="00BB1FBE">
        <w:rPr>
          <w:lang w:eastAsia="sl-SI"/>
        </w:rPr>
        <w:t>inducirale podnebne spremembe. Naravni prirast v občini Nova Gorica je negativen znaša -2,7 prebivalca</w:t>
      </w:r>
      <w:r>
        <w:rPr>
          <w:lang w:eastAsia="sl-SI"/>
        </w:rPr>
        <w:t xml:space="preserve"> na 1000 prebivalcev in tako je Mestna občina Nova Gorica pod povprečjem Slovenije, saj za Slovenijo znaša naravni prirast -0,6 prebivalca na 1000 prebivalcev. </w:t>
      </w:r>
    </w:p>
    <w:p w14:paraId="4B74F8B5" w14:textId="77777777" w:rsidR="00A74AF4" w:rsidRDefault="00A74AF4" w:rsidP="00A74AF4">
      <w:pPr>
        <w:rPr>
          <w:lang w:eastAsia="sl-SI"/>
        </w:rPr>
      </w:pPr>
      <w:r>
        <w:rPr>
          <w:lang w:eastAsia="sl-SI"/>
        </w:rPr>
        <w:t>Skupni selitveni prirast je pozitiven in znaša 5,7</w:t>
      </w:r>
      <w:r w:rsidRPr="00A13690">
        <w:rPr>
          <w:lang w:eastAsia="sl-SI"/>
        </w:rPr>
        <w:t xml:space="preserve"> prebivalca na 1000</w:t>
      </w:r>
      <w:r>
        <w:rPr>
          <w:lang w:eastAsia="sl-SI"/>
        </w:rPr>
        <w:t xml:space="preserve"> prebivalcev na leto. Prirast generira priseljevanje iz Slovenije in tujine in Mestna občina Nova Gorica sodi med občine v Sloveniji z povprečnim </w:t>
      </w:r>
      <w:r w:rsidRPr="00BB1FBE">
        <w:rPr>
          <w:lang w:eastAsia="sl-SI"/>
        </w:rPr>
        <w:t>odstotkom prebivalcev s tujim državljanstvom - 8,9 % (vir: SURS 2019), kar je le nekaj več kot je povprečje Slovenije , ki znaša 7,1%).</w:t>
      </w:r>
      <w:r>
        <w:rPr>
          <w:lang w:eastAsia="sl-SI"/>
        </w:rPr>
        <w:t xml:space="preserve"> </w:t>
      </w:r>
    </w:p>
    <w:p w14:paraId="61760AFF" w14:textId="77777777" w:rsidR="00A74AF4" w:rsidRDefault="00A74AF4" w:rsidP="00A74AF4">
      <w:pPr>
        <w:rPr>
          <w:lang w:eastAsia="sl-SI"/>
        </w:rPr>
      </w:pPr>
      <w:r>
        <w:rPr>
          <w:lang w:eastAsia="sl-SI"/>
        </w:rPr>
        <w:t xml:space="preserve">Migracijski tokovi v obe smeri (priseljevanje in odseljevanje) lahko izrazito vplivajo na delovanje vodovodnih sistemov, saj so vodovodni sistemi načrtovani za določeno porabo in lahko tako premajhna poraba (zastajanje vode v vodovodnem sistemu), kakor tudi prevelika poraba (pomanjkanje vode) povzroči tveganje za delovanje celotnega vodovodnega sistema. </w:t>
      </w:r>
    </w:p>
    <w:p w14:paraId="0890D146" w14:textId="7E180F77" w:rsidR="00A74AF4" w:rsidRDefault="00A74AF4" w:rsidP="00A74AF4">
      <w:pPr>
        <w:rPr>
          <w:lang w:eastAsia="sl-SI"/>
        </w:rPr>
      </w:pPr>
      <w:r>
        <w:rPr>
          <w:lang w:eastAsia="sl-SI"/>
        </w:rPr>
        <w:t xml:space="preserve">Za </w:t>
      </w:r>
      <w:r w:rsidR="005E7A42">
        <w:rPr>
          <w:lang w:eastAsia="sl-SI"/>
        </w:rPr>
        <w:t>Mestno o</w:t>
      </w:r>
      <w:r>
        <w:rPr>
          <w:lang w:eastAsia="sl-SI"/>
        </w:rPr>
        <w:t xml:space="preserve">bčino Nova Gorica ni pričakovati večjih migracijskih tokov, ki bi jih inducirale podnebne spremembe. Z vidika industrije je mogoče oceniti, da bo tudi poraba vode za potrebe industrije in dejavnosti (turizem) ostala na obstoječih nivojih, z optimizacijo rabe vode pa obstaja še močan potencial zmanjšanja porabe vode v teh dejavnostih. </w:t>
      </w:r>
    </w:p>
    <w:p w14:paraId="31B78FA3" w14:textId="015F26C2" w:rsidR="006235CD" w:rsidRDefault="00A74AF4" w:rsidP="006235CD">
      <w:pPr>
        <w:rPr>
          <w:lang w:eastAsia="sl-SI"/>
        </w:rPr>
      </w:pPr>
      <w:r>
        <w:rPr>
          <w:lang w:eastAsia="sl-SI"/>
        </w:rPr>
        <w:t>Indeks staranja za Mestno občino Nova Gorica znaša 160,2. To pomeni, da je z vidika starostne strukture prebivalstva MONG v dokaj slabem položaju z izrazito neugodno starostno strukturo prebivalstva (povprečje za Slovenijo znaša 139,9).</w:t>
      </w:r>
    </w:p>
    <w:p w14:paraId="3A5E8D36" w14:textId="585C14F4" w:rsidR="00A74AF4" w:rsidRDefault="00A74AF4" w:rsidP="006235CD">
      <w:pPr>
        <w:rPr>
          <w:lang w:eastAsia="sl-SI"/>
        </w:rPr>
      </w:pPr>
    </w:p>
    <w:p w14:paraId="5F9CACC1" w14:textId="77777777" w:rsidR="00A74AF4" w:rsidRDefault="00A74AF4" w:rsidP="006235CD">
      <w:pPr>
        <w:rPr>
          <w:lang w:eastAsia="sl-SI"/>
        </w:rPr>
      </w:pPr>
    </w:p>
    <w:p w14:paraId="288DC956" w14:textId="77777777" w:rsidR="006235CD" w:rsidRDefault="006235CD" w:rsidP="00CE43D7">
      <w:pPr>
        <w:pStyle w:val="Naslov4"/>
      </w:pPr>
      <w:r>
        <w:lastRenderedPageBreak/>
        <w:t xml:space="preserve">Vročinski valovi - temperatura vode v vodovodnem sistemu </w:t>
      </w:r>
    </w:p>
    <w:p w14:paraId="5385DB61" w14:textId="77777777" w:rsidR="00A74AF4" w:rsidRDefault="00A74AF4" w:rsidP="00A74AF4">
      <w:r>
        <w:t xml:space="preserve">Temperatura vode v posameznih delih vodovodnega sistema se trenutno ne spremlja sistematično. Med izpostavljenimi deli vodovodnega sistema, ki so še posebej občutljivi na podnebne spremembe so končni kraki, kjer je pretok zaradi majhne porabe majhen, dimenzije cevi pa so zaradi dimenzioniranja na potrebo po vodi za gašenje požarov dokaj velike, poleg izpostavljenih delov vodovodnih sistemov so problematični in potrebni nadzora tudi notranji deli vodovodnih sistemov, ki so zaradi specifične lege (majhni pretoki, potek pod izpostavljenimi območji – npr. parkirišča) izpostavljeni prekomernim toplotnim obremenitvam. </w:t>
      </w:r>
    </w:p>
    <w:p w14:paraId="513DFA8B" w14:textId="77777777" w:rsidR="00A74AF4" w:rsidRDefault="00A74AF4" w:rsidP="00A74AF4"/>
    <w:p w14:paraId="142F1F10" w14:textId="77777777" w:rsidR="00A74AF4" w:rsidRDefault="00A74AF4" w:rsidP="00A74AF4">
      <w:pPr>
        <w:keepNext/>
      </w:pPr>
      <w:r>
        <w:rPr>
          <w:noProof/>
          <w:lang w:eastAsia="sl-SI"/>
        </w:rPr>
        <mc:AlternateContent>
          <mc:Choice Requires="wps">
            <w:drawing>
              <wp:anchor distT="0" distB="0" distL="114300" distR="114300" simplePos="0" relativeHeight="252177408" behindDoc="0" locked="0" layoutInCell="1" allowOverlap="1" wp14:anchorId="095CEA94" wp14:editId="4C9FD3BB">
                <wp:simplePos x="0" y="0"/>
                <wp:positionH relativeFrom="column">
                  <wp:posOffset>3313785</wp:posOffset>
                </wp:positionH>
                <wp:positionV relativeFrom="paragraph">
                  <wp:posOffset>3838498</wp:posOffset>
                </wp:positionV>
                <wp:extent cx="556091" cy="238783"/>
                <wp:effectExtent l="0" t="95250" r="0" b="104140"/>
                <wp:wrapNone/>
                <wp:docPr id="2111931272" name="Elipsa 23"/>
                <wp:cNvGraphicFramePr/>
                <a:graphic xmlns:a="http://schemas.openxmlformats.org/drawingml/2006/main">
                  <a:graphicData uri="http://schemas.microsoft.com/office/word/2010/wordprocessingShape">
                    <wps:wsp>
                      <wps:cNvSpPr/>
                      <wps:spPr>
                        <a:xfrm rot="2488844">
                          <a:off x="0" y="0"/>
                          <a:ext cx="556091" cy="238783"/>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49A4EB" id="Elipsa 23" o:spid="_x0000_s1026" style="position:absolute;margin-left:260.95pt;margin-top:302.25pt;width:43.8pt;height:18.8pt;rotation:2718481fd;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" filled="f" strokecolor="yellow" strokeweight="1.5pt">
                <v:stroke joinstyle="miter"/>
              </v:oval>
            </w:pict>
          </mc:Fallback>
        </mc:AlternateContent>
      </w:r>
      <w:r>
        <w:rPr>
          <w:noProof/>
          <w:lang w:eastAsia="sl-SI"/>
        </w:rPr>
        <w:drawing>
          <wp:inline distT="0" distB="0" distL="0" distR="0" wp14:anchorId="2A8A8DF8" wp14:editId="20751F30">
            <wp:extent cx="6120130" cy="4953000"/>
            <wp:effectExtent l="0" t="0" r="0" b="0"/>
            <wp:docPr id="2111931276"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120130" cy="4953000"/>
                    </a:xfrm>
                    <a:prstGeom prst="rect">
                      <a:avLst/>
                    </a:prstGeom>
                  </pic:spPr>
                </pic:pic>
              </a:graphicData>
            </a:graphic>
          </wp:inline>
        </w:drawing>
      </w:r>
    </w:p>
    <w:p w14:paraId="3CADFCE7" w14:textId="07462B64" w:rsidR="00A74AF4" w:rsidRDefault="00A74AF4" w:rsidP="00A74AF4">
      <w:pPr>
        <w:pStyle w:val="Napis"/>
        <w:rPr>
          <w:noProof/>
          <w:lang w:eastAsia="sl-SI"/>
        </w:rPr>
      </w:pPr>
      <w:bookmarkStart w:id="490" w:name="_Toc97026903"/>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52</w:t>
      </w:r>
      <w:r w:rsidR="008334B2">
        <w:fldChar w:fldCharType="end"/>
      </w:r>
      <w:r>
        <w:t xml:space="preserve">: </w:t>
      </w:r>
      <w:r w:rsidRPr="00887E7A">
        <w:t>Prikaz identificiranih delov vodovodnega sistema na katerih je mogoče pričakovati težave s povišano temperaturo: Vitovlje.</w:t>
      </w:r>
      <w:bookmarkEnd w:id="490"/>
    </w:p>
    <w:p w14:paraId="25B26707" w14:textId="77777777" w:rsidR="00A74AF4" w:rsidRDefault="00A74AF4" w:rsidP="00A74AF4">
      <w:pPr>
        <w:keepNext/>
      </w:pPr>
      <w:r>
        <w:rPr>
          <w:noProof/>
          <w:lang w:eastAsia="sl-SI"/>
        </w:rPr>
        <w:lastRenderedPageBreak/>
        <mc:AlternateContent>
          <mc:Choice Requires="wps">
            <w:drawing>
              <wp:anchor distT="0" distB="0" distL="114300" distR="114300" simplePos="0" relativeHeight="252176384" behindDoc="0" locked="0" layoutInCell="1" allowOverlap="1" wp14:anchorId="483A41D7" wp14:editId="7DFCA0EE">
                <wp:simplePos x="0" y="0"/>
                <wp:positionH relativeFrom="column">
                  <wp:posOffset>374044</wp:posOffset>
                </wp:positionH>
                <wp:positionV relativeFrom="paragraph">
                  <wp:posOffset>1212844</wp:posOffset>
                </wp:positionV>
                <wp:extent cx="581973" cy="340317"/>
                <wp:effectExtent l="63817" t="0" r="91758" b="0"/>
                <wp:wrapNone/>
                <wp:docPr id="2111931273" name="Elipsa 67"/>
                <wp:cNvGraphicFramePr/>
                <a:graphic xmlns:a="http://schemas.openxmlformats.org/drawingml/2006/main">
                  <a:graphicData uri="http://schemas.microsoft.com/office/word/2010/wordprocessingShape">
                    <wps:wsp>
                      <wps:cNvSpPr/>
                      <wps:spPr>
                        <a:xfrm rot="2712280">
                          <a:off x="0" y="0"/>
                          <a:ext cx="581973" cy="340317"/>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25B5C7" id="Elipsa 67" o:spid="_x0000_s1026" style="position:absolute;margin-left:29.45pt;margin-top:95.5pt;width:45.8pt;height:26.8pt;rotation:2962533fd;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" filled="f" strokecolor="yellow" strokeweight="1.5pt">
                <v:stroke joinstyle="miter"/>
              </v:oval>
            </w:pict>
          </mc:Fallback>
        </mc:AlternateContent>
      </w:r>
      <w:r>
        <w:rPr>
          <w:noProof/>
          <w:lang w:eastAsia="sl-SI"/>
        </w:rPr>
        <mc:AlternateContent>
          <mc:Choice Requires="wps">
            <w:drawing>
              <wp:anchor distT="0" distB="0" distL="114300" distR="114300" simplePos="0" relativeHeight="252172288" behindDoc="0" locked="0" layoutInCell="1" allowOverlap="1" wp14:anchorId="5FB6C3C5" wp14:editId="01813968">
                <wp:simplePos x="0" y="0"/>
                <wp:positionH relativeFrom="column">
                  <wp:posOffset>662554</wp:posOffset>
                </wp:positionH>
                <wp:positionV relativeFrom="paragraph">
                  <wp:posOffset>683814</wp:posOffset>
                </wp:positionV>
                <wp:extent cx="456351" cy="221147"/>
                <wp:effectExtent l="19050" t="38100" r="1270" b="26670"/>
                <wp:wrapNone/>
                <wp:docPr id="2111931274" name="Elipsa 31"/>
                <wp:cNvGraphicFramePr/>
                <a:graphic xmlns:a="http://schemas.openxmlformats.org/drawingml/2006/main">
                  <a:graphicData uri="http://schemas.microsoft.com/office/word/2010/wordprocessingShape">
                    <wps:wsp>
                      <wps:cNvSpPr/>
                      <wps:spPr>
                        <a:xfrm rot="1101504">
                          <a:off x="0" y="0"/>
                          <a:ext cx="456351" cy="221147"/>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1FF5C9" id="Elipsa 31" o:spid="_x0000_s1026" style="position:absolute;margin-left:52.15pt;margin-top:53.85pt;width:35.95pt;height:17.4pt;rotation:1203136fd;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" filled="f" strokecolor="yellow" strokeweight="1.5pt">
                <v:stroke joinstyle="miter"/>
              </v:oval>
            </w:pict>
          </mc:Fallback>
        </mc:AlternateContent>
      </w:r>
      <w:r>
        <w:rPr>
          <w:noProof/>
          <w:lang w:eastAsia="sl-SI"/>
        </w:rPr>
        <mc:AlternateContent>
          <mc:Choice Requires="wps">
            <w:drawing>
              <wp:anchor distT="0" distB="0" distL="114300" distR="114300" simplePos="0" relativeHeight="252171264" behindDoc="0" locked="0" layoutInCell="1" allowOverlap="1" wp14:anchorId="55840047" wp14:editId="440B9828">
                <wp:simplePos x="0" y="0"/>
                <wp:positionH relativeFrom="column">
                  <wp:posOffset>1411326</wp:posOffset>
                </wp:positionH>
                <wp:positionV relativeFrom="paragraph">
                  <wp:posOffset>1902892</wp:posOffset>
                </wp:positionV>
                <wp:extent cx="597759" cy="414373"/>
                <wp:effectExtent l="19050" t="38100" r="12065" b="24130"/>
                <wp:wrapNone/>
                <wp:docPr id="2111931275" name="Elipsa 30"/>
                <wp:cNvGraphicFramePr/>
                <a:graphic xmlns:a="http://schemas.openxmlformats.org/drawingml/2006/main">
                  <a:graphicData uri="http://schemas.microsoft.com/office/word/2010/wordprocessingShape">
                    <wps:wsp>
                      <wps:cNvSpPr/>
                      <wps:spPr>
                        <a:xfrm rot="1101504">
                          <a:off x="0" y="0"/>
                          <a:ext cx="597759" cy="414373"/>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D64784" id="Elipsa 30" o:spid="_x0000_s1026" style="position:absolute;margin-left:111.15pt;margin-top:149.85pt;width:47.05pt;height:32.65pt;rotation:1203136fd;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" filled="f" strokecolor="yellow" strokeweight="1.5pt">
                <v:stroke joinstyle="miter"/>
              </v:oval>
            </w:pict>
          </mc:Fallback>
        </mc:AlternateContent>
      </w:r>
      <w:r>
        <w:rPr>
          <w:noProof/>
          <w:lang w:eastAsia="sl-SI"/>
        </w:rPr>
        <mc:AlternateContent>
          <mc:Choice Requires="wps">
            <w:drawing>
              <wp:anchor distT="0" distB="0" distL="114300" distR="114300" simplePos="0" relativeHeight="252175360" behindDoc="0" locked="0" layoutInCell="1" allowOverlap="1" wp14:anchorId="0BD91F36" wp14:editId="238F0494">
                <wp:simplePos x="0" y="0"/>
                <wp:positionH relativeFrom="column">
                  <wp:posOffset>3285226</wp:posOffset>
                </wp:positionH>
                <wp:positionV relativeFrom="paragraph">
                  <wp:posOffset>2054098</wp:posOffset>
                </wp:positionV>
                <wp:extent cx="1360593" cy="476523"/>
                <wp:effectExtent l="0" t="209550" r="0" b="209550"/>
                <wp:wrapNone/>
                <wp:docPr id="66" name="Elipsa 66"/>
                <wp:cNvGraphicFramePr/>
                <a:graphic xmlns:a="http://schemas.openxmlformats.org/drawingml/2006/main">
                  <a:graphicData uri="http://schemas.microsoft.com/office/word/2010/wordprocessingShape">
                    <wps:wsp>
                      <wps:cNvSpPr/>
                      <wps:spPr>
                        <a:xfrm rot="2111293">
                          <a:off x="0" y="0"/>
                          <a:ext cx="1360593" cy="476523"/>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11F61B" id="Elipsa 66" o:spid="_x0000_s1026" style="position:absolute;margin-left:258.7pt;margin-top:161.75pt;width:107.15pt;height:37.5pt;rotation:2306095fd;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" filled="f" strokecolor="yellow" strokeweight="1.5pt">
                <v:stroke joinstyle="miter"/>
              </v:oval>
            </w:pict>
          </mc:Fallback>
        </mc:AlternateContent>
      </w:r>
      <w:r>
        <w:rPr>
          <w:noProof/>
          <w:lang w:eastAsia="sl-SI"/>
        </w:rPr>
        <mc:AlternateContent>
          <mc:Choice Requires="wps">
            <w:drawing>
              <wp:anchor distT="0" distB="0" distL="114300" distR="114300" simplePos="0" relativeHeight="252173312" behindDoc="0" locked="0" layoutInCell="1" allowOverlap="1" wp14:anchorId="40AF70D1" wp14:editId="2587CD9B">
                <wp:simplePos x="0" y="0"/>
                <wp:positionH relativeFrom="column">
                  <wp:posOffset>3135096</wp:posOffset>
                </wp:positionH>
                <wp:positionV relativeFrom="paragraph">
                  <wp:posOffset>2463065</wp:posOffset>
                </wp:positionV>
                <wp:extent cx="556091" cy="238783"/>
                <wp:effectExtent l="0" t="95250" r="0" b="104140"/>
                <wp:wrapNone/>
                <wp:docPr id="64" name="Elipsa 64"/>
                <wp:cNvGraphicFramePr/>
                <a:graphic xmlns:a="http://schemas.openxmlformats.org/drawingml/2006/main">
                  <a:graphicData uri="http://schemas.microsoft.com/office/word/2010/wordprocessingShape">
                    <wps:wsp>
                      <wps:cNvSpPr/>
                      <wps:spPr>
                        <a:xfrm rot="2488844">
                          <a:off x="0" y="0"/>
                          <a:ext cx="556091" cy="238783"/>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0FBA33" id="Elipsa 64" o:spid="_x0000_s1026" style="position:absolute;margin-left:246.85pt;margin-top:193.95pt;width:43.8pt;height:18.8pt;rotation:2718481fd;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" filled="f" strokecolor="yellow" strokeweight="1.5pt">
                <v:stroke joinstyle="miter"/>
              </v:oval>
            </w:pict>
          </mc:Fallback>
        </mc:AlternateContent>
      </w:r>
      <w:r>
        <w:rPr>
          <w:noProof/>
          <w:lang w:eastAsia="sl-SI"/>
        </w:rPr>
        <mc:AlternateContent>
          <mc:Choice Requires="wps">
            <w:drawing>
              <wp:anchor distT="0" distB="0" distL="114300" distR="114300" simplePos="0" relativeHeight="252174336" behindDoc="0" locked="0" layoutInCell="1" allowOverlap="1" wp14:anchorId="65E77851" wp14:editId="7BFFA06D">
                <wp:simplePos x="0" y="0"/>
                <wp:positionH relativeFrom="column">
                  <wp:posOffset>4850426</wp:posOffset>
                </wp:positionH>
                <wp:positionV relativeFrom="paragraph">
                  <wp:posOffset>3350134</wp:posOffset>
                </wp:positionV>
                <wp:extent cx="824546" cy="523269"/>
                <wp:effectExtent l="0" t="38100" r="13970" b="29210"/>
                <wp:wrapNone/>
                <wp:docPr id="65" name="Elipsa 65"/>
                <wp:cNvGraphicFramePr/>
                <a:graphic xmlns:a="http://schemas.openxmlformats.org/drawingml/2006/main">
                  <a:graphicData uri="http://schemas.microsoft.com/office/word/2010/wordprocessingShape">
                    <wps:wsp>
                      <wps:cNvSpPr/>
                      <wps:spPr>
                        <a:xfrm rot="1101504">
                          <a:off x="0" y="0"/>
                          <a:ext cx="824546" cy="523269"/>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1C91E4" id="Elipsa 65" o:spid="_x0000_s1026" style="position:absolute;margin-left:381.9pt;margin-top:263.8pt;width:64.9pt;height:41.2pt;rotation:1203136fd;z-index:252174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" filled="f" strokecolor="yellow" strokeweight="1.5pt">
                <v:stroke joinstyle="miter"/>
              </v:oval>
            </w:pict>
          </mc:Fallback>
        </mc:AlternateContent>
      </w:r>
      <w:r>
        <w:rPr>
          <w:noProof/>
          <w:lang w:eastAsia="sl-SI"/>
        </w:rPr>
        <w:drawing>
          <wp:inline distT="0" distB="0" distL="0" distR="0" wp14:anchorId="18BA701C" wp14:editId="436B950C">
            <wp:extent cx="6120130" cy="4199255"/>
            <wp:effectExtent l="0" t="0" r="0" b="0"/>
            <wp:docPr id="2111931277"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120130" cy="4199255"/>
                    </a:xfrm>
                    <a:prstGeom prst="rect">
                      <a:avLst/>
                    </a:prstGeom>
                  </pic:spPr>
                </pic:pic>
              </a:graphicData>
            </a:graphic>
          </wp:inline>
        </w:drawing>
      </w:r>
    </w:p>
    <w:p w14:paraId="624CBA1B" w14:textId="7ACEFD1D" w:rsidR="00A74AF4" w:rsidRDefault="00A74AF4" w:rsidP="00A74AF4">
      <w:pPr>
        <w:pStyle w:val="Napis"/>
        <w:rPr>
          <w:noProof/>
          <w:lang w:eastAsia="sl-SI"/>
        </w:rPr>
      </w:pPr>
      <w:bookmarkStart w:id="491" w:name="_Toc97026904"/>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53</w:t>
      </w:r>
      <w:r w:rsidR="008334B2">
        <w:fldChar w:fldCharType="end"/>
      </w:r>
      <w:r>
        <w:t xml:space="preserve">: </w:t>
      </w:r>
      <w:r w:rsidRPr="008E38B5">
        <w:t xml:space="preserve">Prikaz identificiranih delov vodovodnega sistema na katerih je mogoče pričakovati težave s povišano temperaturo: Gradišče nad Prvačino, Potok pri Dornberku, Preserje, Brje, </w:t>
      </w:r>
      <w:proofErr w:type="spellStart"/>
      <w:r w:rsidRPr="008E38B5">
        <w:t>Pedrovo</w:t>
      </w:r>
      <w:proofErr w:type="spellEnd"/>
      <w:r w:rsidRPr="008E38B5">
        <w:t>, Spodnja Branica.</w:t>
      </w:r>
      <w:bookmarkEnd w:id="491"/>
    </w:p>
    <w:p w14:paraId="348C9163" w14:textId="77777777" w:rsidR="00A74AF4" w:rsidRDefault="00A74AF4" w:rsidP="00A74AF4">
      <w:r>
        <w:t xml:space="preserve">Izhodišče za opazovanje trendov temperature vode v izpostavljenih delih vodovodnega sistema predstavlja državni monitoring temperatur na različnih globinah tal. </w:t>
      </w:r>
    </w:p>
    <w:p w14:paraId="0FB25098" w14:textId="77777777" w:rsidR="00A74AF4" w:rsidRDefault="00A74AF4" w:rsidP="00A74AF4">
      <w:pPr>
        <w:keepNext/>
      </w:pPr>
      <w:r>
        <w:rPr>
          <w:noProof/>
          <w:lang w:eastAsia="sl-SI"/>
        </w:rPr>
        <w:lastRenderedPageBreak/>
        <w:drawing>
          <wp:inline distT="0" distB="0" distL="0" distR="0" wp14:anchorId="1141D404" wp14:editId="256F4B16">
            <wp:extent cx="6120130" cy="3540760"/>
            <wp:effectExtent l="0" t="0" r="0" b="2540"/>
            <wp:docPr id="2111931278"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pic:cNvPicPr>
                      <a:picLocks noChangeAspect="1"/>
                    </pic:cNvPicPr>
                  </pic:nvPicPr>
                  <pic:blipFill>
                    <a:blip r:embed="rId235"/>
                    <a:stretch>
                      <a:fillRect/>
                    </a:stretch>
                  </pic:blipFill>
                  <pic:spPr>
                    <a:xfrm>
                      <a:off x="0" y="0"/>
                      <a:ext cx="6120130" cy="3540760"/>
                    </a:xfrm>
                    <a:prstGeom prst="rect">
                      <a:avLst/>
                    </a:prstGeom>
                  </pic:spPr>
                </pic:pic>
              </a:graphicData>
            </a:graphic>
          </wp:inline>
        </w:drawing>
      </w:r>
    </w:p>
    <w:p w14:paraId="46CA9196" w14:textId="644955A5" w:rsidR="00A74AF4" w:rsidRDefault="00A74AF4" w:rsidP="00A74AF4">
      <w:pPr>
        <w:pStyle w:val="Napis"/>
      </w:pPr>
      <w:bookmarkStart w:id="492" w:name="_Toc97026905"/>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54</w:t>
      </w:r>
      <w:r w:rsidR="008334B2">
        <w:fldChar w:fldCharType="end"/>
      </w:r>
      <w:r w:rsidRPr="00BC3988">
        <w:t>: Trend povečane temperature tal za toplo polovico leta (april, september) za globino 100 cm (ARSO 2015).</w:t>
      </w:r>
      <w:bookmarkEnd w:id="492"/>
    </w:p>
    <w:p w14:paraId="64401470" w14:textId="77777777" w:rsidR="00A74AF4" w:rsidRDefault="00A74AF4" w:rsidP="00A74AF4">
      <w:r>
        <w:t xml:space="preserve">Trendi povečane temperature so zaskrbljujoči, saj se je povprečna temperatura tal v opazovanih merilnih postajah povečala iz območja temperatur med 13,7°C do 15,2°C na območje temperatur med 16°C do 18,2°C. Pri tem je potrebno opozoriti, da se spremljanje temperature v talnem profilu ne izvaja več na vseh globinah (predvsem je pomembna globina 100 cm) in ne na vseh meteoroloških postajah. Med opazovanimi postajami izstopa velik porast povprečne letne temperature za postajo Murska Sobota, kar bi bilo potrebno posebej proučiti. </w:t>
      </w:r>
    </w:p>
    <w:p w14:paraId="56859FD3" w14:textId="77777777" w:rsidR="006235CD" w:rsidRDefault="006235CD" w:rsidP="00CE43D7">
      <w:pPr>
        <w:pStyle w:val="Naslov4"/>
      </w:pPr>
      <w:r>
        <w:t xml:space="preserve">Povečana intenziteta padavin </w:t>
      </w:r>
    </w:p>
    <w:p w14:paraId="15BADA5D" w14:textId="5D974C11" w:rsidR="00642FD9" w:rsidRDefault="00A74AF4" w:rsidP="00A74AF4">
      <w:r>
        <w:t xml:space="preserve">Povečana intenziteta padavin povzroča kaljenje vodnih virov, ki je bilo že opisano v predhodnem poglavju. Kaljenje vodnih virov (motnost) je mogoče tehnološko obvladovati s sistemi za pripravo pitne vode. Sistemi za pripravo pitne vode za odstranjevanje kalnosti imajo lahko tradicionalno zasnovo (npr. hitri peščeni filtri), ali pa naprednejšo in tehnološko zasnovo (npr. </w:t>
      </w:r>
      <w:proofErr w:type="spellStart"/>
      <w:r>
        <w:t>ultrafiltracija</w:t>
      </w:r>
      <w:proofErr w:type="spellEnd"/>
      <w:r>
        <w:t xml:space="preserve"> z membranskimi filtri). Navedene tehnologije upravljalec vodovodnega sistema obvlada zato menimo, da je ranljivost in posledično tveganje majhno. Ne glede na to je potrebno skladno z veljavnimi predpisi in HACCP postopki proces spremljati in obvladovati. </w:t>
      </w:r>
    </w:p>
    <w:p w14:paraId="104E2024" w14:textId="77777777" w:rsidR="00642FD9" w:rsidRDefault="00642FD9">
      <w:pPr>
        <w:jc w:val="left"/>
      </w:pPr>
      <w:r>
        <w:br w:type="page"/>
      </w:r>
    </w:p>
    <w:p w14:paraId="4B5E9BC7" w14:textId="12C69F98" w:rsidR="006235CD" w:rsidRPr="001D20D1" w:rsidRDefault="006235CD" w:rsidP="00CE43D7">
      <w:pPr>
        <w:pStyle w:val="Naslov4"/>
      </w:pPr>
      <w:r>
        <w:lastRenderedPageBreak/>
        <w:t xml:space="preserve">Spremembe v stabilnosti tal - ocena vpliva zemeljskih plazov na vodovodne sisteme v Mestni občini </w:t>
      </w:r>
      <w:r w:rsidR="00847B59">
        <w:t>Nova Gorica</w:t>
      </w:r>
    </w:p>
    <w:p w14:paraId="7235D8EE" w14:textId="77777777" w:rsidR="00A74AF4" w:rsidRPr="00AA3CC4" w:rsidRDefault="00A74AF4" w:rsidP="00A74AF4">
      <w:r>
        <w:t>Podnebne spremembe lahko povezujemo s spremljanjem trenda nestabilnosti zemljišč, kar prikazuje pojavnost analiziranih dogodkov (vir: projekt MASPREM)</w:t>
      </w:r>
    </w:p>
    <w:p w14:paraId="16D01015" w14:textId="77777777" w:rsidR="00A74AF4" w:rsidRDefault="00A74AF4" w:rsidP="00A74AF4">
      <w:pPr>
        <w:keepNext/>
        <w:jc w:val="center"/>
      </w:pPr>
      <w:r>
        <w:rPr>
          <w:noProof/>
          <w:lang w:eastAsia="sl-SI"/>
        </w:rPr>
        <w:drawing>
          <wp:inline distT="0" distB="0" distL="0" distR="0" wp14:anchorId="08EEA774" wp14:editId="469AB6BA">
            <wp:extent cx="3705225" cy="3810000"/>
            <wp:effectExtent l="0" t="0" r="9525" b="0"/>
            <wp:docPr id="2111931279"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3705225" cy="3810000"/>
                    </a:xfrm>
                    <a:prstGeom prst="rect">
                      <a:avLst/>
                    </a:prstGeom>
                  </pic:spPr>
                </pic:pic>
              </a:graphicData>
            </a:graphic>
          </wp:inline>
        </w:drawing>
      </w:r>
    </w:p>
    <w:p w14:paraId="4705C594" w14:textId="0573BBA3" w:rsidR="00A74AF4" w:rsidRDefault="00A74AF4" w:rsidP="00A74AF4">
      <w:pPr>
        <w:pStyle w:val="Napis"/>
        <w:jc w:val="center"/>
      </w:pPr>
      <w:bookmarkStart w:id="493" w:name="_Toc97026906"/>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55</w:t>
      </w:r>
      <w:r w:rsidR="008334B2">
        <w:fldChar w:fldCharType="end"/>
      </w:r>
      <w:r>
        <w:t>: A</w:t>
      </w:r>
      <w:r w:rsidRPr="00655C68">
        <w:t>nalizirana pojavnost zemeljskih plazov v Sloveniji (vir: Projekt MASPREM)</w:t>
      </w:r>
      <w:bookmarkEnd w:id="493"/>
    </w:p>
    <w:p w14:paraId="43799156" w14:textId="77777777" w:rsidR="00A74AF4" w:rsidRDefault="00A74AF4" w:rsidP="00A74AF4">
      <w:r>
        <w:t xml:space="preserve">Podatek o analizirani pojavnosti zemeljskih plazov, ki izkazuje njihovo izrazito povečanje po letu 2010 (slika 5) je lahko zavajajoč, saj je povezan tudi s samim sistemskim zbiranjem podatkov o zemeljskih plazovih. Če pred tem letom ni bilo sistemskega zbiranja podatkov o zemeljskih plazovih (predvsem manjših), potem ne moremo reči da trend, ki ga sicer izkazuje navedena študija v resnici drži. Ne glede na to je nestabilnost tal med upravljalci vodovodnih sistemov splošno poznana kot pomemben vir tveganja za poškodbe vodovodnega sistema in prekinitev dobave vode. Podnebne spremembe se opredeljujejo kot najbolj izrazite v posebej ranljivih okoljih (porušitve kamninskih struktur, </w:t>
      </w:r>
      <w:proofErr w:type="spellStart"/>
      <w:r>
        <w:t>drobirski</w:t>
      </w:r>
      <w:proofErr w:type="spellEnd"/>
      <w:r>
        <w:t xml:space="preserve"> tok), poleg povečanja pojavnosti pa je v določenih okoljih zaradi podnebnih sprememb mogoče pričakovati tudi zmanjšanje pojavnosti zemeljskih plazov. Glede na navedene ugotovitve je torej mogoče pričakovati spremembo tako v smeri zmanjšanja pojavnosti zemeljskih plazov, kakor tudi v smer povečanja njihove pojavnosti. </w:t>
      </w:r>
    </w:p>
    <w:p w14:paraId="29C97087" w14:textId="6E74A0EC" w:rsidR="00A74AF4" w:rsidRDefault="00A74AF4" w:rsidP="00A74AF4">
      <w:r w:rsidRPr="00BB1FBE">
        <w:t xml:space="preserve">Zemeljskih plazovi na območju </w:t>
      </w:r>
      <w:r w:rsidR="005E7A42">
        <w:t>ob</w:t>
      </w:r>
      <w:r w:rsidRPr="00BB1FBE">
        <w:t xml:space="preserve">čine Nova Gorica so srednje prisotni, saj je na območju občine tudi nekaj plazov, ki so bili tudi predmet sanacij. Glede na razporeditev potencialno </w:t>
      </w:r>
      <w:proofErr w:type="spellStart"/>
      <w:r w:rsidRPr="00BB1FBE">
        <w:t>plazl</w:t>
      </w:r>
      <w:r w:rsidR="00921FCD">
        <w:t>j</w:t>
      </w:r>
      <w:r w:rsidRPr="00BB1FBE">
        <w:t>iva</w:t>
      </w:r>
      <w:proofErr w:type="spellEnd"/>
      <w:r w:rsidRPr="00BB1FBE">
        <w:t xml:space="preserve"> zemljišča najbolj ogrožajo vodovodni sistem Nova Gorica (ID 1682 in 1248).</w:t>
      </w:r>
    </w:p>
    <w:p w14:paraId="6B0CF5CE" w14:textId="77777777" w:rsidR="00A74AF4" w:rsidRDefault="00A74AF4" w:rsidP="00A74AF4">
      <w:pPr>
        <w:keepNext/>
        <w:jc w:val="center"/>
      </w:pPr>
      <w:r>
        <w:rPr>
          <w:noProof/>
          <w:lang w:eastAsia="sl-SI"/>
        </w:rPr>
        <w:lastRenderedPageBreak/>
        <w:drawing>
          <wp:inline distT="0" distB="0" distL="0" distR="0" wp14:anchorId="3860D024" wp14:editId="751DD55C">
            <wp:extent cx="2495550" cy="2733675"/>
            <wp:effectExtent l="0" t="0" r="0" b="9525"/>
            <wp:docPr id="2111931280"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495550" cy="2733675"/>
                    </a:xfrm>
                    <a:prstGeom prst="rect">
                      <a:avLst/>
                    </a:prstGeom>
                  </pic:spPr>
                </pic:pic>
              </a:graphicData>
            </a:graphic>
          </wp:inline>
        </w:drawing>
      </w:r>
    </w:p>
    <w:p w14:paraId="2FEEAE2E" w14:textId="1FBFA6BF" w:rsidR="00A74AF4" w:rsidRDefault="00A74AF4" w:rsidP="00A74AF4">
      <w:pPr>
        <w:pStyle w:val="Napis"/>
        <w:jc w:val="center"/>
      </w:pPr>
      <w:bookmarkStart w:id="494" w:name="_Toc97026907"/>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56</w:t>
      </w:r>
      <w:r w:rsidR="008334B2">
        <w:fldChar w:fldCharType="end"/>
      </w:r>
      <w:r w:rsidRPr="00FB0F41">
        <w:t>Verjetnost pojavljanja Plazov v Mestni občini Nova Gorica</w:t>
      </w:r>
      <w:r>
        <w:t xml:space="preserve"> (</w:t>
      </w:r>
      <w:proofErr w:type="spellStart"/>
      <w:r>
        <w:t>GeoZS</w:t>
      </w:r>
      <w:proofErr w:type="spellEnd"/>
      <w:r>
        <w:t>, 2005)</w:t>
      </w:r>
      <w:bookmarkEnd w:id="494"/>
    </w:p>
    <w:p w14:paraId="491159F9" w14:textId="77777777" w:rsidR="006235CD" w:rsidRDefault="006235CD" w:rsidP="00CE43D7">
      <w:pPr>
        <w:pStyle w:val="Naslov4"/>
      </w:pPr>
      <w:r>
        <w:t>Vpliv poplavne nevarnosti na vodovodne sisteme</w:t>
      </w:r>
    </w:p>
    <w:p w14:paraId="030408AE" w14:textId="77777777" w:rsidR="00A74AF4" w:rsidRDefault="00A74AF4" w:rsidP="00A74AF4">
      <w:pPr>
        <w:rPr>
          <w:lang w:eastAsia="sl-SI"/>
        </w:rPr>
      </w:pPr>
      <w:r>
        <w:rPr>
          <w:lang w:eastAsia="sl-SI"/>
        </w:rPr>
        <w:t xml:space="preserve">Poplavna nevarnost ogroža delovanje vodovodnih sistemov predvsem preko mehanizma poškodovanja vodnih virov (onesnaženje vodnih virov s poplavnimi vodami) in poškodbe električnih instalacij. Ostali učinki poplavne nevarnosti so izrazito manj prisotni (npr. vdor na območja, kjer se nahaja voda s prosto gladino). Potencialno lahko poplavna nevarnosti posredno povzroči izpad električne energije ali zasutje jaškov z zapornimi vodami z muljem. Glede na to, da je voda v vodovodnem sistemu pod tlakom, je preko tega mehanizma ustrezno zaščitena pred učinki poplavne nevarnosti. Glede na stanje vodovodnih sistemov v občini Nova Gorica ocenjujemo, da je ogroženost vodovodnih sistemov zaradi nevarnost poplav majhna. Čeprav se bo pojavnost oz. intenziteta poplav (IDF krivulje) glede na pričakovane podnebne spremembe poslabšala in s tem intenzivirala ne ocenjujemo bistvenega učinka teh spremembe na delovanje vodovodnih sistemov. </w:t>
      </w:r>
    </w:p>
    <w:p w14:paraId="0641F937" w14:textId="77777777" w:rsidR="007F04FA" w:rsidRPr="007F04FA" w:rsidRDefault="007F04FA" w:rsidP="007F04FA">
      <w:pPr>
        <w:pStyle w:val="Naslov3"/>
      </w:pPr>
      <w:bookmarkStart w:id="495" w:name="_Toc65412254"/>
      <w:bookmarkStart w:id="496" w:name="_Ref65431528"/>
      <w:bookmarkStart w:id="497" w:name="_Toc97026804"/>
      <w:r w:rsidRPr="007F04FA">
        <w:t>Ocena sposobnosti prilagajanja sektorja vodovodni sistemi</w:t>
      </w:r>
      <w:bookmarkEnd w:id="495"/>
      <w:bookmarkEnd w:id="496"/>
      <w:bookmarkEnd w:id="497"/>
    </w:p>
    <w:p w14:paraId="1841AA50" w14:textId="77777777" w:rsidR="00A74AF4" w:rsidRDefault="00A74AF4" w:rsidP="00A74AF4">
      <w:pPr>
        <w:rPr>
          <w:lang w:eastAsia="sl-SI"/>
        </w:rPr>
      </w:pPr>
      <w:r w:rsidRPr="00384247">
        <w:rPr>
          <w:lang w:eastAsia="sl-SI"/>
        </w:rPr>
        <w:t xml:space="preserve">V okviru ocene sposobnosti prilagajanja analiziramo možne ukrepe, s katerimi bi se glede na prepoznano posamezno ranljivost podnebnim spremembam lahko prilagajali. Izvedljivost ukrepov je povezana predvsem s prepoznavanjem posameznega ukrepa in potrebnosti zanj, učinkovitostjo ukrepa in v končni fazi realno oceno izvedljivosti ukrepa, kar zajema različne vidike, predvsem pa: umeščanje v prostor, strošek ukrepa in časovni horizont v okviru katerega je mogoče ukrep prilagajanja na podnebne spremembe izvesti. </w:t>
      </w:r>
    </w:p>
    <w:p w14:paraId="779A23EC" w14:textId="77777777" w:rsidR="007F04FA" w:rsidRPr="007F04FA" w:rsidRDefault="007F04FA" w:rsidP="00CE43D7">
      <w:pPr>
        <w:pStyle w:val="Naslov4"/>
      </w:pPr>
      <w:r w:rsidRPr="007F04FA">
        <w:t xml:space="preserve">Sposobnost prilagajanja na podnebne spremembe – odsotnost padavin v obliki snega </w:t>
      </w:r>
    </w:p>
    <w:p w14:paraId="02BFBEB8" w14:textId="77777777" w:rsidR="00A74AF4" w:rsidRPr="00384247" w:rsidRDefault="00A74AF4" w:rsidP="00A74AF4">
      <w:pPr>
        <w:rPr>
          <w:lang w:eastAsia="sl-SI"/>
        </w:rPr>
      </w:pPr>
      <w:r w:rsidRPr="00384247">
        <w:rPr>
          <w:lang w:eastAsia="sl-SI"/>
        </w:rPr>
        <w:t xml:space="preserve">Kot je že navedeno v poglavju ocena posameznega vpliva, snežna odeja predstavlja dodatni izolator (poleg globine polaganja), ki preprečuje zmrzovanje vodovodnih cevi v času nastopa ekstremno nizkih temperatur. Elementa: odsotnost padavin v obliki snega in višje temperature, ki pomenijo hitrejše taljenje snega učinkujeta negativno na varnost obratovanja vodovodnih sistemov v zimskem obdobju, kar je še posebej pomembno za manjše vodovodne sisteme, kjer </w:t>
      </w:r>
      <w:r w:rsidRPr="00384247">
        <w:rPr>
          <w:lang w:eastAsia="sl-SI"/>
        </w:rPr>
        <w:lastRenderedPageBreak/>
        <w:t>voda zaradi majhne porabe in eventualno predimenzioniranih cevi zastaja in se v zimskem obdobju ohlaja.</w:t>
      </w:r>
    </w:p>
    <w:p w14:paraId="11044A13" w14:textId="77777777" w:rsidR="00A74AF4" w:rsidRPr="00384247" w:rsidRDefault="00A74AF4" w:rsidP="00A74AF4">
      <w:pPr>
        <w:rPr>
          <w:lang w:eastAsia="sl-SI"/>
        </w:rPr>
      </w:pPr>
      <w:r w:rsidRPr="00384247">
        <w:rPr>
          <w:lang w:eastAsia="sl-SI"/>
        </w:rPr>
        <w:t xml:space="preserve">Osnovna ukrepa za preprečevanje negativnih vplivov, torej zmrzovanja v primeru nastopa nizkih temperatur ob odsotnosti snežne odeje, na delovanje vodovodnih sistemov sta dva: </w:t>
      </w:r>
    </w:p>
    <w:p w14:paraId="6C9A7B57" w14:textId="77777777" w:rsidR="00A74AF4" w:rsidRPr="00384247" w:rsidRDefault="00A74AF4" w:rsidP="00900691">
      <w:pPr>
        <w:pStyle w:val="Odstavekseznama"/>
        <w:numPr>
          <w:ilvl w:val="0"/>
          <w:numId w:val="30"/>
        </w:numPr>
        <w:rPr>
          <w:rFonts w:ascii="Trebuchet MS" w:hAnsi="Trebuchet MS"/>
          <w:lang w:eastAsia="sl-SI"/>
        </w:rPr>
      </w:pPr>
      <w:r w:rsidRPr="00384247">
        <w:rPr>
          <w:rFonts w:ascii="Trebuchet MS" w:hAnsi="Trebuchet MS"/>
          <w:lang w:eastAsia="sl-SI"/>
        </w:rPr>
        <w:t>prilagojena globina (globje polaganje) in način polaganja (zasipavanje z bolj termo-</w:t>
      </w:r>
      <w:proofErr w:type="spellStart"/>
      <w:r w:rsidRPr="00384247">
        <w:rPr>
          <w:rFonts w:ascii="Trebuchet MS" w:hAnsi="Trebuchet MS"/>
          <w:lang w:eastAsia="sl-SI"/>
        </w:rPr>
        <w:t>izolativnimi</w:t>
      </w:r>
      <w:proofErr w:type="spellEnd"/>
      <w:r w:rsidRPr="00384247">
        <w:rPr>
          <w:rFonts w:ascii="Trebuchet MS" w:hAnsi="Trebuchet MS"/>
          <w:lang w:eastAsia="sl-SI"/>
        </w:rPr>
        <w:t xml:space="preserve"> materiali) vodovodnih cevi in </w:t>
      </w:r>
    </w:p>
    <w:p w14:paraId="7D7AB189" w14:textId="77777777" w:rsidR="00A74AF4" w:rsidRPr="00384247" w:rsidRDefault="00A74AF4" w:rsidP="00900691">
      <w:pPr>
        <w:pStyle w:val="Odstavekseznama"/>
        <w:numPr>
          <w:ilvl w:val="0"/>
          <w:numId w:val="30"/>
        </w:numPr>
        <w:spacing w:after="120"/>
        <w:ind w:left="714" w:hanging="357"/>
        <w:rPr>
          <w:rFonts w:ascii="Trebuchet MS" w:hAnsi="Trebuchet MS"/>
          <w:lang w:eastAsia="sl-SI"/>
        </w:rPr>
      </w:pPr>
      <w:r w:rsidRPr="00384247">
        <w:rPr>
          <w:rFonts w:ascii="Trebuchet MS" w:hAnsi="Trebuchet MS"/>
          <w:lang w:eastAsia="sl-SI"/>
        </w:rPr>
        <w:t>zasnova projektiranja vodovodnih sistemov, da tudi z ustrezno pretočnostjo vode (preprečevanje zastajanja) preprečujemo zmrzovanje vode v prepoznanih kritičnih odsekih.</w:t>
      </w:r>
    </w:p>
    <w:p w14:paraId="66F9DB90" w14:textId="77777777" w:rsidR="00A74AF4" w:rsidRPr="00384247" w:rsidRDefault="00A74AF4" w:rsidP="00A74AF4">
      <w:pPr>
        <w:rPr>
          <w:lang w:eastAsia="sl-SI"/>
        </w:rPr>
      </w:pPr>
      <w:r w:rsidRPr="00384247">
        <w:rPr>
          <w:lang w:eastAsia="sl-SI"/>
        </w:rPr>
        <w:t xml:space="preserve">Oba ukrepa sta naravnana zelo dolgoročno, saj že položenih cevi vodovodnih sistemov praktično ni mogoče polagati globje, njihova dodatna izolacija (dodatno izolacijsko prekritje) pa je pogosto težko izvesti, saj so cevi zaradi polaganja na javnih zemljiščih pogosto pod vozišči. </w:t>
      </w:r>
    </w:p>
    <w:p w14:paraId="1A691AD3" w14:textId="77777777" w:rsidR="00A74AF4" w:rsidRDefault="00A74AF4" w:rsidP="00A74AF4">
      <w:pPr>
        <w:rPr>
          <w:lang w:eastAsia="sl-SI"/>
        </w:rPr>
      </w:pPr>
      <w:r w:rsidRPr="00384247">
        <w:rPr>
          <w:lang w:eastAsia="sl-SI"/>
        </w:rPr>
        <w:t>Ključni izzivi, vezani na zmrzovanje elementov vodovodnega sistema, se pojavljajo na zasebnih priključkih na javni vodovodni sistem. V teh elementih se standardi polaganja in izolacije cevi v preteklosti pogosto niso dosledno upoštevali, poleg tega pa so tudi pretočne hitrosti lahko zelo majhne (npr. nenaseljeni objekti). Zato je identifikacija problematičnih lokacij lažja, zaradi enega investitorja in krajših, bolj obvladljivih odsekov (priključki), pa je tudi izvedb ukrepov prilagajanja na podnebne spremembe enostavnejša. Pri tem je seveda potrebno ustrezno upoštevati potencialno investicijsko omejenost gospodinjstev z omejenimi prihodki, za katere lahko tudi relativno omejena investicija predstavlja prevelik izdatek.</w:t>
      </w:r>
    </w:p>
    <w:p w14:paraId="64C95C32" w14:textId="77777777" w:rsidR="007F04FA" w:rsidRPr="007F04FA" w:rsidRDefault="007F04FA" w:rsidP="00CE43D7">
      <w:pPr>
        <w:pStyle w:val="Naslov4"/>
      </w:pPr>
      <w:r w:rsidRPr="007F04FA">
        <w:t xml:space="preserve">Sposobnost prilagajanja na podnebne spremembe – </w:t>
      </w:r>
      <w:proofErr w:type="spellStart"/>
      <w:r w:rsidRPr="007F04FA">
        <w:t>socioekonomske</w:t>
      </w:r>
      <w:proofErr w:type="spellEnd"/>
      <w:r w:rsidRPr="007F04FA">
        <w:t xml:space="preserve"> in demografske spremembe</w:t>
      </w:r>
    </w:p>
    <w:p w14:paraId="22CD70E4" w14:textId="450B00A5" w:rsidR="00A74AF4" w:rsidRPr="00384247" w:rsidRDefault="00A74AF4" w:rsidP="00A74AF4">
      <w:pPr>
        <w:rPr>
          <w:lang w:eastAsia="sl-SI"/>
        </w:rPr>
      </w:pPr>
      <w:r w:rsidRPr="00384247">
        <w:rPr>
          <w:lang w:eastAsia="sl-SI"/>
        </w:rPr>
        <w:t xml:space="preserve">Glede na to, da opredeljujemo, da je tveganje za delovanje vodovodnih sistemov, ki bi bilo vezano na </w:t>
      </w:r>
      <w:proofErr w:type="spellStart"/>
      <w:r w:rsidRPr="00384247">
        <w:rPr>
          <w:lang w:eastAsia="sl-SI"/>
        </w:rPr>
        <w:t>socio</w:t>
      </w:r>
      <w:proofErr w:type="spellEnd"/>
      <w:r w:rsidRPr="00384247">
        <w:rPr>
          <w:lang w:eastAsia="sl-SI"/>
        </w:rPr>
        <w:t xml:space="preserve">-ekonomske in demografske spremembe relativno majhno, tudi ukrepi vezani na prilagajanje na tovrstne spremembe niso ključnega pomena. Osnovni ukrep je zato spremljanje demografske slike </w:t>
      </w:r>
      <w:r>
        <w:rPr>
          <w:lang w:eastAsia="sl-SI"/>
        </w:rPr>
        <w:t xml:space="preserve">in migracij </w:t>
      </w:r>
      <w:r w:rsidRPr="00384247">
        <w:rPr>
          <w:lang w:eastAsia="sl-SI"/>
        </w:rPr>
        <w:t xml:space="preserve">na vodooskrbnih območjih v </w:t>
      </w:r>
      <w:r w:rsidR="005E7A42">
        <w:rPr>
          <w:lang w:eastAsia="sl-SI"/>
        </w:rPr>
        <w:t>Mestni o</w:t>
      </w:r>
      <w:r>
        <w:rPr>
          <w:lang w:eastAsia="sl-SI"/>
        </w:rPr>
        <w:t>bčini Nova Gorica</w:t>
      </w:r>
      <w:r w:rsidRPr="00384247">
        <w:rPr>
          <w:lang w:eastAsia="sl-SI"/>
        </w:rPr>
        <w:t xml:space="preserve">, saj stabilna demografska slika </w:t>
      </w:r>
      <w:r>
        <w:rPr>
          <w:lang w:eastAsia="sl-SI"/>
        </w:rPr>
        <w:t xml:space="preserve">(vključujoč migracije) </w:t>
      </w:r>
      <w:r w:rsidRPr="00384247">
        <w:rPr>
          <w:lang w:eastAsia="sl-SI"/>
        </w:rPr>
        <w:t xml:space="preserve">v osnovi zagotavlja tudi stabilno delovanje vodovodnih sistemov. Vodovodni sistemi so namreč načrtovani in ciljno delujejo, ko v osnovi oskrbujejo ciljno število uporabnikov. </w:t>
      </w:r>
    </w:p>
    <w:p w14:paraId="3E70969F" w14:textId="77777777" w:rsidR="00A74AF4" w:rsidRDefault="00A74AF4" w:rsidP="00A74AF4">
      <w:pPr>
        <w:rPr>
          <w:lang w:eastAsia="sl-SI"/>
        </w:rPr>
      </w:pPr>
      <w:r w:rsidRPr="00384247">
        <w:rPr>
          <w:lang w:eastAsia="sl-SI"/>
        </w:rPr>
        <w:t xml:space="preserve">Osnovni ukrep je zato bolj preventivne narave – spremljanje demografskega stanja na območju naselij v občini </w:t>
      </w:r>
      <w:r>
        <w:rPr>
          <w:lang w:eastAsia="sl-SI"/>
        </w:rPr>
        <w:t>Nova Gorica</w:t>
      </w:r>
      <w:r w:rsidRPr="00384247">
        <w:rPr>
          <w:lang w:eastAsia="sl-SI"/>
        </w:rPr>
        <w:t>. V primeru sprememb, ki jih je mogoče prepoznavati v obliki trendov priseljevanja (pozitivne migracije) ali odseljevanja (negativne migracije), je potrebno ob dolgotrajnih trendih s predvidljivo znatno spremembo skupne populacije (in dejavnosti) proučiti potrebne spremembe na vodovodnih sistemih.</w:t>
      </w:r>
    </w:p>
    <w:p w14:paraId="3E919126" w14:textId="77777777" w:rsidR="007F04FA" w:rsidRPr="007F04FA" w:rsidRDefault="007F04FA" w:rsidP="00CE43D7">
      <w:pPr>
        <w:pStyle w:val="Naslov4"/>
      </w:pPr>
      <w:r w:rsidRPr="007F04FA">
        <w:t xml:space="preserve">Sposobnost prilagajanja na podnebne spremembe – vročinski valovi – temperatura vode v vodovodnem sistemu </w:t>
      </w:r>
    </w:p>
    <w:p w14:paraId="150B6B58" w14:textId="77777777" w:rsidR="00A74AF4" w:rsidRPr="00A74AF4" w:rsidRDefault="00A74AF4" w:rsidP="00A74AF4">
      <w:pPr>
        <w:rPr>
          <w:lang w:eastAsia="sl-SI"/>
        </w:rPr>
      </w:pPr>
      <w:r w:rsidRPr="00A74AF4">
        <w:rPr>
          <w:lang w:eastAsia="sl-SI"/>
        </w:rPr>
        <w:t xml:space="preserve">Potrebo po prilagajanju na podnebne spremembe, ki bodo v obliki vročinskih valov in njihovega vpliva na temperaturo vode v vodovodnem sistemu znatno vplivale na oskrbo s pitno vodo prepoznavamo kot eno od prioritetnih ukrepov na tem področju. Ukrepi, ki jih je mogoče prepoznati so: </w:t>
      </w:r>
    </w:p>
    <w:p w14:paraId="7221C85C" w14:textId="77777777" w:rsidR="00A74AF4" w:rsidRPr="00A74AF4" w:rsidRDefault="00A74AF4" w:rsidP="00900691">
      <w:pPr>
        <w:pStyle w:val="Odstavekseznama"/>
        <w:numPr>
          <w:ilvl w:val="0"/>
          <w:numId w:val="31"/>
        </w:numPr>
        <w:rPr>
          <w:rFonts w:ascii="Trebuchet MS" w:hAnsi="Trebuchet MS"/>
          <w:lang w:eastAsia="sl-SI"/>
        </w:rPr>
      </w:pPr>
      <w:r w:rsidRPr="00A74AF4">
        <w:rPr>
          <w:rFonts w:ascii="Trebuchet MS" w:hAnsi="Trebuchet MS"/>
          <w:lang w:eastAsia="sl-SI"/>
        </w:rPr>
        <w:lastRenderedPageBreak/>
        <w:t xml:space="preserve">Identifikacija kritičnih delov vodovodnih omrežij na katerih se že pojavljajo ali se bodo ob predvidljivih scenarijih podnebnih sprememb (indikator: vročinski valovi) pojavljale težave s temperaturo vode v vodovodnem omrežju. </w:t>
      </w:r>
    </w:p>
    <w:p w14:paraId="151076DF" w14:textId="77777777" w:rsidR="00A74AF4" w:rsidRPr="00A74AF4" w:rsidRDefault="00A74AF4" w:rsidP="00900691">
      <w:pPr>
        <w:pStyle w:val="Odstavekseznama"/>
        <w:numPr>
          <w:ilvl w:val="0"/>
          <w:numId w:val="31"/>
        </w:numPr>
        <w:rPr>
          <w:rFonts w:ascii="Trebuchet MS" w:hAnsi="Trebuchet MS"/>
          <w:lang w:eastAsia="sl-SI"/>
        </w:rPr>
      </w:pPr>
      <w:r w:rsidRPr="00A74AF4">
        <w:rPr>
          <w:rFonts w:ascii="Trebuchet MS" w:hAnsi="Trebuchet MS"/>
          <w:lang w:eastAsia="sl-SI"/>
        </w:rPr>
        <w:t xml:space="preserve">Načrtovanje ukrepov na vodovodnem omrežju – prilagajanje vodovodnih omrežij na večje temperaturne obremenitve v času vročinskih valov. </w:t>
      </w:r>
    </w:p>
    <w:p w14:paraId="33AD0FD2" w14:textId="77777777" w:rsidR="00A74AF4" w:rsidRPr="00A74AF4" w:rsidRDefault="00A74AF4" w:rsidP="00900691">
      <w:pPr>
        <w:pStyle w:val="Odstavekseznama"/>
        <w:numPr>
          <w:ilvl w:val="0"/>
          <w:numId w:val="31"/>
        </w:numPr>
        <w:spacing w:after="120"/>
        <w:ind w:left="714" w:hanging="357"/>
        <w:rPr>
          <w:rFonts w:ascii="Trebuchet MS" w:hAnsi="Trebuchet MS"/>
          <w:lang w:eastAsia="sl-SI"/>
        </w:rPr>
      </w:pPr>
      <w:r w:rsidRPr="00A74AF4">
        <w:rPr>
          <w:rFonts w:ascii="Trebuchet MS" w:hAnsi="Trebuchet MS"/>
          <w:lang w:eastAsia="sl-SI"/>
        </w:rPr>
        <w:t xml:space="preserve">Izvajanje ukrepov na vodovodnem omrežju – prilagajanje vodovodnih omrežij na večje temperaturne obremenitve v času vročinskih valov. </w:t>
      </w:r>
    </w:p>
    <w:p w14:paraId="1144B7B8" w14:textId="77777777" w:rsidR="00A74AF4" w:rsidRPr="00A74AF4" w:rsidRDefault="00A74AF4" w:rsidP="00A74AF4">
      <w:pPr>
        <w:rPr>
          <w:lang w:eastAsia="sl-SI"/>
        </w:rPr>
      </w:pPr>
      <w:r w:rsidRPr="00A74AF4">
        <w:rPr>
          <w:lang w:eastAsia="sl-SI"/>
        </w:rPr>
        <w:t xml:space="preserve">Izvedbo možnosti vseh treh korakov lahko ocenjujemo kot zmerno. Pri tem sama identifikacija kritičnih odsekov že poteka v sklopu monitoringa kakovosti vode – dodatno je priporočljivo izvajati ukrepe natančnejšega kontinuiranega spremljanja temperatur vode v kritičnih odsekih, saj bo na osnovi meritev možno bolje optimizirati same ukrepe. </w:t>
      </w:r>
    </w:p>
    <w:p w14:paraId="1448CBD0" w14:textId="77777777" w:rsidR="00A74AF4" w:rsidRPr="00A74AF4" w:rsidRDefault="00A74AF4" w:rsidP="00A74AF4">
      <w:pPr>
        <w:rPr>
          <w:lang w:eastAsia="sl-SI"/>
        </w:rPr>
      </w:pPr>
      <w:r w:rsidRPr="00A74AF4">
        <w:rPr>
          <w:lang w:eastAsia="sl-SI"/>
        </w:rPr>
        <w:t>Načrtovanje ukrepov je povezano z:</w:t>
      </w:r>
    </w:p>
    <w:p w14:paraId="47BFA65B" w14:textId="77777777" w:rsidR="00A74AF4" w:rsidRPr="00A74AF4" w:rsidRDefault="00A74AF4" w:rsidP="00900691">
      <w:pPr>
        <w:pStyle w:val="Odstavekseznama"/>
        <w:numPr>
          <w:ilvl w:val="0"/>
          <w:numId w:val="47"/>
        </w:numPr>
        <w:rPr>
          <w:rFonts w:ascii="Trebuchet MS" w:hAnsi="Trebuchet MS"/>
          <w:lang w:eastAsia="sl-SI"/>
        </w:rPr>
      </w:pPr>
      <w:r w:rsidRPr="00A74AF4">
        <w:rPr>
          <w:rFonts w:ascii="Trebuchet MS" w:hAnsi="Trebuchet MS"/>
          <w:lang w:eastAsia="sl-SI"/>
        </w:rPr>
        <w:t xml:space="preserve">načrtovanjem na dolgi rok, ki vpliva na samo spremembo zasnove vodovodnega sistema (npr. zmanjšanje premerov cevi na odsekih, kjer voda zastaja in je vpliv temperaturnih obremenitev največji, usklajevanje porabe vode na teh odsekih), </w:t>
      </w:r>
    </w:p>
    <w:p w14:paraId="1E5DC8F4" w14:textId="77777777" w:rsidR="00A74AF4" w:rsidRPr="00A74AF4" w:rsidRDefault="00A74AF4" w:rsidP="00900691">
      <w:pPr>
        <w:pStyle w:val="Odstavekseznama"/>
        <w:numPr>
          <w:ilvl w:val="0"/>
          <w:numId w:val="47"/>
        </w:numPr>
        <w:spacing w:after="120"/>
        <w:rPr>
          <w:rFonts w:ascii="Trebuchet MS" w:hAnsi="Trebuchet MS"/>
          <w:lang w:eastAsia="sl-SI"/>
        </w:rPr>
      </w:pPr>
      <w:r w:rsidRPr="00A74AF4">
        <w:rPr>
          <w:rFonts w:ascii="Trebuchet MS" w:hAnsi="Trebuchet MS"/>
          <w:lang w:eastAsia="sl-SI"/>
        </w:rPr>
        <w:t xml:space="preserve">kratkoročnim načrtovanjem, ki je usmerjeno predvsem v načrtovano izpuščanje vode na končnih hidrantih s čemer se zagotavlja povečana pretočnost, hkrati pa ima ta ukrep negativen učinek na več kazalnikov učinkovitosti delovanja vodovodnega sistema (vodne izgube, </w:t>
      </w:r>
      <w:proofErr w:type="spellStart"/>
      <w:r w:rsidRPr="00A74AF4">
        <w:rPr>
          <w:rFonts w:ascii="Trebuchet MS" w:hAnsi="Trebuchet MS"/>
          <w:lang w:eastAsia="sl-SI"/>
        </w:rPr>
        <w:t>neobračunana</w:t>
      </w:r>
      <w:proofErr w:type="spellEnd"/>
      <w:r w:rsidRPr="00A74AF4">
        <w:rPr>
          <w:rFonts w:ascii="Trebuchet MS" w:hAnsi="Trebuchet MS"/>
          <w:lang w:eastAsia="sl-SI"/>
        </w:rPr>
        <w:t xml:space="preserve"> voda (NRW), ekonomika poslovanja). </w:t>
      </w:r>
    </w:p>
    <w:p w14:paraId="0EF2EE98" w14:textId="77777777" w:rsidR="00A74AF4" w:rsidRPr="00A74AF4" w:rsidRDefault="00A74AF4" w:rsidP="00A74AF4">
      <w:pPr>
        <w:rPr>
          <w:lang w:eastAsia="sl-SI"/>
        </w:rPr>
      </w:pPr>
      <w:r w:rsidRPr="00A74AF4">
        <w:rPr>
          <w:lang w:eastAsia="sl-SI"/>
        </w:rPr>
        <w:t>Sposobnost prilagajanja, predvsem kratkoročnega ocenjujemo za zmerno, saj so predvsem kratkoročni ukrepi načeloma izvedljivi zaradi primernih temperatur vode na vodnem viru. Po drugi strani so dolgoročni ukrepi zahtevnejši in pogosto lahko vodijo v novo izvedbo kritičnih odsekov vodovodnega sistema.</w:t>
      </w:r>
    </w:p>
    <w:p w14:paraId="1B3B6E2C" w14:textId="371CAAB9" w:rsidR="007F04FA" w:rsidRPr="007F04FA" w:rsidRDefault="007F04FA" w:rsidP="00CE43D7">
      <w:pPr>
        <w:pStyle w:val="Naslov4"/>
      </w:pPr>
      <w:r w:rsidRPr="007F04FA">
        <w:t xml:space="preserve">Sposobnost prilagajanja na podnebne spremembe – spremembe v stabilnosti tal – vpliv zemeljskih plazov na vodovodne sisteme v občini </w:t>
      </w:r>
      <w:r w:rsidR="00847B59">
        <w:t>Nova Gorica</w:t>
      </w:r>
    </w:p>
    <w:p w14:paraId="32A757BC" w14:textId="77777777" w:rsidR="00A74AF4" w:rsidRPr="00384247" w:rsidRDefault="00A74AF4" w:rsidP="00A74AF4">
      <w:pPr>
        <w:rPr>
          <w:lang w:eastAsia="sl-SI"/>
        </w:rPr>
      </w:pPr>
      <w:r w:rsidRPr="00384247">
        <w:rPr>
          <w:lang w:eastAsia="sl-SI"/>
        </w:rPr>
        <w:t xml:space="preserve">Podobno kot pri ostalih elementih nevarnosti na delovanje vodovodnih sistemov zaradi podnebnih sprememb, tudi v primeru vpliva zemeljskih plazov izhajamo iz osnovnih korakov, ki so povezani s sposobnostjo prilagajanja:  </w:t>
      </w:r>
    </w:p>
    <w:p w14:paraId="58DD8A5B" w14:textId="77777777" w:rsidR="00A74AF4" w:rsidRPr="00384247" w:rsidRDefault="00A74AF4" w:rsidP="00900691">
      <w:pPr>
        <w:pStyle w:val="Odstavekseznama"/>
        <w:numPr>
          <w:ilvl w:val="0"/>
          <w:numId w:val="32"/>
        </w:numPr>
        <w:rPr>
          <w:rFonts w:ascii="Trebuchet MS" w:hAnsi="Trebuchet MS"/>
          <w:lang w:eastAsia="sl-SI"/>
        </w:rPr>
      </w:pPr>
      <w:r w:rsidRPr="00384247">
        <w:rPr>
          <w:rFonts w:ascii="Trebuchet MS" w:hAnsi="Trebuchet MS"/>
          <w:u w:val="single"/>
          <w:lang w:eastAsia="sl-SI"/>
        </w:rPr>
        <w:t xml:space="preserve">Identifikacija </w:t>
      </w:r>
      <w:r w:rsidRPr="00384247">
        <w:rPr>
          <w:rFonts w:ascii="Trebuchet MS" w:hAnsi="Trebuchet MS"/>
          <w:lang w:eastAsia="sl-SI"/>
        </w:rPr>
        <w:t xml:space="preserve">kritičnih delov vodovodnih omrežij na katerih se že pojavljajo ali se bodo ob predvidljivih scenarijih podnebnih sprememb (indikator: padavine in inducirana nestabilnost zemljin) pojavljale težave s poškodbami vodovodnega omrežja. </w:t>
      </w:r>
    </w:p>
    <w:p w14:paraId="4611B4B4" w14:textId="77777777" w:rsidR="00A74AF4" w:rsidRPr="00384247" w:rsidRDefault="00A74AF4" w:rsidP="00900691">
      <w:pPr>
        <w:pStyle w:val="Odstavekseznama"/>
        <w:numPr>
          <w:ilvl w:val="0"/>
          <w:numId w:val="32"/>
        </w:numPr>
        <w:rPr>
          <w:rFonts w:ascii="Trebuchet MS" w:hAnsi="Trebuchet MS"/>
          <w:lang w:eastAsia="sl-SI"/>
        </w:rPr>
      </w:pPr>
      <w:r w:rsidRPr="00384247">
        <w:rPr>
          <w:rFonts w:ascii="Trebuchet MS" w:hAnsi="Trebuchet MS"/>
          <w:u w:val="single"/>
          <w:lang w:eastAsia="sl-SI"/>
        </w:rPr>
        <w:t>Načrtovanje</w:t>
      </w:r>
      <w:r w:rsidRPr="00384247">
        <w:rPr>
          <w:rFonts w:ascii="Trebuchet MS" w:hAnsi="Trebuchet MS"/>
          <w:lang w:eastAsia="sl-SI"/>
        </w:rPr>
        <w:t xml:space="preserve"> ukrepov na vodovodnem omrežju – prilagajanje vodovodnih omrežij na potencialno povečano nestabilnost zemljin. </w:t>
      </w:r>
    </w:p>
    <w:p w14:paraId="304E2998" w14:textId="77777777" w:rsidR="00A74AF4" w:rsidRPr="00384247" w:rsidRDefault="00A74AF4" w:rsidP="00900691">
      <w:pPr>
        <w:pStyle w:val="Odstavekseznama"/>
        <w:numPr>
          <w:ilvl w:val="0"/>
          <w:numId w:val="32"/>
        </w:numPr>
        <w:spacing w:after="120"/>
        <w:ind w:left="714" w:hanging="357"/>
        <w:rPr>
          <w:rFonts w:ascii="Trebuchet MS" w:hAnsi="Trebuchet MS"/>
          <w:lang w:eastAsia="sl-SI"/>
        </w:rPr>
      </w:pPr>
      <w:r w:rsidRPr="00384247">
        <w:rPr>
          <w:rFonts w:ascii="Trebuchet MS" w:hAnsi="Trebuchet MS"/>
          <w:u w:val="single"/>
          <w:lang w:eastAsia="sl-SI"/>
        </w:rPr>
        <w:t>Izvajanje</w:t>
      </w:r>
      <w:r w:rsidRPr="00384247">
        <w:rPr>
          <w:rFonts w:ascii="Trebuchet MS" w:hAnsi="Trebuchet MS"/>
          <w:lang w:eastAsia="sl-SI"/>
        </w:rPr>
        <w:t xml:space="preserve"> ukrepov na vodovodnem omrežju – prilagajanje vodovodnih omrežij na večjo nestabilnost zemljin.</w:t>
      </w:r>
    </w:p>
    <w:p w14:paraId="419E7BA5" w14:textId="77777777" w:rsidR="00A74AF4" w:rsidRDefault="00A74AF4" w:rsidP="00A74AF4">
      <w:pPr>
        <w:rPr>
          <w:lang w:eastAsia="sl-SI"/>
        </w:rPr>
      </w:pPr>
      <w:r w:rsidRPr="00384247">
        <w:rPr>
          <w:lang w:eastAsia="sl-SI"/>
        </w:rPr>
        <w:t xml:space="preserve">Sposobnost prilagajanja ocenjujemo za zmerno, pri tem je potrebno poudarjeno izvajati predvsem ukrepe, ki so povezani z identifikacijo lokacij, kjer na trasi vodovodnih sistemov že prihaja do </w:t>
      </w:r>
      <w:r w:rsidRPr="00384247">
        <w:rPr>
          <w:lang w:eastAsia="sl-SI"/>
        </w:rPr>
        <w:lastRenderedPageBreak/>
        <w:t xml:space="preserve">nestabilnosti zemljin (zdrsi, zemeljskih plazovi, usadi). Terenov, kjer se prepoznava, ali pa bi ob poslabšanju stanja lahko prišlo do nestabilnosti zemljin (pogojno stabilna zemljišča) se je potrebno izogibati ali pa ob polaganju cevovodov hkrati izvajati tudi ukrepe stabilizacije plazin. </w:t>
      </w:r>
    </w:p>
    <w:p w14:paraId="77FA3118" w14:textId="77777777" w:rsidR="00A74AF4" w:rsidRPr="00384247" w:rsidRDefault="00A74AF4" w:rsidP="00A74AF4">
      <w:pPr>
        <w:rPr>
          <w:lang w:eastAsia="sl-SI"/>
        </w:rPr>
      </w:pPr>
      <w:r>
        <w:rPr>
          <w:lang w:eastAsia="sl-SI"/>
        </w:rPr>
        <w:t xml:space="preserve">Na območju občine Nova Gorica zaradi preteklih izkušenj obstaja visoka stopnja zavedanja nevarnosti zemeljskih plazov, zato je tudi zavedanje o potrebi po ustreznem polaganju vodov na njih ustrezno.  </w:t>
      </w:r>
    </w:p>
    <w:p w14:paraId="543A62D9" w14:textId="77777777" w:rsidR="00A74AF4" w:rsidRPr="00384247" w:rsidRDefault="00A74AF4" w:rsidP="00A74AF4">
      <w:pPr>
        <w:rPr>
          <w:lang w:eastAsia="sl-SI"/>
        </w:rPr>
      </w:pPr>
      <w:r w:rsidRPr="00384247">
        <w:rPr>
          <w:lang w:eastAsia="sl-SI"/>
        </w:rPr>
        <w:t xml:space="preserve">Večjo težavo predstavljajo odseki vodovodnega sistema, ki se že sedaj nahajajo na nestabilnih, plezljivih območjih. V takih primerih sta osnovna ukrepa prilagajanja dva: </w:t>
      </w:r>
    </w:p>
    <w:p w14:paraId="5EEF05DB" w14:textId="77777777" w:rsidR="00A74AF4" w:rsidRPr="00384247" w:rsidRDefault="00A74AF4" w:rsidP="00900691">
      <w:pPr>
        <w:pStyle w:val="Odstavekseznama"/>
        <w:numPr>
          <w:ilvl w:val="0"/>
          <w:numId w:val="48"/>
        </w:numPr>
        <w:rPr>
          <w:rFonts w:ascii="Trebuchet MS" w:hAnsi="Trebuchet MS"/>
          <w:lang w:eastAsia="sl-SI"/>
        </w:rPr>
      </w:pPr>
      <w:r w:rsidRPr="00384247">
        <w:rPr>
          <w:rFonts w:ascii="Trebuchet MS" w:hAnsi="Trebuchet MS"/>
          <w:lang w:eastAsia="sl-SI"/>
        </w:rPr>
        <w:t xml:space="preserve">Nadzor nad </w:t>
      </w:r>
      <w:proofErr w:type="spellStart"/>
      <w:r w:rsidRPr="00384247">
        <w:rPr>
          <w:rFonts w:ascii="Trebuchet MS" w:hAnsi="Trebuchet MS"/>
          <w:lang w:eastAsia="sl-SI"/>
        </w:rPr>
        <w:t>plazljivim</w:t>
      </w:r>
      <w:proofErr w:type="spellEnd"/>
      <w:r w:rsidRPr="00384247">
        <w:rPr>
          <w:rFonts w:ascii="Trebuchet MS" w:hAnsi="Trebuchet MS"/>
          <w:lang w:eastAsia="sl-SI"/>
        </w:rPr>
        <w:t xml:space="preserve"> območjem in izvajanje ukrepov s katerimi se območje stabilizira (predvsem izvedba in vzdrževanje ustreznih drenažnih sistemov). </w:t>
      </w:r>
    </w:p>
    <w:p w14:paraId="12C09966" w14:textId="475A83C7" w:rsidR="00A74AF4" w:rsidRPr="00384247" w:rsidRDefault="00A74AF4" w:rsidP="00900691">
      <w:pPr>
        <w:pStyle w:val="Odstavekseznama"/>
        <w:numPr>
          <w:ilvl w:val="0"/>
          <w:numId w:val="48"/>
        </w:numPr>
        <w:spacing w:after="120"/>
        <w:rPr>
          <w:rFonts w:ascii="Trebuchet MS" w:hAnsi="Trebuchet MS"/>
          <w:lang w:eastAsia="sl-SI"/>
        </w:rPr>
      </w:pPr>
      <w:r w:rsidRPr="00384247">
        <w:rPr>
          <w:rFonts w:ascii="Trebuchet MS" w:hAnsi="Trebuchet MS"/>
          <w:lang w:eastAsia="sl-SI"/>
        </w:rPr>
        <w:t xml:space="preserve">Dolgoročni </w:t>
      </w:r>
      <w:r w:rsidR="0053398A">
        <w:rPr>
          <w:rFonts w:ascii="Trebuchet MS" w:hAnsi="Trebuchet MS"/>
          <w:lang w:eastAsia="sl-SI"/>
        </w:rPr>
        <w:t>umik</w:t>
      </w:r>
      <w:r w:rsidR="0053398A" w:rsidRPr="00384247">
        <w:rPr>
          <w:rFonts w:ascii="Trebuchet MS" w:hAnsi="Trebuchet MS"/>
          <w:lang w:eastAsia="sl-SI"/>
        </w:rPr>
        <w:t xml:space="preserve"> </w:t>
      </w:r>
      <w:r w:rsidRPr="00384247">
        <w:rPr>
          <w:rFonts w:ascii="Trebuchet MS" w:hAnsi="Trebuchet MS"/>
          <w:lang w:eastAsia="sl-SI"/>
        </w:rPr>
        <w:t xml:space="preserve">trase vodovoda iz potencialno </w:t>
      </w:r>
      <w:proofErr w:type="spellStart"/>
      <w:r w:rsidRPr="00384247">
        <w:rPr>
          <w:rFonts w:ascii="Trebuchet MS" w:hAnsi="Trebuchet MS"/>
          <w:lang w:eastAsia="sl-SI"/>
        </w:rPr>
        <w:t>plazljivih</w:t>
      </w:r>
      <w:proofErr w:type="spellEnd"/>
      <w:r w:rsidRPr="00384247">
        <w:rPr>
          <w:rFonts w:ascii="Trebuchet MS" w:hAnsi="Trebuchet MS"/>
          <w:lang w:eastAsia="sl-SI"/>
        </w:rPr>
        <w:t xml:space="preserve"> območij (če je to tehnično oz. ekonomsko sploh izvedljivo). </w:t>
      </w:r>
    </w:p>
    <w:p w14:paraId="5037731F" w14:textId="305CF0DE" w:rsidR="007F04FA" w:rsidRDefault="00A74AF4" w:rsidP="00A74AF4">
      <w:pPr>
        <w:rPr>
          <w:lang w:eastAsia="sl-SI"/>
        </w:rPr>
      </w:pPr>
      <w:r w:rsidRPr="00384247">
        <w:rPr>
          <w:lang w:eastAsia="sl-SI"/>
        </w:rPr>
        <w:t xml:space="preserve">Oba ukrepa sta lahko ekonomsko precej zahtevna že za obstoječe stanje, v primeru poslabšanja stabilnosti zemljišč zaradi podnebnih sprememb pa lahko pride do akutnih stanj, ko bi se lahko hkrati na več odsekih v specifičnem padavinskem dogodku sprožilo več plazov, ki bi poškodovali cevi vodovodnega sistema. Prav zato je preventivna identifikacija, izvajanje nadzora nad stabilnostjo zemljišč in preventivni ukrepi (drenaža) izredno pomembna. </w:t>
      </w:r>
    </w:p>
    <w:p w14:paraId="2E75A71A" w14:textId="77777777" w:rsidR="007F04FA" w:rsidRPr="007F04FA" w:rsidRDefault="007F04FA" w:rsidP="00CE43D7">
      <w:pPr>
        <w:pStyle w:val="Naslov4"/>
      </w:pPr>
      <w:r w:rsidRPr="007F04FA">
        <w:t>Sposobnost prilagajanja na podnebne spremembe – Vpliv poplavne nevarnosti na vodovodne sisteme</w:t>
      </w:r>
    </w:p>
    <w:p w14:paraId="0C3F0794" w14:textId="77777777" w:rsidR="00A74AF4" w:rsidRPr="00384247" w:rsidRDefault="00A74AF4" w:rsidP="00A74AF4">
      <w:pPr>
        <w:rPr>
          <w:lang w:eastAsia="sl-SI"/>
        </w:rPr>
      </w:pPr>
      <w:r w:rsidRPr="00384247">
        <w:rPr>
          <w:lang w:eastAsia="sl-SI"/>
        </w:rPr>
        <w:t xml:space="preserve">Vpliv poplavne nevarnosti na delovanje vodovodnih sistemov v občini </w:t>
      </w:r>
      <w:r>
        <w:rPr>
          <w:lang w:eastAsia="sl-SI"/>
        </w:rPr>
        <w:t xml:space="preserve">Nova Gorica </w:t>
      </w:r>
      <w:r w:rsidRPr="00384247">
        <w:rPr>
          <w:lang w:eastAsia="sl-SI"/>
        </w:rPr>
        <w:t xml:space="preserve">je ocenjen kot nizek. Prav tako so ukrepi prilagajanja različnih komponent vodovodnih sistemov v osnovi dokaj enostavni, saj so samo nekatere komponente (predvsem vodnjaki, črpalke, SCADA, komunikacije) v primeru neustrezne izvedbe (ustrezna IP zaščita, primerna umestitev nad koto poplav) ranljivi na poplavno nevarnost. </w:t>
      </w:r>
    </w:p>
    <w:p w14:paraId="691266B2" w14:textId="77777777" w:rsidR="00A74AF4" w:rsidRDefault="00A74AF4" w:rsidP="00A74AF4">
      <w:pPr>
        <w:rPr>
          <w:lang w:eastAsia="sl-SI"/>
        </w:rPr>
      </w:pPr>
      <w:r w:rsidRPr="00384247">
        <w:rPr>
          <w:lang w:eastAsia="sl-SI"/>
        </w:rPr>
        <w:t>Osnovni ukrep je zato spremljanje stanja poplavne nevarnosti in predvidenih sprememb poplavne nevarnosti v pogojih podnebnih sprememb in ustrezno prilagajanje ranljivih komponent vodovodnega sistema. V Sloveniji smo v preteklosti že obravnavali primere, ko izvajalci teh, dokaj enostavnih, nalog spremljanja in prilagajanja niso izvajali. Pri tem je prišlo ob poplavnih dogodkih do znatnih poškodb in daljšega izpada delovanja vodovodnega sistema. Zato tudi moramo ob relativno enostavnih ukrepih prilagajanja izpostaviti to, da se na te ukrepe enostavno ne pozabi.</w:t>
      </w:r>
    </w:p>
    <w:p w14:paraId="3D616993" w14:textId="1425E8F2" w:rsidR="00A74AF4" w:rsidRDefault="00A74AF4">
      <w:pPr>
        <w:jc w:val="left"/>
        <w:rPr>
          <w:lang w:eastAsia="sl-SI"/>
        </w:rPr>
      </w:pPr>
      <w:r>
        <w:rPr>
          <w:lang w:eastAsia="sl-SI"/>
        </w:rPr>
        <w:br w:type="page"/>
      </w:r>
    </w:p>
    <w:p w14:paraId="0F9C1887" w14:textId="77777777" w:rsidR="007F04FA" w:rsidRDefault="007F04FA" w:rsidP="00853182">
      <w:pPr>
        <w:pStyle w:val="Naslov3"/>
      </w:pPr>
      <w:bookmarkStart w:id="498" w:name="_Toc65412255"/>
      <w:bookmarkStart w:id="499" w:name="_Toc97026805"/>
      <w:r w:rsidRPr="00B14994">
        <w:lastRenderedPageBreak/>
        <w:t xml:space="preserve">Ocena ranljivosti </w:t>
      </w:r>
      <w:r>
        <w:t>sektorja vodovodni sistemi</w:t>
      </w:r>
      <w:bookmarkEnd w:id="498"/>
      <w:bookmarkEnd w:id="499"/>
    </w:p>
    <w:p w14:paraId="10EE77C4" w14:textId="77777777" w:rsidR="00A74AF4" w:rsidRPr="00384247" w:rsidRDefault="00A74AF4" w:rsidP="00A74AF4">
      <w:pPr>
        <w:rPr>
          <w:lang w:eastAsia="sl-SI"/>
        </w:rPr>
      </w:pPr>
      <w:r>
        <w:rPr>
          <w:lang w:eastAsia="sl-SI"/>
        </w:rPr>
        <w:t xml:space="preserve">Ranljivost sektorja se oceni na podlagi oceni potencialnih vplivov (poglavje </w:t>
      </w:r>
      <w:r>
        <w:rPr>
          <w:lang w:eastAsia="sl-SI"/>
        </w:rPr>
        <w:fldChar w:fldCharType="begin"/>
      </w:r>
      <w:r>
        <w:rPr>
          <w:lang w:eastAsia="sl-SI"/>
        </w:rPr>
        <w:instrText xml:space="preserve"> REF _Ref39140086 \r \h </w:instrText>
      </w:r>
      <w:r>
        <w:rPr>
          <w:lang w:eastAsia="sl-SI"/>
        </w:rPr>
      </w:r>
      <w:r>
        <w:rPr>
          <w:lang w:eastAsia="sl-SI"/>
        </w:rPr>
        <w:fldChar w:fldCharType="separate"/>
      </w:r>
      <w:r>
        <w:rPr>
          <w:lang w:eastAsia="sl-SI"/>
        </w:rPr>
        <w:t>6.1.4</w:t>
      </w:r>
      <w:r>
        <w:rPr>
          <w:lang w:eastAsia="sl-SI"/>
        </w:rPr>
        <w:fldChar w:fldCharType="end"/>
      </w:r>
      <w:r>
        <w:rPr>
          <w:lang w:eastAsia="sl-SI"/>
        </w:rPr>
        <w:t xml:space="preserve">) in oceni </w:t>
      </w:r>
      <w:r w:rsidRPr="00384247">
        <w:rPr>
          <w:lang w:eastAsia="sl-SI"/>
        </w:rPr>
        <w:t xml:space="preserve">sposobnosti prilagajanja (poglavje </w:t>
      </w:r>
      <w:r w:rsidRPr="00384247">
        <w:rPr>
          <w:lang w:eastAsia="sl-SI"/>
        </w:rPr>
        <w:fldChar w:fldCharType="begin"/>
      </w:r>
      <w:r w:rsidRPr="00384247">
        <w:rPr>
          <w:lang w:eastAsia="sl-SI"/>
        </w:rPr>
        <w:instrText xml:space="preserve"> REF _Ref39140096 \r \h </w:instrText>
      </w:r>
      <w:r>
        <w:rPr>
          <w:lang w:eastAsia="sl-SI"/>
        </w:rPr>
        <w:instrText xml:space="preserve"> \* MERGEFORMAT </w:instrText>
      </w:r>
      <w:r w:rsidRPr="00384247">
        <w:rPr>
          <w:lang w:eastAsia="sl-SI"/>
        </w:rPr>
      </w:r>
      <w:r w:rsidRPr="00384247">
        <w:rPr>
          <w:lang w:eastAsia="sl-SI"/>
        </w:rPr>
        <w:fldChar w:fldCharType="separate"/>
      </w:r>
      <w:r w:rsidRPr="00384247">
        <w:rPr>
          <w:lang w:eastAsia="sl-SI"/>
        </w:rPr>
        <w:t>6.1.5</w:t>
      </w:r>
      <w:r w:rsidRPr="00384247">
        <w:rPr>
          <w:lang w:eastAsia="sl-SI"/>
        </w:rPr>
        <w:fldChar w:fldCharType="end"/>
      </w:r>
      <w:r w:rsidRPr="00384247">
        <w:rPr>
          <w:lang w:eastAsia="sl-SI"/>
        </w:rPr>
        <w:t>).</w:t>
      </w:r>
    </w:p>
    <w:p w14:paraId="277549DC" w14:textId="77777777" w:rsidR="00A74AF4" w:rsidRDefault="00A74AF4" w:rsidP="00A74AF4">
      <w:pPr>
        <w:rPr>
          <w:lang w:eastAsia="sl-SI"/>
        </w:rPr>
      </w:pPr>
      <w:r w:rsidRPr="00384247">
        <w:rPr>
          <w:lang w:eastAsia="sl-SI"/>
        </w:rPr>
        <w:t xml:space="preserve">Analiza potencialnih vplivov podnebnih sprememb na delovanje vodovodnih sistemov je, glede na navedeno povezana predvsem s pojavom vročinskih valov. V času vročinskih valov se za </w:t>
      </w:r>
      <w:r>
        <w:rPr>
          <w:lang w:eastAsia="sl-SI"/>
        </w:rPr>
        <w:t xml:space="preserve">vse vodovodne sisteme, predvsem pa za končne krake tega sistema, ki oskrbujejo manjše število prebivalcev </w:t>
      </w:r>
      <w:r w:rsidRPr="00384247">
        <w:rPr>
          <w:lang w:eastAsia="sl-SI"/>
        </w:rPr>
        <w:t>povečuje verjetnost pojava previsokih temperatur, ki vplivajo na kakovost vode dobavljene uporabnikom.</w:t>
      </w:r>
    </w:p>
    <w:p w14:paraId="60DCC52D" w14:textId="2F583F2A" w:rsidR="007F04FA" w:rsidRDefault="007F04FA" w:rsidP="007F04FA">
      <w:pPr>
        <w:pStyle w:val="Napis"/>
        <w:keepNext/>
      </w:pPr>
      <w:bookmarkStart w:id="500" w:name="_Toc97026995"/>
      <w:r>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42</w:t>
      </w:r>
      <w:r w:rsidR="00976D80">
        <w:fldChar w:fldCharType="end"/>
      </w:r>
      <w:r>
        <w:t>: Ocena ranljivosti sektorja vodovodni sistem v sedanjosti.</w:t>
      </w:r>
      <w:bookmarkEnd w:id="500"/>
    </w:p>
    <w:p w14:paraId="12240E12" w14:textId="2033B123" w:rsidR="007F04FA" w:rsidRDefault="007F04FA" w:rsidP="007F04FA">
      <w:pPr>
        <w:rPr>
          <w:lang w:eastAsia="sl-SI"/>
        </w:rPr>
      </w:pPr>
      <w:r>
        <w:rPr>
          <w:noProof/>
          <w:lang w:eastAsia="sl-SI"/>
        </w:rPr>
        <w:drawing>
          <wp:inline distT="0" distB="0" distL="0" distR="0" wp14:anchorId="14F23499" wp14:editId="0658B50A">
            <wp:extent cx="6166884" cy="4787520"/>
            <wp:effectExtent l="0" t="0" r="571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noChangeArrowheads="1"/>
                    </pic:cNvPicPr>
                  </pic:nvPicPr>
                  <pic:blipFill>
                    <a:blip r:embed="rId238">
                      <a:extLst>
                        <a:ext uri="{28A0092B-C50C-407E-A947-70E740481C1C}">
                          <a14:useLocalDpi xmlns:a14="http://schemas.microsoft.com/office/drawing/2010/main" val="0"/>
                        </a:ext>
                      </a:extLst>
                    </a:blip>
                    <a:stretch>
                      <a:fillRect/>
                    </a:stretch>
                  </pic:blipFill>
                  <pic:spPr bwMode="auto">
                    <a:xfrm>
                      <a:off x="0" y="0"/>
                      <a:ext cx="6171754" cy="4791301"/>
                    </a:xfrm>
                    <a:prstGeom prst="rect">
                      <a:avLst/>
                    </a:prstGeom>
                    <a:noFill/>
                    <a:ln>
                      <a:noFill/>
                    </a:ln>
                  </pic:spPr>
                </pic:pic>
              </a:graphicData>
            </a:graphic>
          </wp:inline>
        </w:drawing>
      </w:r>
    </w:p>
    <w:p w14:paraId="7A1F5E0F" w14:textId="77777777" w:rsidR="00642FD9" w:rsidRDefault="00642FD9" w:rsidP="007F04FA">
      <w:pPr>
        <w:rPr>
          <w:lang w:eastAsia="sl-SI"/>
        </w:rPr>
      </w:pPr>
    </w:p>
    <w:p w14:paraId="0CFC245A" w14:textId="77777777" w:rsidR="00853182" w:rsidRDefault="00853182" w:rsidP="00853182">
      <w:pPr>
        <w:pStyle w:val="Naslov3"/>
      </w:pPr>
      <w:bookmarkStart w:id="501" w:name="_Toc65412256"/>
      <w:bookmarkStart w:id="502" w:name="_Toc97026806"/>
      <w:r w:rsidRPr="00B14994">
        <w:t>Ocena tveganja</w:t>
      </w:r>
      <w:r>
        <w:t xml:space="preserve"> sektorja vodovodni sistemi</w:t>
      </w:r>
      <w:bookmarkEnd w:id="501"/>
      <w:bookmarkEnd w:id="502"/>
    </w:p>
    <w:p w14:paraId="137E9B80" w14:textId="3B7BBC37" w:rsidR="007F04FA" w:rsidRDefault="007F04FA" w:rsidP="007F04FA">
      <w:pPr>
        <w:rPr>
          <w:lang w:eastAsia="sl-SI"/>
        </w:rPr>
      </w:pPr>
      <w:r>
        <w:rPr>
          <w:lang w:eastAsia="sl-SI"/>
        </w:rPr>
        <w:t xml:space="preserve">Analiza potencialnih vplivov podnebnih sprememb je pokazala, da so si vplivi med seboj zelo podobni, ne glede na podnebni scenarij ali tridesetletno obdobje. Zato jih na tem mestu obravnavamo skupaj. Več podrobnosti si lahko preberete v poglavju </w:t>
      </w:r>
      <w:r w:rsidR="006D4604">
        <w:rPr>
          <w:lang w:eastAsia="sl-SI"/>
        </w:rPr>
        <w:fldChar w:fldCharType="begin"/>
      </w:r>
      <w:r w:rsidR="006D4604">
        <w:rPr>
          <w:lang w:eastAsia="sl-SI"/>
        </w:rPr>
        <w:instrText xml:space="preserve"> REF _Ref65431689 \r \h </w:instrText>
      </w:r>
      <w:r w:rsidR="006D4604">
        <w:rPr>
          <w:lang w:eastAsia="sl-SI"/>
        </w:rPr>
      </w:r>
      <w:r w:rsidR="006D4604">
        <w:rPr>
          <w:lang w:eastAsia="sl-SI"/>
        </w:rPr>
        <w:fldChar w:fldCharType="separate"/>
      </w:r>
      <w:r w:rsidR="004700D5">
        <w:rPr>
          <w:lang w:eastAsia="sl-SI"/>
        </w:rPr>
        <w:t>6.6.4</w:t>
      </w:r>
      <w:r w:rsidR="006D4604">
        <w:rPr>
          <w:lang w:eastAsia="sl-SI"/>
        </w:rPr>
        <w:fldChar w:fldCharType="end"/>
      </w:r>
      <w:r>
        <w:rPr>
          <w:lang w:eastAsia="sl-SI"/>
        </w:rPr>
        <w:t>.</w:t>
      </w:r>
    </w:p>
    <w:p w14:paraId="7B204175" w14:textId="3F1886DA" w:rsidR="007F04FA" w:rsidRDefault="007F04FA" w:rsidP="007F04FA">
      <w:pPr>
        <w:pStyle w:val="Napis"/>
        <w:keepNext/>
      </w:pPr>
      <w:bookmarkStart w:id="503" w:name="_Toc97026996"/>
      <w:r>
        <w:lastRenderedPageBreak/>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43</w:t>
      </w:r>
      <w:r w:rsidR="00976D80">
        <w:fldChar w:fldCharType="end"/>
      </w:r>
      <w:r>
        <w:t>:</w:t>
      </w:r>
      <w:r w:rsidRPr="0096709C">
        <w:t xml:space="preserve"> </w:t>
      </w:r>
      <w:r w:rsidRPr="009F356E">
        <w:t xml:space="preserve">Ocena ranljivosti in tveganja </w:t>
      </w:r>
      <w:r>
        <w:t>vodovodnega sistema</w:t>
      </w:r>
      <w:r w:rsidRPr="009F356E">
        <w:t xml:space="preserve"> na podnebne spremembe v prihodnosti.</w:t>
      </w:r>
      <w:bookmarkEnd w:id="503"/>
    </w:p>
    <w:p w14:paraId="1F7C1C0B" w14:textId="77777777" w:rsidR="007F04FA" w:rsidRDefault="007F04FA" w:rsidP="007F04FA">
      <w:pPr>
        <w:rPr>
          <w:noProof/>
          <w:lang w:eastAsia="sl-SI"/>
        </w:rPr>
      </w:pPr>
      <w:r>
        <w:rPr>
          <w:noProof/>
          <w:lang w:eastAsia="sl-SI"/>
        </w:rPr>
        <w:drawing>
          <wp:inline distT="0" distB="0" distL="0" distR="0" wp14:anchorId="33489529" wp14:editId="49BDFFFB">
            <wp:extent cx="7500794" cy="4705295"/>
            <wp:effectExtent l="7302" t="0" r="0" b="0"/>
            <wp:docPr id="103"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lika 25"/>
                    <pic:cNvPicPr/>
                  </pic:nvPicPr>
                  <pic:blipFill>
                    <a:blip r:embed="rId35">
                      <a:extLst>
                        <a:ext uri="{28A0092B-C50C-407E-A947-70E740481C1C}">
                          <a14:useLocalDpi xmlns:a14="http://schemas.microsoft.com/office/drawing/2010/main" val="0"/>
                        </a:ext>
                      </a:extLst>
                    </a:blip>
                    <a:stretch>
                      <a:fillRect/>
                    </a:stretch>
                  </pic:blipFill>
                  <pic:spPr>
                    <a:xfrm rot="16200000">
                      <a:off x="0" y="0"/>
                      <a:ext cx="7500794" cy="4705295"/>
                    </a:xfrm>
                    <a:prstGeom prst="rect">
                      <a:avLst/>
                    </a:prstGeom>
                  </pic:spPr>
                </pic:pic>
              </a:graphicData>
            </a:graphic>
          </wp:inline>
        </w:drawing>
      </w:r>
    </w:p>
    <w:p w14:paraId="3456C9E9" w14:textId="77777777" w:rsidR="007F04FA" w:rsidRDefault="007F04FA" w:rsidP="007F04FA">
      <w:pPr>
        <w:keepNext/>
        <w:jc w:val="center"/>
      </w:pPr>
      <w:r>
        <w:rPr>
          <w:noProof/>
          <w:lang w:eastAsia="sl-SI"/>
        </w:rPr>
        <w:lastRenderedPageBreak/>
        <w:drawing>
          <wp:inline distT="0" distB="0" distL="0" distR="0" wp14:anchorId="46C737B9" wp14:editId="65D0B19C">
            <wp:extent cx="5162550" cy="4599715"/>
            <wp:effectExtent l="0" t="0" r="0" b="0"/>
            <wp:docPr id="10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lika 24"/>
                    <pic:cNvPicPr/>
                  </pic:nvPicPr>
                  <pic:blipFill>
                    <a:blip r:embed="rId34">
                      <a:extLst>
                        <a:ext uri="{28A0092B-C50C-407E-A947-70E740481C1C}">
                          <a14:useLocalDpi xmlns:a14="http://schemas.microsoft.com/office/drawing/2010/main" val="0"/>
                        </a:ext>
                      </a:extLst>
                    </a:blip>
                    <a:stretch>
                      <a:fillRect/>
                    </a:stretch>
                  </pic:blipFill>
                  <pic:spPr>
                    <a:xfrm>
                      <a:off x="0" y="0"/>
                      <a:ext cx="5162550" cy="4599715"/>
                    </a:xfrm>
                    <a:prstGeom prst="rect">
                      <a:avLst/>
                    </a:prstGeom>
                  </pic:spPr>
                </pic:pic>
              </a:graphicData>
            </a:graphic>
          </wp:inline>
        </w:drawing>
      </w:r>
    </w:p>
    <w:p w14:paraId="008CC405" w14:textId="7584A4EB" w:rsidR="007F04FA" w:rsidRPr="0096709C" w:rsidRDefault="007F04FA" w:rsidP="007F04FA">
      <w:pPr>
        <w:pStyle w:val="Napis"/>
        <w:rPr>
          <w:rFonts w:ascii="Trebuchet MS" w:eastAsia="Calibri" w:hAnsi="Trebuchet MS"/>
          <w:noProof/>
          <w:lang w:eastAsia="sl-SI"/>
        </w:rPr>
      </w:pPr>
      <w:bookmarkStart w:id="504" w:name="_Toc97026908"/>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57</w:t>
      </w:r>
      <w:r w:rsidR="008334B2">
        <w:fldChar w:fldCharType="end"/>
      </w:r>
      <w:r>
        <w:t>:</w:t>
      </w:r>
      <w:r w:rsidRPr="0096709C">
        <w:t xml:space="preserve"> </w:t>
      </w:r>
      <w:r>
        <w:t>Shematski prikaz ocene ranljivosti posameznih segmentov sektorja vodovodni sistemi v referenčnem obdobju in v prihodnosti</w:t>
      </w:r>
      <w:bookmarkEnd w:id="504"/>
      <w:r>
        <w:t xml:space="preserve"> </w:t>
      </w:r>
    </w:p>
    <w:p w14:paraId="0C3C82C3" w14:textId="77777777" w:rsidR="007F04FA" w:rsidRDefault="007F04FA" w:rsidP="007F04FA">
      <w:pPr>
        <w:rPr>
          <w:lang w:eastAsia="sl-SI"/>
        </w:rPr>
      </w:pPr>
    </w:p>
    <w:p w14:paraId="72B096B4" w14:textId="77777777" w:rsidR="00853182" w:rsidRDefault="00853182" w:rsidP="00853182">
      <w:pPr>
        <w:pStyle w:val="Naslov3"/>
      </w:pPr>
      <w:bookmarkStart w:id="505" w:name="_Toc65412258"/>
      <w:bookmarkStart w:id="506" w:name="_Toc97026807"/>
      <w:r>
        <w:t>K</w:t>
      </w:r>
      <w:r w:rsidRPr="00B14994">
        <w:t>ljučna sporočila</w:t>
      </w:r>
      <w:r>
        <w:t xml:space="preserve"> sektorja vodovodni sistemi</w:t>
      </w:r>
      <w:bookmarkEnd w:id="505"/>
      <w:bookmarkEnd w:id="506"/>
    </w:p>
    <w:p w14:paraId="5DA18E51" w14:textId="77777777" w:rsidR="00A74AF4" w:rsidRDefault="00A74AF4" w:rsidP="00A74AF4">
      <w:pPr>
        <w:rPr>
          <w:lang w:eastAsia="sl-SI"/>
        </w:rPr>
      </w:pPr>
      <w:r>
        <w:rPr>
          <w:lang w:eastAsia="sl-SI"/>
        </w:rPr>
        <w:t xml:space="preserve">Ocena stanja delovanja vodovodnih sistemov na območju Mestne občine Nova Gorica je bila opravljena na podlagi razvitega modela spremljanja nevarnih dogodkov, ki je bil oblikovan v okviru projekta MUHA. Model sloni na poskusu razvoja popolnega kataloga nevarnih dogodkov za katerega se je tekom uporabe in verifikacije med partnerji izkazalo, da je dokaj popoln. </w:t>
      </w:r>
    </w:p>
    <w:p w14:paraId="19DD9584" w14:textId="77777777" w:rsidR="00A74AF4" w:rsidRDefault="00A74AF4" w:rsidP="00A74AF4">
      <w:pPr>
        <w:rPr>
          <w:lang w:eastAsia="sl-SI"/>
        </w:rPr>
      </w:pPr>
      <w:r>
        <w:rPr>
          <w:lang w:eastAsia="sl-SI"/>
        </w:rPr>
        <w:t>Podnebne spremembe spadajo v kategorijo zunanjih prožilcev nevarnih dogodkov (</w:t>
      </w:r>
      <w:proofErr w:type="spellStart"/>
      <w:r>
        <w:rPr>
          <w:lang w:eastAsia="sl-SI"/>
        </w:rPr>
        <w:t>external</w:t>
      </w:r>
      <w:proofErr w:type="spellEnd"/>
      <w:r>
        <w:rPr>
          <w:lang w:eastAsia="sl-SI"/>
        </w:rPr>
        <w:t xml:space="preserve"> </w:t>
      </w:r>
      <w:proofErr w:type="spellStart"/>
      <w:r>
        <w:rPr>
          <w:lang w:eastAsia="sl-SI"/>
        </w:rPr>
        <w:t>triggers</w:t>
      </w:r>
      <w:proofErr w:type="spellEnd"/>
      <w:r>
        <w:rPr>
          <w:lang w:eastAsia="sl-SI"/>
        </w:rPr>
        <w:t xml:space="preserve">). </w:t>
      </w:r>
    </w:p>
    <w:p w14:paraId="64BDA57E" w14:textId="77777777" w:rsidR="00A74AF4" w:rsidRPr="00725BD2" w:rsidRDefault="00A74AF4" w:rsidP="00A74AF4">
      <w:pPr>
        <w:rPr>
          <w:lang w:eastAsia="sl-SI"/>
        </w:rPr>
      </w:pPr>
      <w:r w:rsidRPr="00725BD2">
        <w:rPr>
          <w:lang w:eastAsia="sl-SI"/>
        </w:rPr>
        <w:t xml:space="preserve">Vodovodni sistemi (brez vodnih virov) so v splošnem z vidika vpliva podnebnih sprememb kot zunanjih faktorjev zelo robustni, saj morajo ob zelo različnih obratovalnih pogojih zagotavljati neprekinjeno oskrbo s pitno vodo. Pri tem so osnovne pričakovane spremembe pri delovanju vodovodnih sistemov v povezavi s podnebnimi spremembami povezani z: </w:t>
      </w:r>
    </w:p>
    <w:p w14:paraId="5A82C9FC" w14:textId="77777777" w:rsidR="00A74AF4" w:rsidRPr="00725BD2" w:rsidRDefault="00A74AF4" w:rsidP="00A74AF4">
      <w:pPr>
        <w:pStyle w:val="Odstavekseznama"/>
        <w:numPr>
          <w:ilvl w:val="1"/>
          <w:numId w:val="25"/>
        </w:numPr>
        <w:rPr>
          <w:rFonts w:ascii="Trebuchet MS" w:hAnsi="Trebuchet MS"/>
          <w:lang w:eastAsia="sl-SI"/>
        </w:rPr>
      </w:pPr>
      <w:r w:rsidRPr="00725BD2">
        <w:rPr>
          <w:rFonts w:ascii="Trebuchet MS" w:hAnsi="Trebuchet MS"/>
          <w:lang w:eastAsia="sl-SI"/>
        </w:rPr>
        <w:lastRenderedPageBreak/>
        <w:t xml:space="preserve">Spremembo (dvigom) povprečne dnevne temperature in posledično dvigom temperature vode v vodovodnem sistemu, kar ima lahko škodljiv vpliv na kakovost vode v vodovodnem sistemu. </w:t>
      </w:r>
    </w:p>
    <w:p w14:paraId="668BA202" w14:textId="77777777" w:rsidR="00A74AF4" w:rsidRPr="00384247" w:rsidRDefault="00A74AF4" w:rsidP="00A74AF4">
      <w:pPr>
        <w:pStyle w:val="Odstavekseznama"/>
        <w:numPr>
          <w:ilvl w:val="1"/>
          <w:numId w:val="25"/>
        </w:numPr>
        <w:spacing w:after="120"/>
        <w:ind w:left="1434" w:hanging="357"/>
        <w:rPr>
          <w:rFonts w:ascii="Trebuchet MS" w:hAnsi="Trebuchet MS"/>
          <w:lang w:eastAsia="sl-SI"/>
        </w:rPr>
      </w:pPr>
      <w:r w:rsidRPr="00725BD2">
        <w:rPr>
          <w:rFonts w:ascii="Trebuchet MS" w:hAnsi="Trebuchet MS"/>
          <w:lang w:eastAsia="sl-SI"/>
        </w:rPr>
        <w:t>Pojavom nestabilnosti zemljišč</w:t>
      </w:r>
      <w:r w:rsidRPr="00384247">
        <w:rPr>
          <w:rFonts w:ascii="Trebuchet MS" w:hAnsi="Trebuchet MS"/>
          <w:lang w:eastAsia="sl-SI"/>
        </w:rPr>
        <w:t xml:space="preserve"> in plazenjem </w:t>
      </w:r>
    </w:p>
    <w:p w14:paraId="15D32249" w14:textId="77777777" w:rsidR="00A74AF4" w:rsidRDefault="00A74AF4" w:rsidP="00A74AF4">
      <w:pPr>
        <w:rPr>
          <w:lang w:eastAsia="sl-SI"/>
        </w:rPr>
      </w:pPr>
      <w:r>
        <w:rPr>
          <w:lang w:eastAsia="sl-SI"/>
        </w:rPr>
        <w:t xml:space="preserve">Na območju občine Nova Gorica je sistem oskrbe s pitno vodo izpostavljen podnebnim spremembam z vidika potencialnega vpliva vročinskih valov na temperaturo vode v vodovodnem sistemu in s tem tudi na kakovost dobavljene vode. </w:t>
      </w:r>
    </w:p>
    <w:p w14:paraId="5FD71226" w14:textId="77777777" w:rsidR="00A74AF4" w:rsidRDefault="00A74AF4" w:rsidP="00A74AF4">
      <w:pPr>
        <w:rPr>
          <w:lang w:eastAsia="sl-SI"/>
        </w:rPr>
      </w:pPr>
      <w:r>
        <w:rPr>
          <w:lang w:eastAsia="sl-SI"/>
        </w:rPr>
        <w:t xml:space="preserve">Pri tem je potrebno opozoriti, da ima vodovodni sistem Nove Gorice (ID 1682) pa tudi drugi sistemi precej visoke vodne izgube. Izgube načeloma pozitivno vplivajo na starost vode v vodovodnem sistemu, s tem pa tudi na temperaturo vode v vodovodnem sistemu. Z zmanjševanjem izgub je potrebno biti dodatno pozoren na starost vode v vodovodnem sistemu. </w:t>
      </w:r>
    </w:p>
    <w:p w14:paraId="58E02E85" w14:textId="77777777" w:rsidR="00A74AF4" w:rsidRDefault="00A74AF4" w:rsidP="00A74AF4">
      <w:pPr>
        <w:rPr>
          <w:lang w:eastAsia="sl-SI"/>
        </w:rPr>
      </w:pPr>
      <w:r>
        <w:rPr>
          <w:lang w:eastAsia="sl-SI"/>
        </w:rPr>
        <w:t xml:space="preserve">Pomembna usmeritev, ki jo predlagamo je pričetek uvajanja standarda SIST EN 15975, ki ga predvideva nadgrajena evropska zakonodaja (Direktiva o pitni vodi 20/2184) s katerim je predvidena izdelava </w:t>
      </w:r>
      <w:r w:rsidRPr="00BB1FBE">
        <w:rPr>
          <w:lang w:eastAsia="sl-SI"/>
        </w:rPr>
        <w:t>načrt</w:t>
      </w:r>
      <w:r>
        <w:rPr>
          <w:lang w:eastAsia="sl-SI"/>
        </w:rPr>
        <w:t>a</w:t>
      </w:r>
      <w:r w:rsidRPr="00BB1FBE">
        <w:rPr>
          <w:lang w:eastAsia="sl-SI"/>
        </w:rPr>
        <w:t xml:space="preserve"> varne oskrbe z vodo</w:t>
      </w:r>
      <w:r>
        <w:rPr>
          <w:lang w:eastAsia="sl-SI"/>
        </w:rPr>
        <w:t xml:space="preserve">. Načrt varne oskrbe z vodo bo z vidika obvladovanja tveganj opredelil tako tveganja, kakor tudi detajlne ukrepe, ki so potrebni za prilagajanje pričakovanim podnebnim spremembam. Sestavni del je tudi postopek sprejema tehničnega pravilnika za vodovode, skladno z občinskim odlokom in načrtov za ukrepanje v primeru izrednih stanj: (1) izdelava programa ukrepov v primeru izrednih dogodkov na javnem vodovodu v skladu s predpisi, ki urejajo varstvo pred naravnimi in drugimi nesrečami, in (2)  izdelava programa ukrepov v primerih izrednih dogodkov zaradi onesnaženja, kar je oboje opredeljeno kot obvezna storitev javne službe po 22. členu Uredbe o oskrbi s pitno vodo (88/12). </w:t>
      </w:r>
    </w:p>
    <w:p w14:paraId="5DB1A944" w14:textId="77777777" w:rsidR="00853182" w:rsidRDefault="00853182" w:rsidP="00853182">
      <w:pPr>
        <w:rPr>
          <w:lang w:eastAsia="sl-SI"/>
        </w:rPr>
      </w:pPr>
    </w:p>
    <w:p w14:paraId="2C98F190" w14:textId="1C879D15" w:rsidR="00853182" w:rsidRDefault="00853182" w:rsidP="00853182">
      <w:pPr>
        <w:pStyle w:val="Naslov3"/>
      </w:pPr>
      <w:bookmarkStart w:id="507" w:name="_Toc65412259"/>
      <w:bookmarkStart w:id="508" w:name="_Toc97026808"/>
      <w:r w:rsidRPr="00B14994">
        <w:t>Viri</w:t>
      </w:r>
      <w:bookmarkEnd w:id="507"/>
      <w:bookmarkEnd w:id="508"/>
    </w:p>
    <w:p w14:paraId="63024D9E" w14:textId="77777777" w:rsidR="002B3E87" w:rsidRDefault="002B3E87" w:rsidP="002B3E87">
      <w:pPr>
        <w:rPr>
          <w:shd w:val="clear" w:color="auto" w:fill="FFFFFF"/>
        </w:rPr>
      </w:pPr>
      <w:r>
        <w:t xml:space="preserve">Agencija RS za okolje (ARSO)a. </w:t>
      </w:r>
      <w:r>
        <w:rPr>
          <w:shd w:val="clear" w:color="auto" w:fill="FFFFFF"/>
        </w:rPr>
        <w:t>Predvidena sprememba v številu in dolžini vročinskih valov v Sloveniji in pripadajoča zanesljivost spremembe, Slovenija, 2011-2040</w:t>
      </w:r>
    </w:p>
    <w:p w14:paraId="6A68A1E1" w14:textId="77777777" w:rsidR="002B3E87" w:rsidRDefault="002B3E87" w:rsidP="00A74AF4">
      <w:r>
        <w:t>Geološki zavod Slovenije (2005) Analiza pojavljanja plazov v Sloveniji in izdelava karte verjetnosti plazenj</w:t>
      </w:r>
    </w:p>
    <w:p w14:paraId="4B171BC4" w14:textId="77777777" w:rsidR="002B3E87" w:rsidRDefault="002B3E87" w:rsidP="002B3E87">
      <w:pPr>
        <w:rPr>
          <w:shd w:val="clear" w:color="auto" w:fill="FFFFFF"/>
        </w:rPr>
      </w:pPr>
      <w:proofErr w:type="spellStart"/>
      <w:r w:rsidRPr="001D4DED">
        <w:rPr>
          <w:shd w:val="clear" w:color="auto" w:fill="FFFFFF"/>
        </w:rPr>
        <w:t>Huggel</w:t>
      </w:r>
      <w:proofErr w:type="spellEnd"/>
      <w:r w:rsidRPr="001D4DED">
        <w:rPr>
          <w:shd w:val="clear" w:color="auto" w:fill="FFFFFF"/>
        </w:rPr>
        <w:t xml:space="preserve"> C., </w:t>
      </w:r>
      <w:proofErr w:type="spellStart"/>
      <w:r w:rsidRPr="001D4DED">
        <w:rPr>
          <w:shd w:val="clear" w:color="auto" w:fill="FFFFFF"/>
        </w:rPr>
        <w:t>Clague</w:t>
      </w:r>
      <w:proofErr w:type="spellEnd"/>
      <w:r w:rsidRPr="001D4DED">
        <w:rPr>
          <w:shd w:val="clear" w:color="auto" w:fill="FFFFFF"/>
        </w:rPr>
        <w:t xml:space="preserve"> J., </w:t>
      </w:r>
      <w:proofErr w:type="spellStart"/>
      <w:r w:rsidRPr="001D4DED">
        <w:rPr>
          <w:shd w:val="clear" w:color="auto" w:fill="FFFFFF"/>
        </w:rPr>
        <w:t>Korup</w:t>
      </w:r>
      <w:proofErr w:type="spellEnd"/>
      <w:r w:rsidRPr="001D4DED">
        <w:rPr>
          <w:shd w:val="clear" w:color="auto" w:fill="FFFFFF"/>
        </w:rPr>
        <w:t xml:space="preserve"> O. (2011) Is </w:t>
      </w:r>
      <w:proofErr w:type="spellStart"/>
      <w:r w:rsidRPr="001D4DED">
        <w:rPr>
          <w:shd w:val="clear" w:color="auto" w:fill="FFFFFF"/>
        </w:rPr>
        <w:t>climate</w:t>
      </w:r>
      <w:proofErr w:type="spellEnd"/>
      <w:r w:rsidRPr="001D4DED">
        <w:rPr>
          <w:shd w:val="clear" w:color="auto" w:fill="FFFFFF"/>
        </w:rPr>
        <w:t xml:space="preserve"> </w:t>
      </w:r>
      <w:proofErr w:type="spellStart"/>
      <w:r w:rsidRPr="001D4DED">
        <w:rPr>
          <w:shd w:val="clear" w:color="auto" w:fill="FFFFFF"/>
        </w:rPr>
        <w:t>change</w:t>
      </w:r>
      <w:proofErr w:type="spellEnd"/>
      <w:r w:rsidRPr="001D4DED">
        <w:rPr>
          <w:shd w:val="clear" w:color="auto" w:fill="FFFFFF"/>
        </w:rPr>
        <w:t xml:space="preserve"> </w:t>
      </w:r>
      <w:proofErr w:type="spellStart"/>
      <w:r w:rsidRPr="001D4DED">
        <w:rPr>
          <w:shd w:val="clear" w:color="auto" w:fill="FFFFFF"/>
        </w:rPr>
        <w:t>responsible</w:t>
      </w:r>
      <w:proofErr w:type="spellEnd"/>
      <w:r w:rsidRPr="001D4DED">
        <w:rPr>
          <w:shd w:val="clear" w:color="auto" w:fill="FFFFFF"/>
        </w:rPr>
        <w:t xml:space="preserve"> </w:t>
      </w:r>
      <w:proofErr w:type="spellStart"/>
      <w:r w:rsidRPr="001D4DED">
        <w:rPr>
          <w:shd w:val="clear" w:color="auto" w:fill="FFFFFF"/>
        </w:rPr>
        <w:t>for</w:t>
      </w:r>
      <w:proofErr w:type="spellEnd"/>
      <w:r w:rsidRPr="001D4DED">
        <w:rPr>
          <w:shd w:val="clear" w:color="auto" w:fill="FFFFFF"/>
        </w:rPr>
        <w:t xml:space="preserve"> </w:t>
      </w:r>
      <w:proofErr w:type="spellStart"/>
      <w:r w:rsidRPr="001D4DED">
        <w:rPr>
          <w:shd w:val="clear" w:color="auto" w:fill="FFFFFF"/>
        </w:rPr>
        <w:t>changing</w:t>
      </w:r>
      <w:proofErr w:type="spellEnd"/>
      <w:r w:rsidRPr="001D4DED">
        <w:rPr>
          <w:shd w:val="clear" w:color="auto" w:fill="FFFFFF"/>
        </w:rPr>
        <w:t xml:space="preserve"> </w:t>
      </w:r>
      <w:proofErr w:type="spellStart"/>
      <w:r w:rsidRPr="001D4DED">
        <w:rPr>
          <w:shd w:val="clear" w:color="auto" w:fill="FFFFFF"/>
        </w:rPr>
        <w:t>landslide</w:t>
      </w:r>
      <w:proofErr w:type="spellEnd"/>
      <w:r w:rsidRPr="001D4DED">
        <w:rPr>
          <w:shd w:val="clear" w:color="auto" w:fill="FFFFFF"/>
        </w:rPr>
        <w:t xml:space="preserve"> </w:t>
      </w:r>
      <w:proofErr w:type="spellStart"/>
      <w:r w:rsidRPr="001D4DED">
        <w:rPr>
          <w:shd w:val="clear" w:color="auto" w:fill="FFFFFF"/>
        </w:rPr>
        <w:t>activity</w:t>
      </w:r>
      <w:proofErr w:type="spellEnd"/>
      <w:r w:rsidRPr="001D4DED">
        <w:rPr>
          <w:shd w:val="clear" w:color="auto" w:fill="FFFFFF"/>
        </w:rPr>
        <w:t xml:space="preserve"> in </w:t>
      </w:r>
      <w:proofErr w:type="spellStart"/>
      <w:r w:rsidRPr="001D4DED">
        <w:rPr>
          <w:shd w:val="clear" w:color="auto" w:fill="FFFFFF"/>
        </w:rPr>
        <w:t>high</w:t>
      </w:r>
      <w:proofErr w:type="spellEnd"/>
      <w:r w:rsidRPr="001D4DED">
        <w:rPr>
          <w:shd w:val="clear" w:color="auto" w:fill="FFFFFF"/>
        </w:rPr>
        <w:t xml:space="preserve"> </w:t>
      </w:r>
      <w:proofErr w:type="spellStart"/>
      <w:r w:rsidRPr="001D4DED">
        <w:rPr>
          <w:shd w:val="clear" w:color="auto" w:fill="FFFFFF"/>
        </w:rPr>
        <w:t>mountains</w:t>
      </w:r>
      <w:proofErr w:type="spellEnd"/>
      <w:r w:rsidRPr="001D4DED">
        <w:rPr>
          <w:shd w:val="clear" w:color="auto" w:fill="FFFFFF"/>
        </w:rPr>
        <w:t xml:space="preserve">? </w:t>
      </w:r>
      <w:proofErr w:type="spellStart"/>
      <w:r w:rsidRPr="001D4DED">
        <w:rPr>
          <w:shd w:val="clear" w:color="auto" w:fill="FFFFFF"/>
        </w:rPr>
        <w:t>Earth</w:t>
      </w:r>
      <w:proofErr w:type="spellEnd"/>
      <w:r w:rsidRPr="001D4DED">
        <w:rPr>
          <w:shd w:val="clear" w:color="auto" w:fill="FFFFFF"/>
        </w:rPr>
        <w:t xml:space="preserve"> </w:t>
      </w:r>
      <w:proofErr w:type="spellStart"/>
      <w:r w:rsidRPr="001D4DED">
        <w:rPr>
          <w:shd w:val="clear" w:color="auto" w:fill="FFFFFF"/>
        </w:rPr>
        <w:t>Surface</w:t>
      </w:r>
      <w:proofErr w:type="spellEnd"/>
      <w:r w:rsidRPr="001D4DED">
        <w:rPr>
          <w:shd w:val="clear" w:color="auto" w:fill="FFFFFF"/>
        </w:rPr>
        <w:t xml:space="preserve"> </w:t>
      </w:r>
      <w:proofErr w:type="spellStart"/>
      <w:r w:rsidRPr="001D4DED">
        <w:rPr>
          <w:shd w:val="clear" w:color="auto" w:fill="FFFFFF"/>
        </w:rPr>
        <w:t>P</w:t>
      </w:r>
      <w:r>
        <w:rPr>
          <w:shd w:val="clear" w:color="auto" w:fill="FFFFFF"/>
        </w:rPr>
        <w:t>r</w:t>
      </w:r>
      <w:r w:rsidRPr="001D4DED">
        <w:rPr>
          <w:shd w:val="clear" w:color="auto" w:fill="FFFFFF"/>
        </w:rPr>
        <w:t>ocesses</w:t>
      </w:r>
      <w:proofErr w:type="spellEnd"/>
      <w:r w:rsidRPr="001D4DED">
        <w:rPr>
          <w:shd w:val="clear" w:color="auto" w:fill="FFFFFF"/>
        </w:rPr>
        <w:t xml:space="preserve"> </w:t>
      </w:r>
      <w:proofErr w:type="spellStart"/>
      <w:r w:rsidRPr="001D4DED">
        <w:rPr>
          <w:shd w:val="clear" w:color="auto" w:fill="FFFFFF"/>
        </w:rPr>
        <w:t>and</w:t>
      </w:r>
      <w:proofErr w:type="spellEnd"/>
      <w:r w:rsidRPr="001D4DED">
        <w:rPr>
          <w:shd w:val="clear" w:color="auto" w:fill="FFFFFF"/>
        </w:rPr>
        <w:t xml:space="preserve"> </w:t>
      </w:r>
      <w:proofErr w:type="spellStart"/>
      <w:r w:rsidRPr="001D4DED">
        <w:rPr>
          <w:shd w:val="clear" w:color="auto" w:fill="FFFFFF"/>
        </w:rPr>
        <w:t>Ladforms</w:t>
      </w:r>
      <w:proofErr w:type="spellEnd"/>
      <w:r w:rsidRPr="001D4DED">
        <w:rPr>
          <w:shd w:val="clear" w:color="auto" w:fill="FFFFFF"/>
        </w:rPr>
        <w:t xml:space="preserve">; Vol. 37, </w:t>
      </w:r>
      <w:hyperlink r:id="rId239" w:history="1">
        <w:r w:rsidRPr="008B54FD">
          <w:rPr>
            <w:rStyle w:val="Hiperpovezava"/>
            <w:shd w:val="clear" w:color="auto" w:fill="FFFFFF"/>
          </w:rPr>
          <w:t>https://doi.org/10.1002/esp.2223</w:t>
        </w:r>
      </w:hyperlink>
    </w:p>
    <w:p w14:paraId="5090FEAD" w14:textId="77777777" w:rsidR="002B3E87" w:rsidRDefault="002B3E87" w:rsidP="002B3E87">
      <w:pPr>
        <w:tabs>
          <w:tab w:val="center" w:pos="2833"/>
        </w:tabs>
        <w:jc w:val="left"/>
      </w:pPr>
      <w:r>
        <w:t xml:space="preserve">PROGRAM OSKRBE S PITNO VODO MESTNA OBČINA NOVA GORICA, Pripravil: Vodovodi in Kanalizacija Nova Gorica </w:t>
      </w:r>
      <w:proofErr w:type="spellStart"/>
      <w:r>
        <w:t>d.d</w:t>
      </w:r>
      <w:proofErr w:type="spellEnd"/>
      <w:r>
        <w:t>., 27.09.2017</w:t>
      </w:r>
    </w:p>
    <w:p w14:paraId="65870FD5" w14:textId="77777777" w:rsidR="002B3E87" w:rsidRDefault="002B3E87" w:rsidP="002B3E87">
      <w:pPr>
        <w:rPr>
          <w:shd w:val="clear" w:color="auto" w:fill="FFFFFF"/>
        </w:rPr>
      </w:pPr>
      <w:r>
        <w:rPr>
          <w:shd w:val="clear" w:color="auto" w:fill="FFFFFF"/>
        </w:rPr>
        <w:t xml:space="preserve">Projekt MASPREM </w:t>
      </w:r>
      <w:r w:rsidRPr="00752DB8">
        <w:rPr>
          <w:shd w:val="clear" w:color="auto" w:fill="FFFFFF"/>
        </w:rPr>
        <w:t>Sistem zgodnjega opozarjanja za primer nevarnosti proženja zemeljskih plazov - MASPREM - 11/13</w:t>
      </w:r>
      <w:r>
        <w:rPr>
          <w:shd w:val="clear" w:color="auto" w:fill="FFFFFF"/>
        </w:rPr>
        <w:t xml:space="preserve">; 15/16. </w:t>
      </w:r>
      <w:r w:rsidRPr="00752DB8">
        <w:rPr>
          <w:shd w:val="clear" w:color="auto" w:fill="FFFFFF"/>
        </w:rPr>
        <w:t>http://www.sos112.si/slo/page.php?src=sv51.htm</w:t>
      </w:r>
    </w:p>
    <w:p w14:paraId="0977482E" w14:textId="77777777" w:rsidR="002B3E87" w:rsidRDefault="002B3E87" w:rsidP="002B3E87">
      <w:pPr>
        <w:rPr>
          <w:shd w:val="clear" w:color="auto" w:fill="FFFFFF"/>
        </w:rPr>
      </w:pPr>
      <w:r w:rsidRPr="006067A1">
        <w:rPr>
          <w:shd w:val="clear" w:color="auto" w:fill="FFFFFF"/>
        </w:rPr>
        <w:t>Projekt MUHA (interno) – Katalog nevarnih dogodkov (stanje december 2020).</w:t>
      </w:r>
    </w:p>
    <w:p w14:paraId="33702D61" w14:textId="77777777" w:rsidR="006235CD" w:rsidRDefault="006235CD">
      <w:pPr>
        <w:jc w:val="left"/>
        <w:rPr>
          <w:rFonts w:eastAsiaTheme="majorEastAsia" w:cstheme="majorBidi"/>
          <w:b/>
          <w:bCs/>
          <w:color w:val="2F5496" w:themeColor="accent1" w:themeShade="BF"/>
          <w:sz w:val="28"/>
          <w:szCs w:val="28"/>
          <w:lang w:eastAsia="sl-SI"/>
        </w:rPr>
      </w:pPr>
      <w:r>
        <w:rPr>
          <w:lang w:eastAsia="sl-SI"/>
        </w:rPr>
        <w:br w:type="page"/>
      </w:r>
    </w:p>
    <w:p w14:paraId="1A576175" w14:textId="130A9D1D" w:rsidR="006235CD" w:rsidRDefault="006235CD" w:rsidP="00CE43D7">
      <w:pPr>
        <w:pStyle w:val="Naslov2"/>
        <w:rPr>
          <w:lang w:eastAsia="sl-SI"/>
        </w:rPr>
      </w:pPr>
      <w:bookmarkStart w:id="509" w:name="_Toc97026809"/>
      <w:r>
        <w:rPr>
          <w:lang w:eastAsia="sl-SI"/>
        </w:rPr>
        <w:lastRenderedPageBreak/>
        <w:t>Sektor poplavn</w:t>
      </w:r>
      <w:r w:rsidR="00400FFA">
        <w:rPr>
          <w:lang w:eastAsia="sl-SI"/>
        </w:rPr>
        <w:t>e ogroženosti</w:t>
      </w:r>
      <w:bookmarkEnd w:id="509"/>
    </w:p>
    <w:p w14:paraId="38E197BE" w14:textId="77777777" w:rsidR="00E73BA7" w:rsidRDefault="00E73BA7" w:rsidP="00E73BA7">
      <w:pPr>
        <w:pStyle w:val="Naslov3"/>
      </w:pPr>
      <w:bookmarkStart w:id="510" w:name="_Toc65052901"/>
      <w:bookmarkStart w:id="511" w:name="_Toc97026810"/>
      <w:r w:rsidRPr="00450182">
        <w:t>Metodologija</w:t>
      </w:r>
      <w:r w:rsidRPr="00B14994">
        <w:t xml:space="preserve"> </w:t>
      </w:r>
      <w:r>
        <w:t>sektorja poplavne ogroženosti</w:t>
      </w:r>
      <w:bookmarkEnd w:id="510"/>
      <w:bookmarkEnd w:id="511"/>
      <w:r>
        <w:t xml:space="preserve"> </w:t>
      </w:r>
    </w:p>
    <w:p w14:paraId="581C705D" w14:textId="77777777" w:rsidR="003E6900" w:rsidRDefault="003E6900" w:rsidP="003E6900">
      <w:pPr>
        <w:rPr>
          <w:lang w:eastAsia="sl-SI"/>
        </w:rPr>
      </w:pPr>
      <w:r>
        <w:rPr>
          <w:lang w:eastAsia="sl-SI"/>
        </w:rPr>
        <w:t>Analiza ranljivosti in tveganja učinkov podnebni sprememb na poplavno ogroženost je narejena po metodologiji Konvencije županov, ki temelji na metodologiji IPCC in je predstavljena v 5. poglavju. Analiza ranljivosti izhaja iz opredeljevanja kazalnikov izpostavljenosti in občutljivosti, iz katerih lahko ocenimo potencialni vpliv podnebnih sprememb na določen sektor ter iz sposobnosti prilaganja sektorja na te spremembe. Tveganje na podnebne spremembe je določeno glede na ranljivost v referenčnem obdobju 1981-2010 in ranljivost v prihodnosti in sicer v obdobju 2011-2040 in 2041-2070.</w:t>
      </w:r>
    </w:p>
    <w:p w14:paraId="560F816A" w14:textId="77777777" w:rsidR="003E6900" w:rsidRDefault="003E6900" w:rsidP="003E6900">
      <w:pPr>
        <w:rPr>
          <w:lang w:eastAsia="sl-SI"/>
        </w:rPr>
      </w:pPr>
      <w:r>
        <w:rPr>
          <w:lang w:eastAsia="sl-SI"/>
        </w:rPr>
        <w:t>Poplavna ogroženost poselitve in dejavnosti na poplavno nevarnost, je tako v obstoječem stanju, kakor tudi v okviru pričakovanih podnebnih spremembe verjetnostna kombinacija ranljivosti objektov in dejavnosti, ki se nahajajo na poplavnih območjih z verjetnostnim pojavom poplavnih dogodkov.</w:t>
      </w:r>
    </w:p>
    <w:p w14:paraId="7FC13020" w14:textId="0CE0937D" w:rsidR="003E6900" w:rsidRPr="003E6900" w:rsidRDefault="003E6900" w:rsidP="00900691">
      <w:pPr>
        <w:pStyle w:val="Odstavekseznama"/>
        <w:numPr>
          <w:ilvl w:val="0"/>
          <w:numId w:val="49"/>
        </w:numPr>
        <w:rPr>
          <w:rFonts w:ascii="Trebuchet MS" w:hAnsi="Trebuchet MS"/>
          <w:lang w:eastAsia="sl-SI"/>
        </w:rPr>
      </w:pPr>
      <w:r w:rsidRPr="00450182">
        <w:rPr>
          <w:rFonts w:ascii="Trebuchet MS" w:hAnsi="Trebuchet MS"/>
          <w:u w:val="single"/>
          <w:lang w:eastAsia="sl-SI"/>
        </w:rPr>
        <w:t>Sprememba intenzitete padavin in vpliv na pretoke s referenčno povratno dobo</w:t>
      </w:r>
      <w:r w:rsidRPr="00450182">
        <w:rPr>
          <w:rFonts w:ascii="Trebuchet MS" w:hAnsi="Trebuchet MS"/>
          <w:lang w:eastAsia="sl-SI"/>
        </w:rPr>
        <w:t xml:space="preserve"> – je z vidika podnebnih sprememb eden najbolj izrazitih pojavov. Pri tem lahko sledimo osnovnemu načelu, da bodo na območju RS zaradi višjih temperatur in s tem večje nosilnosti atmosfere za vodo lahko nastajale tudi intenzivnejše padavine. Trend je prepoznan tudi kot kazalnik v projekcijah scenarijev podnebnih sprememb (ARSO). Pri tem je potrebno identificirati tudi specifičnost različnih padavinskih dogodkov, predvsem z vidika časa koncentracije (</w:t>
      </w:r>
      <w:proofErr w:type="spellStart"/>
      <w:r w:rsidRPr="00450182">
        <w:rPr>
          <w:rFonts w:ascii="Trebuchet MS" w:hAnsi="Trebuchet MS"/>
          <w:lang w:eastAsia="sl-SI"/>
        </w:rPr>
        <w:t>t</w:t>
      </w:r>
      <w:r w:rsidRPr="00450182">
        <w:rPr>
          <w:rFonts w:ascii="Trebuchet MS" w:hAnsi="Trebuchet MS"/>
          <w:vertAlign w:val="subscript"/>
          <w:lang w:eastAsia="sl-SI"/>
        </w:rPr>
        <w:t>c</w:t>
      </w:r>
      <w:proofErr w:type="spellEnd"/>
      <w:r w:rsidRPr="00450182">
        <w:rPr>
          <w:rFonts w:ascii="Trebuchet MS" w:hAnsi="Trebuchet MS"/>
          <w:lang w:eastAsia="sl-SI"/>
        </w:rPr>
        <w:t xml:space="preserve">) in vpliva padavinskih dogodkov na samo območje </w:t>
      </w:r>
      <w:r>
        <w:rPr>
          <w:rFonts w:ascii="Trebuchet MS" w:hAnsi="Trebuchet MS"/>
          <w:lang w:eastAsia="sl-SI"/>
        </w:rPr>
        <w:t>Nove Gorice</w:t>
      </w:r>
      <w:r w:rsidRPr="00450182">
        <w:rPr>
          <w:rFonts w:ascii="Trebuchet MS" w:hAnsi="Trebuchet MS"/>
          <w:lang w:eastAsia="sl-SI"/>
        </w:rPr>
        <w:t xml:space="preserve">. Intenziteta padavin lahko vpliva na: </w:t>
      </w:r>
    </w:p>
    <w:p w14:paraId="316030D0" w14:textId="77777777" w:rsidR="003E6900" w:rsidRDefault="003E6900" w:rsidP="00900691">
      <w:pPr>
        <w:pStyle w:val="Odstavekseznama"/>
        <w:numPr>
          <w:ilvl w:val="2"/>
          <w:numId w:val="49"/>
        </w:numPr>
        <w:ind w:left="1701" w:hanging="360"/>
        <w:rPr>
          <w:rFonts w:ascii="Trebuchet MS" w:hAnsi="Trebuchet MS"/>
          <w:lang w:eastAsia="sl-SI"/>
        </w:rPr>
      </w:pPr>
      <w:r w:rsidRPr="00E23625">
        <w:rPr>
          <w:rFonts w:ascii="Trebuchet MS" w:hAnsi="Trebuchet MS"/>
          <w:u w:val="single"/>
          <w:lang w:eastAsia="sl-SI"/>
        </w:rPr>
        <w:t>Dolgotrajne padavine,</w:t>
      </w:r>
      <w:r w:rsidRPr="00450182">
        <w:rPr>
          <w:rFonts w:ascii="Trebuchet MS" w:hAnsi="Trebuchet MS"/>
          <w:lang w:eastAsia="sl-SI"/>
        </w:rPr>
        <w:t xml:space="preserve"> ki imajo zaradi zakraselega zaledja</w:t>
      </w:r>
      <w:r>
        <w:rPr>
          <w:rFonts w:ascii="Trebuchet MS" w:hAnsi="Trebuchet MS"/>
          <w:lang w:eastAsia="sl-SI"/>
        </w:rPr>
        <w:t xml:space="preserve"> (Vipava)</w:t>
      </w:r>
      <w:r w:rsidRPr="00450182">
        <w:rPr>
          <w:rFonts w:ascii="Trebuchet MS" w:hAnsi="Trebuchet MS"/>
          <w:lang w:eastAsia="sl-SI"/>
        </w:rPr>
        <w:t xml:space="preserve"> v osnovi oblikovano določeno </w:t>
      </w:r>
      <w:proofErr w:type="spellStart"/>
      <w:r w:rsidRPr="00450182">
        <w:rPr>
          <w:rFonts w:ascii="Trebuchet MS" w:hAnsi="Trebuchet MS"/>
          <w:lang w:eastAsia="sl-SI"/>
        </w:rPr>
        <w:t>retenzijo</w:t>
      </w:r>
      <w:proofErr w:type="spellEnd"/>
      <w:r w:rsidRPr="00450182">
        <w:rPr>
          <w:rFonts w:ascii="Trebuchet MS" w:hAnsi="Trebuchet MS"/>
          <w:lang w:eastAsia="sl-SI"/>
        </w:rPr>
        <w:t xml:space="preserve">, v povezavi z njimi se prepoznava učinek višanja temperature in s tem povezana trend zmanjševanja padavin v obliki snega, ki predstavlja (je predstavljal) pomemben </w:t>
      </w:r>
      <w:proofErr w:type="spellStart"/>
      <w:r w:rsidRPr="00450182">
        <w:rPr>
          <w:rFonts w:ascii="Trebuchet MS" w:hAnsi="Trebuchet MS"/>
          <w:lang w:eastAsia="sl-SI"/>
        </w:rPr>
        <w:t>retenzijski</w:t>
      </w:r>
      <w:proofErr w:type="spellEnd"/>
      <w:r w:rsidRPr="00450182">
        <w:rPr>
          <w:rFonts w:ascii="Trebuchet MS" w:hAnsi="Trebuchet MS"/>
          <w:lang w:eastAsia="sl-SI"/>
        </w:rPr>
        <w:t xml:space="preserve"> učinek v primeru dolgotrajnih padavin. Pojav dolgotrajnih padavin (</w:t>
      </w:r>
      <w:proofErr w:type="spellStart"/>
      <w:r w:rsidRPr="00450182">
        <w:rPr>
          <w:rFonts w:ascii="Trebuchet MS" w:hAnsi="Trebuchet MS"/>
          <w:lang w:eastAsia="sl-SI"/>
        </w:rPr>
        <w:t>t</w:t>
      </w:r>
      <w:r w:rsidRPr="00450182">
        <w:rPr>
          <w:rFonts w:ascii="Trebuchet MS" w:hAnsi="Trebuchet MS"/>
          <w:vertAlign w:val="subscript"/>
          <w:lang w:eastAsia="sl-SI"/>
        </w:rPr>
        <w:t>c</w:t>
      </w:r>
      <w:proofErr w:type="spellEnd"/>
      <w:r w:rsidRPr="00450182">
        <w:rPr>
          <w:rFonts w:ascii="Trebuchet MS" w:hAnsi="Trebuchet MS"/>
          <w:lang w:eastAsia="sl-SI"/>
        </w:rPr>
        <w:t xml:space="preserve"> večji od 24 ur) se povezuje predvsem z vremenskim pojavom, ko tople, z vodo nasičene zračne mase iz juga trčijo v obočje hladnega zraka, ki se razvije nad centralno Evropo. V tem primeru, predvsem ob pojavu dokaj stabilne fronte se nad določenim območjem daljše časovno obdobje (od 24 ur do 48 ur in več) razvijejo intenzivne padavine, kar v osnovi povzroči poplavljanje (razlivanje) večjih </w:t>
      </w:r>
      <w:r w:rsidRPr="00E23625">
        <w:rPr>
          <w:rFonts w:ascii="Trebuchet MS" w:hAnsi="Trebuchet MS"/>
          <w:lang w:eastAsia="sl-SI"/>
        </w:rPr>
        <w:t>vodotokov (</w:t>
      </w:r>
      <w:r w:rsidRPr="00E221A3">
        <w:rPr>
          <w:rFonts w:ascii="Trebuchet MS" w:hAnsi="Trebuchet MS"/>
          <w:lang w:eastAsia="sl-SI"/>
        </w:rPr>
        <w:t>Vipava</w:t>
      </w:r>
      <w:r>
        <w:rPr>
          <w:rFonts w:ascii="Trebuchet MS" w:hAnsi="Trebuchet MS"/>
          <w:lang w:eastAsia="sl-SI"/>
        </w:rPr>
        <w:t>, Branica, Lijak, Globočnik)</w:t>
      </w:r>
      <w:r w:rsidRPr="00450182">
        <w:rPr>
          <w:rFonts w:ascii="Trebuchet MS" w:hAnsi="Trebuchet MS"/>
          <w:lang w:eastAsia="sl-SI"/>
        </w:rPr>
        <w:t xml:space="preserve"> iz strug.</w:t>
      </w:r>
      <w:r>
        <w:rPr>
          <w:rFonts w:ascii="Trebuchet MS" w:hAnsi="Trebuchet MS"/>
          <w:lang w:eastAsia="sl-SI"/>
        </w:rPr>
        <w:t xml:space="preserve"> Navedeni vodotoki imajo tudi kombinirano geologijo porečja (delno kraško delno na slabo prepustnih, flišnih podlagah), kar otežuje razumevanje pojava, ki tako postane ob visokih povratnih dobah pogosto kombinacija dolgotrajnih padavin, ki napolnijo </w:t>
      </w:r>
      <w:proofErr w:type="spellStart"/>
      <w:r>
        <w:rPr>
          <w:rFonts w:ascii="Trebuchet MS" w:hAnsi="Trebuchet MS"/>
          <w:lang w:eastAsia="sl-SI"/>
        </w:rPr>
        <w:t>razpoklinski</w:t>
      </w:r>
      <w:proofErr w:type="spellEnd"/>
      <w:r>
        <w:rPr>
          <w:rFonts w:ascii="Trebuchet MS" w:hAnsi="Trebuchet MS"/>
          <w:lang w:eastAsia="sl-SI"/>
        </w:rPr>
        <w:t xml:space="preserve"> vodonosnik ter aktivirajo kraške izvire. Kasneje ob takih dogodkih pridejo še intenzivne lokalne padavine, ki dodatno prispevajo k pretokom in poplavni nevarnosti. </w:t>
      </w:r>
      <w:r w:rsidRPr="00450182">
        <w:rPr>
          <w:rFonts w:ascii="Trebuchet MS" w:hAnsi="Trebuchet MS"/>
          <w:lang w:eastAsia="sl-SI"/>
        </w:rPr>
        <w:t xml:space="preserve"> </w:t>
      </w:r>
    </w:p>
    <w:p w14:paraId="523D78B3" w14:textId="77777777" w:rsidR="003E6900" w:rsidRPr="00BC3343" w:rsidRDefault="003E6900" w:rsidP="003E6900">
      <w:pPr>
        <w:ind w:left="1701"/>
        <w:rPr>
          <w:lang w:eastAsia="sl-SI"/>
        </w:rPr>
      </w:pPr>
      <w:r w:rsidRPr="00BC3343">
        <w:rPr>
          <w:lang w:eastAsia="sl-SI"/>
        </w:rPr>
        <w:t xml:space="preserve">Na nekaterih lokacijah je lahko presežena </w:t>
      </w:r>
      <w:proofErr w:type="spellStart"/>
      <w:r w:rsidRPr="00BC3343">
        <w:rPr>
          <w:lang w:eastAsia="sl-SI"/>
        </w:rPr>
        <w:t>ponikovalna</w:t>
      </w:r>
      <w:proofErr w:type="spellEnd"/>
      <w:r w:rsidRPr="00BC3343">
        <w:rPr>
          <w:lang w:eastAsia="sl-SI"/>
        </w:rPr>
        <w:t xml:space="preserve"> kapaciteta kraškega terena, oblikuje se poplavljanje kraških polj in dolin, poleg tega pa se lahko </w:t>
      </w:r>
      <w:r w:rsidRPr="00BC3343">
        <w:rPr>
          <w:lang w:eastAsia="sl-SI"/>
        </w:rPr>
        <w:lastRenderedPageBreak/>
        <w:t xml:space="preserve">oblikujejo tudi izraziti poplavni tokovi na območjih, kjer v osnovi ni strug – na zaledni kraški planoti (Bate, Grgar, Čepovan). </w:t>
      </w:r>
    </w:p>
    <w:p w14:paraId="0069F254" w14:textId="77777777" w:rsidR="003E6900" w:rsidRDefault="003E6900" w:rsidP="003E6900">
      <w:pPr>
        <w:keepNext/>
      </w:pPr>
      <w:r>
        <w:rPr>
          <w:noProof/>
          <w:lang w:eastAsia="sl-SI"/>
        </w:rPr>
        <w:drawing>
          <wp:inline distT="0" distB="0" distL="0" distR="0" wp14:anchorId="121CE102" wp14:editId="78F0C3DE">
            <wp:extent cx="6120130" cy="3663950"/>
            <wp:effectExtent l="0" t="0" r="0" b="0"/>
            <wp:docPr id="2111931281"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6120130" cy="3663950"/>
                    </a:xfrm>
                    <a:prstGeom prst="rect">
                      <a:avLst/>
                    </a:prstGeom>
                  </pic:spPr>
                </pic:pic>
              </a:graphicData>
            </a:graphic>
          </wp:inline>
        </w:drawing>
      </w:r>
    </w:p>
    <w:p w14:paraId="1B4C3C67" w14:textId="678DECFF" w:rsidR="003E6900" w:rsidRDefault="003E6900" w:rsidP="003E6900">
      <w:pPr>
        <w:pStyle w:val="Napis"/>
        <w:rPr>
          <w:lang w:eastAsia="sl-SI"/>
        </w:rPr>
      </w:pPr>
      <w:bookmarkStart w:id="512" w:name="_Toc97026909"/>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58</w:t>
      </w:r>
      <w:r w:rsidR="008334B2">
        <w:fldChar w:fldCharType="end"/>
      </w:r>
      <w:r>
        <w:t xml:space="preserve">: </w:t>
      </w:r>
      <w:r w:rsidRPr="00674C21">
        <w:t>Poplave – Vas Potok pri Dornberku (</w:t>
      </w:r>
      <w:proofErr w:type="spellStart"/>
      <w:r w:rsidRPr="00674C21">
        <w:t>vir:primorske.si</w:t>
      </w:r>
      <w:proofErr w:type="spellEnd"/>
      <w:r w:rsidRPr="00674C21">
        <w:t xml:space="preserve"> Ambrož Sardoč)</w:t>
      </w:r>
      <w:bookmarkEnd w:id="512"/>
    </w:p>
    <w:p w14:paraId="2AC29D06" w14:textId="77777777" w:rsidR="003E6900" w:rsidRDefault="003E6900" w:rsidP="003E6900">
      <w:pPr>
        <w:rPr>
          <w:lang w:eastAsia="sl-SI"/>
        </w:rPr>
      </w:pPr>
    </w:p>
    <w:p w14:paraId="5D4B3619" w14:textId="436BCF04" w:rsidR="003E6900" w:rsidRPr="003E6900" w:rsidRDefault="003E6900" w:rsidP="00900691">
      <w:pPr>
        <w:pStyle w:val="Odstavekseznama"/>
        <w:numPr>
          <w:ilvl w:val="2"/>
          <w:numId w:val="49"/>
        </w:numPr>
        <w:ind w:left="1701" w:hanging="360"/>
        <w:rPr>
          <w:rFonts w:ascii="Trebuchet MS" w:hAnsi="Trebuchet MS"/>
          <w:lang w:eastAsia="sl-SI"/>
        </w:rPr>
      </w:pPr>
      <w:r w:rsidRPr="00E23625">
        <w:rPr>
          <w:rFonts w:ascii="Trebuchet MS" w:hAnsi="Trebuchet MS"/>
          <w:u w:val="single"/>
          <w:lang w:eastAsia="sl-SI"/>
        </w:rPr>
        <w:t>Kratkotrajne padavine,</w:t>
      </w:r>
      <w:r w:rsidRPr="00450182">
        <w:rPr>
          <w:rFonts w:ascii="Trebuchet MS" w:hAnsi="Trebuchet MS"/>
          <w:lang w:eastAsia="sl-SI"/>
        </w:rPr>
        <w:t xml:space="preserve"> imajo velik vpliv predvsem na </w:t>
      </w:r>
      <w:proofErr w:type="spellStart"/>
      <w:r w:rsidRPr="00450182">
        <w:rPr>
          <w:rFonts w:ascii="Trebuchet MS" w:hAnsi="Trebuchet MS"/>
          <w:lang w:eastAsia="sl-SI"/>
        </w:rPr>
        <w:t>odvodnjo</w:t>
      </w:r>
      <w:proofErr w:type="spellEnd"/>
      <w:r w:rsidRPr="00450182">
        <w:rPr>
          <w:rFonts w:ascii="Trebuchet MS" w:hAnsi="Trebuchet MS"/>
          <w:lang w:eastAsia="sl-SI"/>
        </w:rPr>
        <w:t xml:space="preserve"> v urbanem okolju in tam nastajajočo poplavno ogroženost. Kratkotrajne padavine so pogosto povezane tudi z zasnovo </w:t>
      </w:r>
      <w:proofErr w:type="spellStart"/>
      <w:r w:rsidRPr="00450182">
        <w:rPr>
          <w:rFonts w:ascii="Trebuchet MS" w:hAnsi="Trebuchet MS"/>
          <w:lang w:eastAsia="sl-SI"/>
        </w:rPr>
        <w:t>odvodnje</w:t>
      </w:r>
      <w:proofErr w:type="spellEnd"/>
      <w:r w:rsidRPr="00450182">
        <w:rPr>
          <w:rFonts w:ascii="Trebuchet MS" w:hAnsi="Trebuchet MS"/>
          <w:lang w:eastAsia="sl-SI"/>
        </w:rPr>
        <w:t xml:space="preserve"> padavinskih voda na urbaniziranih območjih.</w:t>
      </w:r>
    </w:p>
    <w:p w14:paraId="29675079" w14:textId="77777777" w:rsidR="003E6900" w:rsidRPr="002B649B" w:rsidRDefault="003E6900" w:rsidP="00900691">
      <w:pPr>
        <w:pStyle w:val="Odstavekseznama"/>
        <w:numPr>
          <w:ilvl w:val="0"/>
          <w:numId w:val="49"/>
        </w:numPr>
        <w:spacing w:after="120"/>
        <w:rPr>
          <w:rFonts w:ascii="Trebuchet MS" w:hAnsi="Trebuchet MS"/>
          <w:u w:val="single"/>
          <w:lang w:eastAsia="sl-SI"/>
        </w:rPr>
      </w:pPr>
      <w:r w:rsidRPr="00450182">
        <w:rPr>
          <w:rFonts w:ascii="Trebuchet MS" w:hAnsi="Trebuchet MS"/>
          <w:u w:val="single"/>
          <w:lang w:eastAsia="sl-SI"/>
        </w:rPr>
        <w:t>Razvoj ranljivosti na poplavnih območjih – škodni potencial</w:t>
      </w:r>
      <w:r w:rsidRPr="00450182">
        <w:rPr>
          <w:rFonts w:ascii="Trebuchet MS" w:hAnsi="Trebuchet MS"/>
          <w:b/>
        </w:rPr>
        <w:t xml:space="preserve"> </w:t>
      </w:r>
      <w:r w:rsidRPr="00450182">
        <w:rPr>
          <w:rFonts w:ascii="Trebuchet MS" w:hAnsi="Trebuchet MS"/>
        </w:rPr>
        <w:t xml:space="preserve">– po sprejetju </w:t>
      </w:r>
      <w:proofErr w:type="spellStart"/>
      <w:r w:rsidRPr="00450182">
        <w:rPr>
          <w:rFonts w:ascii="Trebuchet MS" w:hAnsi="Trebuchet MS"/>
        </w:rPr>
        <w:t>ZoV</w:t>
      </w:r>
      <w:proofErr w:type="spellEnd"/>
      <w:r w:rsidRPr="00450182">
        <w:rPr>
          <w:rFonts w:ascii="Trebuchet MS" w:hAnsi="Trebuchet MS"/>
        </w:rPr>
        <w:t xml:space="preserve"> v letu 2002 in uveljavitvi Uredbe o pogojih in omejitvah za izvajanje dejavnosti in posegov v prostor na območjih, ogroženih zaradi poplav in z njimi povezane erozije celinskih voda in morja (Uradni list RS, št. 89/08 in 49/20) je neustrezno umeščanje novih objektov in dejavnosti, ki bi bile izpostavljene poplavni nevarnosti v osnovi preprečeno.</w:t>
      </w:r>
    </w:p>
    <w:p w14:paraId="0549F4E4" w14:textId="77777777" w:rsidR="003E6900" w:rsidRPr="00450182" w:rsidRDefault="003E6900" w:rsidP="00900691">
      <w:pPr>
        <w:pStyle w:val="Odstavekseznama"/>
        <w:numPr>
          <w:ilvl w:val="0"/>
          <w:numId w:val="49"/>
        </w:numPr>
        <w:ind w:left="1077" w:hanging="357"/>
        <w:rPr>
          <w:rFonts w:ascii="Trebuchet MS" w:hAnsi="Trebuchet MS"/>
          <w:u w:val="single"/>
          <w:lang w:eastAsia="sl-SI"/>
        </w:rPr>
      </w:pPr>
      <w:r w:rsidRPr="00450182">
        <w:rPr>
          <w:rFonts w:ascii="Trebuchet MS" w:hAnsi="Trebuchet MS"/>
          <w:u w:val="single"/>
          <w:lang w:eastAsia="sl-SI"/>
        </w:rPr>
        <w:t>Pretočna sposobnost vodotokov</w:t>
      </w:r>
    </w:p>
    <w:p w14:paraId="01448382" w14:textId="77777777" w:rsidR="003E6900" w:rsidRPr="00450182" w:rsidRDefault="003E6900" w:rsidP="003E6900">
      <w:pPr>
        <w:spacing w:after="120"/>
        <w:ind w:left="1077"/>
        <w:rPr>
          <w:lang w:eastAsia="sl-SI"/>
        </w:rPr>
      </w:pPr>
      <w:r w:rsidRPr="00450182">
        <w:rPr>
          <w:lang w:eastAsia="sl-SI"/>
        </w:rPr>
        <w:t xml:space="preserve">Pretočna sposobnost vodotokov je običajno opredeljena kot projektno določena pretočna sposobnost na odsekih vodotokov, ki se nahajajo v bližini poseljenih območij in infrastrukture (npr. prometnice). Pogosto je bila projektno opredeljena pretočna sposobnost zasnovana v preteklosti, ko je bila zasnova hidrološkega in hidravličnega modeliranja še dokaj poenostavljena. Ne glede na to so z danimi metodami iz tega obdobja lahko usposobljeni inženirji oblikovali tudi zelo ustrezne rešitve in vodno infrastrukturo. Pogosto se ob tem pojavlja težava, da regulirani vodotoki niso več vzdrževani skladno s projektom (gradbenim dovoljenjem), temveč je standard </w:t>
      </w:r>
      <w:r w:rsidRPr="00450182">
        <w:rPr>
          <w:lang w:eastAsia="sl-SI"/>
        </w:rPr>
        <w:lastRenderedPageBreak/>
        <w:t xml:space="preserve">vzdrževanja vegetacije popolnoma drugačen, kar pomeni, da pretočna sposobnost, ki je bila nekoč opredeljena ni več dosežena. </w:t>
      </w:r>
    </w:p>
    <w:p w14:paraId="3C75B9F0" w14:textId="77777777" w:rsidR="003E6900" w:rsidRDefault="003E6900" w:rsidP="003E6900">
      <w:pPr>
        <w:spacing w:after="120"/>
        <w:ind w:left="1077"/>
        <w:rPr>
          <w:lang w:eastAsia="sl-SI"/>
        </w:rPr>
      </w:pPr>
    </w:p>
    <w:p w14:paraId="3A5121CE" w14:textId="77777777" w:rsidR="003E6900" w:rsidRDefault="003E6900" w:rsidP="003E6900">
      <w:pPr>
        <w:keepNext/>
        <w:jc w:val="center"/>
      </w:pPr>
      <w:r w:rsidRPr="00406F96">
        <w:rPr>
          <w:noProof/>
          <w:lang w:eastAsia="sl-SI"/>
        </w:rPr>
        <w:drawing>
          <wp:inline distT="0" distB="0" distL="0" distR="0" wp14:anchorId="47971A0D" wp14:editId="0ACF4F0D">
            <wp:extent cx="4218932" cy="3448050"/>
            <wp:effectExtent l="0" t="0" r="0" b="0"/>
            <wp:docPr id="2111931282"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225167" cy="3453146"/>
                    </a:xfrm>
                    <a:prstGeom prst="rect">
                      <a:avLst/>
                    </a:prstGeom>
                    <a:noFill/>
                    <a:ln>
                      <a:noFill/>
                    </a:ln>
                  </pic:spPr>
                </pic:pic>
              </a:graphicData>
            </a:graphic>
          </wp:inline>
        </w:drawing>
      </w:r>
    </w:p>
    <w:p w14:paraId="0B6B105F" w14:textId="353BE7B2" w:rsidR="003E6900" w:rsidRDefault="003E6900" w:rsidP="003E6900">
      <w:pPr>
        <w:pStyle w:val="Napis"/>
        <w:jc w:val="left"/>
        <w:rPr>
          <w:lang w:eastAsia="sl-SI"/>
        </w:rPr>
      </w:pPr>
      <w:bookmarkStart w:id="513" w:name="_Toc97026910"/>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59</w:t>
      </w:r>
      <w:r w:rsidR="008334B2">
        <w:fldChar w:fldCharType="end"/>
      </w:r>
      <w:r w:rsidRPr="005F27BA">
        <w:t>: Mehanizem opredeljevanja poplavnih škod kot verjetnostne kombinacije ranljivosti (S-h), povratne dobe pretokov (Q-P) in hidravličnih karakteristik pretočnih profilov(h-Q) (Banovec 2016).</w:t>
      </w:r>
      <w:bookmarkEnd w:id="513"/>
    </w:p>
    <w:p w14:paraId="26F756FE" w14:textId="77777777" w:rsidR="003E6900" w:rsidRDefault="003E6900" w:rsidP="003E6900">
      <w:pPr>
        <w:rPr>
          <w:lang w:eastAsia="sl-SI"/>
        </w:rPr>
      </w:pPr>
      <w:r>
        <w:rPr>
          <w:lang w:eastAsia="sl-SI"/>
        </w:rPr>
        <w:t xml:space="preserve">Sama poplavna škoda, ki je osnovni indikator učinkov obstoječega stanja, kakor tudi pričakovanih učinkov podnebnih sprememb je kompleksen pojav, saj poznamo različne vrste škodnih učinkov poplav. V osnovi se je potrebno vseh škod zavedati in upoštevati v procesu odločanja, a je vendarle mehanizem opredeljevanja poplavnih škod za nekatere vrste škod tako zahteven in nedorečen, da jih je bolje prepustiti v okvir kvalitativne analize (npr. v okviru </w:t>
      </w:r>
      <w:proofErr w:type="spellStart"/>
      <w:r>
        <w:rPr>
          <w:lang w:eastAsia="sl-SI"/>
        </w:rPr>
        <w:t>multi-kriterijske</w:t>
      </w:r>
      <w:proofErr w:type="spellEnd"/>
      <w:r>
        <w:rPr>
          <w:lang w:eastAsia="sl-SI"/>
        </w:rPr>
        <w:t xml:space="preserve"> analize). </w:t>
      </w:r>
    </w:p>
    <w:p w14:paraId="0065C016" w14:textId="77777777" w:rsidR="003E6900" w:rsidRDefault="003E6900" w:rsidP="003E6900">
      <w:pPr>
        <w:keepNext/>
        <w:autoSpaceDE w:val="0"/>
        <w:autoSpaceDN w:val="0"/>
        <w:adjustRightInd w:val="0"/>
      </w:pPr>
      <w:r w:rsidRPr="00406F96">
        <w:rPr>
          <w:noProof/>
          <w:lang w:eastAsia="sl-SI"/>
        </w:rPr>
        <w:lastRenderedPageBreak/>
        <w:drawing>
          <wp:inline distT="0" distB="0" distL="0" distR="0" wp14:anchorId="4E184F88" wp14:editId="15AFFBE3">
            <wp:extent cx="5972175" cy="2428875"/>
            <wp:effectExtent l="0" t="0" r="9525" b="9525"/>
            <wp:docPr id="2111931283"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72175" cy="2428875"/>
                    </a:xfrm>
                    <a:prstGeom prst="rect">
                      <a:avLst/>
                    </a:prstGeom>
                    <a:noFill/>
                    <a:ln>
                      <a:noFill/>
                    </a:ln>
                  </pic:spPr>
                </pic:pic>
              </a:graphicData>
            </a:graphic>
          </wp:inline>
        </w:drawing>
      </w:r>
    </w:p>
    <w:p w14:paraId="79D1135B" w14:textId="637170D8" w:rsidR="003E6900" w:rsidRPr="00406F96" w:rsidRDefault="003E6900" w:rsidP="003E6900">
      <w:pPr>
        <w:pStyle w:val="Napis"/>
      </w:pPr>
      <w:bookmarkStart w:id="514" w:name="_Toc97026911"/>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60</w:t>
      </w:r>
      <w:r w:rsidR="008334B2">
        <w:fldChar w:fldCharType="end"/>
      </w:r>
      <w:r w:rsidRPr="00E05669">
        <w:t>: Opredelitev oblike škode zaradi poplav in načina njenega merjenja (Banovec, 2016)</w:t>
      </w:r>
      <w:bookmarkEnd w:id="514"/>
    </w:p>
    <w:p w14:paraId="4CE8102A" w14:textId="77777777" w:rsidR="00E73BA7" w:rsidRPr="008D0D39" w:rsidRDefault="00E73BA7" w:rsidP="00CE43D7">
      <w:pPr>
        <w:pStyle w:val="Naslov4"/>
      </w:pPr>
      <w:r>
        <w:t>Kazalniki izpostavljenosti poplavne ogroženosti na podnebne spremembe</w:t>
      </w:r>
    </w:p>
    <w:p w14:paraId="0FE09A0D" w14:textId="77777777" w:rsidR="003E6900" w:rsidRDefault="003E6900" w:rsidP="003E6900">
      <w:pPr>
        <w:rPr>
          <w:lang w:eastAsia="sl-SI"/>
        </w:rPr>
      </w:pPr>
      <w:r>
        <w:rPr>
          <w:lang w:eastAsia="sl-SI"/>
        </w:rPr>
        <w:t>Ključni element izpostavljenosti poplavne ogroženosti na podnebne spremembe je sprememba v intenziteti padavin z določeno povratno dobo.</w:t>
      </w:r>
    </w:p>
    <w:p w14:paraId="3682A0AB" w14:textId="77777777" w:rsidR="003E6900" w:rsidRDefault="003E6900" w:rsidP="003E6900">
      <w:pPr>
        <w:rPr>
          <w:lang w:eastAsia="sl-SI"/>
        </w:rPr>
      </w:pPr>
      <w:r>
        <w:rPr>
          <w:lang w:eastAsia="sl-SI"/>
        </w:rPr>
        <w:t>Podatki o intenziteti padavin in tveganjih za spremembo povratnih dob le-teh za območje Mestne občine Nova Gorica so podani v uvodnem poglavju.</w:t>
      </w:r>
    </w:p>
    <w:p w14:paraId="0683F9BD" w14:textId="77777777" w:rsidR="00E73BA7" w:rsidRDefault="00E73BA7" w:rsidP="00CE43D7">
      <w:pPr>
        <w:pStyle w:val="Naslov4"/>
      </w:pPr>
      <w:r>
        <w:t>Kazalniki občutljivosti sistema varstva pred škodljivim delovanjem voda na podnebne spremembe</w:t>
      </w:r>
    </w:p>
    <w:p w14:paraId="3769A798" w14:textId="77777777" w:rsidR="003E6900" w:rsidRDefault="003E6900" w:rsidP="003E6900">
      <w:r>
        <w:rPr>
          <w:lang w:eastAsia="sl-SI"/>
        </w:rPr>
        <w:t xml:space="preserve">Občutljivost sistema varstva pred škodljivim delovanjem voda je v veliki meri odvisna od zasnove do sedaj izvedenih ukrepov (vodne infrastrukture) in </w:t>
      </w:r>
      <w:r w:rsidRPr="000415FD">
        <w:rPr>
          <w:lang w:eastAsia="sl-SI"/>
        </w:rPr>
        <w:t>uspešnosti ter učinkovitosti u</w:t>
      </w:r>
      <w:r w:rsidRPr="000415FD">
        <w:t xml:space="preserve">pravljanja z </w:t>
      </w:r>
      <w:proofErr w:type="spellStart"/>
      <w:r>
        <w:t>z</w:t>
      </w:r>
      <w:proofErr w:type="spellEnd"/>
      <w:r>
        <w:t xml:space="preserve"> infrastrukturo, kar vključuje tudi in predvsem vzdrževanje le-te</w:t>
      </w:r>
      <w:r w:rsidRPr="000415FD">
        <w:t>.</w:t>
      </w:r>
      <w:r>
        <w:t xml:space="preserve"> </w:t>
      </w:r>
    </w:p>
    <w:p w14:paraId="6B4F495C" w14:textId="77777777" w:rsidR="003E6900" w:rsidRDefault="003E6900" w:rsidP="003E6900">
      <w:r>
        <w:t xml:space="preserve">Pri tem lahko ugotovimo, da v RS standardi za vzdrževanje vodne infrastrukture še vedno niso oblikovani, prav tako ni zakonsko predpisanega katastra vodne infrastrukture, ki je predpogoj za sistemsko spremljanje stanja vzdrževanja objektov vodne infrastrukture. </w:t>
      </w:r>
    </w:p>
    <w:p w14:paraId="5BBE31C7" w14:textId="77777777" w:rsidR="003E6900" w:rsidRDefault="003E6900" w:rsidP="003E6900">
      <w:r>
        <w:t xml:space="preserve">Postopki vzdrževanja vodne infrastrukture so oblikovani na način, da koncesionirani izvajalec gospodarske javne službe urejanja na določenem območju pripravi program vzdrževalnih del za naslednje leto, ki ga Direkcija RS za vode, glede na razpoložljiva sredstva korigira in potrdi. </w:t>
      </w:r>
    </w:p>
    <w:p w14:paraId="2A8873BD" w14:textId="77777777" w:rsidR="003E6900" w:rsidRDefault="003E6900" w:rsidP="003E6900">
      <w:pPr>
        <w:jc w:val="center"/>
        <w:rPr>
          <w:noProof/>
          <w:lang w:eastAsia="sl-SI"/>
        </w:rPr>
      </w:pPr>
    </w:p>
    <w:p w14:paraId="29F38767" w14:textId="77777777" w:rsidR="003E6900" w:rsidRDefault="003E6900" w:rsidP="003E6900">
      <w:pPr>
        <w:keepNext/>
        <w:jc w:val="center"/>
      </w:pPr>
      <w:r>
        <w:rPr>
          <w:noProof/>
          <w:lang w:eastAsia="sl-SI"/>
        </w:rPr>
        <w:lastRenderedPageBreak/>
        <w:drawing>
          <wp:inline distT="0" distB="0" distL="0" distR="0" wp14:anchorId="2B74035B" wp14:editId="1CB188A9">
            <wp:extent cx="6120130" cy="5275580"/>
            <wp:effectExtent l="0" t="0" r="0" b="1270"/>
            <wp:docPr id="2111931284"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6120130" cy="5275580"/>
                    </a:xfrm>
                    <a:prstGeom prst="rect">
                      <a:avLst/>
                    </a:prstGeom>
                  </pic:spPr>
                </pic:pic>
              </a:graphicData>
            </a:graphic>
          </wp:inline>
        </w:drawing>
      </w:r>
    </w:p>
    <w:p w14:paraId="11025739" w14:textId="5BBFD0EE" w:rsidR="003E6900" w:rsidRDefault="003E6900" w:rsidP="003E6900">
      <w:pPr>
        <w:pStyle w:val="Napis"/>
        <w:jc w:val="center"/>
        <w:rPr>
          <w:noProof/>
          <w:lang w:eastAsia="sl-SI"/>
        </w:rPr>
      </w:pPr>
      <w:bookmarkStart w:id="515" w:name="_Toc97026912"/>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61</w:t>
      </w:r>
      <w:r w:rsidR="008334B2">
        <w:fldChar w:fldCharType="end"/>
      </w:r>
      <w:r>
        <w:t xml:space="preserve">: </w:t>
      </w:r>
      <w:r w:rsidRPr="00A5496B">
        <w:t>Prikaz lokacij načrtovanih vzdrževalnih del za območje Mestne občine Nova Gorica (severni del občine) za leto 2018 (vir: DRSV – EU EIONET CIRCA).</w:t>
      </w:r>
      <w:bookmarkEnd w:id="515"/>
    </w:p>
    <w:p w14:paraId="3FDC7E9A" w14:textId="77777777" w:rsidR="003E6900" w:rsidRDefault="003E6900" w:rsidP="003E6900">
      <w:pPr>
        <w:keepNext/>
      </w:pPr>
      <w:r>
        <w:rPr>
          <w:noProof/>
          <w:lang w:eastAsia="sl-SI"/>
        </w:rPr>
        <w:lastRenderedPageBreak/>
        <w:drawing>
          <wp:inline distT="0" distB="0" distL="0" distR="0" wp14:anchorId="61D483A0" wp14:editId="30CA6EDD">
            <wp:extent cx="6120130" cy="3997325"/>
            <wp:effectExtent l="0" t="0" r="0" b="3175"/>
            <wp:docPr id="2111931285"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6120130" cy="3997325"/>
                    </a:xfrm>
                    <a:prstGeom prst="rect">
                      <a:avLst/>
                    </a:prstGeom>
                  </pic:spPr>
                </pic:pic>
              </a:graphicData>
            </a:graphic>
          </wp:inline>
        </w:drawing>
      </w:r>
    </w:p>
    <w:p w14:paraId="21D8E9BE" w14:textId="27EC3F58" w:rsidR="003E6900" w:rsidRDefault="003E6900" w:rsidP="003E6900">
      <w:pPr>
        <w:pStyle w:val="Napis"/>
      </w:pPr>
      <w:bookmarkStart w:id="516" w:name="_Toc97026913"/>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62</w:t>
      </w:r>
      <w:r w:rsidR="008334B2">
        <w:fldChar w:fldCharType="end"/>
      </w:r>
      <w:r w:rsidRPr="003C7355">
        <w:t>: Prikaz lokacij načrtovanih vzdrževalnih del za območje Mestne občine Nova Gorica (južni del občine) za leto 2018 (vir: DRSV – EU EIONET CIRCA).</w:t>
      </w:r>
      <w:bookmarkEnd w:id="516"/>
    </w:p>
    <w:p w14:paraId="77B46E54" w14:textId="75AB7240" w:rsidR="003E6900" w:rsidRDefault="003E6900" w:rsidP="003E6900">
      <w:r>
        <w:t xml:space="preserve">Ukrepi po programu vzdrževalnih del za leto 2018 iz istega vira so predstavljani v naslednji </w:t>
      </w:r>
      <w:r w:rsidR="004D2955">
        <w:t>preglednici</w:t>
      </w:r>
      <w:r>
        <w:t xml:space="preserve">: </w:t>
      </w:r>
    </w:p>
    <w:p w14:paraId="5FF9739E" w14:textId="77777777" w:rsidR="003E6900" w:rsidRDefault="003E6900" w:rsidP="003E6900">
      <w:r>
        <w:t xml:space="preserve">Točkovni objekti: </w:t>
      </w:r>
    </w:p>
    <w:tbl>
      <w:tblPr>
        <w:tblW w:w="8980" w:type="dxa"/>
        <w:tblBorders>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40"/>
        <w:gridCol w:w="3313"/>
        <w:gridCol w:w="3646"/>
        <w:gridCol w:w="1081"/>
      </w:tblGrid>
      <w:tr w:rsidR="003E6900" w:rsidRPr="003E6900" w14:paraId="7685A19E" w14:textId="77777777" w:rsidTr="003E6900">
        <w:trPr>
          <w:trHeight w:val="600"/>
        </w:trPr>
        <w:tc>
          <w:tcPr>
            <w:tcW w:w="960" w:type="dxa"/>
            <w:shd w:val="clear" w:color="auto" w:fill="auto"/>
            <w:vAlign w:val="bottom"/>
            <w:hideMark/>
          </w:tcPr>
          <w:p w14:paraId="7FD54BD6"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ID</w:t>
            </w:r>
          </w:p>
        </w:tc>
        <w:tc>
          <w:tcPr>
            <w:tcW w:w="3420" w:type="dxa"/>
            <w:shd w:val="clear" w:color="auto" w:fill="auto"/>
            <w:vAlign w:val="bottom"/>
            <w:hideMark/>
          </w:tcPr>
          <w:p w14:paraId="34CB4FF9"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Lokacija</w:t>
            </w:r>
          </w:p>
        </w:tc>
        <w:tc>
          <w:tcPr>
            <w:tcW w:w="3740" w:type="dxa"/>
            <w:shd w:val="clear" w:color="auto" w:fill="auto"/>
            <w:vAlign w:val="bottom"/>
            <w:hideMark/>
          </w:tcPr>
          <w:p w14:paraId="76C7C76A"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UkrepOpis</w:t>
            </w:r>
            <w:proofErr w:type="spellEnd"/>
          </w:p>
        </w:tc>
        <w:tc>
          <w:tcPr>
            <w:tcW w:w="860" w:type="dxa"/>
            <w:shd w:val="clear" w:color="auto" w:fill="auto"/>
            <w:vAlign w:val="bottom"/>
            <w:hideMark/>
          </w:tcPr>
          <w:p w14:paraId="693A240B" w14:textId="3B8AC42F"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Ukrep</w:t>
            </w:r>
            <w:r w:rsidR="00EF5E41">
              <w:rPr>
                <w:rFonts w:eastAsia="Times New Roman" w:cs="Calibri"/>
                <w:color w:val="000000"/>
                <w:lang w:eastAsia="sl-SI"/>
              </w:rPr>
              <w:t xml:space="preserve"> že v programu</w:t>
            </w:r>
            <w:r w:rsidRPr="003E6900">
              <w:rPr>
                <w:rFonts w:eastAsia="Times New Roman" w:cs="Calibri"/>
                <w:color w:val="000000"/>
                <w:lang w:eastAsia="sl-SI"/>
              </w:rPr>
              <w:t xml:space="preserve"> 2017</w:t>
            </w:r>
          </w:p>
        </w:tc>
      </w:tr>
      <w:tr w:rsidR="003E6900" w:rsidRPr="003E6900" w14:paraId="7F6A1B33" w14:textId="77777777" w:rsidTr="003E6900">
        <w:trPr>
          <w:trHeight w:val="600"/>
        </w:trPr>
        <w:tc>
          <w:tcPr>
            <w:tcW w:w="960" w:type="dxa"/>
            <w:shd w:val="clear" w:color="auto" w:fill="auto"/>
            <w:vAlign w:val="bottom"/>
            <w:hideMark/>
          </w:tcPr>
          <w:p w14:paraId="7F96329D"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4074</w:t>
            </w:r>
          </w:p>
        </w:tc>
        <w:tc>
          <w:tcPr>
            <w:tcW w:w="3420" w:type="dxa"/>
            <w:shd w:val="clear" w:color="auto" w:fill="auto"/>
            <w:vAlign w:val="bottom"/>
            <w:hideMark/>
          </w:tcPr>
          <w:p w14:paraId="4020B9EE"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Mala Slatna v vasi Grgar</w:t>
            </w:r>
          </w:p>
        </w:tc>
        <w:tc>
          <w:tcPr>
            <w:tcW w:w="3740" w:type="dxa"/>
            <w:shd w:val="clear" w:color="auto" w:fill="auto"/>
            <w:vAlign w:val="bottom"/>
            <w:hideMark/>
          </w:tcPr>
          <w:p w14:paraId="4289B3E8"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Obnova obrežnih zavarovanj, čiščenje naplavin</w:t>
            </w:r>
          </w:p>
        </w:tc>
        <w:tc>
          <w:tcPr>
            <w:tcW w:w="860" w:type="dxa"/>
            <w:shd w:val="clear" w:color="auto" w:fill="auto"/>
            <w:vAlign w:val="bottom"/>
            <w:hideMark/>
          </w:tcPr>
          <w:p w14:paraId="37C799F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2E828143" w14:textId="77777777" w:rsidTr="003E6900">
        <w:trPr>
          <w:trHeight w:val="600"/>
        </w:trPr>
        <w:tc>
          <w:tcPr>
            <w:tcW w:w="960" w:type="dxa"/>
            <w:shd w:val="clear" w:color="auto" w:fill="auto"/>
            <w:vAlign w:val="bottom"/>
            <w:hideMark/>
          </w:tcPr>
          <w:p w14:paraId="24A27382"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4113</w:t>
            </w:r>
          </w:p>
        </w:tc>
        <w:tc>
          <w:tcPr>
            <w:tcW w:w="3420" w:type="dxa"/>
            <w:shd w:val="clear" w:color="auto" w:fill="auto"/>
            <w:vAlign w:val="bottom"/>
            <w:hideMark/>
          </w:tcPr>
          <w:p w14:paraId="0735FEFF"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Levi pritok Vipave v Dragi pri Dornberku</w:t>
            </w:r>
          </w:p>
        </w:tc>
        <w:tc>
          <w:tcPr>
            <w:tcW w:w="3740" w:type="dxa"/>
            <w:shd w:val="clear" w:color="auto" w:fill="auto"/>
            <w:vAlign w:val="bottom"/>
            <w:hideMark/>
          </w:tcPr>
          <w:p w14:paraId="3D843C07"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Vzdrževanje obrežnih zavarovanj in dna struge</w:t>
            </w:r>
          </w:p>
        </w:tc>
        <w:tc>
          <w:tcPr>
            <w:tcW w:w="860" w:type="dxa"/>
            <w:shd w:val="clear" w:color="auto" w:fill="auto"/>
            <w:vAlign w:val="bottom"/>
            <w:hideMark/>
          </w:tcPr>
          <w:p w14:paraId="14FFA5A6"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02E05982" w14:textId="77777777" w:rsidTr="003E6900">
        <w:trPr>
          <w:trHeight w:val="900"/>
        </w:trPr>
        <w:tc>
          <w:tcPr>
            <w:tcW w:w="960" w:type="dxa"/>
            <w:shd w:val="clear" w:color="auto" w:fill="auto"/>
            <w:vAlign w:val="bottom"/>
            <w:hideMark/>
          </w:tcPr>
          <w:p w14:paraId="5FA5A468"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4116</w:t>
            </w:r>
          </w:p>
        </w:tc>
        <w:tc>
          <w:tcPr>
            <w:tcW w:w="3420" w:type="dxa"/>
            <w:shd w:val="clear" w:color="auto" w:fill="auto"/>
            <w:vAlign w:val="bottom"/>
            <w:hideMark/>
          </w:tcPr>
          <w:p w14:paraId="70A1050B"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Branica pri vtoku </w:t>
            </w:r>
            <w:proofErr w:type="spellStart"/>
            <w:r w:rsidRPr="003E6900">
              <w:rPr>
                <w:rFonts w:eastAsia="Times New Roman" w:cs="Calibri"/>
                <w:color w:val="000000"/>
                <w:lang w:eastAsia="sl-SI"/>
              </w:rPr>
              <w:t>Petnika</w:t>
            </w:r>
            <w:proofErr w:type="spellEnd"/>
          </w:p>
        </w:tc>
        <w:tc>
          <w:tcPr>
            <w:tcW w:w="3740" w:type="dxa"/>
            <w:shd w:val="clear" w:color="auto" w:fill="auto"/>
            <w:vAlign w:val="bottom"/>
            <w:hideMark/>
          </w:tcPr>
          <w:p w14:paraId="6C4B59F9"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Vzdrževanje obrežnih zavarovanj, 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21C7A3B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72744112" w14:textId="77777777" w:rsidTr="003E6900">
        <w:trPr>
          <w:trHeight w:val="900"/>
        </w:trPr>
        <w:tc>
          <w:tcPr>
            <w:tcW w:w="960" w:type="dxa"/>
            <w:shd w:val="clear" w:color="auto" w:fill="auto"/>
            <w:vAlign w:val="bottom"/>
            <w:hideMark/>
          </w:tcPr>
          <w:p w14:paraId="73D6824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4117</w:t>
            </w:r>
          </w:p>
        </w:tc>
        <w:tc>
          <w:tcPr>
            <w:tcW w:w="3420" w:type="dxa"/>
            <w:shd w:val="clear" w:color="auto" w:fill="auto"/>
            <w:vAlign w:val="bottom"/>
            <w:hideMark/>
          </w:tcPr>
          <w:p w14:paraId="0750C487"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Branica pod vtokom </w:t>
            </w:r>
            <w:proofErr w:type="spellStart"/>
            <w:r w:rsidRPr="003E6900">
              <w:rPr>
                <w:rFonts w:eastAsia="Times New Roman" w:cs="Calibri"/>
                <w:color w:val="000000"/>
                <w:lang w:eastAsia="sl-SI"/>
              </w:rPr>
              <w:t>Ivanjščka</w:t>
            </w:r>
            <w:proofErr w:type="spellEnd"/>
          </w:p>
        </w:tc>
        <w:tc>
          <w:tcPr>
            <w:tcW w:w="3740" w:type="dxa"/>
            <w:shd w:val="clear" w:color="auto" w:fill="auto"/>
            <w:vAlign w:val="bottom"/>
            <w:hideMark/>
          </w:tcPr>
          <w:p w14:paraId="40901448"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Vzdrževanje obrežnih zavarovanj, 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7266F28F"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727E2742" w14:textId="77777777" w:rsidTr="003E6900">
        <w:trPr>
          <w:trHeight w:val="900"/>
        </w:trPr>
        <w:tc>
          <w:tcPr>
            <w:tcW w:w="960" w:type="dxa"/>
            <w:shd w:val="clear" w:color="auto" w:fill="auto"/>
            <w:vAlign w:val="bottom"/>
            <w:hideMark/>
          </w:tcPr>
          <w:p w14:paraId="70F149BF"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lastRenderedPageBreak/>
              <w:t>4118</w:t>
            </w:r>
          </w:p>
        </w:tc>
        <w:tc>
          <w:tcPr>
            <w:tcW w:w="3420" w:type="dxa"/>
            <w:shd w:val="clear" w:color="auto" w:fill="auto"/>
            <w:vAlign w:val="bottom"/>
            <w:hideMark/>
          </w:tcPr>
          <w:p w14:paraId="73A7081D"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Potok </w:t>
            </w:r>
            <w:proofErr w:type="spellStart"/>
            <w:r w:rsidRPr="003E6900">
              <w:rPr>
                <w:rFonts w:eastAsia="Times New Roman" w:cs="Calibri"/>
                <w:color w:val="000000"/>
                <w:lang w:eastAsia="sl-SI"/>
              </w:rPr>
              <w:t>Potok</w:t>
            </w:r>
            <w:proofErr w:type="spellEnd"/>
            <w:r w:rsidRPr="003E6900">
              <w:rPr>
                <w:rFonts w:eastAsia="Times New Roman" w:cs="Calibri"/>
                <w:color w:val="000000"/>
                <w:lang w:eastAsia="sl-SI"/>
              </w:rPr>
              <w:t xml:space="preserve"> v Potoku</w:t>
            </w:r>
          </w:p>
        </w:tc>
        <w:tc>
          <w:tcPr>
            <w:tcW w:w="3740" w:type="dxa"/>
            <w:shd w:val="clear" w:color="auto" w:fill="auto"/>
            <w:vAlign w:val="bottom"/>
            <w:hideMark/>
          </w:tcPr>
          <w:p w14:paraId="69EF37BE"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Vzdrževanje obrežnih zavarovanj, 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193A73EE"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405C1B42" w14:textId="77777777" w:rsidTr="003E6900">
        <w:trPr>
          <w:trHeight w:val="600"/>
        </w:trPr>
        <w:tc>
          <w:tcPr>
            <w:tcW w:w="960" w:type="dxa"/>
            <w:shd w:val="clear" w:color="auto" w:fill="auto"/>
            <w:vAlign w:val="bottom"/>
            <w:hideMark/>
          </w:tcPr>
          <w:p w14:paraId="6CB4F8D9"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4119</w:t>
            </w:r>
          </w:p>
        </w:tc>
        <w:tc>
          <w:tcPr>
            <w:tcW w:w="3420" w:type="dxa"/>
            <w:shd w:val="clear" w:color="auto" w:fill="auto"/>
            <w:vAlign w:val="bottom"/>
            <w:hideMark/>
          </w:tcPr>
          <w:p w14:paraId="75BB8FFE"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Tribuščak</w:t>
            </w:r>
            <w:proofErr w:type="spellEnd"/>
            <w:r w:rsidRPr="003E6900">
              <w:rPr>
                <w:rFonts w:eastAsia="Times New Roman" w:cs="Calibri"/>
                <w:color w:val="000000"/>
                <w:lang w:eastAsia="sl-SI"/>
              </w:rPr>
              <w:t xml:space="preserve"> v š </w:t>
            </w:r>
            <w:proofErr w:type="spellStart"/>
            <w:r w:rsidRPr="003E6900">
              <w:rPr>
                <w:rFonts w:eastAsia="Times New Roman" w:cs="Calibri"/>
                <w:color w:val="000000"/>
                <w:lang w:eastAsia="sl-SI"/>
              </w:rPr>
              <w:t>empasu</w:t>
            </w:r>
            <w:proofErr w:type="spellEnd"/>
            <w:r w:rsidRPr="003E6900">
              <w:rPr>
                <w:rFonts w:eastAsia="Times New Roman" w:cs="Calibri"/>
                <w:color w:val="000000"/>
                <w:lang w:eastAsia="sl-SI"/>
              </w:rPr>
              <w:t xml:space="preserve"> - </w:t>
            </w:r>
            <w:proofErr w:type="spellStart"/>
            <w:r w:rsidRPr="003E6900">
              <w:rPr>
                <w:rFonts w:eastAsia="Times New Roman" w:cs="Calibri"/>
                <w:color w:val="000000"/>
                <w:lang w:eastAsia="sl-SI"/>
              </w:rPr>
              <w:t>II.faza</w:t>
            </w:r>
            <w:proofErr w:type="spellEnd"/>
            <w:r w:rsidRPr="003E6900">
              <w:rPr>
                <w:rFonts w:eastAsia="Times New Roman" w:cs="Calibri"/>
                <w:color w:val="000000"/>
                <w:lang w:eastAsia="sl-SI"/>
              </w:rPr>
              <w:t xml:space="preserve"> (ETAPA 2)</w:t>
            </w:r>
          </w:p>
        </w:tc>
        <w:tc>
          <w:tcPr>
            <w:tcW w:w="3740" w:type="dxa"/>
            <w:shd w:val="clear" w:color="auto" w:fill="auto"/>
            <w:vAlign w:val="bottom"/>
            <w:hideMark/>
          </w:tcPr>
          <w:p w14:paraId="37900A85"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Vzdrževanje obrežnih zavarovanj, zagotavljanje poplavne varnosti</w:t>
            </w:r>
          </w:p>
        </w:tc>
        <w:tc>
          <w:tcPr>
            <w:tcW w:w="860" w:type="dxa"/>
            <w:shd w:val="clear" w:color="auto" w:fill="auto"/>
            <w:vAlign w:val="bottom"/>
            <w:hideMark/>
          </w:tcPr>
          <w:p w14:paraId="2BF064E9"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2BAC3B36" w14:textId="77777777" w:rsidTr="003E6900">
        <w:trPr>
          <w:trHeight w:val="600"/>
        </w:trPr>
        <w:tc>
          <w:tcPr>
            <w:tcW w:w="960" w:type="dxa"/>
            <w:shd w:val="clear" w:color="auto" w:fill="auto"/>
            <w:vAlign w:val="bottom"/>
            <w:hideMark/>
          </w:tcPr>
          <w:p w14:paraId="288E79EF"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4120</w:t>
            </w:r>
          </w:p>
        </w:tc>
        <w:tc>
          <w:tcPr>
            <w:tcW w:w="3420" w:type="dxa"/>
            <w:shd w:val="clear" w:color="auto" w:fill="auto"/>
            <w:vAlign w:val="bottom"/>
            <w:hideMark/>
          </w:tcPr>
          <w:p w14:paraId="7CE8A02F"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Dolenjski potok v Oseku</w:t>
            </w:r>
          </w:p>
        </w:tc>
        <w:tc>
          <w:tcPr>
            <w:tcW w:w="3740" w:type="dxa"/>
            <w:shd w:val="clear" w:color="auto" w:fill="auto"/>
            <w:vAlign w:val="bottom"/>
            <w:hideMark/>
          </w:tcPr>
          <w:p w14:paraId="03562D87"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Vzdrževanje obrežnih zavarovanj, zagotavljanje poplavne varnosti</w:t>
            </w:r>
          </w:p>
        </w:tc>
        <w:tc>
          <w:tcPr>
            <w:tcW w:w="860" w:type="dxa"/>
            <w:shd w:val="clear" w:color="auto" w:fill="auto"/>
            <w:vAlign w:val="bottom"/>
            <w:hideMark/>
          </w:tcPr>
          <w:p w14:paraId="1C1D50AA"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00C7A715" w14:textId="77777777" w:rsidTr="003E6900">
        <w:trPr>
          <w:trHeight w:val="900"/>
        </w:trPr>
        <w:tc>
          <w:tcPr>
            <w:tcW w:w="960" w:type="dxa"/>
            <w:shd w:val="clear" w:color="auto" w:fill="auto"/>
            <w:vAlign w:val="bottom"/>
            <w:hideMark/>
          </w:tcPr>
          <w:p w14:paraId="09685BF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4128</w:t>
            </w:r>
          </w:p>
        </w:tc>
        <w:tc>
          <w:tcPr>
            <w:tcW w:w="3420" w:type="dxa"/>
            <w:shd w:val="clear" w:color="auto" w:fill="auto"/>
            <w:vAlign w:val="bottom"/>
            <w:hideMark/>
          </w:tcPr>
          <w:p w14:paraId="039CC1F0"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Branica nad in pod mostom za Komen</w:t>
            </w:r>
          </w:p>
        </w:tc>
        <w:tc>
          <w:tcPr>
            <w:tcW w:w="3740" w:type="dxa"/>
            <w:shd w:val="clear" w:color="auto" w:fill="auto"/>
            <w:vAlign w:val="bottom"/>
            <w:hideMark/>
          </w:tcPr>
          <w:p w14:paraId="2FC8D84C"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Vzdrževanje obrežnih zavarovanj, 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471EB9B8"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79F2F6D6" w14:textId="77777777" w:rsidTr="003E6900">
        <w:trPr>
          <w:trHeight w:val="900"/>
        </w:trPr>
        <w:tc>
          <w:tcPr>
            <w:tcW w:w="960" w:type="dxa"/>
            <w:shd w:val="clear" w:color="auto" w:fill="auto"/>
            <w:vAlign w:val="bottom"/>
            <w:hideMark/>
          </w:tcPr>
          <w:p w14:paraId="06617EF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4132</w:t>
            </w:r>
          </w:p>
        </w:tc>
        <w:tc>
          <w:tcPr>
            <w:tcW w:w="3420" w:type="dxa"/>
            <w:shd w:val="clear" w:color="auto" w:fill="auto"/>
            <w:vAlign w:val="bottom"/>
            <w:hideMark/>
          </w:tcPr>
          <w:p w14:paraId="654F7A67"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Branica pod mostom za </w:t>
            </w:r>
            <w:proofErr w:type="spellStart"/>
            <w:r w:rsidRPr="003E6900">
              <w:rPr>
                <w:rFonts w:eastAsia="Times New Roman" w:cs="Calibri"/>
                <w:color w:val="000000"/>
                <w:lang w:eastAsia="sl-SI"/>
              </w:rPr>
              <w:t>praščijo</w:t>
            </w:r>
            <w:proofErr w:type="spellEnd"/>
            <w:r w:rsidRPr="003E6900">
              <w:rPr>
                <w:rFonts w:eastAsia="Times New Roman" w:cs="Calibri"/>
                <w:color w:val="000000"/>
                <w:lang w:eastAsia="sl-SI"/>
              </w:rPr>
              <w:t xml:space="preserve"> farmo</w:t>
            </w:r>
          </w:p>
        </w:tc>
        <w:tc>
          <w:tcPr>
            <w:tcW w:w="3740" w:type="dxa"/>
            <w:shd w:val="clear" w:color="auto" w:fill="auto"/>
            <w:vAlign w:val="bottom"/>
            <w:hideMark/>
          </w:tcPr>
          <w:p w14:paraId="3517B61D"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Vzdrževanje obrežnih zavarovanj, 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69B2585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09952C17" w14:textId="77777777" w:rsidTr="003E6900">
        <w:trPr>
          <w:trHeight w:val="600"/>
        </w:trPr>
        <w:tc>
          <w:tcPr>
            <w:tcW w:w="960" w:type="dxa"/>
            <w:shd w:val="clear" w:color="auto" w:fill="auto"/>
            <w:vAlign w:val="bottom"/>
            <w:hideMark/>
          </w:tcPr>
          <w:p w14:paraId="78F460A8"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4133</w:t>
            </w:r>
          </w:p>
        </w:tc>
        <w:tc>
          <w:tcPr>
            <w:tcW w:w="3420" w:type="dxa"/>
            <w:shd w:val="clear" w:color="auto" w:fill="auto"/>
            <w:vAlign w:val="bottom"/>
            <w:hideMark/>
          </w:tcPr>
          <w:p w14:paraId="522D030B"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Vipava pod Prvačino</w:t>
            </w:r>
          </w:p>
        </w:tc>
        <w:tc>
          <w:tcPr>
            <w:tcW w:w="3740" w:type="dxa"/>
            <w:shd w:val="clear" w:color="auto" w:fill="auto"/>
            <w:vAlign w:val="bottom"/>
            <w:hideMark/>
          </w:tcPr>
          <w:p w14:paraId="23DA9A22"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1457DBBA"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571C4F93" w14:textId="77777777" w:rsidTr="003E6900">
        <w:trPr>
          <w:trHeight w:val="900"/>
        </w:trPr>
        <w:tc>
          <w:tcPr>
            <w:tcW w:w="960" w:type="dxa"/>
            <w:shd w:val="clear" w:color="auto" w:fill="auto"/>
            <w:vAlign w:val="bottom"/>
            <w:hideMark/>
          </w:tcPr>
          <w:p w14:paraId="3AC926B4"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4138</w:t>
            </w:r>
          </w:p>
        </w:tc>
        <w:tc>
          <w:tcPr>
            <w:tcW w:w="3420" w:type="dxa"/>
            <w:shd w:val="clear" w:color="auto" w:fill="auto"/>
            <w:vAlign w:val="bottom"/>
            <w:hideMark/>
          </w:tcPr>
          <w:p w14:paraId="51DE91A5"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Tribuščak</w:t>
            </w:r>
            <w:proofErr w:type="spellEnd"/>
            <w:r w:rsidRPr="003E6900">
              <w:rPr>
                <w:rFonts w:eastAsia="Times New Roman" w:cs="Calibri"/>
                <w:color w:val="000000"/>
                <w:lang w:eastAsia="sl-SI"/>
              </w:rPr>
              <w:t xml:space="preserve"> pod in nad hišo Šempas 6a</w:t>
            </w:r>
          </w:p>
        </w:tc>
        <w:tc>
          <w:tcPr>
            <w:tcW w:w="3740" w:type="dxa"/>
            <w:shd w:val="clear" w:color="auto" w:fill="auto"/>
            <w:vAlign w:val="bottom"/>
            <w:hideMark/>
          </w:tcPr>
          <w:p w14:paraId="62864101"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Vzdrževanje obrežnih zavarovanj, 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5378A9F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06AD105E" w14:textId="77777777" w:rsidTr="003E6900">
        <w:trPr>
          <w:trHeight w:val="900"/>
        </w:trPr>
        <w:tc>
          <w:tcPr>
            <w:tcW w:w="960" w:type="dxa"/>
            <w:shd w:val="clear" w:color="auto" w:fill="auto"/>
            <w:vAlign w:val="bottom"/>
            <w:hideMark/>
          </w:tcPr>
          <w:p w14:paraId="7425B01D"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4141</w:t>
            </w:r>
          </w:p>
        </w:tc>
        <w:tc>
          <w:tcPr>
            <w:tcW w:w="3420" w:type="dxa"/>
            <w:shd w:val="clear" w:color="auto" w:fill="auto"/>
            <w:vAlign w:val="bottom"/>
            <w:hideMark/>
          </w:tcPr>
          <w:p w14:paraId="64E23016"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Branica pod Lisjaki</w:t>
            </w:r>
          </w:p>
        </w:tc>
        <w:tc>
          <w:tcPr>
            <w:tcW w:w="3740" w:type="dxa"/>
            <w:shd w:val="clear" w:color="auto" w:fill="auto"/>
            <w:vAlign w:val="bottom"/>
            <w:hideMark/>
          </w:tcPr>
          <w:p w14:paraId="545B9707"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Vzdrževanje obrežnih zavarovanj, 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58BDDBFB"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412B01A6" w14:textId="77777777" w:rsidTr="003E6900">
        <w:trPr>
          <w:trHeight w:val="600"/>
        </w:trPr>
        <w:tc>
          <w:tcPr>
            <w:tcW w:w="960" w:type="dxa"/>
            <w:shd w:val="clear" w:color="auto" w:fill="auto"/>
            <w:vAlign w:val="bottom"/>
            <w:hideMark/>
          </w:tcPr>
          <w:p w14:paraId="38599401"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4149</w:t>
            </w:r>
          </w:p>
        </w:tc>
        <w:tc>
          <w:tcPr>
            <w:tcW w:w="3420" w:type="dxa"/>
            <w:shd w:val="clear" w:color="auto" w:fill="auto"/>
            <w:vAlign w:val="bottom"/>
            <w:hideMark/>
          </w:tcPr>
          <w:p w14:paraId="5F8FCA7F"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Mala Slatna nad Grgarjem</w:t>
            </w:r>
          </w:p>
        </w:tc>
        <w:tc>
          <w:tcPr>
            <w:tcW w:w="3740" w:type="dxa"/>
            <w:shd w:val="clear" w:color="auto" w:fill="auto"/>
            <w:vAlign w:val="bottom"/>
            <w:hideMark/>
          </w:tcPr>
          <w:p w14:paraId="2A5845B3"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1776BC8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55907025" w14:textId="77777777" w:rsidTr="003E6900">
        <w:trPr>
          <w:trHeight w:val="600"/>
        </w:trPr>
        <w:tc>
          <w:tcPr>
            <w:tcW w:w="960" w:type="dxa"/>
            <w:shd w:val="clear" w:color="auto" w:fill="auto"/>
            <w:vAlign w:val="bottom"/>
            <w:hideMark/>
          </w:tcPr>
          <w:p w14:paraId="29EB1426"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4154</w:t>
            </w:r>
          </w:p>
        </w:tc>
        <w:tc>
          <w:tcPr>
            <w:tcW w:w="3420" w:type="dxa"/>
            <w:shd w:val="clear" w:color="auto" w:fill="auto"/>
            <w:vAlign w:val="bottom"/>
            <w:hideMark/>
          </w:tcPr>
          <w:p w14:paraId="3A70BD49"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Čepovanski potok pod Čepovanom</w:t>
            </w:r>
          </w:p>
        </w:tc>
        <w:tc>
          <w:tcPr>
            <w:tcW w:w="3740" w:type="dxa"/>
            <w:shd w:val="clear" w:color="auto" w:fill="auto"/>
            <w:vAlign w:val="bottom"/>
            <w:hideMark/>
          </w:tcPr>
          <w:p w14:paraId="121A7E4D"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1D6C0F3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38A5A6BA" w14:textId="77777777" w:rsidTr="003E6900">
        <w:trPr>
          <w:trHeight w:val="600"/>
        </w:trPr>
        <w:tc>
          <w:tcPr>
            <w:tcW w:w="960" w:type="dxa"/>
            <w:shd w:val="clear" w:color="auto" w:fill="auto"/>
            <w:vAlign w:val="bottom"/>
            <w:hideMark/>
          </w:tcPr>
          <w:p w14:paraId="212B1A01"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4155</w:t>
            </w:r>
          </w:p>
        </w:tc>
        <w:tc>
          <w:tcPr>
            <w:tcW w:w="3420" w:type="dxa"/>
            <w:shd w:val="clear" w:color="auto" w:fill="auto"/>
            <w:vAlign w:val="bottom"/>
            <w:hideMark/>
          </w:tcPr>
          <w:p w14:paraId="0D9154AF"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Slatna v Grgarju</w:t>
            </w:r>
          </w:p>
        </w:tc>
        <w:tc>
          <w:tcPr>
            <w:tcW w:w="3740" w:type="dxa"/>
            <w:shd w:val="clear" w:color="auto" w:fill="auto"/>
            <w:vAlign w:val="bottom"/>
            <w:hideMark/>
          </w:tcPr>
          <w:p w14:paraId="1B6A7985"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5EC4A2C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2FF9CAC9" w14:textId="77777777" w:rsidTr="003E6900">
        <w:trPr>
          <w:trHeight w:val="600"/>
        </w:trPr>
        <w:tc>
          <w:tcPr>
            <w:tcW w:w="960" w:type="dxa"/>
            <w:shd w:val="clear" w:color="auto" w:fill="auto"/>
            <w:vAlign w:val="bottom"/>
            <w:hideMark/>
          </w:tcPr>
          <w:p w14:paraId="45F9FFC4"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4156</w:t>
            </w:r>
          </w:p>
        </w:tc>
        <w:tc>
          <w:tcPr>
            <w:tcW w:w="3420" w:type="dxa"/>
            <w:shd w:val="clear" w:color="auto" w:fill="auto"/>
            <w:vAlign w:val="bottom"/>
            <w:hideMark/>
          </w:tcPr>
          <w:p w14:paraId="22D5E602"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Banjšček</w:t>
            </w:r>
            <w:proofErr w:type="spellEnd"/>
            <w:r w:rsidRPr="003E6900">
              <w:rPr>
                <w:rFonts w:eastAsia="Times New Roman" w:cs="Calibri"/>
                <w:color w:val="000000"/>
                <w:lang w:eastAsia="sl-SI"/>
              </w:rPr>
              <w:t xml:space="preserve"> v Batah</w:t>
            </w:r>
          </w:p>
        </w:tc>
        <w:tc>
          <w:tcPr>
            <w:tcW w:w="3740" w:type="dxa"/>
            <w:shd w:val="clear" w:color="auto" w:fill="auto"/>
            <w:vAlign w:val="bottom"/>
            <w:hideMark/>
          </w:tcPr>
          <w:p w14:paraId="02E5B279"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40FC73F8"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382C18BC" w14:textId="77777777" w:rsidTr="003E6900">
        <w:trPr>
          <w:trHeight w:val="600"/>
        </w:trPr>
        <w:tc>
          <w:tcPr>
            <w:tcW w:w="960" w:type="dxa"/>
            <w:shd w:val="clear" w:color="auto" w:fill="auto"/>
            <w:vAlign w:val="bottom"/>
            <w:hideMark/>
          </w:tcPr>
          <w:p w14:paraId="1CE55BC3"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4157</w:t>
            </w:r>
          </w:p>
        </w:tc>
        <w:tc>
          <w:tcPr>
            <w:tcW w:w="3420" w:type="dxa"/>
            <w:shd w:val="clear" w:color="auto" w:fill="auto"/>
            <w:vAlign w:val="bottom"/>
            <w:hideMark/>
          </w:tcPr>
          <w:p w14:paraId="25FDFA0B"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Škriljavec</w:t>
            </w:r>
            <w:proofErr w:type="spellEnd"/>
            <w:r w:rsidRPr="003E6900">
              <w:rPr>
                <w:rFonts w:eastAsia="Times New Roman" w:cs="Calibri"/>
                <w:color w:val="000000"/>
                <w:lang w:eastAsia="sl-SI"/>
              </w:rPr>
              <w:t xml:space="preserve"> v Grgarju</w:t>
            </w:r>
          </w:p>
        </w:tc>
        <w:tc>
          <w:tcPr>
            <w:tcW w:w="3740" w:type="dxa"/>
            <w:shd w:val="clear" w:color="auto" w:fill="auto"/>
            <w:vAlign w:val="bottom"/>
            <w:hideMark/>
          </w:tcPr>
          <w:p w14:paraId="1B6E464C"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708BA454"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3570BF2C" w14:textId="77777777" w:rsidTr="003E6900">
        <w:trPr>
          <w:trHeight w:val="600"/>
        </w:trPr>
        <w:tc>
          <w:tcPr>
            <w:tcW w:w="960" w:type="dxa"/>
            <w:shd w:val="clear" w:color="auto" w:fill="auto"/>
            <w:vAlign w:val="bottom"/>
            <w:hideMark/>
          </w:tcPr>
          <w:p w14:paraId="0EBDC5A2"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4158</w:t>
            </w:r>
          </w:p>
        </w:tc>
        <w:tc>
          <w:tcPr>
            <w:tcW w:w="3420" w:type="dxa"/>
            <w:shd w:val="clear" w:color="auto" w:fill="auto"/>
            <w:vAlign w:val="bottom"/>
            <w:hideMark/>
          </w:tcPr>
          <w:p w14:paraId="21538975"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Koren v Kromberku</w:t>
            </w:r>
          </w:p>
        </w:tc>
        <w:tc>
          <w:tcPr>
            <w:tcW w:w="3740" w:type="dxa"/>
            <w:shd w:val="clear" w:color="auto" w:fill="auto"/>
            <w:vAlign w:val="bottom"/>
            <w:hideMark/>
          </w:tcPr>
          <w:p w14:paraId="1CCD0A6C"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01159E91"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14E1C255" w14:textId="77777777" w:rsidTr="003E6900">
        <w:trPr>
          <w:trHeight w:val="600"/>
        </w:trPr>
        <w:tc>
          <w:tcPr>
            <w:tcW w:w="960" w:type="dxa"/>
            <w:shd w:val="clear" w:color="auto" w:fill="auto"/>
            <w:vAlign w:val="bottom"/>
            <w:hideMark/>
          </w:tcPr>
          <w:p w14:paraId="4162D20D"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4159</w:t>
            </w:r>
          </w:p>
        </w:tc>
        <w:tc>
          <w:tcPr>
            <w:tcW w:w="3420" w:type="dxa"/>
            <w:shd w:val="clear" w:color="auto" w:fill="auto"/>
            <w:vAlign w:val="bottom"/>
            <w:hideMark/>
          </w:tcPr>
          <w:p w14:paraId="07212494"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Brestnikov</w:t>
            </w:r>
            <w:proofErr w:type="spellEnd"/>
            <w:r w:rsidRPr="003E6900">
              <w:rPr>
                <w:rFonts w:eastAsia="Times New Roman" w:cs="Calibri"/>
                <w:color w:val="000000"/>
                <w:lang w:eastAsia="sl-SI"/>
              </w:rPr>
              <w:t xml:space="preserve"> potok v Kromberku</w:t>
            </w:r>
          </w:p>
        </w:tc>
        <w:tc>
          <w:tcPr>
            <w:tcW w:w="3740" w:type="dxa"/>
            <w:shd w:val="clear" w:color="auto" w:fill="auto"/>
            <w:vAlign w:val="bottom"/>
            <w:hideMark/>
          </w:tcPr>
          <w:p w14:paraId="1D84EBCE"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0F56ED7E"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68CF512E" w14:textId="77777777" w:rsidTr="003E6900">
        <w:trPr>
          <w:trHeight w:val="600"/>
        </w:trPr>
        <w:tc>
          <w:tcPr>
            <w:tcW w:w="960" w:type="dxa"/>
            <w:shd w:val="clear" w:color="auto" w:fill="auto"/>
            <w:vAlign w:val="bottom"/>
            <w:hideMark/>
          </w:tcPr>
          <w:p w14:paraId="33E8FC43"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4160</w:t>
            </w:r>
          </w:p>
        </w:tc>
        <w:tc>
          <w:tcPr>
            <w:tcW w:w="3420" w:type="dxa"/>
            <w:shd w:val="clear" w:color="auto" w:fill="auto"/>
            <w:vAlign w:val="bottom"/>
            <w:hideMark/>
          </w:tcPr>
          <w:p w14:paraId="0C2277D3"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Lesina</w:t>
            </w:r>
            <w:proofErr w:type="spellEnd"/>
            <w:r w:rsidRPr="003E6900">
              <w:rPr>
                <w:rFonts w:eastAsia="Times New Roman" w:cs="Calibri"/>
                <w:color w:val="000000"/>
                <w:lang w:eastAsia="sl-SI"/>
              </w:rPr>
              <w:t xml:space="preserve"> v Kromberku</w:t>
            </w:r>
          </w:p>
        </w:tc>
        <w:tc>
          <w:tcPr>
            <w:tcW w:w="3740" w:type="dxa"/>
            <w:shd w:val="clear" w:color="auto" w:fill="auto"/>
            <w:vAlign w:val="bottom"/>
            <w:hideMark/>
          </w:tcPr>
          <w:p w14:paraId="215B9932"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5210C7D6"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655BB0BB" w14:textId="77777777" w:rsidTr="003E6900">
        <w:trPr>
          <w:trHeight w:val="600"/>
        </w:trPr>
        <w:tc>
          <w:tcPr>
            <w:tcW w:w="960" w:type="dxa"/>
            <w:shd w:val="clear" w:color="auto" w:fill="auto"/>
            <w:vAlign w:val="bottom"/>
            <w:hideMark/>
          </w:tcPr>
          <w:p w14:paraId="746A35E3"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4171</w:t>
            </w:r>
          </w:p>
        </w:tc>
        <w:tc>
          <w:tcPr>
            <w:tcW w:w="3420" w:type="dxa"/>
            <w:shd w:val="clear" w:color="auto" w:fill="auto"/>
            <w:vAlign w:val="bottom"/>
            <w:hideMark/>
          </w:tcPr>
          <w:p w14:paraId="29A2400D"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Kanal Koren nad </w:t>
            </w:r>
            <w:proofErr w:type="spellStart"/>
            <w:r w:rsidRPr="003E6900">
              <w:rPr>
                <w:rFonts w:eastAsia="Times New Roman" w:cs="Calibri"/>
                <w:color w:val="000000"/>
                <w:lang w:eastAsia="sl-SI"/>
              </w:rPr>
              <w:t>Pikoludom</w:t>
            </w:r>
            <w:proofErr w:type="spellEnd"/>
          </w:p>
        </w:tc>
        <w:tc>
          <w:tcPr>
            <w:tcW w:w="3740" w:type="dxa"/>
            <w:shd w:val="clear" w:color="auto" w:fill="auto"/>
            <w:vAlign w:val="bottom"/>
            <w:hideMark/>
          </w:tcPr>
          <w:p w14:paraId="507FEC7E"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56A07956"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521C8A34" w14:textId="77777777" w:rsidTr="003E6900">
        <w:trPr>
          <w:trHeight w:val="600"/>
        </w:trPr>
        <w:tc>
          <w:tcPr>
            <w:tcW w:w="960" w:type="dxa"/>
            <w:shd w:val="clear" w:color="auto" w:fill="auto"/>
            <w:vAlign w:val="bottom"/>
            <w:hideMark/>
          </w:tcPr>
          <w:p w14:paraId="0997E3A2"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4172</w:t>
            </w:r>
          </w:p>
        </w:tc>
        <w:tc>
          <w:tcPr>
            <w:tcW w:w="3420" w:type="dxa"/>
            <w:shd w:val="clear" w:color="auto" w:fill="auto"/>
            <w:vAlign w:val="bottom"/>
            <w:hideMark/>
          </w:tcPr>
          <w:p w14:paraId="23046E55"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Koren na </w:t>
            </w:r>
            <w:proofErr w:type="spellStart"/>
            <w:r w:rsidRPr="003E6900">
              <w:rPr>
                <w:rFonts w:eastAsia="Times New Roman" w:cs="Calibri"/>
                <w:color w:val="000000"/>
                <w:lang w:eastAsia="sl-SI"/>
              </w:rPr>
              <w:t>Bonetovščah</w:t>
            </w:r>
            <w:proofErr w:type="spellEnd"/>
          </w:p>
        </w:tc>
        <w:tc>
          <w:tcPr>
            <w:tcW w:w="3740" w:type="dxa"/>
            <w:shd w:val="clear" w:color="auto" w:fill="auto"/>
            <w:vAlign w:val="bottom"/>
            <w:hideMark/>
          </w:tcPr>
          <w:p w14:paraId="7C097A5B"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12A80034"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3F8B453F" w14:textId="77777777" w:rsidTr="003E6900">
        <w:trPr>
          <w:trHeight w:val="600"/>
        </w:trPr>
        <w:tc>
          <w:tcPr>
            <w:tcW w:w="960" w:type="dxa"/>
            <w:shd w:val="clear" w:color="auto" w:fill="auto"/>
            <w:vAlign w:val="bottom"/>
            <w:hideMark/>
          </w:tcPr>
          <w:p w14:paraId="2BEED963"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lastRenderedPageBreak/>
              <w:t>4191</w:t>
            </w:r>
          </w:p>
        </w:tc>
        <w:tc>
          <w:tcPr>
            <w:tcW w:w="3420" w:type="dxa"/>
            <w:shd w:val="clear" w:color="auto" w:fill="auto"/>
            <w:vAlign w:val="bottom"/>
            <w:hideMark/>
          </w:tcPr>
          <w:p w14:paraId="05168568"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Odvodnik C - Šempasko polje</w:t>
            </w:r>
          </w:p>
        </w:tc>
        <w:tc>
          <w:tcPr>
            <w:tcW w:w="3740" w:type="dxa"/>
            <w:shd w:val="clear" w:color="auto" w:fill="auto"/>
            <w:vAlign w:val="bottom"/>
            <w:hideMark/>
          </w:tcPr>
          <w:p w14:paraId="4C08A379"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027437BF"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764B76AF" w14:textId="77777777" w:rsidTr="003E6900">
        <w:trPr>
          <w:trHeight w:val="600"/>
        </w:trPr>
        <w:tc>
          <w:tcPr>
            <w:tcW w:w="960" w:type="dxa"/>
            <w:shd w:val="clear" w:color="auto" w:fill="auto"/>
            <w:vAlign w:val="bottom"/>
            <w:hideMark/>
          </w:tcPr>
          <w:p w14:paraId="5CEC57D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4192</w:t>
            </w:r>
          </w:p>
        </w:tc>
        <w:tc>
          <w:tcPr>
            <w:tcW w:w="3420" w:type="dxa"/>
            <w:shd w:val="clear" w:color="auto" w:fill="auto"/>
            <w:vAlign w:val="bottom"/>
            <w:hideMark/>
          </w:tcPr>
          <w:p w14:paraId="71F25DF8"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O.J.1,2,3 - polje Lepenje</w:t>
            </w:r>
          </w:p>
        </w:tc>
        <w:tc>
          <w:tcPr>
            <w:tcW w:w="3740" w:type="dxa"/>
            <w:shd w:val="clear" w:color="auto" w:fill="auto"/>
            <w:vAlign w:val="bottom"/>
            <w:hideMark/>
          </w:tcPr>
          <w:p w14:paraId="7A0BD9E4"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33B3082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483C7D18" w14:textId="77777777" w:rsidTr="003E6900">
        <w:trPr>
          <w:trHeight w:val="600"/>
        </w:trPr>
        <w:tc>
          <w:tcPr>
            <w:tcW w:w="960" w:type="dxa"/>
            <w:shd w:val="clear" w:color="auto" w:fill="auto"/>
            <w:vAlign w:val="bottom"/>
            <w:hideMark/>
          </w:tcPr>
          <w:p w14:paraId="48150738"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4193</w:t>
            </w:r>
          </w:p>
        </w:tc>
        <w:tc>
          <w:tcPr>
            <w:tcW w:w="3420" w:type="dxa"/>
            <w:shd w:val="clear" w:color="auto" w:fill="auto"/>
            <w:vAlign w:val="bottom"/>
            <w:hideMark/>
          </w:tcPr>
          <w:p w14:paraId="69C2BBB2"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Lepenjšček</w:t>
            </w:r>
            <w:proofErr w:type="spellEnd"/>
            <w:r w:rsidRPr="003E6900">
              <w:rPr>
                <w:rFonts w:eastAsia="Times New Roman" w:cs="Calibri"/>
                <w:color w:val="000000"/>
                <w:lang w:eastAsia="sl-SI"/>
              </w:rPr>
              <w:t xml:space="preserve"> - polje Lepenje</w:t>
            </w:r>
          </w:p>
        </w:tc>
        <w:tc>
          <w:tcPr>
            <w:tcW w:w="3740" w:type="dxa"/>
            <w:shd w:val="clear" w:color="auto" w:fill="auto"/>
            <w:vAlign w:val="bottom"/>
            <w:hideMark/>
          </w:tcPr>
          <w:p w14:paraId="6EA77906"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29DAC17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14B6A248" w14:textId="77777777" w:rsidTr="003E6900">
        <w:trPr>
          <w:trHeight w:val="600"/>
        </w:trPr>
        <w:tc>
          <w:tcPr>
            <w:tcW w:w="960" w:type="dxa"/>
            <w:shd w:val="clear" w:color="auto" w:fill="auto"/>
            <w:vAlign w:val="bottom"/>
            <w:hideMark/>
          </w:tcPr>
          <w:p w14:paraId="5397E88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4201</w:t>
            </w:r>
          </w:p>
        </w:tc>
        <w:tc>
          <w:tcPr>
            <w:tcW w:w="3420" w:type="dxa"/>
            <w:shd w:val="clear" w:color="auto" w:fill="auto"/>
            <w:vAlign w:val="bottom"/>
            <w:hideMark/>
          </w:tcPr>
          <w:p w14:paraId="05C01840"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Obrobni jarek od Vipave - polje Okroglica 1</w:t>
            </w:r>
          </w:p>
        </w:tc>
        <w:tc>
          <w:tcPr>
            <w:tcW w:w="3740" w:type="dxa"/>
            <w:shd w:val="clear" w:color="auto" w:fill="auto"/>
            <w:vAlign w:val="bottom"/>
            <w:hideMark/>
          </w:tcPr>
          <w:p w14:paraId="356F123D"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011B707A"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59AE8200" w14:textId="77777777" w:rsidTr="003E6900">
        <w:trPr>
          <w:trHeight w:val="600"/>
        </w:trPr>
        <w:tc>
          <w:tcPr>
            <w:tcW w:w="960" w:type="dxa"/>
            <w:shd w:val="clear" w:color="auto" w:fill="auto"/>
            <w:vAlign w:val="bottom"/>
            <w:hideMark/>
          </w:tcPr>
          <w:p w14:paraId="3D7C733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4209</w:t>
            </w:r>
          </w:p>
        </w:tc>
        <w:tc>
          <w:tcPr>
            <w:tcW w:w="3420" w:type="dxa"/>
            <w:shd w:val="clear" w:color="auto" w:fill="auto"/>
            <w:vAlign w:val="bottom"/>
            <w:hideMark/>
          </w:tcPr>
          <w:p w14:paraId="6A5C8F6E"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Vogršček</w:t>
            </w:r>
            <w:proofErr w:type="spellEnd"/>
            <w:r w:rsidRPr="003E6900">
              <w:rPr>
                <w:rFonts w:eastAsia="Times New Roman" w:cs="Calibri"/>
                <w:color w:val="000000"/>
                <w:lang w:eastAsia="sl-SI"/>
              </w:rPr>
              <w:t xml:space="preserve"> nad </w:t>
            </w:r>
            <w:proofErr w:type="spellStart"/>
            <w:r w:rsidRPr="003E6900">
              <w:rPr>
                <w:rFonts w:eastAsia="Times New Roman" w:cs="Calibri"/>
                <w:color w:val="000000"/>
                <w:lang w:eastAsia="sl-SI"/>
              </w:rPr>
              <w:t>sotojem</w:t>
            </w:r>
            <w:proofErr w:type="spellEnd"/>
            <w:r w:rsidRPr="003E6900">
              <w:rPr>
                <w:rFonts w:eastAsia="Times New Roman" w:cs="Calibri"/>
                <w:color w:val="000000"/>
                <w:lang w:eastAsia="sl-SI"/>
              </w:rPr>
              <w:t xml:space="preserve"> z Dolenjskim potokom</w:t>
            </w:r>
          </w:p>
        </w:tc>
        <w:tc>
          <w:tcPr>
            <w:tcW w:w="3740" w:type="dxa"/>
            <w:shd w:val="clear" w:color="auto" w:fill="auto"/>
            <w:vAlign w:val="bottom"/>
            <w:hideMark/>
          </w:tcPr>
          <w:p w14:paraId="7BF768F1"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5D81DAAA"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21DB7424" w14:textId="77777777" w:rsidTr="003E6900">
        <w:trPr>
          <w:trHeight w:val="600"/>
        </w:trPr>
        <w:tc>
          <w:tcPr>
            <w:tcW w:w="960" w:type="dxa"/>
            <w:shd w:val="clear" w:color="auto" w:fill="auto"/>
            <w:vAlign w:val="bottom"/>
            <w:hideMark/>
          </w:tcPr>
          <w:p w14:paraId="16BE167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4213</w:t>
            </w:r>
          </w:p>
        </w:tc>
        <w:tc>
          <w:tcPr>
            <w:tcW w:w="3420" w:type="dxa"/>
            <w:shd w:val="clear" w:color="auto" w:fill="auto"/>
            <w:vAlign w:val="bottom"/>
            <w:hideMark/>
          </w:tcPr>
          <w:p w14:paraId="15708C41"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O.J. pod Gradiščem - polje Prvačina 1</w:t>
            </w:r>
          </w:p>
        </w:tc>
        <w:tc>
          <w:tcPr>
            <w:tcW w:w="3740" w:type="dxa"/>
            <w:shd w:val="clear" w:color="auto" w:fill="auto"/>
            <w:vAlign w:val="bottom"/>
            <w:hideMark/>
          </w:tcPr>
          <w:p w14:paraId="19C155DC"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29078DE6"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263FA173" w14:textId="77777777" w:rsidTr="003E6900">
        <w:trPr>
          <w:trHeight w:val="600"/>
        </w:trPr>
        <w:tc>
          <w:tcPr>
            <w:tcW w:w="960" w:type="dxa"/>
            <w:shd w:val="clear" w:color="auto" w:fill="auto"/>
            <w:vAlign w:val="bottom"/>
            <w:hideMark/>
          </w:tcPr>
          <w:p w14:paraId="7B035CC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4238</w:t>
            </w:r>
          </w:p>
        </w:tc>
        <w:tc>
          <w:tcPr>
            <w:tcW w:w="3420" w:type="dxa"/>
            <w:shd w:val="clear" w:color="auto" w:fill="auto"/>
            <w:vAlign w:val="bottom"/>
            <w:hideMark/>
          </w:tcPr>
          <w:p w14:paraId="4B0AEDA6"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Ivanjšček</w:t>
            </w:r>
            <w:proofErr w:type="spellEnd"/>
            <w:r w:rsidRPr="003E6900">
              <w:rPr>
                <w:rFonts w:eastAsia="Times New Roman" w:cs="Calibri"/>
                <w:color w:val="000000"/>
                <w:lang w:eastAsia="sl-SI"/>
              </w:rPr>
              <w:t xml:space="preserve"> nad in pod GC v Braniku</w:t>
            </w:r>
          </w:p>
        </w:tc>
        <w:tc>
          <w:tcPr>
            <w:tcW w:w="3740" w:type="dxa"/>
            <w:shd w:val="clear" w:color="auto" w:fill="auto"/>
            <w:vAlign w:val="bottom"/>
            <w:hideMark/>
          </w:tcPr>
          <w:p w14:paraId="7D4BCB59"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5FC5119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07859A25" w14:textId="77777777" w:rsidTr="003E6900">
        <w:trPr>
          <w:trHeight w:val="600"/>
        </w:trPr>
        <w:tc>
          <w:tcPr>
            <w:tcW w:w="960" w:type="dxa"/>
            <w:shd w:val="clear" w:color="auto" w:fill="auto"/>
            <w:vAlign w:val="bottom"/>
            <w:hideMark/>
          </w:tcPr>
          <w:p w14:paraId="72216DF9"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4239</w:t>
            </w:r>
          </w:p>
        </w:tc>
        <w:tc>
          <w:tcPr>
            <w:tcW w:w="3420" w:type="dxa"/>
            <w:shd w:val="clear" w:color="auto" w:fill="auto"/>
            <w:vAlign w:val="bottom"/>
            <w:hideMark/>
          </w:tcPr>
          <w:p w14:paraId="0784E850"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Vrtojbica</w:t>
            </w:r>
            <w:proofErr w:type="spellEnd"/>
            <w:r w:rsidRPr="003E6900">
              <w:rPr>
                <w:rFonts w:eastAsia="Times New Roman" w:cs="Calibri"/>
                <w:color w:val="000000"/>
                <w:lang w:eastAsia="sl-SI"/>
              </w:rPr>
              <w:t xml:space="preserve"> nad cesto za Staro Goro</w:t>
            </w:r>
          </w:p>
        </w:tc>
        <w:tc>
          <w:tcPr>
            <w:tcW w:w="3740" w:type="dxa"/>
            <w:shd w:val="clear" w:color="auto" w:fill="auto"/>
            <w:vAlign w:val="bottom"/>
            <w:hideMark/>
          </w:tcPr>
          <w:p w14:paraId="10D10C79"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3ED83568"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1510D446" w14:textId="77777777" w:rsidTr="003E6900">
        <w:trPr>
          <w:trHeight w:val="600"/>
        </w:trPr>
        <w:tc>
          <w:tcPr>
            <w:tcW w:w="960" w:type="dxa"/>
            <w:shd w:val="clear" w:color="auto" w:fill="auto"/>
            <w:vAlign w:val="bottom"/>
            <w:hideMark/>
          </w:tcPr>
          <w:p w14:paraId="2B773C3C"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4240</w:t>
            </w:r>
          </w:p>
        </w:tc>
        <w:tc>
          <w:tcPr>
            <w:tcW w:w="3420" w:type="dxa"/>
            <w:shd w:val="clear" w:color="auto" w:fill="auto"/>
            <w:vAlign w:val="bottom"/>
            <w:hideMark/>
          </w:tcPr>
          <w:p w14:paraId="184E8584"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Svinjšček</w:t>
            </w:r>
            <w:proofErr w:type="spellEnd"/>
            <w:r w:rsidRPr="003E6900">
              <w:rPr>
                <w:rFonts w:eastAsia="Times New Roman" w:cs="Calibri"/>
                <w:color w:val="000000"/>
                <w:lang w:eastAsia="sl-SI"/>
              </w:rPr>
              <w:t xml:space="preserve"> nad in pod GC</w:t>
            </w:r>
          </w:p>
        </w:tc>
        <w:tc>
          <w:tcPr>
            <w:tcW w:w="3740" w:type="dxa"/>
            <w:shd w:val="clear" w:color="auto" w:fill="auto"/>
            <w:vAlign w:val="bottom"/>
            <w:hideMark/>
          </w:tcPr>
          <w:p w14:paraId="1764E9E1"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156D16D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705B5B35" w14:textId="77777777" w:rsidTr="003E6900">
        <w:trPr>
          <w:trHeight w:val="600"/>
        </w:trPr>
        <w:tc>
          <w:tcPr>
            <w:tcW w:w="960" w:type="dxa"/>
            <w:shd w:val="clear" w:color="auto" w:fill="auto"/>
            <w:vAlign w:val="bottom"/>
            <w:hideMark/>
          </w:tcPr>
          <w:p w14:paraId="41AC497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4246</w:t>
            </w:r>
          </w:p>
        </w:tc>
        <w:tc>
          <w:tcPr>
            <w:tcW w:w="3420" w:type="dxa"/>
            <w:shd w:val="clear" w:color="auto" w:fill="auto"/>
            <w:vAlign w:val="bottom"/>
            <w:hideMark/>
          </w:tcPr>
          <w:p w14:paraId="098A1685"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Tribuščak</w:t>
            </w:r>
            <w:proofErr w:type="spellEnd"/>
            <w:r w:rsidRPr="003E6900">
              <w:rPr>
                <w:rFonts w:eastAsia="Times New Roman" w:cs="Calibri"/>
                <w:color w:val="000000"/>
                <w:lang w:eastAsia="sl-SI"/>
              </w:rPr>
              <w:t xml:space="preserve"> - </w:t>
            </w:r>
            <w:proofErr w:type="spellStart"/>
            <w:r w:rsidRPr="003E6900">
              <w:rPr>
                <w:rFonts w:eastAsia="Times New Roman" w:cs="Calibri"/>
                <w:color w:val="000000"/>
                <w:lang w:eastAsia="sl-SI"/>
              </w:rPr>
              <w:t>šempasko</w:t>
            </w:r>
            <w:proofErr w:type="spellEnd"/>
            <w:r w:rsidRPr="003E6900">
              <w:rPr>
                <w:rFonts w:eastAsia="Times New Roman" w:cs="Calibri"/>
                <w:color w:val="000000"/>
                <w:lang w:eastAsia="sl-SI"/>
              </w:rPr>
              <w:t xml:space="preserve"> polje</w:t>
            </w:r>
          </w:p>
        </w:tc>
        <w:tc>
          <w:tcPr>
            <w:tcW w:w="3740" w:type="dxa"/>
            <w:shd w:val="clear" w:color="auto" w:fill="auto"/>
            <w:vAlign w:val="bottom"/>
            <w:hideMark/>
          </w:tcPr>
          <w:p w14:paraId="118EB513"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2AC55BB1"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6A1D2E1C" w14:textId="77777777" w:rsidTr="003E6900">
        <w:trPr>
          <w:trHeight w:val="600"/>
        </w:trPr>
        <w:tc>
          <w:tcPr>
            <w:tcW w:w="960" w:type="dxa"/>
            <w:shd w:val="clear" w:color="auto" w:fill="auto"/>
            <w:vAlign w:val="bottom"/>
            <w:hideMark/>
          </w:tcPr>
          <w:p w14:paraId="7BC6EC26"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4247</w:t>
            </w:r>
          </w:p>
        </w:tc>
        <w:tc>
          <w:tcPr>
            <w:tcW w:w="3420" w:type="dxa"/>
            <w:shd w:val="clear" w:color="auto" w:fill="auto"/>
            <w:vAlign w:val="bottom"/>
            <w:hideMark/>
          </w:tcPr>
          <w:p w14:paraId="195E5D3A"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Ozeljanšček</w:t>
            </w:r>
            <w:proofErr w:type="spellEnd"/>
            <w:r w:rsidRPr="003E6900">
              <w:rPr>
                <w:rFonts w:eastAsia="Times New Roman" w:cs="Calibri"/>
                <w:color w:val="000000"/>
                <w:lang w:eastAsia="sl-SI"/>
              </w:rPr>
              <w:t xml:space="preserve"> - Šempasko polje</w:t>
            </w:r>
          </w:p>
        </w:tc>
        <w:tc>
          <w:tcPr>
            <w:tcW w:w="3740" w:type="dxa"/>
            <w:shd w:val="clear" w:color="auto" w:fill="auto"/>
            <w:vAlign w:val="bottom"/>
            <w:hideMark/>
          </w:tcPr>
          <w:p w14:paraId="542B3171"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18149ECF"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73FEA7C8" w14:textId="77777777" w:rsidTr="003E6900">
        <w:trPr>
          <w:trHeight w:val="600"/>
        </w:trPr>
        <w:tc>
          <w:tcPr>
            <w:tcW w:w="960" w:type="dxa"/>
            <w:shd w:val="clear" w:color="auto" w:fill="auto"/>
            <w:vAlign w:val="bottom"/>
            <w:hideMark/>
          </w:tcPr>
          <w:p w14:paraId="7C7EC9E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4248</w:t>
            </w:r>
          </w:p>
        </w:tc>
        <w:tc>
          <w:tcPr>
            <w:tcW w:w="3420" w:type="dxa"/>
            <w:shd w:val="clear" w:color="auto" w:fill="auto"/>
            <w:vAlign w:val="bottom"/>
            <w:hideMark/>
          </w:tcPr>
          <w:p w14:paraId="2713912F"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Odvodnik 1 - Šempasko polje</w:t>
            </w:r>
          </w:p>
        </w:tc>
        <w:tc>
          <w:tcPr>
            <w:tcW w:w="3740" w:type="dxa"/>
            <w:shd w:val="clear" w:color="auto" w:fill="auto"/>
            <w:vAlign w:val="bottom"/>
            <w:hideMark/>
          </w:tcPr>
          <w:p w14:paraId="34B586D3"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330222D2"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3ECC62FB" w14:textId="77777777" w:rsidTr="003E6900">
        <w:trPr>
          <w:trHeight w:val="600"/>
        </w:trPr>
        <w:tc>
          <w:tcPr>
            <w:tcW w:w="960" w:type="dxa"/>
            <w:shd w:val="clear" w:color="auto" w:fill="auto"/>
            <w:vAlign w:val="bottom"/>
            <w:hideMark/>
          </w:tcPr>
          <w:p w14:paraId="0B77872A"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4249</w:t>
            </w:r>
          </w:p>
        </w:tc>
        <w:tc>
          <w:tcPr>
            <w:tcW w:w="3420" w:type="dxa"/>
            <w:shd w:val="clear" w:color="auto" w:fill="auto"/>
            <w:vAlign w:val="bottom"/>
            <w:hideMark/>
          </w:tcPr>
          <w:p w14:paraId="03891221"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Odvodnik 4 - polje Loke</w:t>
            </w:r>
          </w:p>
        </w:tc>
        <w:tc>
          <w:tcPr>
            <w:tcW w:w="3740" w:type="dxa"/>
            <w:shd w:val="clear" w:color="auto" w:fill="auto"/>
            <w:vAlign w:val="bottom"/>
            <w:hideMark/>
          </w:tcPr>
          <w:p w14:paraId="3C89347C"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76AF513C"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16710D05" w14:textId="77777777" w:rsidTr="003E6900">
        <w:trPr>
          <w:trHeight w:val="600"/>
        </w:trPr>
        <w:tc>
          <w:tcPr>
            <w:tcW w:w="960" w:type="dxa"/>
            <w:shd w:val="clear" w:color="auto" w:fill="auto"/>
            <w:vAlign w:val="bottom"/>
            <w:hideMark/>
          </w:tcPr>
          <w:p w14:paraId="41FE1E83"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4250</w:t>
            </w:r>
          </w:p>
        </w:tc>
        <w:tc>
          <w:tcPr>
            <w:tcW w:w="3420" w:type="dxa"/>
            <w:shd w:val="clear" w:color="auto" w:fill="auto"/>
            <w:vAlign w:val="bottom"/>
            <w:hideMark/>
          </w:tcPr>
          <w:p w14:paraId="4CE54D93"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Dolenjski potok - polje Črniče Dolenje</w:t>
            </w:r>
          </w:p>
        </w:tc>
        <w:tc>
          <w:tcPr>
            <w:tcW w:w="3740" w:type="dxa"/>
            <w:shd w:val="clear" w:color="auto" w:fill="auto"/>
            <w:vAlign w:val="bottom"/>
            <w:hideMark/>
          </w:tcPr>
          <w:p w14:paraId="13DDCCE8"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3F0AA53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4D95FA41" w14:textId="77777777" w:rsidTr="003E6900">
        <w:trPr>
          <w:trHeight w:val="600"/>
        </w:trPr>
        <w:tc>
          <w:tcPr>
            <w:tcW w:w="960" w:type="dxa"/>
            <w:shd w:val="clear" w:color="auto" w:fill="auto"/>
            <w:vAlign w:val="bottom"/>
            <w:hideMark/>
          </w:tcPr>
          <w:p w14:paraId="0A0D2AB9"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4251</w:t>
            </w:r>
          </w:p>
        </w:tc>
        <w:tc>
          <w:tcPr>
            <w:tcW w:w="3420" w:type="dxa"/>
            <w:shd w:val="clear" w:color="auto" w:fill="auto"/>
            <w:vAlign w:val="bottom"/>
            <w:hideMark/>
          </w:tcPr>
          <w:p w14:paraId="362CADA2"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Lajšče</w:t>
            </w:r>
            <w:proofErr w:type="spellEnd"/>
            <w:r w:rsidRPr="003E6900">
              <w:rPr>
                <w:rFonts w:eastAsia="Times New Roman" w:cs="Calibri"/>
                <w:color w:val="000000"/>
                <w:lang w:eastAsia="sl-SI"/>
              </w:rPr>
              <w:t xml:space="preserve"> - polje Ozeljan</w:t>
            </w:r>
          </w:p>
        </w:tc>
        <w:tc>
          <w:tcPr>
            <w:tcW w:w="3740" w:type="dxa"/>
            <w:shd w:val="clear" w:color="auto" w:fill="auto"/>
            <w:vAlign w:val="bottom"/>
            <w:hideMark/>
          </w:tcPr>
          <w:p w14:paraId="6B0E030E"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13981CCF"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12B0FA39" w14:textId="77777777" w:rsidTr="003E6900">
        <w:trPr>
          <w:trHeight w:val="600"/>
        </w:trPr>
        <w:tc>
          <w:tcPr>
            <w:tcW w:w="960" w:type="dxa"/>
            <w:shd w:val="clear" w:color="auto" w:fill="auto"/>
            <w:vAlign w:val="bottom"/>
            <w:hideMark/>
          </w:tcPr>
          <w:p w14:paraId="0DAE6D4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4252</w:t>
            </w:r>
          </w:p>
        </w:tc>
        <w:tc>
          <w:tcPr>
            <w:tcW w:w="3420" w:type="dxa"/>
            <w:shd w:val="clear" w:color="auto" w:fill="auto"/>
            <w:vAlign w:val="bottom"/>
            <w:hideMark/>
          </w:tcPr>
          <w:p w14:paraId="77A2F237"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Potok </w:t>
            </w:r>
            <w:proofErr w:type="spellStart"/>
            <w:r w:rsidRPr="003E6900">
              <w:rPr>
                <w:rFonts w:eastAsia="Times New Roman" w:cs="Calibri"/>
                <w:color w:val="000000"/>
                <w:lang w:eastAsia="sl-SI"/>
              </w:rPr>
              <w:t>Potok</w:t>
            </w:r>
            <w:proofErr w:type="spellEnd"/>
            <w:r w:rsidRPr="003E6900">
              <w:rPr>
                <w:rFonts w:eastAsia="Times New Roman" w:cs="Calibri"/>
                <w:color w:val="000000"/>
                <w:lang w:eastAsia="sl-SI"/>
              </w:rPr>
              <w:t xml:space="preserve"> v Dragi in Potoku pri Dornberku</w:t>
            </w:r>
          </w:p>
        </w:tc>
        <w:tc>
          <w:tcPr>
            <w:tcW w:w="3740" w:type="dxa"/>
            <w:shd w:val="clear" w:color="auto" w:fill="auto"/>
            <w:vAlign w:val="bottom"/>
            <w:hideMark/>
          </w:tcPr>
          <w:p w14:paraId="41331560"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5FC7E53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02AD4E70" w14:textId="77777777" w:rsidTr="003E6900">
        <w:trPr>
          <w:trHeight w:val="600"/>
        </w:trPr>
        <w:tc>
          <w:tcPr>
            <w:tcW w:w="960" w:type="dxa"/>
            <w:shd w:val="clear" w:color="auto" w:fill="auto"/>
            <w:vAlign w:val="bottom"/>
            <w:hideMark/>
          </w:tcPr>
          <w:p w14:paraId="2A7C19A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4253</w:t>
            </w:r>
          </w:p>
        </w:tc>
        <w:tc>
          <w:tcPr>
            <w:tcW w:w="3420" w:type="dxa"/>
            <w:shd w:val="clear" w:color="auto" w:fill="auto"/>
            <w:vAlign w:val="bottom"/>
            <w:hideMark/>
          </w:tcPr>
          <w:p w14:paraId="75EFDC73"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Globonik</w:t>
            </w:r>
            <w:proofErr w:type="spellEnd"/>
            <w:r w:rsidRPr="003E6900">
              <w:rPr>
                <w:rFonts w:eastAsia="Times New Roman" w:cs="Calibri"/>
                <w:color w:val="000000"/>
                <w:lang w:eastAsia="sl-SI"/>
              </w:rPr>
              <w:t xml:space="preserve"> nad vtokom v Lijak</w:t>
            </w:r>
          </w:p>
        </w:tc>
        <w:tc>
          <w:tcPr>
            <w:tcW w:w="3740" w:type="dxa"/>
            <w:shd w:val="clear" w:color="auto" w:fill="auto"/>
            <w:vAlign w:val="bottom"/>
            <w:hideMark/>
          </w:tcPr>
          <w:p w14:paraId="0DE91301"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418ABE24"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4247841D" w14:textId="77777777" w:rsidTr="003E6900">
        <w:trPr>
          <w:trHeight w:val="600"/>
        </w:trPr>
        <w:tc>
          <w:tcPr>
            <w:tcW w:w="960" w:type="dxa"/>
            <w:shd w:val="clear" w:color="auto" w:fill="auto"/>
            <w:vAlign w:val="bottom"/>
            <w:hideMark/>
          </w:tcPr>
          <w:p w14:paraId="4DA6CC9E"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4254</w:t>
            </w:r>
          </w:p>
        </w:tc>
        <w:tc>
          <w:tcPr>
            <w:tcW w:w="3420" w:type="dxa"/>
            <w:shd w:val="clear" w:color="auto" w:fill="auto"/>
            <w:vAlign w:val="bottom"/>
            <w:hideMark/>
          </w:tcPr>
          <w:p w14:paraId="1304B081"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Lajšče</w:t>
            </w:r>
            <w:proofErr w:type="spellEnd"/>
            <w:r w:rsidRPr="003E6900">
              <w:rPr>
                <w:rFonts w:eastAsia="Times New Roman" w:cs="Calibri"/>
                <w:color w:val="000000"/>
                <w:lang w:eastAsia="sl-SI"/>
              </w:rPr>
              <w:t xml:space="preserve"> pod cesto - </w:t>
            </w:r>
            <w:proofErr w:type="spellStart"/>
            <w:r w:rsidRPr="003E6900">
              <w:rPr>
                <w:rFonts w:eastAsia="Times New Roman" w:cs="Calibri"/>
                <w:color w:val="000000"/>
                <w:lang w:eastAsia="sl-SI"/>
              </w:rPr>
              <w:t>Lijaško</w:t>
            </w:r>
            <w:proofErr w:type="spellEnd"/>
            <w:r w:rsidRPr="003E6900">
              <w:rPr>
                <w:rFonts w:eastAsia="Times New Roman" w:cs="Calibri"/>
                <w:color w:val="000000"/>
                <w:lang w:eastAsia="sl-SI"/>
              </w:rPr>
              <w:t xml:space="preserve"> polje</w:t>
            </w:r>
          </w:p>
        </w:tc>
        <w:tc>
          <w:tcPr>
            <w:tcW w:w="3740" w:type="dxa"/>
            <w:shd w:val="clear" w:color="auto" w:fill="auto"/>
            <w:vAlign w:val="bottom"/>
            <w:hideMark/>
          </w:tcPr>
          <w:p w14:paraId="35F40CF2"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6EA16FB6"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4CED2765" w14:textId="77777777" w:rsidTr="003E6900">
        <w:trPr>
          <w:trHeight w:val="600"/>
        </w:trPr>
        <w:tc>
          <w:tcPr>
            <w:tcW w:w="960" w:type="dxa"/>
            <w:shd w:val="clear" w:color="auto" w:fill="auto"/>
            <w:vAlign w:val="bottom"/>
            <w:hideMark/>
          </w:tcPr>
          <w:p w14:paraId="4CA4350F"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4255</w:t>
            </w:r>
          </w:p>
        </w:tc>
        <w:tc>
          <w:tcPr>
            <w:tcW w:w="3420" w:type="dxa"/>
            <w:shd w:val="clear" w:color="auto" w:fill="auto"/>
            <w:vAlign w:val="bottom"/>
            <w:hideMark/>
          </w:tcPr>
          <w:p w14:paraId="52946933"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Livišče</w:t>
            </w:r>
            <w:proofErr w:type="spellEnd"/>
            <w:r w:rsidRPr="003E6900">
              <w:rPr>
                <w:rFonts w:eastAsia="Times New Roman" w:cs="Calibri"/>
                <w:color w:val="000000"/>
                <w:lang w:eastAsia="sl-SI"/>
              </w:rPr>
              <w:t xml:space="preserve"> - </w:t>
            </w:r>
            <w:proofErr w:type="spellStart"/>
            <w:r w:rsidRPr="003E6900">
              <w:rPr>
                <w:rFonts w:eastAsia="Times New Roman" w:cs="Calibri"/>
                <w:color w:val="000000"/>
                <w:lang w:eastAsia="sl-SI"/>
              </w:rPr>
              <w:t>Lijaško</w:t>
            </w:r>
            <w:proofErr w:type="spellEnd"/>
            <w:r w:rsidRPr="003E6900">
              <w:rPr>
                <w:rFonts w:eastAsia="Times New Roman" w:cs="Calibri"/>
                <w:color w:val="000000"/>
                <w:lang w:eastAsia="sl-SI"/>
              </w:rPr>
              <w:t xml:space="preserve"> polje</w:t>
            </w:r>
          </w:p>
        </w:tc>
        <w:tc>
          <w:tcPr>
            <w:tcW w:w="3740" w:type="dxa"/>
            <w:shd w:val="clear" w:color="auto" w:fill="auto"/>
            <w:vAlign w:val="bottom"/>
            <w:hideMark/>
          </w:tcPr>
          <w:p w14:paraId="2294A0D2"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3AEA6338"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53769EBB" w14:textId="77777777" w:rsidTr="003E6900">
        <w:trPr>
          <w:trHeight w:val="600"/>
        </w:trPr>
        <w:tc>
          <w:tcPr>
            <w:tcW w:w="960" w:type="dxa"/>
            <w:shd w:val="clear" w:color="auto" w:fill="auto"/>
            <w:vAlign w:val="bottom"/>
            <w:hideMark/>
          </w:tcPr>
          <w:p w14:paraId="410D358B"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4256</w:t>
            </w:r>
          </w:p>
        </w:tc>
        <w:tc>
          <w:tcPr>
            <w:tcW w:w="3420" w:type="dxa"/>
            <w:shd w:val="clear" w:color="auto" w:fill="auto"/>
            <w:vAlign w:val="bottom"/>
            <w:hideMark/>
          </w:tcPr>
          <w:p w14:paraId="32CBE5E5"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O.J. 1 - </w:t>
            </w:r>
            <w:proofErr w:type="spellStart"/>
            <w:r w:rsidRPr="003E6900">
              <w:rPr>
                <w:rFonts w:eastAsia="Times New Roman" w:cs="Calibri"/>
                <w:color w:val="000000"/>
                <w:lang w:eastAsia="sl-SI"/>
              </w:rPr>
              <w:t>Lijaško</w:t>
            </w:r>
            <w:proofErr w:type="spellEnd"/>
            <w:r w:rsidRPr="003E6900">
              <w:rPr>
                <w:rFonts w:eastAsia="Times New Roman" w:cs="Calibri"/>
                <w:color w:val="000000"/>
                <w:lang w:eastAsia="sl-SI"/>
              </w:rPr>
              <w:t xml:space="preserve"> polje</w:t>
            </w:r>
          </w:p>
        </w:tc>
        <w:tc>
          <w:tcPr>
            <w:tcW w:w="3740" w:type="dxa"/>
            <w:shd w:val="clear" w:color="auto" w:fill="auto"/>
            <w:vAlign w:val="bottom"/>
            <w:hideMark/>
          </w:tcPr>
          <w:p w14:paraId="533F5835"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4027D72D"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1369BEFD" w14:textId="77777777" w:rsidTr="003E6900">
        <w:trPr>
          <w:trHeight w:val="600"/>
        </w:trPr>
        <w:tc>
          <w:tcPr>
            <w:tcW w:w="960" w:type="dxa"/>
            <w:shd w:val="clear" w:color="auto" w:fill="auto"/>
            <w:vAlign w:val="bottom"/>
            <w:hideMark/>
          </w:tcPr>
          <w:p w14:paraId="08B44D6B"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lastRenderedPageBreak/>
              <w:t>4257</w:t>
            </w:r>
          </w:p>
        </w:tc>
        <w:tc>
          <w:tcPr>
            <w:tcW w:w="3420" w:type="dxa"/>
            <w:shd w:val="clear" w:color="auto" w:fill="auto"/>
            <w:vAlign w:val="bottom"/>
            <w:hideMark/>
          </w:tcPr>
          <w:p w14:paraId="080AC16A"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Glinek - polje </w:t>
            </w:r>
            <w:proofErr w:type="spellStart"/>
            <w:r w:rsidRPr="003E6900">
              <w:rPr>
                <w:rFonts w:eastAsia="Times New Roman" w:cs="Calibri"/>
                <w:color w:val="000000"/>
                <w:lang w:eastAsia="sl-SI"/>
              </w:rPr>
              <w:t>Prvaina</w:t>
            </w:r>
            <w:proofErr w:type="spellEnd"/>
            <w:r w:rsidRPr="003E6900">
              <w:rPr>
                <w:rFonts w:eastAsia="Times New Roman" w:cs="Calibri"/>
                <w:color w:val="000000"/>
                <w:lang w:eastAsia="sl-SI"/>
              </w:rPr>
              <w:t xml:space="preserve"> 1</w:t>
            </w:r>
          </w:p>
        </w:tc>
        <w:tc>
          <w:tcPr>
            <w:tcW w:w="3740" w:type="dxa"/>
            <w:shd w:val="clear" w:color="auto" w:fill="auto"/>
            <w:vAlign w:val="bottom"/>
            <w:hideMark/>
          </w:tcPr>
          <w:p w14:paraId="1FAAB42F"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72CF3D26"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31C84638" w14:textId="77777777" w:rsidTr="003E6900">
        <w:trPr>
          <w:trHeight w:val="600"/>
        </w:trPr>
        <w:tc>
          <w:tcPr>
            <w:tcW w:w="960" w:type="dxa"/>
            <w:shd w:val="clear" w:color="auto" w:fill="auto"/>
            <w:vAlign w:val="bottom"/>
            <w:hideMark/>
          </w:tcPr>
          <w:p w14:paraId="5AD09DD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4258</w:t>
            </w:r>
          </w:p>
        </w:tc>
        <w:tc>
          <w:tcPr>
            <w:tcW w:w="3420" w:type="dxa"/>
            <w:shd w:val="clear" w:color="auto" w:fill="auto"/>
            <w:vAlign w:val="bottom"/>
            <w:hideMark/>
          </w:tcPr>
          <w:p w14:paraId="10442836"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Prva - polje </w:t>
            </w:r>
            <w:proofErr w:type="spellStart"/>
            <w:r w:rsidRPr="003E6900">
              <w:rPr>
                <w:rFonts w:eastAsia="Times New Roman" w:cs="Calibri"/>
                <w:color w:val="000000"/>
                <w:lang w:eastAsia="sl-SI"/>
              </w:rPr>
              <w:t>Prvaina</w:t>
            </w:r>
            <w:proofErr w:type="spellEnd"/>
            <w:r w:rsidRPr="003E6900">
              <w:rPr>
                <w:rFonts w:eastAsia="Times New Roman" w:cs="Calibri"/>
                <w:color w:val="000000"/>
                <w:lang w:eastAsia="sl-SI"/>
              </w:rPr>
              <w:t xml:space="preserve"> 1</w:t>
            </w:r>
          </w:p>
        </w:tc>
        <w:tc>
          <w:tcPr>
            <w:tcW w:w="3740" w:type="dxa"/>
            <w:shd w:val="clear" w:color="auto" w:fill="auto"/>
            <w:vAlign w:val="bottom"/>
            <w:hideMark/>
          </w:tcPr>
          <w:p w14:paraId="21C750B3"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766F958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2A99A05B" w14:textId="77777777" w:rsidTr="003E6900">
        <w:trPr>
          <w:trHeight w:val="600"/>
        </w:trPr>
        <w:tc>
          <w:tcPr>
            <w:tcW w:w="960" w:type="dxa"/>
            <w:shd w:val="clear" w:color="auto" w:fill="auto"/>
            <w:vAlign w:val="bottom"/>
            <w:hideMark/>
          </w:tcPr>
          <w:p w14:paraId="6B3A94A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4259</w:t>
            </w:r>
          </w:p>
        </w:tc>
        <w:tc>
          <w:tcPr>
            <w:tcW w:w="3420" w:type="dxa"/>
            <w:shd w:val="clear" w:color="auto" w:fill="auto"/>
            <w:vAlign w:val="bottom"/>
            <w:hideMark/>
          </w:tcPr>
          <w:p w14:paraId="4165C15B"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Odvodnik 2 - polje </w:t>
            </w:r>
            <w:proofErr w:type="spellStart"/>
            <w:r w:rsidRPr="003E6900">
              <w:rPr>
                <w:rFonts w:eastAsia="Times New Roman" w:cs="Calibri"/>
                <w:color w:val="000000"/>
                <w:lang w:eastAsia="sl-SI"/>
              </w:rPr>
              <w:t>Prvaina</w:t>
            </w:r>
            <w:proofErr w:type="spellEnd"/>
            <w:r w:rsidRPr="003E6900">
              <w:rPr>
                <w:rFonts w:eastAsia="Times New Roman" w:cs="Calibri"/>
                <w:color w:val="000000"/>
                <w:lang w:eastAsia="sl-SI"/>
              </w:rPr>
              <w:t xml:space="preserve"> 1</w:t>
            </w:r>
          </w:p>
        </w:tc>
        <w:tc>
          <w:tcPr>
            <w:tcW w:w="3740" w:type="dxa"/>
            <w:shd w:val="clear" w:color="auto" w:fill="auto"/>
            <w:vAlign w:val="bottom"/>
            <w:hideMark/>
          </w:tcPr>
          <w:p w14:paraId="77B78F1B"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57F9F0D9"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75790828" w14:textId="77777777" w:rsidTr="003E6900">
        <w:trPr>
          <w:trHeight w:val="600"/>
        </w:trPr>
        <w:tc>
          <w:tcPr>
            <w:tcW w:w="960" w:type="dxa"/>
            <w:shd w:val="clear" w:color="auto" w:fill="auto"/>
            <w:vAlign w:val="bottom"/>
            <w:hideMark/>
          </w:tcPr>
          <w:p w14:paraId="62A98FA2"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4260</w:t>
            </w:r>
          </w:p>
        </w:tc>
        <w:tc>
          <w:tcPr>
            <w:tcW w:w="3420" w:type="dxa"/>
            <w:shd w:val="clear" w:color="auto" w:fill="auto"/>
            <w:vAlign w:val="bottom"/>
            <w:hideMark/>
          </w:tcPr>
          <w:p w14:paraId="1DF82C1F"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Branica pod Bizjaki</w:t>
            </w:r>
          </w:p>
        </w:tc>
        <w:tc>
          <w:tcPr>
            <w:tcW w:w="3740" w:type="dxa"/>
            <w:shd w:val="clear" w:color="auto" w:fill="auto"/>
            <w:vAlign w:val="bottom"/>
            <w:hideMark/>
          </w:tcPr>
          <w:p w14:paraId="54C154D0"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17DF883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68CE7109" w14:textId="77777777" w:rsidTr="003E6900">
        <w:trPr>
          <w:trHeight w:val="600"/>
        </w:trPr>
        <w:tc>
          <w:tcPr>
            <w:tcW w:w="960" w:type="dxa"/>
            <w:shd w:val="clear" w:color="auto" w:fill="auto"/>
            <w:vAlign w:val="bottom"/>
            <w:hideMark/>
          </w:tcPr>
          <w:p w14:paraId="3F3ADB7F"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4261</w:t>
            </w:r>
          </w:p>
        </w:tc>
        <w:tc>
          <w:tcPr>
            <w:tcW w:w="3420" w:type="dxa"/>
            <w:shd w:val="clear" w:color="auto" w:fill="auto"/>
            <w:vAlign w:val="bottom"/>
            <w:hideMark/>
          </w:tcPr>
          <w:p w14:paraId="50035F71"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Desni pritok Branice nad mostom š </w:t>
            </w:r>
            <w:proofErr w:type="spellStart"/>
            <w:r w:rsidRPr="003E6900">
              <w:rPr>
                <w:rFonts w:eastAsia="Times New Roman" w:cs="Calibri"/>
                <w:color w:val="000000"/>
                <w:lang w:eastAsia="sl-SI"/>
              </w:rPr>
              <w:t>tanjel</w:t>
            </w:r>
            <w:proofErr w:type="spellEnd"/>
          </w:p>
        </w:tc>
        <w:tc>
          <w:tcPr>
            <w:tcW w:w="3740" w:type="dxa"/>
            <w:shd w:val="clear" w:color="auto" w:fill="auto"/>
            <w:vAlign w:val="bottom"/>
            <w:hideMark/>
          </w:tcPr>
          <w:p w14:paraId="2C7156C2"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131A08C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6F87B4F5" w14:textId="77777777" w:rsidTr="003E6900">
        <w:trPr>
          <w:trHeight w:val="600"/>
        </w:trPr>
        <w:tc>
          <w:tcPr>
            <w:tcW w:w="960" w:type="dxa"/>
            <w:shd w:val="clear" w:color="auto" w:fill="auto"/>
            <w:vAlign w:val="bottom"/>
            <w:hideMark/>
          </w:tcPr>
          <w:p w14:paraId="52D34474"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4274</w:t>
            </w:r>
          </w:p>
        </w:tc>
        <w:tc>
          <w:tcPr>
            <w:tcW w:w="3420" w:type="dxa"/>
            <w:shd w:val="clear" w:color="auto" w:fill="auto"/>
            <w:vAlign w:val="bottom"/>
            <w:hideMark/>
          </w:tcPr>
          <w:p w14:paraId="0DF5FC59"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Desni pritok Branice v Braniku nad tovarno Meblo</w:t>
            </w:r>
          </w:p>
        </w:tc>
        <w:tc>
          <w:tcPr>
            <w:tcW w:w="3740" w:type="dxa"/>
            <w:shd w:val="clear" w:color="auto" w:fill="auto"/>
            <w:vAlign w:val="bottom"/>
            <w:hideMark/>
          </w:tcPr>
          <w:p w14:paraId="30DE8C85"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Odstranjevanje </w:t>
            </w:r>
            <w:proofErr w:type="spellStart"/>
            <w:r w:rsidRPr="003E6900">
              <w:rPr>
                <w:rFonts w:eastAsia="Times New Roman" w:cs="Calibri"/>
                <w:color w:val="000000"/>
                <w:lang w:eastAsia="sl-SI"/>
              </w:rPr>
              <w:t>naplavin,povečanje</w:t>
            </w:r>
            <w:proofErr w:type="spellEnd"/>
            <w:r w:rsidRPr="003E6900">
              <w:rPr>
                <w:rFonts w:eastAsia="Times New Roman" w:cs="Calibri"/>
                <w:color w:val="000000"/>
                <w:lang w:eastAsia="sl-SI"/>
              </w:rPr>
              <w:t xml:space="preserve"> pretočnosti</w:t>
            </w:r>
          </w:p>
        </w:tc>
        <w:tc>
          <w:tcPr>
            <w:tcW w:w="860" w:type="dxa"/>
            <w:shd w:val="clear" w:color="auto" w:fill="auto"/>
            <w:vAlign w:val="bottom"/>
            <w:hideMark/>
          </w:tcPr>
          <w:p w14:paraId="64C187E8"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3F5595EC" w14:textId="77777777" w:rsidTr="003E6900">
        <w:trPr>
          <w:trHeight w:val="600"/>
        </w:trPr>
        <w:tc>
          <w:tcPr>
            <w:tcW w:w="960" w:type="dxa"/>
            <w:shd w:val="clear" w:color="auto" w:fill="auto"/>
            <w:vAlign w:val="bottom"/>
            <w:hideMark/>
          </w:tcPr>
          <w:p w14:paraId="4436078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4285</w:t>
            </w:r>
          </w:p>
        </w:tc>
        <w:tc>
          <w:tcPr>
            <w:tcW w:w="3420" w:type="dxa"/>
            <w:shd w:val="clear" w:color="auto" w:fill="auto"/>
            <w:vAlign w:val="bottom"/>
            <w:hideMark/>
          </w:tcPr>
          <w:p w14:paraId="67CA93F0"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Brestnikov</w:t>
            </w:r>
            <w:proofErr w:type="spellEnd"/>
            <w:r w:rsidRPr="003E6900">
              <w:rPr>
                <w:rFonts w:eastAsia="Times New Roman" w:cs="Calibri"/>
                <w:color w:val="000000"/>
                <w:lang w:eastAsia="sl-SI"/>
              </w:rPr>
              <w:t xml:space="preserve"> potok v Kromberku</w:t>
            </w:r>
          </w:p>
        </w:tc>
        <w:tc>
          <w:tcPr>
            <w:tcW w:w="3740" w:type="dxa"/>
            <w:shd w:val="clear" w:color="auto" w:fill="auto"/>
            <w:vAlign w:val="bottom"/>
            <w:hideMark/>
          </w:tcPr>
          <w:p w14:paraId="619A413E"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75C5C64E"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25E90486" w14:textId="77777777" w:rsidTr="003E6900">
        <w:trPr>
          <w:trHeight w:val="600"/>
        </w:trPr>
        <w:tc>
          <w:tcPr>
            <w:tcW w:w="960" w:type="dxa"/>
            <w:shd w:val="clear" w:color="auto" w:fill="auto"/>
            <w:vAlign w:val="bottom"/>
            <w:hideMark/>
          </w:tcPr>
          <w:p w14:paraId="516554AD"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4295</w:t>
            </w:r>
          </w:p>
        </w:tc>
        <w:tc>
          <w:tcPr>
            <w:tcW w:w="3420" w:type="dxa"/>
            <w:shd w:val="clear" w:color="auto" w:fill="auto"/>
            <w:vAlign w:val="bottom"/>
            <w:hideMark/>
          </w:tcPr>
          <w:p w14:paraId="376E57CD"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Mala Slatna nad Grgarjem</w:t>
            </w:r>
          </w:p>
        </w:tc>
        <w:tc>
          <w:tcPr>
            <w:tcW w:w="3740" w:type="dxa"/>
            <w:shd w:val="clear" w:color="auto" w:fill="auto"/>
            <w:vAlign w:val="bottom"/>
            <w:hideMark/>
          </w:tcPr>
          <w:p w14:paraId="1F2B1CFB"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540383ED"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3663BDA0" w14:textId="77777777" w:rsidTr="003E6900">
        <w:trPr>
          <w:trHeight w:val="600"/>
        </w:trPr>
        <w:tc>
          <w:tcPr>
            <w:tcW w:w="960" w:type="dxa"/>
            <w:shd w:val="clear" w:color="auto" w:fill="auto"/>
            <w:vAlign w:val="bottom"/>
            <w:hideMark/>
          </w:tcPr>
          <w:p w14:paraId="775F51F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4298</w:t>
            </w:r>
          </w:p>
        </w:tc>
        <w:tc>
          <w:tcPr>
            <w:tcW w:w="3420" w:type="dxa"/>
            <w:shd w:val="clear" w:color="auto" w:fill="auto"/>
            <w:vAlign w:val="bottom"/>
            <w:hideMark/>
          </w:tcPr>
          <w:p w14:paraId="1ED81692"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Slatna v Grgarju</w:t>
            </w:r>
          </w:p>
        </w:tc>
        <w:tc>
          <w:tcPr>
            <w:tcW w:w="3740" w:type="dxa"/>
            <w:shd w:val="clear" w:color="auto" w:fill="auto"/>
            <w:vAlign w:val="bottom"/>
            <w:hideMark/>
          </w:tcPr>
          <w:p w14:paraId="62E6AE89"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46C2B342"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2CF78F7A" w14:textId="77777777" w:rsidTr="003E6900">
        <w:trPr>
          <w:trHeight w:val="600"/>
        </w:trPr>
        <w:tc>
          <w:tcPr>
            <w:tcW w:w="960" w:type="dxa"/>
            <w:shd w:val="clear" w:color="auto" w:fill="auto"/>
            <w:vAlign w:val="bottom"/>
            <w:hideMark/>
          </w:tcPr>
          <w:p w14:paraId="2B6E6404"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4299</w:t>
            </w:r>
          </w:p>
        </w:tc>
        <w:tc>
          <w:tcPr>
            <w:tcW w:w="3420" w:type="dxa"/>
            <w:shd w:val="clear" w:color="auto" w:fill="auto"/>
            <w:vAlign w:val="bottom"/>
            <w:hideMark/>
          </w:tcPr>
          <w:p w14:paraId="44FFAC78"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Koren v Kromberku</w:t>
            </w:r>
          </w:p>
        </w:tc>
        <w:tc>
          <w:tcPr>
            <w:tcW w:w="3740" w:type="dxa"/>
            <w:shd w:val="clear" w:color="auto" w:fill="auto"/>
            <w:vAlign w:val="bottom"/>
            <w:hideMark/>
          </w:tcPr>
          <w:p w14:paraId="1F884838"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4A4750E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6F3806F8" w14:textId="77777777" w:rsidTr="003E6900">
        <w:trPr>
          <w:trHeight w:val="600"/>
        </w:trPr>
        <w:tc>
          <w:tcPr>
            <w:tcW w:w="960" w:type="dxa"/>
            <w:shd w:val="clear" w:color="auto" w:fill="auto"/>
            <w:vAlign w:val="bottom"/>
            <w:hideMark/>
          </w:tcPr>
          <w:p w14:paraId="304801D4"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4300</w:t>
            </w:r>
          </w:p>
        </w:tc>
        <w:tc>
          <w:tcPr>
            <w:tcW w:w="3420" w:type="dxa"/>
            <w:shd w:val="clear" w:color="auto" w:fill="auto"/>
            <w:vAlign w:val="bottom"/>
            <w:hideMark/>
          </w:tcPr>
          <w:p w14:paraId="557AF8EE"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Brestnikov</w:t>
            </w:r>
            <w:proofErr w:type="spellEnd"/>
            <w:r w:rsidRPr="003E6900">
              <w:rPr>
                <w:rFonts w:eastAsia="Times New Roman" w:cs="Calibri"/>
                <w:color w:val="000000"/>
                <w:lang w:eastAsia="sl-SI"/>
              </w:rPr>
              <w:t xml:space="preserve"> potok v Kromberku</w:t>
            </w:r>
          </w:p>
        </w:tc>
        <w:tc>
          <w:tcPr>
            <w:tcW w:w="3740" w:type="dxa"/>
            <w:shd w:val="clear" w:color="auto" w:fill="auto"/>
            <w:vAlign w:val="bottom"/>
            <w:hideMark/>
          </w:tcPr>
          <w:p w14:paraId="69ACB746"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21FFD91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52DFEF0A" w14:textId="77777777" w:rsidTr="003E6900">
        <w:trPr>
          <w:trHeight w:val="600"/>
        </w:trPr>
        <w:tc>
          <w:tcPr>
            <w:tcW w:w="960" w:type="dxa"/>
            <w:shd w:val="clear" w:color="auto" w:fill="auto"/>
            <w:vAlign w:val="bottom"/>
            <w:hideMark/>
          </w:tcPr>
          <w:p w14:paraId="53703A19"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4301</w:t>
            </w:r>
          </w:p>
        </w:tc>
        <w:tc>
          <w:tcPr>
            <w:tcW w:w="3420" w:type="dxa"/>
            <w:shd w:val="clear" w:color="auto" w:fill="auto"/>
            <w:vAlign w:val="bottom"/>
            <w:hideMark/>
          </w:tcPr>
          <w:p w14:paraId="1371C167"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Levi pritok </w:t>
            </w:r>
            <w:proofErr w:type="spellStart"/>
            <w:r w:rsidRPr="003E6900">
              <w:rPr>
                <w:rFonts w:eastAsia="Times New Roman" w:cs="Calibri"/>
                <w:color w:val="000000"/>
                <w:lang w:eastAsia="sl-SI"/>
              </w:rPr>
              <w:t>Brestnikovega</w:t>
            </w:r>
            <w:proofErr w:type="spellEnd"/>
            <w:r w:rsidRPr="003E6900">
              <w:rPr>
                <w:rFonts w:eastAsia="Times New Roman" w:cs="Calibri"/>
                <w:color w:val="000000"/>
                <w:lang w:eastAsia="sl-SI"/>
              </w:rPr>
              <w:t xml:space="preserve"> potoka v Kromberku</w:t>
            </w:r>
          </w:p>
        </w:tc>
        <w:tc>
          <w:tcPr>
            <w:tcW w:w="3740" w:type="dxa"/>
            <w:shd w:val="clear" w:color="auto" w:fill="auto"/>
            <w:vAlign w:val="bottom"/>
            <w:hideMark/>
          </w:tcPr>
          <w:p w14:paraId="0E154A9D"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61DC135E"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7A3481F9" w14:textId="77777777" w:rsidTr="003E6900">
        <w:trPr>
          <w:trHeight w:val="600"/>
        </w:trPr>
        <w:tc>
          <w:tcPr>
            <w:tcW w:w="960" w:type="dxa"/>
            <w:shd w:val="clear" w:color="auto" w:fill="auto"/>
            <w:vAlign w:val="bottom"/>
            <w:hideMark/>
          </w:tcPr>
          <w:p w14:paraId="73E23011"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4302</w:t>
            </w:r>
          </w:p>
        </w:tc>
        <w:tc>
          <w:tcPr>
            <w:tcW w:w="3420" w:type="dxa"/>
            <w:shd w:val="clear" w:color="auto" w:fill="auto"/>
            <w:vAlign w:val="bottom"/>
            <w:hideMark/>
          </w:tcPr>
          <w:p w14:paraId="475AE96C"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Lesina</w:t>
            </w:r>
            <w:proofErr w:type="spellEnd"/>
            <w:r w:rsidRPr="003E6900">
              <w:rPr>
                <w:rFonts w:eastAsia="Times New Roman" w:cs="Calibri"/>
                <w:color w:val="000000"/>
                <w:lang w:eastAsia="sl-SI"/>
              </w:rPr>
              <w:t xml:space="preserve"> v Kromberku</w:t>
            </w:r>
          </w:p>
        </w:tc>
        <w:tc>
          <w:tcPr>
            <w:tcW w:w="3740" w:type="dxa"/>
            <w:shd w:val="clear" w:color="auto" w:fill="auto"/>
            <w:vAlign w:val="bottom"/>
            <w:hideMark/>
          </w:tcPr>
          <w:p w14:paraId="05B9A7C9"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3E666B7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123E946D" w14:textId="77777777" w:rsidTr="003E6900">
        <w:trPr>
          <w:trHeight w:val="600"/>
        </w:trPr>
        <w:tc>
          <w:tcPr>
            <w:tcW w:w="960" w:type="dxa"/>
            <w:shd w:val="clear" w:color="auto" w:fill="auto"/>
            <w:vAlign w:val="bottom"/>
            <w:hideMark/>
          </w:tcPr>
          <w:p w14:paraId="4B6B28F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4304</w:t>
            </w:r>
          </w:p>
        </w:tc>
        <w:tc>
          <w:tcPr>
            <w:tcW w:w="3420" w:type="dxa"/>
            <w:shd w:val="clear" w:color="auto" w:fill="auto"/>
            <w:vAlign w:val="bottom"/>
            <w:hideMark/>
          </w:tcPr>
          <w:p w14:paraId="690E6636"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Kanal Koren nad </w:t>
            </w:r>
            <w:proofErr w:type="spellStart"/>
            <w:r w:rsidRPr="003E6900">
              <w:rPr>
                <w:rFonts w:eastAsia="Times New Roman" w:cs="Calibri"/>
                <w:color w:val="000000"/>
                <w:lang w:eastAsia="sl-SI"/>
              </w:rPr>
              <w:t>Pikoludom</w:t>
            </w:r>
            <w:proofErr w:type="spellEnd"/>
          </w:p>
        </w:tc>
        <w:tc>
          <w:tcPr>
            <w:tcW w:w="3740" w:type="dxa"/>
            <w:shd w:val="clear" w:color="auto" w:fill="auto"/>
            <w:vAlign w:val="bottom"/>
            <w:hideMark/>
          </w:tcPr>
          <w:p w14:paraId="68741C74"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49746B2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277BA63F" w14:textId="77777777" w:rsidTr="003E6900">
        <w:trPr>
          <w:trHeight w:val="600"/>
        </w:trPr>
        <w:tc>
          <w:tcPr>
            <w:tcW w:w="960" w:type="dxa"/>
            <w:shd w:val="clear" w:color="auto" w:fill="auto"/>
            <w:vAlign w:val="bottom"/>
            <w:hideMark/>
          </w:tcPr>
          <w:p w14:paraId="05D0DF5C"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4305</w:t>
            </w:r>
          </w:p>
        </w:tc>
        <w:tc>
          <w:tcPr>
            <w:tcW w:w="3420" w:type="dxa"/>
            <w:shd w:val="clear" w:color="auto" w:fill="auto"/>
            <w:vAlign w:val="bottom"/>
            <w:hideMark/>
          </w:tcPr>
          <w:p w14:paraId="39158405"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Koren na </w:t>
            </w:r>
            <w:proofErr w:type="spellStart"/>
            <w:r w:rsidRPr="003E6900">
              <w:rPr>
                <w:rFonts w:eastAsia="Times New Roman" w:cs="Calibri"/>
                <w:color w:val="000000"/>
                <w:lang w:eastAsia="sl-SI"/>
              </w:rPr>
              <w:t>Bonetovščah</w:t>
            </w:r>
            <w:proofErr w:type="spellEnd"/>
          </w:p>
        </w:tc>
        <w:tc>
          <w:tcPr>
            <w:tcW w:w="3740" w:type="dxa"/>
            <w:shd w:val="clear" w:color="auto" w:fill="auto"/>
            <w:vAlign w:val="bottom"/>
            <w:hideMark/>
          </w:tcPr>
          <w:p w14:paraId="0976851E"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22DD8673"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0565A2F5" w14:textId="77777777" w:rsidTr="003E6900">
        <w:trPr>
          <w:trHeight w:val="600"/>
        </w:trPr>
        <w:tc>
          <w:tcPr>
            <w:tcW w:w="960" w:type="dxa"/>
            <w:shd w:val="clear" w:color="auto" w:fill="auto"/>
            <w:vAlign w:val="bottom"/>
            <w:hideMark/>
          </w:tcPr>
          <w:p w14:paraId="4DA588C4"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4328</w:t>
            </w:r>
          </w:p>
        </w:tc>
        <w:tc>
          <w:tcPr>
            <w:tcW w:w="3420" w:type="dxa"/>
            <w:shd w:val="clear" w:color="auto" w:fill="auto"/>
            <w:vAlign w:val="bottom"/>
            <w:hideMark/>
          </w:tcPr>
          <w:p w14:paraId="627CA4C9"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Vrtojbica</w:t>
            </w:r>
            <w:proofErr w:type="spellEnd"/>
            <w:r w:rsidRPr="003E6900">
              <w:rPr>
                <w:rFonts w:eastAsia="Times New Roman" w:cs="Calibri"/>
                <w:color w:val="000000"/>
                <w:lang w:eastAsia="sl-SI"/>
              </w:rPr>
              <w:t xml:space="preserve"> v Rožni dolini</w:t>
            </w:r>
          </w:p>
        </w:tc>
        <w:tc>
          <w:tcPr>
            <w:tcW w:w="3740" w:type="dxa"/>
            <w:shd w:val="clear" w:color="auto" w:fill="auto"/>
            <w:vAlign w:val="bottom"/>
            <w:hideMark/>
          </w:tcPr>
          <w:p w14:paraId="62CAAE33"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1489CC0C"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1A48161B" w14:textId="77777777" w:rsidTr="003E6900">
        <w:trPr>
          <w:trHeight w:val="600"/>
        </w:trPr>
        <w:tc>
          <w:tcPr>
            <w:tcW w:w="960" w:type="dxa"/>
            <w:shd w:val="clear" w:color="auto" w:fill="auto"/>
            <w:vAlign w:val="bottom"/>
            <w:hideMark/>
          </w:tcPr>
          <w:p w14:paraId="27294621"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4329</w:t>
            </w:r>
          </w:p>
        </w:tc>
        <w:tc>
          <w:tcPr>
            <w:tcW w:w="3420" w:type="dxa"/>
            <w:shd w:val="clear" w:color="auto" w:fill="auto"/>
            <w:vAlign w:val="bottom"/>
            <w:hideMark/>
          </w:tcPr>
          <w:p w14:paraId="75743182"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Globonik</w:t>
            </w:r>
            <w:proofErr w:type="spellEnd"/>
            <w:r w:rsidRPr="003E6900">
              <w:rPr>
                <w:rFonts w:eastAsia="Times New Roman" w:cs="Calibri"/>
                <w:color w:val="000000"/>
                <w:lang w:eastAsia="sl-SI"/>
              </w:rPr>
              <w:t xml:space="preserve"> na </w:t>
            </w:r>
            <w:proofErr w:type="spellStart"/>
            <w:r w:rsidRPr="003E6900">
              <w:rPr>
                <w:rFonts w:eastAsia="Times New Roman" w:cs="Calibri"/>
                <w:color w:val="000000"/>
                <w:lang w:eastAsia="sl-SI"/>
              </w:rPr>
              <w:t>Lijaškem</w:t>
            </w:r>
            <w:proofErr w:type="spellEnd"/>
            <w:r w:rsidRPr="003E6900">
              <w:rPr>
                <w:rFonts w:eastAsia="Times New Roman" w:cs="Calibri"/>
                <w:color w:val="000000"/>
                <w:lang w:eastAsia="sl-SI"/>
              </w:rPr>
              <w:t xml:space="preserve"> polju</w:t>
            </w:r>
          </w:p>
        </w:tc>
        <w:tc>
          <w:tcPr>
            <w:tcW w:w="3740" w:type="dxa"/>
            <w:shd w:val="clear" w:color="auto" w:fill="auto"/>
            <w:vAlign w:val="bottom"/>
            <w:hideMark/>
          </w:tcPr>
          <w:p w14:paraId="059C3A0C"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556B8E8A"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0E6F1F5A" w14:textId="77777777" w:rsidTr="003E6900">
        <w:trPr>
          <w:trHeight w:val="600"/>
        </w:trPr>
        <w:tc>
          <w:tcPr>
            <w:tcW w:w="960" w:type="dxa"/>
            <w:shd w:val="clear" w:color="auto" w:fill="auto"/>
            <w:vAlign w:val="bottom"/>
            <w:hideMark/>
          </w:tcPr>
          <w:p w14:paraId="5A84D8B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4330</w:t>
            </w:r>
          </w:p>
        </w:tc>
        <w:tc>
          <w:tcPr>
            <w:tcW w:w="3420" w:type="dxa"/>
            <w:shd w:val="clear" w:color="auto" w:fill="auto"/>
            <w:vAlign w:val="bottom"/>
            <w:hideMark/>
          </w:tcPr>
          <w:p w14:paraId="357A7BDC"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Lijak na </w:t>
            </w:r>
            <w:proofErr w:type="spellStart"/>
            <w:r w:rsidRPr="003E6900">
              <w:rPr>
                <w:rFonts w:eastAsia="Times New Roman" w:cs="Calibri"/>
                <w:color w:val="000000"/>
                <w:lang w:eastAsia="sl-SI"/>
              </w:rPr>
              <w:t>Ajščevici</w:t>
            </w:r>
            <w:proofErr w:type="spellEnd"/>
          </w:p>
        </w:tc>
        <w:tc>
          <w:tcPr>
            <w:tcW w:w="3740" w:type="dxa"/>
            <w:shd w:val="clear" w:color="auto" w:fill="auto"/>
            <w:vAlign w:val="bottom"/>
            <w:hideMark/>
          </w:tcPr>
          <w:p w14:paraId="36EE742C"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74EBA03C"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561446B0" w14:textId="77777777" w:rsidTr="003E6900">
        <w:trPr>
          <w:trHeight w:val="600"/>
        </w:trPr>
        <w:tc>
          <w:tcPr>
            <w:tcW w:w="960" w:type="dxa"/>
            <w:shd w:val="clear" w:color="auto" w:fill="auto"/>
            <w:vAlign w:val="bottom"/>
            <w:hideMark/>
          </w:tcPr>
          <w:p w14:paraId="5812756B"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4331</w:t>
            </w:r>
          </w:p>
        </w:tc>
        <w:tc>
          <w:tcPr>
            <w:tcW w:w="3420" w:type="dxa"/>
            <w:shd w:val="clear" w:color="auto" w:fill="auto"/>
            <w:vAlign w:val="bottom"/>
            <w:hideMark/>
          </w:tcPr>
          <w:p w14:paraId="572F6CC6"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Tribuščak</w:t>
            </w:r>
            <w:proofErr w:type="spellEnd"/>
            <w:r w:rsidRPr="003E6900">
              <w:rPr>
                <w:rFonts w:eastAsia="Times New Roman" w:cs="Calibri"/>
                <w:color w:val="000000"/>
                <w:lang w:eastAsia="sl-SI"/>
              </w:rPr>
              <w:t xml:space="preserve"> na </w:t>
            </w:r>
            <w:proofErr w:type="spellStart"/>
            <w:r w:rsidRPr="003E6900">
              <w:rPr>
                <w:rFonts w:eastAsia="Times New Roman" w:cs="Calibri"/>
                <w:color w:val="000000"/>
                <w:lang w:eastAsia="sl-SI"/>
              </w:rPr>
              <w:t>Šempaskem</w:t>
            </w:r>
            <w:proofErr w:type="spellEnd"/>
            <w:r w:rsidRPr="003E6900">
              <w:rPr>
                <w:rFonts w:eastAsia="Times New Roman" w:cs="Calibri"/>
                <w:color w:val="000000"/>
                <w:lang w:eastAsia="sl-SI"/>
              </w:rPr>
              <w:t xml:space="preserve"> polju</w:t>
            </w:r>
          </w:p>
        </w:tc>
        <w:tc>
          <w:tcPr>
            <w:tcW w:w="3740" w:type="dxa"/>
            <w:shd w:val="clear" w:color="auto" w:fill="auto"/>
            <w:vAlign w:val="bottom"/>
            <w:hideMark/>
          </w:tcPr>
          <w:p w14:paraId="516CDF24"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58B9418B"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7728A76B" w14:textId="77777777" w:rsidTr="003E6900">
        <w:trPr>
          <w:trHeight w:val="600"/>
        </w:trPr>
        <w:tc>
          <w:tcPr>
            <w:tcW w:w="960" w:type="dxa"/>
            <w:shd w:val="clear" w:color="auto" w:fill="auto"/>
            <w:vAlign w:val="bottom"/>
            <w:hideMark/>
          </w:tcPr>
          <w:p w14:paraId="62E8BBEE"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4332</w:t>
            </w:r>
          </w:p>
        </w:tc>
        <w:tc>
          <w:tcPr>
            <w:tcW w:w="3420" w:type="dxa"/>
            <w:shd w:val="clear" w:color="auto" w:fill="auto"/>
            <w:vAlign w:val="bottom"/>
            <w:hideMark/>
          </w:tcPr>
          <w:p w14:paraId="157E8C2E"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Lepenjšček</w:t>
            </w:r>
            <w:proofErr w:type="spellEnd"/>
            <w:r w:rsidRPr="003E6900">
              <w:rPr>
                <w:rFonts w:eastAsia="Times New Roman" w:cs="Calibri"/>
                <w:color w:val="000000"/>
                <w:lang w:eastAsia="sl-SI"/>
              </w:rPr>
              <w:t xml:space="preserve"> na polju Lepenje</w:t>
            </w:r>
          </w:p>
        </w:tc>
        <w:tc>
          <w:tcPr>
            <w:tcW w:w="3740" w:type="dxa"/>
            <w:shd w:val="clear" w:color="auto" w:fill="auto"/>
            <w:vAlign w:val="bottom"/>
            <w:hideMark/>
          </w:tcPr>
          <w:p w14:paraId="32D477B6"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1C014109"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16AEDEB2" w14:textId="77777777" w:rsidTr="003E6900">
        <w:trPr>
          <w:trHeight w:val="600"/>
        </w:trPr>
        <w:tc>
          <w:tcPr>
            <w:tcW w:w="960" w:type="dxa"/>
            <w:shd w:val="clear" w:color="auto" w:fill="auto"/>
            <w:vAlign w:val="bottom"/>
            <w:hideMark/>
          </w:tcPr>
          <w:p w14:paraId="6DABBA11"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lastRenderedPageBreak/>
              <w:t>4333</w:t>
            </w:r>
          </w:p>
        </w:tc>
        <w:tc>
          <w:tcPr>
            <w:tcW w:w="3420" w:type="dxa"/>
            <w:shd w:val="clear" w:color="auto" w:fill="auto"/>
            <w:vAlign w:val="bottom"/>
            <w:hideMark/>
          </w:tcPr>
          <w:p w14:paraId="700E044D"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Ozeljanšček</w:t>
            </w:r>
            <w:proofErr w:type="spellEnd"/>
            <w:r w:rsidRPr="003E6900">
              <w:rPr>
                <w:rFonts w:eastAsia="Times New Roman" w:cs="Calibri"/>
                <w:color w:val="000000"/>
                <w:lang w:eastAsia="sl-SI"/>
              </w:rPr>
              <w:t xml:space="preserve"> na š </w:t>
            </w:r>
            <w:proofErr w:type="spellStart"/>
            <w:r w:rsidRPr="003E6900">
              <w:rPr>
                <w:rFonts w:eastAsia="Times New Roman" w:cs="Calibri"/>
                <w:color w:val="000000"/>
                <w:lang w:eastAsia="sl-SI"/>
              </w:rPr>
              <w:t>empaskem</w:t>
            </w:r>
            <w:proofErr w:type="spellEnd"/>
            <w:r w:rsidRPr="003E6900">
              <w:rPr>
                <w:rFonts w:eastAsia="Times New Roman" w:cs="Calibri"/>
                <w:color w:val="000000"/>
                <w:lang w:eastAsia="sl-SI"/>
              </w:rPr>
              <w:t xml:space="preserve"> polju</w:t>
            </w:r>
          </w:p>
        </w:tc>
        <w:tc>
          <w:tcPr>
            <w:tcW w:w="3740" w:type="dxa"/>
            <w:shd w:val="clear" w:color="auto" w:fill="auto"/>
            <w:vAlign w:val="bottom"/>
            <w:hideMark/>
          </w:tcPr>
          <w:p w14:paraId="64C7EDFD"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6501F20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4722C2DC" w14:textId="77777777" w:rsidTr="003E6900">
        <w:trPr>
          <w:trHeight w:val="600"/>
        </w:trPr>
        <w:tc>
          <w:tcPr>
            <w:tcW w:w="960" w:type="dxa"/>
            <w:shd w:val="clear" w:color="auto" w:fill="auto"/>
            <w:vAlign w:val="bottom"/>
            <w:hideMark/>
          </w:tcPr>
          <w:p w14:paraId="4DA21892"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4334</w:t>
            </w:r>
          </w:p>
        </w:tc>
        <w:tc>
          <w:tcPr>
            <w:tcW w:w="3420" w:type="dxa"/>
            <w:shd w:val="clear" w:color="auto" w:fill="auto"/>
            <w:vAlign w:val="bottom"/>
            <w:hideMark/>
          </w:tcPr>
          <w:p w14:paraId="5E9584EF"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Dolenjski potok na polju Črniče-Dolenje</w:t>
            </w:r>
          </w:p>
        </w:tc>
        <w:tc>
          <w:tcPr>
            <w:tcW w:w="3740" w:type="dxa"/>
            <w:shd w:val="clear" w:color="auto" w:fill="auto"/>
            <w:vAlign w:val="bottom"/>
            <w:hideMark/>
          </w:tcPr>
          <w:p w14:paraId="2919B43F"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5A248C2F"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21A33135" w14:textId="77777777" w:rsidTr="003E6900">
        <w:trPr>
          <w:trHeight w:val="600"/>
        </w:trPr>
        <w:tc>
          <w:tcPr>
            <w:tcW w:w="960" w:type="dxa"/>
            <w:shd w:val="clear" w:color="auto" w:fill="auto"/>
            <w:vAlign w:val="bottom"/>
            <w:hideMark/>
          </w:tcPr>
          <w:p w14:paraId="1B9A5F52"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4335</w:t>
            </w:r>
          </w:p>
        </w:tc>
        <w:tc>
          <w:tcPr>
            <w:tcW w:w="3420" w:type="dxa"/>
            <w:shd w:val="clear" w:color="auto" w:fill="auto"/>
            <w:vAlign w:val="bottom"/>
            <w:hideMark/>
          </w:tcPr>
          <w:p w14:paraId="0C4787C3"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Levi pritok Dolenjskega potoka na polju </w:t>
            </w:r>
            <w:proofErr w:type="spellStart"/>
            <w:r w:rsidRPr="003E6900">
              <w:rPr>
                <w:rFonts w:eastAsia="Times New Roman" w:cs="Calibri"/>
                <w:color w:val="000000"/>
                <w:lang w:eastAsia="sl-SI"/>
              </w:rPr>
              <w:t>Črnie</w:t>
            </w:r>
            <w:proofErr w:type="spellEnd"/>
            <w:r w:rsidRPr="003E6900">
              <w:rPr>
                <w:rFonts w:eastAsia="Times New Roman" w:cs="Calibri"/>
                <w:color w:val="000000"/>
                <w:lang w:eastAsia="sl-SI"/>
              </w:rPr>
              <w:t>-Dolenje</w:t>
            </w:r>
          </w:p>
        </w:tc>
        <w:tc>
          <w:tcPr>
            <w:tcW w:w="3740" w:type="dxa"/>
            <w:shd w:val="clear" w:color="auto" w:fill="auto"/>
            <w:vAlign w:val="bottom"/>
            <w:hideMark/>
          </w:tcPr>
          <w:p w14:paraId="2F2FF572"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5DE7D354"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532C72D8" w14:textId="77777777" w:rsidTr="003E6900">
        <w:trPr>
          <w:trHeight w:val="600"/>
        </w:trPr>
        <w:tc>
          <w:tcPr>
            <w:tcW w:w="960" w:type="dxa"/>
            <w:shd w:val="clear" w:color="auto" w:fill="auto"/>
            <w:vAlign w:val="bottom"/>
            <w:hideMark/>
          </w:tcPr>
          <w:p w14:paraId="0CA3831E"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4338</w:t>
            </w:r>
          </w:p>
        </w:tc>
        <w:tc>
          <w:tcPr>
            <w:tcW w:w="3420" w:type="dxa"/>
            <w:shd w:val="clear" w:color="auto" w:fill="auto"/>
            <w:vAlign w:val="bottom"/>
            <w:hideMark/>
          </w:tcPr>
          <w:p w14:paraId="77E9C699"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Vogršček</w:t>
            </w:r>
            <w:proofErr w:type="spellEnd"/>
            <w:r w:rsidRPr="003E6900">
              <w:rPr>
                <w:rFonts w:eastAsia="Times New Roman" w:cs="Calibri"/>
                <w:color w:val="000000"/>
                <w:lang w:eastAsia="sl-SI"/>
              </w:rPr>
              <w:t xml:space="preserve"> na polju </w:t>
            </w:r>
            <w:proofErr w:type="spellStart"/>
            <w:r w:rsidRPr="003E6900">
              <w:rPr>
                <w:rFonts w:eastAsia="Times New Roman" w:cs="Calibri"/>
                <w:color w:val="000000"/>
                <w:lang w:eastAsia="sl-SI"/>
              </w:rPr>
              <w:t>Črnie</w:t>
            </w:r>
            <w:proofErr w:type="spellEnd"/>
            <w:r w:rsidRPr="003E6900">
              <w:rPr>
                <w:rFonts w:eastAsia="Times New Roman" w:cs="Calibri"/>
                <w:color w:val="000000"/>
                <w:lang w:eastAsia="sl-SI"/>
              </w:rPr>
              <w:t>-Dolenje</w:t>
            </w:r>
          </w:p>
        </w:tc>
        <w:tc>
          <w:tcPr>
            <w:tcW w:w="3740" w:type="dxa"/>
            <w:shd w:val="clear" w:color="auto" w:fill="auto"/>
            <w:vAlign w:val="bottom"/>
            <w:hideMark/>
          </w:tcPr>
          <w:p w14:paraId="5E74DE55"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44823B5F"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0E8FC738" w14:textId="77777777" w:rsidTr="003E6900">
        <w:trPr>
          <w:trHeight w:val="600"/>
        </w:trPr>
        <w:tc>
          <w:tcPr>
            <w:tcW w:w="960" w:type="dxa"/>
            <w:shd w:val="clear" w:color="auto" w:fill="auto"/>
            <w:vAlign w:val="bottom"/>
            <w:hideMark/>
          </w:tcPr>
          <w:p w14:paraId="6B3E9F4F"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4339</w:t>
            </w:r>
          </w:p>
        </w:tc>
        <w:tc>
          <w:tcPr>
            <w:tcW w:w="3420" w:type="dxa"/>
            <w:shd w:val="clear" w:color="auto" w:fill="auto"/>
            <w:vAlign w:val="bottom"/>
            <w:hideMark/>
          </w:tcPr>
          <w:p w14:paraId="5C72878B"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Tribuščak</w:t>
            </w:r>
            <w:proofErr w:type="spellEnd"/>
            <w:r w:rsidRPr="003E6900">
              <w:rPr>
                <w:rFonts w:eastAsia="Times New Roman" w:cs="Calibri"/>
                <w:color w:val="000000"/>
                <w:lang w:eastAsia="sl-SI"/>
              </w:rPr>
              <w:t xml:space="preserve"> pod in nad GC v š </w:t>
            </w:r>
            <w:proofErr w:type="spellStart"/>
            <w:r w:rsidRPr="003E6900">
              <w:rPr>
                <w:rFonts w:eastAsia="Times New Roman" w:cs="Calibri"/>
                <w:color w:val="000000"/>
                <w:lang w:eastAsia="sl-SI"/>
              </w:rPr>
              <w:t>empasu</w:t>
            </w:r>
            <w:proofErr w:type="spellEnd"/>
          </w:p>
        </w:tc>
        <w:tc>
          <w:tcPr>
            <w:tcW w:w="3740" w:type="dxa"/>
            <w:shd w:val="clear" w:color="auto" w:fill="auto"/>
            <w:vAlign w:val="bottom"/>
            <w:hideMark/>
          </w:tcPr>
          <w:p w14:paraId="30C6C46D"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546A56C6"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037EE415" w14:textId="77777777" w:rsidTr="003E6900">
        <w:trPr>
          <w:trHeight w:val="600"/>
        </w:trPr>
        <w:tc>
          <w:tcPr>
            <w:tcW w:w="960" w:type="dxa"/>
            <w:shd w:val="clear" w:color="auto" w:fill="auto"/>
            <w:vAlign w:val="bottom"/>
            <w:hideMark/>
          </w:tcPr>
          <w:p w14:paraId="3CDA684A"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4343</w:t>
            </w:r>
          </w:p>
        </w:tc>
        <w:tc>
          <w:tcPr>
            <w:tcW w:w="3420" w:type="dxa"/>
            <w:shd w:val="clear" w:color="auto" w:fill="auto"/>
            <w:vAlign w:val="bottom"/>
            <w:hideMark/>
          </w:tcPr>
          <w:p w14:paraId="21DFBA86"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Svinjšček</w:t>
            </w:r>
            <w:proofErr w:type="spellEnd"/>
            <w:r w:rsidRPr="003E6900">
              <w:rPr>
                <w:rFonts w:eastAsia="Times New Roman" w:cs="Calibri"/>
                <w:color w:val="000000"/>
                <w:lang w:eastAsia="sl-SI"/>
              </w:rPr>
              <w:t xml:space="preserve"> pod ni nad GC</w:t>
            </w:r>
          </w:p>
        </w:tc>
        <w:tc>
          <w:tcPr>
            <w:tcW w:w="3740" w:type="dxa"/>
            <w:shd w:val="clear" w:color="auto" w:fill="auto"/>
            <w:vAlign w:val="bottom"/>
            <w:hideMark/>
          </w:tcPr>
          <w:p w14:paraId="1F035FC7"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5F7E1881"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67A093EB" w14:textId="77777777" w:rsidTr="003E6900">
        <w:trPr>
          <w:trHeight w:val="600"/>
        </w:trPr>
        <w:tc>
          <w:tcPr>
            <w:tcW w:w="960" w:type="dxa"/>
            <w:shd w:val="clear" w:color="auto" w:fill="auto"/>
            <w:vAlign w:val="bottom"/>
            <w:hideMark/>
          </w:tcPr>
          <w:p w14:paraId="3600BD9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4344</w:t>
            </w:r>
          </w:p>
        </w:tc>
        <w:tc>
          <w:tcPr>
            <w:tcW w:w="3420" w:type="dxa"/>
            <w:shd w:val="clear" w:color="auto" w:fill="auto"/>
            <w:vAlign w:val="bottom"/>
            <w:hideMark/>
          </w:tcPr>
          <w:p w14:paraId="55761A07"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Široki potok pod in nad GC</w:t>
            </w:r>
          </w:p>
        </w:tc>
        <w:tc>
          <w:tcPr>
            <w:tcW w:w="3740" w:type="dxa"/>
            <w:shd w:val="clear" w:color="auto" w:fill="auto"/>
            <w:vAlign w:val="bottom"/>
            <w:hideMark/>
          </w:tcPr>
          <w:p w14:paraId="2ED16605"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3243A1BD"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0B879B74" w14:textId="77777777" w:rsidTr="003E6900">
        <w:trPr>
          <w:trHeight w:val="600"/>
        </w:trPr>
        <w:tc>
          <w:tcPr>
            <w:tcW w:w="960" w:type="dxa"/>
            <w:shd w:val="clear" w:color="auto" w:fill="auto"/>
            <w:vAlign w:val="bottom"/>
            <w:hideMark/>
          </w:tcPr>
          <w:p w14:paraId="16578A6C"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4345</w:t>
            </w:r>
          </w:p>
        </w:tc>
        <w:tc>
          <w:tcPr>
            <w:tcW w:w="3420" w:type="dxa"/>
            <w:shd w:val="clear" w:color="auto" w:fill="auto"/>
            <w:vAlign w:val="bottom"/>
            <w:hideMark/>
          </w:tcPr>
          <w:p w14:paraId="376601DD"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Ivanjšček</w:t>
            </w:r>
            <w:proofErr w:type="spellEnd"/>
            <w:r w:rsidRPr="003E6900">
              <w:rPr>
                <w:rFonts w:eastAsia="Times New Roman" w:cs="Calibri"/>
                <w:color w:val="000000"/>
                <w:lang w:eastAsia="sl-SI"/>
              </w:rPr>
              <w:t xml:space="preserve"> pod in nad GC</w:t>
            </w:r>
          </w:p>
        </w:tc>
        <w:tc>
          <w:tcPr>
            <w:tcW w:w="3740" w:type="dxa"/>
            <w:shd w:val="clear" w:color="auto" w:fill="auto"/>
            <w:vAlign w:val="bottom"/>
            <w:hideMark/>
          </w:tcPr>
          <w:p w14:paraId="5F6250B4"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59BEE5ED"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68A92E91" w14:textId="77777777" w:rsidTr="003E6900">
        <w:trPr>
          <w:trHeight w:val="600"/>
        </w:trPr>
        <w:tc>
          <w:tcPr>
            <w:tcW w:w="960" w:type="dxa"/>
            <w:shd w:val="clear" w:color="auto" w:fill="auto"/>
            <w:vAlign w:val="bottom"/>
            <w:hideMark/>
          </w:tcPr>
          <w:p w14:paraId="6C636942"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4349</w:t>
            </w:r>
          </w:p>
        </w:tc>
        <w:tc>
          <w:tcPr>
            <w:tcW w:w="3420" w:type="dxa"/>
            <w:shd w:val="clear" w:color="auto" w:fill="auto"/>
            <w:vAlign w:val="bottom"/>
            <w:hideMark/>
          </w:tcPr>
          <w:p w14:paraId="3CCA0B0D"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Glinek v Prvačini</w:t>
            </w:r>
          </w:p>
        </w:tc>
        <w:tc>
          <w:tcPr>
            <w:tcW w:w="3740" w:type="dxa"/>
            <w:shd w:val="clear" w:color="auto" w:fill="auto"/>
            <w:vAlign w:val="bottom"/>
            <w:hideMark/>
          </w:tcPr>
          <w:p w14:paraId="2E16D827"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3D6F0F42"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44E9D9B0" w14:textId="77777777" w:rsidTr="003E6900">
        <w:trPr>
          <w:trHeight w:val="600"/>
        </w:trPr>
        <w:tc>
          <w:tcPr>
            <w:tcW w:w="960" w:type="dxa"/>
            <w:shd w:val="clear" w:color="auto" w:fill="auto"/>
            <w:vAlign w:val="bottom"/>
            <w:hideMark/>
          </w:tcPr>
          <w:p w14:paraId="3D6C577A"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4350</w:t>
            </w:r>
          </w:p>
        </w:tc>
        <w:tc>
          <w:tcPr>
            <w:tcW w:w="3420" w:type="dxa"/>
            <w:shd w:val="clear" w:color="auto" w:fill="auto"/>
            <w:vAlign w:val="bottom"/>
            <w:hideMark/>
          </w:tcPr>
          <w:p w14:paraId="0064C541"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Prva v </w:t>
            </w:r>
            <w:proofErr w:type="spellStart"/>
            <w:r w:rsidRPr="003E6900">
              <w:rPr>
                <w:rFonts w:eastAsia="Times New Roman" w:cs="Calibri"/>
                <w:color w:val="000000"/>
                <w:lang w:eastAsia="sl-SI"/>
              </w:rPr>
              <w:t>Prvaini</w:t>
            </w:r>
            <w:proofErr w:type="spellEnd"/>
          </w:p>
        </w:tc>
        <w:tc>
          <w:tcPr>
            <w:tcW w:w="3740" w:type="dxa"/>
            <w:shd w:val="clear" w:color="auto" w:fill="auto"/>
            <w:vAlign w:val="bottom"/>
            <w:hideMark/>
          </w:tcPr>
          <w:p w14:paraId="34F0119A"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78E00341"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7B275347" w14:textId="77777777" w:rsidTr="003E6900">
        <w:trPr>
          <w:trHeight w:val="600"/>
        </w:trPr>
        <w:tc>
          <w:tcPr>
            <w:tcW w:w="960" w:type="dxa"/>
            <w:shd w:val="clear" w:color="auto" w:fill="auto"/>
            <w:vAlign w:val="bottom"/>
            <w:hideMark/>
          </w:tcPr>
          <w:p w14:paraId="5A50FF31"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4351</w:t>
            </w:r>
          </w:p>
        </w:tc>
        <w:tc>
          <w:tcPr>
            <w:tcW w:w="3420" w:type="dxa"/>
            <w:shd w:val="clear" w:color="auto" w:fill="auto"/>
            <w:vAlign w:val="bottom"/>
            <w:hideMark/>
          </w:tcPr>
          <w:p w14:paraId="705AD4DD"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Branica v Braniku</w:t>
            </w:r>
          </w:p>
        </w:tc>
        <w:tc>
          <w:tcPr>
            <w:tcW w:w="3740" w:type="dxa"/>
            <w:shd w:val="clear" w:color="auto" w:fill="auto"/>
            <w:vAlign w:val="bottom"/>
            <w:hideMark/>
          </w:tcPr>
          <w:p w14:paraId="67A508DC"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4151D363"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4B10A151" w14:textId="77777777" w:rsidTr="003E6900">
        <w:trPr>
          <w:trHeight w:val="600"/>
        </w:trPr>
        <w:tc>
          <w:tcPr>
            <w:tcW w:w="960" w:type="dxa"/>
            <w:shd w:val="clear" w:color="auto" w:fill="auto"/>
            <w:vAlign w:val="bottom"/>
            <w:hideMark/>
          </w:tcPr>
          <w:p w14:paraId="2EB2D496"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4352</w:t>
            </w:r>
          </w:p>
        </w:tc>
        <w:tc>
          <w:tcPr>
            <w:tcW w:w="3420" w:type="dxa"/>
            <w:shd w:val="clear" w:color="auto" w:fill="auto"/>
            <w:vAlign w:val="bottom"/>
            <w:hideMark/>
          </w:tcPr>
          <w:p w14:paraId="1D9259D5"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Potok </w:t>
            </w:r>
            <w:proofErr w:type="spellStart"/>
            <w:r w:rsidRPr="003E6900">
              <w:rPr>
                <w:rFonts w:eastAsia="Times New Roman" w:cs="Calibri"/>
                <w:color w:val="000000"/>
                <w:lang w:eastAsia="sl-SI"/>
              </w:rPr>
              <w:t>Potok</w:t>
            </w:r>
            <w:proofErr w:type="spellEnd"/>
            <w:r w:rsidRPr="003E6900">
              <w:rPr>
                <w:rFonts w:eastAsia="Times New Roman" w:cs="Calibri"/>
                <w:color w:val="000000"/>
                <w:lang w:eastAsia="sl-SI"/>
              </w:rPr>
              <w:t xml:space="preserve"> v Dornberku</w:t>
            </w:r>
          </w:p>
        </w:tc>
        <w:tc>
          <w:tcPr>
            <w:tcW w:w="3740" w:type="dxa"/>
            <w:shd w:val="clear" w:color="auto" w:fill="auto"/>
            <w:vAlign w:val="bottom"/>
            <w:hideMark/>
          </w:tcPr>
          <w:p w14:paraId="128D03F8"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46DDEE6D"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696DDDB5" w14:textId="77777777" w:rsidTr="003E6900">
        <w:trPr>
          <w:trHeight w:val="600"/>
        </w:trPr>
        <w:tc>
          <w:tcPr>
            <w:tcW w:w="960" w:type="dxa"/>
            <w:shd w:val="clear" w:color="auto" w:fill="auto"/>
            <w:vAlign w:val="bottom"/>
            <w:hideMark/>
          </w:tcPr>
          <w:p w14:paraId="58097279"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4353</w:t>
            </w:r>
          </w:p>
        </w:tc>
        <w:tc>
          <w:tcPr>
            <w:tcW w:w="3420" w:type="dxa"/>
            <w:shd w:val="clear" w:color="auto" w:fill="auto"/>
            <w:vAlign w:val="bottom"/>
            <w:hideMark/>
          </w:tcPr>
          <w:p w14:paraId="7D7961D2"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Petnik</w:t>
            </w:r>
            <w:proofErr w:type="spellEnd"/>
            <w:r w:rsidRPr="003E6900">
              <w:rPr>
                <w:rFonts w:eastAsia="Times New Roman" w:cs="Calibri"/>
                <w:color w:val="000000"/>
                <w:lang w:eastAsia="sl-SI"/>
              </w:rPr>
              <w:t xml:space="preserve"> v Braniku</w:t>
            </w:r>
          </w:p>
        </w:tc>
        <w:tc>
          <w:tcPr>
            <w:tcW w:w="3740" w:type="dxa"/>
            <w:shd w:val="clear" w:color="auto" w:fill="auto"/>
            <w:vAlign w:val="bottom"/>
            <w:hideMark/>
          </w:tcPr>
          <w:p w14:paraId="34AABBA3"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14ED29EB"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4D0D1697" w14:textId="77777777" w:rsidTr="003E6900">
        <w:trPr>
          <w:trHeight w:val="600"/>
        </w:trPr>
        <w:tc>
          <w:tcPr>
            <w:tcW w:w="960" w:type="dxa"/>
            <w:shd w:val="clear" w:color="auto" w:fill="auto"/>
            <w:vAlign w:val="bottom"/>
            <w:hideMark/>
          </w:tcPr>
          <w:p w14:paraId="36DF5194"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4354</w:t>
            </w:r>
          </w:p>
        </w:tc>
        <w:tc>
          <w:tcPr>
            <w:tcW w:w="3420" w:type="dxa"/>
            <w:shd w:val="clear" w:color="auto" w:fill="auto"/>
            <w:vAlign w:val="bottom"/>
            <w:hideMark/>
          </w:tcPr>
          <w:p w14:paraId="30497907"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Liskur</w:t>
            </w:r>
            <w:proofErr w:type="spellEnd"/>
            <w:r w:rsidRPr="003E6900">
              <w:rPr>
                <w:rFonts w:eastAsia="Times New Roman" w:cs="Calibri"/>
                <w:color w:val="000000"/>
                <w:lang w:eastAsia="sl-SI"/>
              </w:rPr>
              <w:t xml:space="preserve"> v Rožni Dolini</w:t>
            </w:r>
          </w:p>
        </w:tc>
        <w:tc>
          <w:tcPr>
            <w:tcW w:w="3740" w:type="dxa"/>
            <w:shd w:val="clear" w:color="auto" w:fill="auto"/>
            <w:vAlign w:val="bottom"/>
            <w:hideMark/>
          </w:tcPr>
          <w:p w14:paraId="0DB4C85B"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6B76F11F"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398CAF59" w14:textId="77777777" w:rsidTr="003E6900">
        <w:trPr>
          <w:trHeight w:val="600"/>
        </w:trPr>
        <w:tc>
          <w:tcPr>
            <w:tcW w:w="960" w:type="dxa"/>
            <w:shd w:val="clear" w:color="auto" w:fill="auto"/>
            <w:vAlign w:val="bottom"/>
            <w:hideMark/>
          </w:tcPr>
          <w:p w14:paraId="0A28811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4363</w:t>
            </w:r>
          </w:p>
        </w:tc>
        <w:tc>
          <w:tcPr>
            <w:tcW w:w="3420" w:type="dxa"/>
            <w:shd w:val="clear" w:color="auto" w:fill="auto"/>
            <w:vAlign w:val="bottom"/>
            <w:hideMark/>
          </w:tcPr>
          <w:p w14:paraId="4EED07DA"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Branica nad sotočjem z Vipavo</w:t>
            </w:r>
          </w:p>
        </w:tc>
        <w:tc>
          <w:tcPr>
            <w:tcW w:w="3740" w:type="dxa"/>
            <w:shd w:val="clear" w:color="auto" w:fill="auto"/>
            <w:vAlign w:val="bottom"/>
            <w:hideMark/>
          </w:tcPr>
          <w:p w14:paraId="76530E62"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6B5BBDC9"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0</w:t>
            </w:r>
          </w:p>
        </w:tc>
      </w:tr>
      <w:tr w:rsidR="003E6900" w:rsidRPr="003E6900" w14:paraId="397E2014" w14:textId="77777777" w:rsidTr="003E6900">
        <w:trPr>
          <w:trHeight w:val="600"/>
        </w:trPr>
        <w:tc>
          <w:tcPr>
            <w:tcW w:w="960" w:type="dxa"/>
            <w:shd w:val="clear" w:color="auto" w:fill="auto"/>
            <w:vAlign w:val="bottom"/>
            <w:hideMark/>
          </w:tcPr>
          <w:p w14:paraId="652FAF63"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4408</w:t>
            </w:r>
          </w:p>
        </w:tc>
        <w:tc>
          <w:tcPr>
            <w:tcW w:w="3420" w:type="dxa"/>
            <w:shd w:val="clear" w:color="auto" w:fill="auto"/>
            <w:vAlign w:val="bottom"/>
            <w:hideMark/>
          </w:tcPr>
          <w:p w14:paraId="716862CC"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Kanal Koren</w:t>
            </w:r>
          </w:p>
        </w:tc>
        <w:tc>
          <w:tcPr>
            <w:tcW w:w="3740" w:type="dxa"/>
            <w:shd w:val="clear" w:color="auto" w:fill="auto"/>
            <w:vAlign w:val="bottom"/>
            <w:hideMark/>
          </w:tcPr>
          <w:p w14:paraId="4CA31349"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2727B602"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02A0A3CF" w14:textId="77777777" w:rsidTr="003E6900">
        <w:trPr>
          <w:trHeight w:val="600"/>
        </w:trPr>
        <w:tc>
          <w:tcPr>
            <w:tcW w:w="960" w:type="dxa"/>
            <w:shd w:val="clear" w:color="auto" w:fill="auto"/>
            <w:vAlign w:val="bottom"/>
            <w:hideMark/>
          </w:tcPr>
          <w:p w14:paraId="36A15F5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4409</w:t>
            </w:r>
          </w:p>
        </w:tc>
        <w:tc>
          <w:tcPr>
            <w:tcW w:w="3420" w:type="dxa"/>
            <w:shd w:val="clear" w:color="auto" w:fill="auto"/>
            <w:vAlign w:val="bottom"/>
            <w:hideMark/>
          </w:tcPr>
          <w:p w14:paraId="67D2FEF7"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Kanal Strelišče</w:t>
            </w:r>
          </w:p>
        </w:tc>
        <w:tc>
          <w:tcPr>
            <w:tcW w:w="3740" w:type="dxa"/>
            <w:shd w:val="clear" w:color="auto" w:fill="auto"/>
            <w:vAlign w:val="bottom"/>
            <w:hideMark/>
          </w:tcPr>
          <w:p w14:paraId="248C47B0"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34A6EB6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555DB7C0" w14:textId="77777777" w:rsidTr="003E6900">
        <w:trPr>
          <w:trHeight w:val="600"/>
        </w:trPr>
        <w:tc>
          <w:tcPr>
            <w:tcW w:w="960" w:type="dxa"/>
            <w:shd w:val="clear" w:color="auto" w:fill="auto"/>
            <w:vAlign w:val="bottom"/>
            <w:hideMark/>
          </w:tcPr>
          <w:p w14:paraId="67B8FF2F"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4410</w:t>
            </w:r>
          </w:p>
        </w:tc>
        <w:tc>
          <w:tcPr>
            <w:tcW w:w="3420" w:type="dxa"/>
            <w:shd w:val="clear" w:color="auto" w:fill="auto"/>
            <w:vAlign w:val="bottom"/>
            <w:hideMark/>
          </w:tcPr>
          <w:p w14:paraId="3F2296C0"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Koren na Barju</w:t>
            </w:r>
          </w:p>
        </w:tc>
        <w:tc>
          <w:tcPr>
            <w:tcW w:w="3740" w:type="dxa"/>
            <w:shd w:val="clear" w:color="auto" w:fill="auto"/>
            <w:vAlign w:val="bottom"/>
            <w:hideMark/>
          </w:tcPr>
          <w:p w14:paraId="2CFE2B14"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2DC7644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376FCA07" w14:textId="77777777" w:rsidTr="003E6900">
        <w:trPr>
          <w:trHeight w:val="600"/>
        </w:trPr>
        <w:tc>
          <w:tcPr>
            <w:tcW w:w="960" w:type="dxa"/>
            <w:shd w:val="clear" w:color="auto" w:fill="auto"/>
            <w:vAlign w:val="bottom"/>
            <w:hideMark/>
          </w:tcPr>
          <w:p w14:paraId="075F2C0D"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4411</w:t>
            </w:r>
          </w:p>
        </w:tc>
        <w:tc>
          <w:tcPr>
            <w:tcW w:w="3420" w:type="dxa"/>
            <w:shd w:val="clear" w:color="auto" w:fill="auto"/>
            <w:vAlign w:val="bottom"/>
            <w:hideMark/>
          </w:tcPr>
          <w:p w14:paraId="6929A664"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Koren v Kromberku</w:t>
            </w:r>
          </w:p>
        </w:tc>
        <w:tc>
          <w:tcPr>
            <w:tcW w:w="3740" w:type="dxa"/>
            <w:shd w:val="clear" w:color="auto" w:fill="auto"/>
            <w:vAlign w:val="bottom"/>
            <w:hideMark/>
          </w:tcPr>
          <w:p w14:paraId="7DE148F4"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46B8B7CB"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5F885615" w14:textId="77777777" w:rsidTr="003E6900">
        <w:trPr>
          <w:trHeight w:val="600"/>
        </w:trPr>
        <w:tc>
          <w:tcPr>
            <w:tcW w:w="960" w:type="dxa"/>
            <w:shd w:val="clear" w:color="auto" w:fill="auto"/>
            <w:vAlign w:val="bottom"/>
            <w:hideMark/>
          </w:tcPr>
          <w:p w14:paraId="56A63BDE"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4412</w:t>
            </w:r>
          </w:p>
        </w:tc>
        <w:tc>
          <w:tcPr>
            <w:tcW w:w="3420" w:type="dxa"/>
            <w:shd w:val="clear" w:color="auto" w:fill="auto"/>
            <w:vAlign w:val="bottom"/>
            <w:hideMark/>
          </w:tcPr>
          <w:p w14:paraId="42539EDF"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Brestnikov</w:t>
            </w:r>
            <w:proofErr w:type="spellEnd"/>
            <w:r w:rsidRPr="003E6900">
              <w:rPr>
                <w:rFonts w:eastAsia="Times New Roman" w:cs="Calibri"/>
                <w:color w:val="000000"/>
                <w:lang w:eastAsia="sl-SI"/>
              </w:rPr>
              <w:t xml:space="preserve"> potok na Barju</w:t>
            </w:r>
          </w:p>
        </w:tc>
        <w:tc>
          <w:tcPr>
            <w:tcW w:w="3740" w:type="dxa"/>
            <w:shd w:val="clear" w:color="auto" w:fill="auto"/>
            <w:vAlign w:val="bottom"/>
            <w:hideMark/>
          </w:tcPr>
          <w:p w14:paraId="1D02A815"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09F6E3A8"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0B9D7923" w14:textId="77777777" w:rsidTr="003E6900">
        <w:trPr>
          <w:trHeight w:val="600"/>
        </w:trPr>
        <w:tc>
          <w:tcPr>
            <w:tcW w:w="960" w:type="dxa"/>
            <w:shd w:val="clear" w:color="auto" w:fill="auto"/>
            <w:vAlign w:val="bottom"/>
            <w:hideMark/>
          </w:tcPr>
          <w:p w14:paraId="0C5B4A5C"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lastRenderedPageBreak/>
              <w:t>4413</w:t>
            </w:r>
          </w:p>
        </w:tc>
        <w:tc>
          <w:tcPr>
            <w:tcW w:w="3420" w:type="dxa"/>
            <w:shd w:val="clear" w:color="auto" w:fill="auto"/>
            <w:vAlign w:val="bottom"/>
            <w:hideMark/>
          </w:tcPr>
          <w:p w14:paraId="25406006"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Brestnikov</w:t>
            </w:r>
            <w:proofErr w:type="spellEnd"/>
            <w:r w:rsidRPr="003E6900">
              <w:rPr>
                <w:rFonts w:eastAsia="Times New Roman" w:cs="Calibri"/>
                <w:color w:val="000000"/>
                <w:lang w:eastAsia="sl-SI"/>
              </w:rPr>
              <w:t xml:space="preserve"> potok v Kromberku</w:t>
            </w:r>
          </w:p>
        </w:tc>
        <w:tc>
          <w:tcPr>
            <w:tcW w:w="3740" w:type="dxa"/>
            <w:shd w:val="clear" w:color="auto" w:fill="auto"/>
            <w:vAlign w:val="bottom"/>
            <w:hideMark/>
          </w:tcPr>
          <w:p w14:paraId="31B08D4A"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5D2911D1"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70FFFA0A" w14:textId="77777777" w:rsidTr="003E6900">
        <w:trPr>
          <w:trHeight w:val="600"/>
        </w:trPr>
        <w:tc>
          <w:tcPr>
            <w:tcW w:w="960" w:type="dxa"/>
            <w:shd w:val="clear" w:color="auto" w:fill="auto"/>
            <w:vAlign w:val="bottom"/>
            <w:hideMark/>
          </w:tcPr>
          <w:p w14:paraId="333CF102"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4414</w:t>
            </w:r>
          </w:p>
        </w:tc>
        <w:tc>
          <w:tcPr>
            <w:tcW w:w="3420" w:type="dxa"/>
            <w:shd w:val="clear" w:color="auto" w:fill="auto"/>
            <w:vAlign w:val="bottom"/>
            <w:hideMark/>
          </w:tcPr>
          <w:p w14:paraId="43F6A388"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Lesina</w:t>
            </w:r>
            <w:proofErr w:type="spellEnd"/>
            <w:r w:rsidRPr="003E6900">
              <w:rPr>
                <w:rFonts w:eastAsia="Times New Roman" w:cs="Calibri"/>
                <w:color w:val="000000"/>
                <w:lang w:eastAsia="sl-SI"/>
              </w:rPr>
              <w:t xml:space="preserve"> v Kromberku</w:t>
            </w:r>
          </w:p>
        </w:tc>
        <w:tc>
          <w:tcPr>
            <w:tcW w:w="3740" w:type="dxa"/>
            <w:shd w:val="clear" w:color="auto" w:fill="auto"/>
            <w:vAlign w:val="bottom"/>
            <w:hideMark/>
          </w:tcPr>
          <w:p w14:paraId="67EC6F05"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746C121E"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0302F0D3" w14:textId="77777777" w:rsidTr="003E6900">
        <w:trPr>
          <w:trHeight w:val="600"/>
        </w:trPr>
        <w:tc>
          <w:tcPr>
            <w:tcW w:w="960" w:type="dxa"/>
            <w:shd w:val="clear" w:color="auto" w:fill="auto"/>
            <w:vAlign w:val="bottom"/>
            <w:hideMark/>
          </w:tcPr>
          <w:p w14:paraId="27283643"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4415</w:t>
            </w:r>
          </w:p>
        </w:tc>
        <w:tc>
          <w:tcPr>
            <w:tcW w:w="3420" w:type="dxa"/>
            <w:shd w:val="clear" w:color="auto" w:fill="auto"/>
            <w:vAlign w:val="bottom"/>
            <w:hideMark/>
          </w:tcPr>
          <w:p w14:paraId="4CB68015"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H Kanal v </w:t>
            </w:r>
            <w:proofErr w:type="spellStart"/>
            <w:r w:rsidRPr="003E6900">
              <w:rPr>
                <w:rFonts w:eastAsia="Times New Roman" w:cs="Calibri"/>
                <w:color w:val="000000"/>
                <w:lang w:eastAsia="sl-SI"/>
              </w:rPr>
              <w:t>Šednah</w:t>
            </w:r>
            <w:proofErr w:type="spellEnd"/>
          </w:p>
        </w:tc>
        <w:tc>
          <w:tcPr>
            <w:tcW w:w="3740" w:type="dxa"/>
            <w:shd w:val="clear" w:color="auto" w:fill="auto"/>
            <w:vAlign w:val="bottom"/>
            <w:hideMark/>
          </w:tcPr>
          <w:p w14:paraId="105C7402"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45DB240D"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12EF4D74" w14:textId="77777777" w:rsidTr="003E6900">
        <w:trPr>
          <w:trHeight w:val="600"/>
        </w:trPr>
        <w:tc>
          <w:tcPr>
            <w:tcW w:w="960" w:type="dxa"/>
            <w:shd w:val="clear" w:color="auto" w:fill="auto"/>
            <w:vAlign w:val="bottom"/>
            <w:hideMark/>
          </w:tcPr>
          <w:p w14:paraId="22DD89EC"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4416</w:t>
            </w:r>
          </w:p>
        </w:tc>
        <w:tc>
          <w:tcPr>
            <w:tcW w:w="3420" w:type="dxa"/>
            <w:shd w:val="clear" w:color="auto" w:fill="auto"/>
            <w:vAlign w:val="bottom"/>
            <w:hideMark/>
          </w:tcPr>
          <w:p w14:paraId="2800F037"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Slatna v Grgarju</w:t>
            </w:r>
          </w:p>
        </w:tc>
        <w:tc>
          <w:tcPr>
            <w:tcW w:w="3740" w:type="dxa"/>
            <w:shd w:val="clear" w:color="auto" w:fill="auto"/>
            <w:vAlign w:val="bottom"/>
            <w:hideMark/>
          </w:tcPr>
          <w:p w14:paraId="470C316A"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39D09BA1"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5984B3D6" w14:textId="77777777" w:rsidTr="003E6900">
        <w:trPr>
          <w:trHeight w:val="600"/>
        </w:trPr>
        <w:tc>
          <w:tcPr>
            <w:tcW w:w="960" w:type="dxa"/>
            <w:shd w:val="clear" w:color="auto" w:fill="auto"/>
            <w:vAlign w:val="bottom"/>
            <w:hideMark/>
          </w:tcPr>
          <w:p w14:paraId="017B0614"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4417</w:t>
            </w:r>
          </w:p>
        </w:tc>
        <w:tc>
          <w:tcPr>
            <w:tcW w:w="3420" w:type="dxa"/>
            <w:shd w:val="clear" w:color="auto" w:fill="auto"/>
            <w:vAlign w:val="bottom"/>
            <w:hideMark/>
          </w:tcPr>
          <w:p w14:paraId="67A4E3D0"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Škriljavec</w:t>
            </w:r>
            <w:proofErr w:type="spellEnd"/>
            <w:r w:rsidRPr="003E6900">
              <w:rPr>
                <w:rFonts w:eastAsia="Times New Roman" w:cs="Calibri"/>
                <w:color w:val="000000"/>
                <w:lang w:eastAsia="sl-SI"/>
              </w:rPr>
              <w:t xml:space="preserve"> v Grgarju</w:t>
            </w:r>
          </w:p>
        </w:tc>
        <w:tc>
          <w:tcPr>
            <w:tcW w:w="3740" w:type="dxa"/>
            <w:shd w:val="clear" w:color="auto" w:fill="auto"/>
            <w:vAlign w:val="bottom"/>
            <w:hideMark/>
          </w:tcPr>
          <w:p w14:paraId="3BC48565"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7D3E4908"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61F69FF1" w14:textId="77777777" w:rsidTr="003E6900">
        <w:trPr>
          <w:trHeight w:val="600"/>
        </w:trPr>
        <w:tc>
          <w:tcPr>
            <w:tcW w:w="960" w:type="dxa"/>
            <w:shd w:val="clear" w:color="auto" w:fill="auto"/>
            <w:vAlign w:val="bottom"/>
            <w:hideMark/>
          </w:tcPr>
          <w:p w14:paraId="52F4035D"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4418</w:t>
            </w:r>
          </w:p>
        </w:tc>
        <w:tc>
          <w:tcPr>
            <w:tcW w:w="3420" w:type="dxa"/>
            <w:shd w:val="clear" w:color="auto" w:fill="auto"/>
            <w:vAlign w:val="bottom"/>
            <w:hideMark/>
          </w:tcPr>
          <w:p w14:paraId="7631F2D4"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Čepovanski Potok v Čepovanu</w:t>
            </w:r>
          </w:p>
        </w:tc>
        <w:tc>
          <w:tcPr>
            <w:tcW w:w="3740" w:type="dxa"/>
            <w:shd w:val="clear" w:color="auto" w:fill="auto"/>
            <w:vAlign w:val="bottom"/>
            <w:hideMark/>
          </w:tcPr>
          <w:p w14:paraId="753DAC5E"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5A0A8E01"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34392CFC" w14:textId="77777777" w:rsidTr="003E6900">
        <w:trPr>
          <w:trHeight w:val="600"/>
        </w:trPr>
        <w:tc>
          <w:tcPr>
            <w:tcW w:w="960" w:type="dxa"/>
            <w:shd w:val="clear" w:color="auto" w:fill="auto"/>
            <w:vAlign w:val="bottom"/>
            <w:hideMark/>
          </w:tcPr>
          <w:p w14:paraId="4D62C9C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4445</w:t>
            </w:r>
          </w:p>
        </w:tc>
        <w:tc>
          <w:tcPr>
            <w:tcW w:w="3420" w:type="dxa"/>
            <w:shd w:val="clear" w:color="auto" w:fill="auto"/>
            <w:vAlign w:val="bottom"/>
            <w:hideMark/>
          </w:tcPr>
          <w:p w14:paraId="61E2A57D"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Škradnik</w:t>
            </w:r>
            <w:proofErr w:type="spellEnd"/>
            <w:r w:rsidRPr="003E6900">
              <w:rPr>
                <w:rFonts w:eastAsia="Times New Roman" w:cs="Calibri"/>
                <w:color w:val="000000"/>
                <w:lang w:eastAsia="sl-SI"/>
              </w:rPr>
              <w:t xml:space="preserve"> - polje Loke</w:t>
            </w:r>
          </w:p>
        </w:tc>
        <w:tc>
          <w:tcPr>
            <w:tcW w:w="3740" w:type="dxa"/>
            <w:shd w:val="clear" w:color="auto" w:fill="auto"/>
            <w:vAlign w:val="bottom"/>
            <w:hideMark/>
          </w:tcPr>
          <w:p w14:paraId="4EF384FA"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6F41391E"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5E4D74F6" w14:textId="77777777" w:rsidTr="003E6900">
        <w:trPr>
          <w:trHeight w:val="600"/>
        </w:trPr>
        <w:tc>
          <w:tcPr>
            <w:tcW w:w="960" w:type="dxa"/>
            <w:shd w:val="clear" w:color="auto" w:fill="auto"/>
            <w:vAlign w:val="bottom"/>
            <w:hideMark/>
          </w:tcPr>
          <w:p w14:paraId="107F8768"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4446</w:t>
            </w:r>
          </w:p>
        </w:tc>
        <w:tc>
          <w:tcPr>
            <w:tcW w:w="3420" w:type="dxa"/>
            <w:shd w:val="clear" w:color="auto" w:fill="auto"/>
            <w:vAlign w:val="bottom"/>
            <w:hideMark/>
          </w:tcPr>
          <w:p w14:paraId="077A5BAE"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Odvodnik 4 - polje Loke</w:t>
            </w:r>
          </w:p>
        </w:tc>
        <w:tc>
          <w:tcPr>
            <w:tcW w:w="3740" w:type="dxa"/>
            <w:shd w:val="clear" w:color="auto" w:fill="auto"/>
            <w:vAlign w:val="bottom"/>
            <w:hideMark/>
          </w:tcPr>
          <w:p w14:paraId="7C1BCCD8"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518E61DE"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0DF04FEC" w14:textId="77777777" w:rsidTr="003E6900">
        <w:trPr>
          <w:trHeight w:val="600"/>
        </w:trPr>
        <w:tc>
          <w:tcPr>
            <w:tcW w:w="960" w:type="dxa"/>
            <w:shd w:val="clear" w:color="auto" w:fill="auto"/>
            <w:vAlign w:val="bottom"/>
            <w:hideMark/>
          </w:tcPr>
          <w:p w14:paraId="5C8CF01C"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4447</w:t>
            </w:r>
          </w:p>
        </w:tc>
        <w:tc>
          <w:tcPr>
            <w:tcW w:w="3420" w:type="dxa"/>
            <w:shd w:val="clear" w:color="auto" w:fill="auto"/>
            <w:vAlign w:val="bottom"/>
            <w:hideMark/>
          </w:tcPr>
          <w:p w14:paraId="25E44DD9"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Odvodnik 3 - polje Loke</w:t>
            </w:r>
          </w:p>
        </w:tc>
        <w:tc>
          <w:tcPr>
            <w:tcW w:w="3740" w:type="dxa"/>
            <w:shd w:val="clear" w:color="auto" w:fill="auto"/>
            <w:vAlign w:val="bottom"/>
            <w:hideMark/>
          </w:tcPr>
          <w:p w14:paraId="428B31FB"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71095434"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42E15CEF" w14:textId="77777777" w:rsidTr="003E6900">
        <w:trPr>
          <w:trHeight w:val="600"/>
        </w:trPr>
        <w:tc>
          <w:tcPr>
            <w:tcW w:w="960" w:type="dxa"/>
            <w:shd w:val="clear" w:color="auto" w:fill="auto"/>
            <w:vAlign w:val="bottom"/>
            <w:hideMark/>
          </w:tcPr>
          <w:p w14:paraId="5736BC1E"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4448</w:t>
            </w:r>
          </w:p>
        </w:tc>
        <w:tc>
          <w:tcPr>
            <w:tcW w:w="3420" w:type="dxa"/>
            <w:shd w:val="clear" w:color="auto" w:fill="auto"/>
            <w:vAlign w:val="bottom"/>
            <w:hideMark/>
          </w:tcPr>
          <w:p w14:paraId="69DBAB41"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Kanal pri </w:t>
            </w:r>
            <w:proofErr w:type="spellStart"/>
            <w:r w:rsidRPr="003E6900">
              <w:rPr>
                <w:rFonts w:eastAsia="Times New Roman" w:cs="Calibri"/>
                <w:color w:val="000000"/>
                <w:lang w:eastAsia="sl-SI"/>
              </w:rPr>
              <w:t>Pelozu</w:t>
            </w:r>
            <w:proofErr w:type="spellEnd"/>
            <w:r w:rsidRPr="003E6900">
              <w:rPr>
                <w:rFonts w:eastAsia="Times New Roman" w:cs="Calibri"/>
                <w:color w:val="000000"/>
                <w:lang w:eastAsia="sl-SI"/>
              </w:rPr>
              <w:t xml:space="preserve"> - polje Loke</w:t>
            </w:r>
          </w:p>
        </w:tc>
        <w:tc>
          <w:tcPr>
            <w:tcW w:w="3740" w:type="dxa"/>
            <w:shd w:val="clear" w:color="auto" w:fill="auto"/>
            <w:vAlign w:val="bottom"/>
            <w:hideMark/>
          </w:tcPr>
          <w:p w14:paraId="2B45CD15"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2FD96AC2"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4473EFC6" w14:textId="77777777" w:rsidTr="003E6900">
        <w:trPr>
          <w:trHeight w:val="600"/>
        </w:trPr>
        <w:tc>
          <w:tcPr>
            <w:tcW w:w="960" w:type="dxa"/>
            <w:shd w:val="clear" w:color="auto" w:fill="auto"/>
            <w:vAlign w:val="bottom"/>
            <w:hideMark/>
          </w:tcPr>
          <w:p w14:paraId="5AB7091A"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4449</w:t>
            </w:r>
          </w:p>
        </w:tc>
        <w:tc>
          <w:tcPr>
            <w:tcW w:w="3420" w:type="dxa"/>
            <w:shd w:val="clear" w:color="auto" w:fill="auto"/>
            <w:vAlign w:val="bottom"/>
            <w:hideMark/>
          </w:tcPr>
          <w:p w14:paraId="3AE500D7"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Odvodnik v Lijak pod Lokami - </w:t>
            </w:r>
            <w:proofErr w:type="spellStart"/>
            <w:r w:rsidRPr="003E6900">
              <w:rPr>
                <w:rFonts w:eastAsia="Times New Roman" w:cs="Calibri"/>
                <w:color w:val="000000"/>
                <w:lang w:eastAsia="sl-SI"/>
              </w:rPr>
              <w:t>Lijaščko</w:t>
            </w:r>
            <w:proofErr w:type="spellEnd"/>
            <w:r w:rsidRPr="003E6900">
              <w:rPr>
                <w:rFonts w:eastAsia="Times New Roman" w:cs="Calibri"/>
                <w:color w:val="000000"/>
                <w:lang w:eastAsia="sl-SI"/>
              </w:rPr>
              <w:t xml:space="preserve"> polje</w:t>
            </w:r>
          </w:p>
        </w:tc>
        <w:tc>
          <w:tcPr>
            <w:tcW w:w="3740" w:type="dxa"/>
            <w:shd w:val="clear" w:color="auto" w:fill="auto"/>
            <w:vAlign w:val="bottom"/>
            <w:hideMark/>
          </w:tcPr>
          <w:p w14:paraId="7E5DFC23"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769EC83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7669BDC7" w14:textId="77777777" w:rsidTr="003E6900">
        <w:trPr>
          <w:trHeight w:val="600"/>
        </w:trPr>
        <w:tc>
          <w:tcPr>
            <w:tcW w:w="960" w:type="dxa"/>
            <w:shd w:val="clear" w:color="auto" w:fill="auto"/>
            <w:vAlign w:val="bottom"/>
            <w:hideMark/>
          </w:tcPr>
          <w:p w14:paraId="2EC25A4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4450</w:t>
            </w:r>
          </w:p>
        </w:tc>
        <w:tc>
          <w:tcPr>
            <w:tcW w:w="3420" w:type="dxa"/>
            <w:shd w:val="clear" w:color="auto" w:fill="auto"/>
            <w:vAlign w:val="bottom"/>
            <w:hideMark/>
          </w:tcPr>
          <w:p w14:paraId="710DCCA6"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Globonik</w:t>
            </w:r>
            <w:proofErr w:type="spellEnd"/>
            <w:r w:rsidRPr="003E6900">
              <w:rPr>
                <w:rFonts w:eastAsia="Times New Roman" w:cs="Calibri"/>
                <w:color w:val="000000"/>
                <w:lang w:eastAsia="sl-SI"/>
              </w:rPr>
              <w:t xml:space="preserve"> - </w:t>
            </w:r>
            <w:proofErr w:type="spellStart"/>
            <w:r w:rsidRPr="003E6900">
              <w:rPr>
                <w:rFonts w:eastAsia="Times New Roman" w:cs="Calibri"/>
                <w:color w:val="000000"/>
                <w:lang w:eastAsia="sl-SI"/>
              </w:rPr>
              <w:t>Lijaščko</w:t>
            </w:r>
            <w:proofErr w:type="spellEnd"/>
            <w:r w:rsidRPr="003E6900">
              <w:rPr>
                <w:rFonts w:eastAsia="Times New Roman" w:cs="Calibri"/>
                <w:color w:val="000000"/>
                <w:lang w:eastAsia="sl-SI"/>
              </w:rPr>
              <w:t xml:space="preserve"> polje</w:t>
            </w:r>
          </w:p>
        </w:tc>
        <w:tc>
          <w:tcPr>
            <w:tcW w:w="3740" w:type="dxa"/>
            <w:shd w:val="clear" w:color="auto" w:fill="auto"/>
            <w:vAlign w:val="bottom"/>
            <w:hideMark/>
          </w:tcPr>
          <w:p w14:paraId="3970F65D"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3DA82394"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747CAECE" w14:textId="77777777" w:rsidTr="003E6900">
        <w:trPr>
          <w:trHeight w:val="600"/>
        </w:trPr>
        <w:tc>
          <w:tcPr>
            <w:tcW w:w="960" w:type="dxa"/>
            <w:shd w:val="clear" w:color="auto" w:fill="auto"/>
            <w:vAlign w:val="bottom"/>
            <w:hideMark/>
          </w:tcPr>
          <w:p w14:paraId="51A2736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4451</w:t>
            </w:r>
          </w:p>
        </w:tc>
        <w:tc>
          <w:tcPr>
            <w:tcW w:w="3420" w:type="dxa"/>
            <w:shd w:val="clear" w:color="auto" w:fill="auto"/>
            <w:vAlign w:val="bottom"/>
            <w:hideMark/>
          </w:tcPr>
          <w:p w14:paraId="603216D9"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Odvodnik v Lijak pri Šmihelu - </w:t>
            </w:r>
            <w:proofErr w:type="spellStart"/>
            <w:r w:rsidRPr="003E6900">
              <w:rPr>
                <w:rFonts w:eastAsia="Times New Roman" w:cs="Calibri"/>
                <w:color w:val="000000"/>
                <w:lang w:eastAsia="sl-SI"/>
              </w:rPr>
              <w:t>Lijaščko</w:t>
            </w:r>
            <w:proofErr w:type="spellEnd"/>
            <w:r w:rsidRPr="003E6900">
              <w:rPr>
                <w:rFonts w:eastAsia="Times New Roman" w:cs="Calibri"/>
                <w:color w:val="000000"/>
                <w:lang w:eastAsia="sl-SI"/>
              </w:rPr>
              <w:t xml:space="preserve"> polje</w:t>
            </w:r>
          </w:p>
        </w:tc>
        <w:tc>
          <w:tcPr>
            <w:tcW w:w="3740" w:type="dxa"/>
            <w:shd w:val="clear" w:color="auto" w:fill="auto"/>
            <w:vAlign w:val="bottom"/>
            <w:hideMark/>
          </w:tcPr>
          <w:p w14:paraId="7CA37A44"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26967113"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66CC58F0" w14:textId="77777777" w:rsidTr="003E6900">
        <w:trPr>
          <w:trHeight w:val="600"/>
        </w:trPr>
        <w:tc>
          <w:tcPr>
            <w:tcW w:w="960" w:type="dxa"/>
            <w:shd w:val="clear" w:color="auto" w:fill="auto"/>
            <w:vAlign w:val="bottom"/>
            <w:hideMark/>
          </w:tcPr>
          <w:p w14:paraId="6E4B0AEC"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4452</w:t>
            </w:r>
          </w:p>
        </w:tc>
        <w:tc>
          <w:tcPr>
            <w:tcW w:w="3420" w:type="dxa"/>
            <w:shd w:val="clear" w:color="auto" w:fill="auto"/>
            <w:vAlign w:val="bottom"/>
            <w:hideMark/>
          </w:tcPr>
          <w:p w14:paraId="4FEEE3C3"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Livišče</w:t>
            </w:r>
            <w:proofErr w:type="spellEnd"/>
            <w:r w:rsidRPr="003E6900">
              <w:rPr>
                <w:rFonts w:eastAsia="Times New Roman" w:cs="Calibri"/>
                <w:color w:val="000000"/>
                <w:lang w:eastAsia="sl-SI"/>
              </w:rPr>
              <w:t xml:space="preserve"> - </w:t>
            </w:r>
            <w:proofErr w:type="spellStart"/>
            <w:r w:rsidRPr="003E6900">
              <w:rPr>
                <w:rFonts w:eastAsia="Times New Roman" w:cs="Calibri"/>
                <w:color w:val="000000"/>
                <w:lang w:eastAsia="sl-SI"/>
              </w:rPr>
              <w:t>Lijaščko</w:t>
            </w:r>
            <w:proofErr w:type="spellEnd"/>
            <w:r w:rsidRPr="003E6900">
              <w:rPr>
                <w:rFonts w:eastAsia="Times New Roman" w:cs="Calibri"/>
                <w:color w:val="000000"/>
                <w:lang w:eastAsia="sl-SI"/>
              </w:rPr>
              <w:t xml:space="preserve"> polje</w:t>
            </w:r>
          </w:p>
        </w:tc>
        <w:tc>
          <w:tcPr>
            <w:tcW w:w="3740" w:type="dxa"/>
            <w:shd w:val="clear" w:color="auto" w:fill="auto"/>
            <w:vAlign w:val="bottom"/>
            <w:hideMark/>
          </w:tcPr>
          <w:p w14:paraId="1AA49C90"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3817094B"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6860230A" w14:textId="77777777" w:rsidTr="003E6900">
        <w:trPr>
          <w:trHeight w:val="600"/>
        </w:trPr>
        <w:tc>
          <w:tcPr>
            <w:tcW w:w="960" w:type="dxa"/>
            <w:shd w:val="clear" w:color="auto" w:fill="auto"/>
            <w:vAlign w:val="bottom"/>
            <w:hideMark/>
          </w:tcPr>
          <w:p w14:paraId="487CCF18"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4453</w:t>
            </w:r>
          </w:p>
        </w:tc>
        <w:tc>
          <w:tcPr>
            <w:tcW w:w="3420" w:type="dxa"/>
            <w:shd w:val="clear" w:color="auto" w:fill="auto"/>
            <w:vAlign w:val="bottom"/>
            <w:hideMark/>
          </w:tcPr>
          <w:p w14:paraId="7721B8BD"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O.J. 1 - </w:t>
            </w:r>
            <w:proofErr w:type="spellStart"/>
            <w:r w:rsidRPr="003E6900">
              <w:rPr>
                <w:rFonts w:eastAsia="Times New Roman" w:cs="Calibri"/>
                <w:color w:val="000000"/>
                <w:lang w:eastAsia="sl-SI"/>
              </w:rPr>
              <w:t>Lijaščko</w:t>
            </w:r>
            <w:proofErr w:type="spellEnd"/>
            <w:r w:rsidRPr="003E6900">
              <w:rPr>
                <w:rFonts w:eastAsia="Times New Roman" w:cs="Calibri"/>
                <w:color w:val="000000"/>
                <w:lang w:eastAsia="sl-SI"/>
              </w:rPr>
              <w:t xml:space="preserve"> polje</w:t>
            </w:r>
          </w:p>
        </w:tc>
        <w:tc>
          <w:tcPr>
            <w:tcW w:w="3740" w:type="dxa"/>
            <w:shd w:val="clear" w:color="auto" w:fill="auto"/>
            <w:vAlign w:val="bottom"/>
            <w:hideMark/>
          </w:tcPr>
          <w:p w14:paraId="63B90F83"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4D95014F"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70AAD7E9" w14:textId="77777777" w:rsidTr="003E6900">
        <w:trPr>
          <w:trHeight w:val="600"/>
        </w:trPr>
        <w:tc>
          <w:tcPr>
            <w:tcW w:w="960" w:type="dxa"/>
            <w:shd w:val="clear" w:color="auto" w:fill="auto"/>
            <w:vAlign w:val="bottom"/>
            <w:hideMark/>
          </w:tcPr>
          <w:p w14:paraId="4B2D33B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4454</w:t>
            </w:r>
          </w:p>
        </w:tc>
        <w:tc>
          <w:tcPr>
            <w:tcW w:w="3420" w:type="dxa"/>
            <w:shd w:val="clear" w:color="auto" w:fill="auto"/>
            <w:vAlign w:val="bottom"/>
            <w:hideMark/>
          </w:tcPr>
          <w:p w14:paraId="2024C6D9"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Kanal pri </w:t>
            </w:r>
            <w:proofErr w:type="spellStart"/>
            <w:r w:rsidRPr="003E6900">
              <w:rPr>
                <w:rFonts w:eastAsia="Times New Roman" w:cs="Calibri"/>
                <w:color w:val="000000"/>
                <w:lang w:eastAsia="sl-SI"/>
              </w:rPr>
              <w:t>Mladovanu</w:t>
            </w:r>
            <w:proofErr w:type="spellEnd"/>
            <w:r w:rsidRPr="003E6900">
              <w:rPr>
                <w:rFonts w:eastAsia="Times New Roman" w:cs="Calibri"/>
                <w:color w:val="000000"/>
                <w:lang w:eastAsia="sl-SI"/>
              </w:rPr>
              <w:t xml:space="preserve"> - </w:t>
            </w:r>
            <w:proofErr w:type="spellStart"/>
            <w:r w:rsidRPr="003E6900">
              <w:rPr>
                <w:rFonts w:eastAsia="Times New Roman" w:cs="Calibri"/>
                <w:color w:val="000000"/>
                <w:lang w:eastAsia="sl-SI"/>
              </w:rPr>
              <w:t>Lijaščko</w:t>
            </w:r>
            <w:proofErr w:type="spellEnd"/>
            <w:r w:rsidRPr="003E6900">
              <w:rPr>
                <w:rFonts w:eastAsia="Times New Roman" w:cs="Calibri"/>
                <w:color w:val="000000"/>
                <w:lang w:eastAsia="sl-SI"/>
              </w:rPr>
              <w:t xml:space="preserve"> polje</w:t>
            </w:r>
          </w:p>
        </w:tc>
        <w:tc>
          <w:tcPr>
            <w:tcW w:w="3740" w:type="dxa"/>
            <w:shd w:val="clear" w:color="auto" w:fill="auto"/>
            <w:vAlign w:val="bottom"/>
            <w:hideMark/>
          </w:tcPr>
          <w:p w14:paraId="3DED397D"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50C35543"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7B639F33" w14:textId="77777777" w:rsidTr="003E6900">
        <w:trPr>
          <w:trHeight w:val="600"/>
        </w:trPr>
        <w:tc>
          <w:tcPr>
            <w:tcW w:w="960" w:type="dxa"/>
            <w:shd w:val="clear" w:color="auto" w:fill="auto"/>
            <w:vAlign w:val="bottom"/>
            <w:hideMark/>
          </w:tcPr>
          <w:p w14:paraId="6529E70D"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4455</w:t>
            </w:r>
          </w:p>
        </w:tc>
        <w:tc>
          <w:tcPr>
            <w:tcW w:w="3420" w:type="dxa"/>
            <w:shd w:val="clear" w:color="auto" w:fill="auto"/>
            <w:vAlign w:val="bottom"/>
            <w:hideMark/>
          </w:tcPr>
          <w:p w14:paraId="1391BCA9"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Lajšče</w:t>
            </w:r>
            <w:proofErr w:type="spellEnd"/>
            <w:r w:rsidRPr="003E6900">
              <w:rPr>
                <w:rFonts w:eastAsia="Times New Roman" w:cs="Calibri"/>
                <w:color w:val="000000"/>
                <w:lang w:eastAsia="sl-SI"/>
              </w:rPr>
              <w:t xml:space="preserve"> pod cesto - </w:t>
            </w:r>
            <w:proofErr w:type="spellStart"/>
            <w:r w:rsidRPr="003E6900">
              <w:rPr>
                <w:rFonts w:eastAsia="Times New Roman" w:cs="Calibri"/>
                <w:color w:val="000000"/>
                <w:lang w:eastAsia="sl-SI"/>
              </w:rPr>
              <w:t>Lijaščko</w:t>
            </w:r>
            <w:proofErr w:type="spellEnd"/>
            <w:r w:rsidRPr="003E6900">
              <w:rPr>
                <w:rFonts w:eastAsia="Times New Roman" w:cs="Calibri"/>
                <w:color w:val="000000"/>
                <w:lang w:eastAsia="sl-SI"/>
              </w:rPr>
              <w:t xml:space="preserve"> polje</w:t>
            </w:r>
          </w:p>
        </w:tc>
        <w:tc>
          <w:tcPr>
            <w:tcW w:w="3740" w:type="dxa"/>
            <w:shd w:val="clear" w:color="auto" w:fill="auto"/>
            <w:vAlign w:val="bottom"/>
            <w:hideMark/>
          </w:tcPr>
          <w:p w14:paraId="58FF5830"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56E71D8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6C9A1071" w14:textId="77777777" w:rsidTr="003E6900">
        <w:trPr>
          <w:trHeight w:val="600"/>
        </w:trPr>
        <w:tc>
          <w:tcPr>
            <w:tcW w:w="960" w:type="dxa"/>
            <w:shd w:val="clear" w:color="auto" w:fill="auto"/>
            <w:vAlign w:val="bottom"/>
            <w:hideMark/>
          </w:tcPr>
          <w:p w14:paraId="37DF505A"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4456</w:t>
            </w:r>
          </w:p>
        </w:tc>
        <w:tc>
          <w:tcPr>
            <w:tcW w:w="3420" w:type="dxa"/>
            <w:shd w:val="clear" w:color="auto" w:fill="auto"/>
            <w:vAlign w:val="bottom"/>
            <w:hideMark/>
          </w:tcPr>
          <w:p w14:paraId="0D1A6B09"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Jarek 3 - polje Ozeljan</w:t>
            </w:r>
          </w:p>
        </w:tc>
        <w:tc>
          <w:tcPr>
            <w:tcW w:w="3740" w:type="dxa"/>
            <w:shd w:val="clear" w:color="auto" w:fill="auto"/>
            <w:vAlign w:val="bottom"/>
            <w:hideMark/>
          </w:tcPr>
          <w:p w14:paraId="4988DFAE"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22FA04E2"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56226E8C" w14:textId="77777777" w:rsidTr="003E6900">
        <w:trPr>
          <w:trHeight w:val="600"/>
        </w:trPr>
        <w:tc>
          <w:tcPr>
            <w:tcW w:w="960" w:type="dxa"/>
            <w:shd w:val="clear" w:color="auto" w:fill="auto"/>
            <w:vAlign w:val="bottom"/>
            <w:hideMark/>
          </w:tcPr>
          <w:p w14:paraId="6D759DAF"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4457</w:t>
            </w:r>
          </w:p>
        </w:tc>
        <w:tc>
          <w:tcPr>
            <w:tcW w:w="3420" w:type="dxa"/>
            <w:shd w:val="clear" w:color="auto" w:fill="auto"/>
            <w:vAlign w:val="bottom"/>
            <w:hideMark/>
          </w:tcPr>
          <w:p w14:paraId="542F2C4C"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Lajšče</w:t>
            </w:r>
            <w:proofErr w:type="spellEnd"/>
            <w:r w:rsidRPr="003E6900">
              <w:rPr>
                <w:rFonts w:eastAsia="Times New Roman" w:cs="Calibri"/>
                <w:color w:val="000000"/>
                <w:lang w:eastAsia="sl-SI"/>
              </w:rPr>
              <w:t xml:space="preserve"> - polje Ozeljan</w:t>
            </w:r>
          </w:p>
        </w:tc>
        <w:tc>
          <w:tcPr>
            <w:tcW w:w="3740" w:type="dxa"/>
            <w:shd w:val="clear" w:color="auto" w:fill="auto"/>
            <w:vAlign w:val="bottom"/>
            <w:hideMark/>
          </w:tcPr>
          <w:p w14:paraId="30C344D7"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4E34AECB"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51EF8573" w14:textId="77777777" w:rsidTr="003E6900">
        <w:trPr>
          <w:trHeight w:val="600"/>
        </w:trPr>
        <w:tc>
          <w:tcPr>
            <w:tcW w:w="960" w:type="dxa"/>
            <w:shd w:val="clear" w:color="auto" w:fill="auto"/>
            <w:vAlign w:val="bottom"/>
            <w:hideMark/>
          </w:tcPr>
          <w:p w14:paraId="01F7D1AC"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4458</w:t>
            </w:r>
          </w:p>
        </w:tc>
        <w:tc>
          <w:tcPr>
            <w:tcW w:w="3420" w:type="dxa"/>
            <w:shd w:val="clear" w:color="auto" w:fill="auto"/>
            <w:vAlign w:val="bottom"/>
            <w:hideMark/>
          </w:tcPr>
          <w:p w14:paraId="1B335AAD"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Odvodnik 1 - polje Ozeljan</w:t>
            </w:r>
          </w:p>
        </w:tc>
        <w:tc>
          <w:tcPr>
            <w:tcW w:w="3740" w:type="dxa"/>
            <w:shd w:val="clear" w:color="auto" w:fill="auto"/>
            <w:vAlign w:val="bottom"/>
            <w:hideMark/>
          </w:tcPr>
          <w:p w14:paraId="1C2A5241"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1EA242F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6A69B799" w14:textId="77777777" w:rsidTr="003E6900">
        <w:trPr>
          <w:trHeight w:val="600"/>
        </w:trPr>
        <w:tc>
          <w:tcPr>
            <w:tcW w:w="960" w:type="dxa"/>
            <w:shd w:val="clear" w:color="auto" w:fill="auto"/>
            <w:vAlign w:val="bottom"/>
            <w:hideMark/>
          </w:tcPr>
          <w:p w14:paraId="6CDF5B73"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lastRenderedPageBreak/>
              <w:t>4459</w:t>
            </w:r>
          </w:p>
        </w:tc>
        <w:tc>
          <w:tcPr>
            <w:tcW w:w="3420" w:type="dxa"/>
            <w:shd w:val="clear" w:color="auto" w:fill="auto"/>
            <w:vAlign w:val="bottom"/>
            <w:hideMark/>
          </w:tcPr>
          <w:p w14:paraId="4FC44057"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Odvodnik 2 - polje Ozeljan</w:t>
            </w:r>
          </w:p>
        </w:tc>
        <w:tc>
          <w:tcPr>
            <w:tcW w:w="3740" w:type="dxa"/>
            <w:shd w:val="clear" w:color="auto" w:fill="auto"/>
            <w:vAlign w:val="bottom"/>
            <w:hideMark/>
          </w:tcPr>
          <w:p w14:paraId="36E5234C"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0F87DE59"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63D633BF" w14:textId="77777777" w:rsidTr="003E6900">
        <w:trPr>
          <w:trHeight w:val="600"/>
        </w:trPr>
        <w:tc>
          <w:tcPr>
            <w:tcW w:w="960" w:type="dxa"/>
            <w:shd w:val="clear" w:color="auto" w:fill="auto"/>
            <w:vAlign w:val="bottom"/>
            <w:hideMark/>
          </w:tcPr>
          <w:p w14:paraId="74B55C6B"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4460</w:t>
            </w:r>
          </w:p>
        </w:tc>
        <w:tc>
          <w:tcPr>
            <w:tcW w:w="3420" w:type="dxa"/>
            <w:shd w:val="clear" w:color="auto" w:fill="auto"/>
            <w:vAlign w:val="bottom"/>
            <w:hideMark/>
          </w:tcPr>
          <w:p w14:paraId="6CA76E07"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Lepenjšček</w:t>
            </w:r>
            <w:proofErr w:type="spellEnd"/>
            <w:r w:rsidRPr="003E6900">
              <w:rPr>
                <w:rFonts w:eastAsia="Times New Roman" w:cs="Calibri"/>
                <w:color w:val="000000"/>
                <w:lang w:eastAsia="sl-SI"/>
              </w:rPr>
              <w:t xml:space="preserve"> - polje Lepenje</w:t>
            </w:r>
          </w:p>
        </w:tc>
        <w:tc>
          <w:tcPr>
            <w:tcW w:w="3740" w:type="dxa"/>
            <w:shd w:val="clear" w:color="auto" w:fill="auto"/>
            <w:vAlign w:val="bottom"/>
            <w:hideMark/>
          </w:tcPr>
          <w:p w14:paraId="6E34F7CE"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01137E0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23C8AB89" w14:textId="77777777" w:rsidTr="003E6900">
        <w:trPr>
          <w:trHeight w:val="600"/>
        </w:trPr>
        <w:tc>
          <w:tcPr>
            <w:tcW w:w="960" w:type="dxa"/>
            <w:shd w:val="clear" w:color="auto" w:fill="auto"/>
            <w:vAlign w:val="bottom"/>
            <w:hideMark/>
          </w:tcPr>
          <w:p w14:paraId="2B8C0D7E"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4461</w:t>
            </w:r>
          </w:p>
        </w:tc>
        <w:tc>
          <w:tcPr>
            <w:tcW w:w="3420" w:type="dxa"/>
            <w:shd w:val="clear" w:color="auto" w:fill="auto"/>
            <w:vAlign w:val="bottom"/>
            <w:hideMark/>
          </w:tcPr>
          <w:p w14:paraId="36EE5751"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O.J.1 - polje Lepenje</w:t>
            </w:r>
          </w:p>
        </w:tc>
        <w:tc>
          <w:tcPr>
            <w:tcW w:w="3740" w:type="dxa"/>
            <w:shd w:val="clear" w:color="auto" w:fill="auto"/>
            <w:vAlign w:val="bottom"/>
            <w:hideMark/>
          </w:tcPr>
          <w:p w14:paraId="70988F45"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27BD49E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14E51E08" w14:textId="77777777" w:rsidTr="003E6900">
        <w:trPr>
          <w:trHeight w:val="600"/>
        </w:trPr>
        <w:tc>
          <w:tcPr>
            <w:tcW w:w="960" w:type="dxa"/>
            <w:shd w:val="clear" w:color="auto" w:fill="auto"/>
            <w:vAlign w:val="bottom"/>
            <w:hideMark/>
          </w:tcPr>
          <w:p w14:paraId="64697C56"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4462</w:t>
            </w:r>
          </w:p>
        </w:tc>
        <w:tc>
          <w:tcPr>
            <w:tcW w:w="3420" w:type="dxa"/>
            <w:shd w:val="clear" w:color="auto" w:fill="auto"/>
            <w:vAlign w:val="bottom"/>
            <w:hideMark/>
          </w:tcPr>
          <w:p w14:paraId="3DD3D9B7"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O.J. 2 - polje Lepenje</w:t>
            </w:r>
          </w:p>
        </w:tc>
        <w:tc>
          <w:tcPr>
            <w:tcW w:w="3740" w:type="dxa"/>
            <w:shd w:val="clear" w:color="auto" w:fill="auto"/>
            <w:vAlign w:val="bottom"/>
            <w:hideMark/>
          </w:tcPr>
          <w:p w14:paraId="03541F98"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4D4CC31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08AA3FDA" w14:textId="77777777" w:rsidTr="003E6900">
        <w:trPr>
          <w:trHeight w:val="600"/>
        </w:trPr>
        <w:tc>
          <w:tcPr>
            <w:tcW w:w="960" w:type="dxa"/>
            <w:shd w:val="clear" w:color="auto" w:fill="auto"/>
            <w:vAlign w:val="bottom"/>
            <w:hideMark/>
          </w:tcPr>
          <w:p w14:paraId="34BDC6C3"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4463</w:t>
            </w:r>
          </w:p>
        </w:tc>
        <w:tc>
          <w:tcPr>
            <w:tcW w:w="3420" w:type="dxa"/>
            <w:shd w:val="clear" w:color="auto" w:fill="auto"/>
            <w:vAlign w:val="bottom"/>
            <w:hideMark/>
          </w:tcPr>
          <w:p w14:paraId="6F7F06F8"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O.J. 3 - polje Lepenje</w:t>
            </w:r>
          </w:p>
        </w:tc>
        <w:tc>
          <w:tcPr>
            <w:tcW w:w="3740" w:type="dxa"/>
            <w:shd w:val="clear" w:color="auto" w:fill="auto"/>
            <w:vAlign w:val="bottom"/>
            <w:hideMark/>
          </w:tcPr>
          <w:p w14:paraId="773B5A04"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3AF94A7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41062C16" w14:textId="77777777" w:rsidTr="003E6900">
        <w:trPr>
          <w:trHeight w:val="600"/>
        </w:trPr>
        <w:tc>
          <w:tcPr>
            <w:tcW w:w="960" w:type="dxa"/>
            <w:shd w:val="clear" w:color="auto" w:fill="auto"/>
            <w:vAlign w:val="bottom"/>
            <w:hideMark/>
          </w:tcPr>
          <w:p w14:paraId="06603D6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4464</w:t>
            </w:r>
          </w:p>
        </w:tc>
        <w:tc>
          <w:tcPr>
            <w:tcW w:w="3420" w:type="dxa"/>
            <w:shd w:val="clear" w:color="auto" w:fill="auto"/>
            <w:vAlign w:val="bottom"/>
            <w:hideMark/>
          </w:tcPr>
          <w:p w14:paraId="35205C87"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Odvodnik C - Šempasko polje</w:t>
            </w:r>
          </w:p>
        </w:tc>
        <w:tc>
          <w:tcPr>
            <w:tcW w:w="3740" w:type="dxa"/>
            <w:shd w:val="clear" w:color="auto" w:fill="auto"/>
            <w:vAlign w:val="bottom"/>
            <w:hideMark/>
          </w:tcPr>
          <w:p w14:paraId="358A8527"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1E23086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558FFE90" w14:textId="77777777" w:rsidTr="003E6900">
        <w:trPr>
          <w:trHeight w:val="600"/>
        </w:trPr>
        <w:tc>
          <w:tcPr>
            <w:tcW w:w="960" w:type="dxa"/>
            <w:shd w:val="clear" w:color="auto" w:fill="auto"/>
            <w:vAlign w:val="bottom"/>
            <w:hideMark/>
          </w:tcPr>
          <w:p w14:paraId="24D62B93"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4466</w:t>
            </w:r>
          </w:p>
        </w:tc>
        <w:tc>
          <w:tcPr>
            <w:tcW w:w="3420" w:type="dxa"/>
            <w:shd w:val="clear" w:color="auto" w:fill="auto"/>
            <w:vAlign w:val="bottom"/>
            <w:hideMark/>
          </w:tcPr>
          <w:p w14:paraId="4752693D"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Ozeljanšček</w:t>
            </w:r>
            <w:proofErr w:type="spellEnd"/>
            <w:r w:rsidRPr="003E6900">
              <w:rPr>
                <w:rFonts w:eastAsia="Times New Roman" w:cs="Calibri"/>
                <w:color w:val="000000"/>
                <w:lang w:eastAsia="sl-SI"/>
              </w:rPr>
              <w:t xml:space="preserve"> - Šempasko polje</w:t>
            </w:r>
          </w:p>
        </w:tc>
        <w:tc>
          <w:tcPr>
            <w:tcW w:w="3740" w:type="dxa"/>
            <w:shd w:val="clear" w:color="auto" w:fill="auto"/>
            <w:vAlign w:val="bottom"/>
            <w:hideMark/>
          </w:tcPr>
          <w:p w14:paraId="3F9C23E6"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641A071E"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4548277C" w14:textId="77777777" w:rsidTr="003E6900">
        <w:trPr>
          <w:trHeight w:val="600"/>
        </w:trPr>
        <w:tc>
          <w:tcPr>
            <w:tcW w:w="960" w:type="dxa"/>
            <w:shd w:val="clear" w:color="auto" w:fill="auto"/>
            <w:vAlign w:val="bottom"/>
            <w:hideMark/>
          </w:tcPr>
          <w:p w14:paraId="1025AD09"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4467</w:t>
            </w:r>
          </w:p>
        </w:tc>
        <w:tc>
          <w:tcPr>
            <w:tcW w:w="3420" w:type="dxa"/>
            <w:shd w:val="clear" w:color="auto" w:fill="auto"/>
            <w:vAlign w:val="bottom"/>
            <w:hideMark/>
          </w:tcPr>
          <w:p w14:paraId="106BFA21"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Odvodnik 1 - Šempasko polje</w:t>
            </w:r>
          </w:p>
        </w:tc>
        <w:tc>
          <w:tcPr>
            <w:tcW w:w="3740" w:type="dxa"/>
            <w:shd w:val="clear" w:color="auto" w:fill="auto"/>
            <w:vAlign w:val="bottom"/>
            <w:hideMark/>
          </w:tcPr>
          <w:p w14:paraId="19677EE2"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327B751A"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0B676657" w14:textId="77777777" w:rsidTr="003E6900">
        <w:trPr>
          <w:trHeight w:val="600"/>
        </w:trPr>
        <w:tc>
          <w:tcPr>
            <w:tcW w:w="960" w:type="dxa"/>
            <w:shd w:val="clear" w:color="auto" w:fill="auto"/>
            <w:vAlign w:val="bottom"/>
            <w:hideMark/>
          </w:tcPr>
          <w:p w14:paraId="7C1F8CFF"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4468</w:t>
            </w:r>
          </w:p>
        </w:tc>
        <w:tc>
          <w:tcPr>
            <w:tcW w:w="3420" w:type="dxa"/>
            <w:shd w:val="clear" w:color="auto" w:fill="auto"/>
            <w:vAlign w:val="bottom"/>
            <w:hideMark/>
          </w:tcPr>
          <w:p w14:paraId="61710161"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O.J. Dolenjskega potoka - polje </w:t>
            </w:r>
            <w:proofErr w:type="spellStart"/>
            <w:r w:rsidRPr="003E6900">
              <w:rPr>
                <w:rFonts w:eastAsia="Times New Roman" w:cs="Calibri"/>
                <w:color w:val="000000"/>
                <w:lang w:eastAsia="sl-SI"/>
              </w:rPr>
              <w:t>Črnie</w:t>
            </w:r>
            <w:proofErr w:type="spellEnd"/>
            <w:r w:rsidRPr="003E6900">
              <w:rPr>
                <w:rFonts w:eastAsia="Times New Roman" w:cs="Calibri"/>
                <w:color w:val="000000"/>
                <w:lang w:eastAsia="sl-SI"/>
              </w:rPr>
              <w:t xml:space="preserve"> Dolenje</w:t>
            </w:r>
          </w:p>
        </w:tc>
        <w:tc>
          <w:tcPr>
            <w:tcW w:w="3740" w:type="dxa"/>
            <w:shd w:val="clear" w:color="auto" w:fill="auto"/>
            <w:vAlign w:val="bottom"/>
            <w:hideMark/>
          </w:tcPr>
          <w:p w14:paraId="474ED20F"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35DD71E6"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1D5E3898" w14:textId="77777777" w:rsidTr="003E6900">
        <w:trPr>
          <w:trHeight w:val="600"/>
        </w:trPr>
        <w:tc>
          <w:tcPr>
            <w:tcW w:w="960" w:type="dxa"/>
            <w:shd w:val="clear" w:color="auto" w:fill="auto"/>
            <w:vAlign w:val="bottom"/>
            <w:hideMark/>
          </w:tcPr>
          <w:p w14:paraId="18CDCCA8"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4469</w:t>
            </w:r>
          </w:p>
        </w:tc>
        <w:tc>
          <w:tcPr>
            <w:tcW w:w="3420" w:type="dxa"/>
            <w:shd w:val="clear" w:color="auto" w:fill="auto"/>
            <w:vAlign w:val="bottom"/>
            <w:hideMark/>
          </w:tcPr>
          <w:p w14:paraId="2A311396"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Dolenjski potok - polje  Dolenje</w:t>
            </w:r>
          </w:p>
        </w:tc>
        <w:tc>
          <w:tcPr>
            <w:tcW w:w="3740" w:type="dxa"/>
            <w:shd w:val="clear" w:color="auto" w:fill="auto"/>
            <w:vAlign w:val="bottom"/>
            <w:hideMark/>
          </w:tcPr>
          <w:p w14:paraId="37C93111"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3C6C2F4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22DDBBEA" w14:textId="77777777" w:rsidTr="003E6900">
        <w:trPr>
          <w:trHeight w:val="600"/>
        </w:trPr>
        <w:tc>
          <w:tcPr>
            <w:tcW w:w="960" w:type="dxa"/>
            <w:shd w:val="clear" w:color="auto" w:fill="auto"/>
            <w:vAlign w:val="bottom"/>
            <w:hideMark/>
          </w:tcPr>
          <w:p w14:paraId="42ADE07B"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4470</w:t>
            </w:r>
          </w:p>
        </w:tc>
        <w:tc>
          <w:tcPr>
            <w:tcW w:w="3420" w:type="dxa"/>
            <w:shd w:val="clear" w:color="auto" w:fill="auto"/>
            <w:vAlign w:val="bottom"/>
            <w:hideMark/>
          </w:tcPr>
          <w:p w14:paraId="2389B08B"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O.J. 1 - polje  Dolenje</w:t>
            </w:r>
          </w:p>
        </w:tc>
        <w:tc>
          <w:tcPr>
            <w:tcW w:w="3740" w:type="dxa"/>
            <w:shd w:val="clear" w:color="auto" w:fill="auto"/>
            <w:vAlign w:val="bottom"/>
            <w:hideMark/>
          </w:tcPr>
          <w:p w14:paraId="74468083"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4FBD0E63"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6D38DD10" w14:textId="77777777" w:rsidTr="003E6900">
        <w:trPr>
          <w:trHeight w:val="600"/>
        </w:trPr>
        <w:tc>
          <w:tcPr>
            <w:tcW w:w="960" w:type="dxa"/>
            <w:shd w:val="clear" w:color="auto" w:fill="auto"/>
            <w:vAlign w:val="bottom"/>
            <w:hideMark/>
          </w:tcPr>
          <w:p w14:paraId="2F7ED29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4471</w:t>
            </w:r>
          </w:p>
        </w:tc>
        <w:tc>
          <w:tcPr>
            <w:tcW w:w="3420" w:type="dxa"/>
            <w:shd w:val="clear" w:color="auto" w:fill="auto"/>
            <w:vAlign w:val="bottom"/>
            <w:hideMark/>
          </w:tcPr>
          <w:p w14:paraId="2F61580D"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O.J. 2 - polje Dolenje</w:t>
            </w:r>
          </w:p>
        </w:tc>
        <w:tc>
          <w:tcPr>
            <w:tcW w:w="3740" w:type="dxa"/>
            <w:shd w:val="clear" w:color="auto" w:fill="auto"/>
            <w:vAlign w:val="bottom"/>
            <w:hideMark/>
          </w:tcPr>
          <w:p w14:paraId="447BADDC"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57C9A12B"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2D7E61B9" w14:textId="77777777" w:rsidTr="003E6900">
        <w:trPr>
          <w:trHeight w:val="600"/>
        </w:trPr>
        <w:tc>
          <w:tcPr>
            <w:tcW w:w="960" w:type="dxa"/>
            <w:shd w:val="clear" w:color="auto" w:fill="auto"/>
            <w:vAlign w:val="bottom"/>
            <w:hideMark/>
          </w:tcPr>
          <w:p w14:paraId="3985A4FA"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4485</w:t>
            </w:r>
          </w:p>
        </w:tc>
        <w:tc>
          <w:tcPr>
            <w:tcW w:w="3420" w:type="dxa"/>
            <w:shd w:val="clear" w:color="auto" w:fill="auto"/>
            <w:vAlign w:val="bottom"/>
            <w:hideMark/>
          </w:tcPr>
          <w:p w14:paraId="5716CF87"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Obrobni jarek od Vipave - polje Okroglica I</w:t>
            </w:r>
          </w:p>
        </w:tc>
        <w:tc>
          <w:tcPr>
            <w:tcW w:w="3740" w:type="dxa"/>
            <w:shd w:val="clear" w:color="auto" w:fill="auto"/>
            <w:vAlign w:val="bottom"/>
            <w:hideMark/>
          </w:tcPr>
          <w:p w14:paraId="21245D8A"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0B25356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23CB07B9" w14:textId="77777777" w:rsidTr="003E6900">
        <w:trPr>
          <w:trHeight w:val="600"/>
        </w:trPr>
        <w:tc>
          <w:tcPr>
            <w:tcW w:w="960" w:type="dxa"/>
            <w:shd w:val="clear" w:color="auto" w:fill="auto"/>
            <w:vAlign w:val="bottom"/>
            <w:hideMark/>
          </w:tcPr>
          <w:p w14:paraId="6477BD9D"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4486</w:t>
            </w:r>
          </w:p>
        </w:tc>
        <w:tc>
          <w:tcPr>
            <w:tcW w:w="3420" w:type="dxa"/>
            <w:shd w:val="clear" w:color="auto" w:fill="auto"/>
            <w:vAlign w:val="bottom"/>
            <w:hideMark/>
          </w:tcPr>
          <w:p w14:paraId="60B20DD8"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Odvodnik 2 P2 - polje Prvačina I</w:t>
            </w:r>
          </w:p>
        </w:tc>
        <w:tc>
          <w:tcPr>
            <w:tcW w:w="3740" w:type="dxa"/>
            <w:shd w:val="clear" w:color="auto" w:fill="auto"/>
            <w:vAlign w:val="bottom"/>
            <w:hideMark/>
          </w:tcPr>
          <w:p w14:paraId="29CA0132"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459C99F4"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10738D96" w14:textId="77777777" w:rsidTr="003E6900">
        <w:trPr>
          <w:trHeight w:val="600"/>
        </w:trPr>
        <w:tc>
          <w:tcPr>
            <w:tcW w:w="960" w:type="dxa"/>
            <w:shd w:val="clear" w:color="auto" w:fill="auto"/>
            <w:vAlign w:val="bottom"/>
            <w:hideMark/>
          </w:tcPr>
          <w:p w14:paraId="3EF41521"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4487</w:t>
            </w:r>
          </w:p>
        </w:tc>
        <w:tc>
          <w:tcPr>
            <w:tcW w:w="3420" w:type="dxa"/>
            <w:shd w:val="clear" w:color="auto" w:fill="auto"/>
            <w:vAlign w:val="bottom"/>
            <w:hideMark/>
          </w:tcPr>
          <w:p w14:paraId="34DB736C"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Odvodnik 2 P1 - polje Prvačina I</w:t>
            </w:r>
          </w:p>
        </w:tc>
        <w:tc>
          <w:tcPr>
            <w:tcW w:w="3740" w:type="dxa"/>
            <w:shd w:val="clear" w:color="auto" w:fill="auto"/>
            <w:vAlign w:val="bottom"/>
            <w:hideMark/>
          </w:tcPr>
          <w:p w14:paraId="61E7C74E"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13D5E9B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318013F6" w14:textId="77777777" w:rsidTr="003E6900">
        <w:trPr>
          <w:trHeight w:val="600"/>
        </w:trPr>
        <w:tc>
          <w:tcPr>
            <w:tcW w:w="960" w:type="dxa"/>
            <w:shd w:val="clear" w:color="auto" w:fill="auto"/>
            <w:vAlign w:val="bottom"/>
            <w:hideMark/>
          </w:tcPr>
          <w:p w14:paraId="3C0B7C4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4488</w:t>
            </w:r>
          </w:p>
        </w:tc>
        <w:tc>
          <w:tcPr>
            <w:tcW w:w="3420" w:type="dxa"/>
            <w:shd w:val="clear" w:color="auto" w:fill="auto"/>
            <w:vAlign w:val="bottom"/>
            <w:hideMark/>
          </w:tcPr>
          <w:p w14:paraId="1FAA650A"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Prva - polje </w:t>
            </w:r>
            <w:proofErr w:type="spellStart"/>
            <w:r w:rsidRPr="003E6900">
              <w:rPr>
                <w:rFonts w:eastAsia="Times New Roman" w:cs="Calibri"/>
                <w:color w:val="000000"/>
                <w:lang w:eastAsia="sl-SI"/>
              </w:rPr>
              <w:t>Prvaina</w:t>
            </w:r>
            <w:proofErr w:type="spellEnd"/>
            <w:r w:rsidRPr="003E6900">
              <w:rPr>
                <w:rFonts w:eastAsia="Times New Roman" w:cs="Calibri"/>
                <w:color w:val="000000"/>
                <w:lang w:eastAsia="sl-SI"/>
              </w:rPr>
              <w:t xml:space="preserve"> I</w:t>
            </w:r>
          </w:p>
        </w:tc>
        <w:tc>
          <w:tcPr>
            <w:tcW w:w="3740" w:type="dxa"/>
            <w:shd w:val="clear" w:color="auto" w:fill="auto"/>
            <w:vAlign w:val="bottom"/>
            <w:hideMark/>
          </w:tcPr>
          <w:p w14:paraId="66F2F68A"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11E8F808"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6B51B2C9" w14:textId="77777777" w:rsidTr="003E6900">
        <w:trPr>
          <w:trHeight w:val="600"/>
        </w:trPr>
        <w:tc>
          <w:tcPr>
            <w:tcW w:w="960" w:type="dxa"/>
            <w:shd w:val="clear" w:color="auto" w:fill="auto"/>
            <w:vAlign w:val="bottom"/>
            <w:hideMark/>
          </w:tcPr>
          <w:p w14:paraId="198AA208"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4489</w:t>
            </w:r>
          </w:p>
        </w:tc>
        <w:tc>
          <w:tcPr>
            <w:tcW w:w="3420" w:type="dxa"/>
            <w:shd w:val="clear" w:color="auto" w:fill="auto"/>
            <w:vAlign w:val="bottom"/>
            <w:hideMark/>
          </w:tcPr>
          <w:p w14:paraId="7676C254"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Glinek - polje </w:t>
            </w:r>
            <w:proofErr w:type="spellStart"/>
            <w:r w:rsidRPr="003E6900">
              <w:rPr>
                <w:rFonts w:eastAsia="Times New Roman" w:cs="Calibri"/>
                <w:color w:val="000000"/>
                <w:lang w:eastAsia="sl-SI"/>
              </w:rPr>
              <w:t>Prvaina</w:t>
            </w:r>
            <w:proofErr w:type="spellEnd"/>
            <w:r w:rsidRPr="003E6900">
              <w:rPr>
                <w:rFonts w:eastAsia="Times New Roman" w:cs="Calibri"/>
                <w:color w:val="000000"/>
                <w:lang w:eastAsia="sl-SI"/>
              </w:rPr>
              <w:t xml:space="preserve"> I</w:t>
            </w:r>
          </w:p>
        </w:tc>
        <w:tc>
          <w:tcPr>
            <w:tcW w:w="3740" w:type="dxa"/>
            <w:shd w:val="clear" w:color="auto" w:fill="auto"/>
            <w:vAlign w:val="bottom"/>
            <w:hideMark/>
          </w:tcPr>
          <w:p w14:paraId="4509FDE9"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2B5EB4FA"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5DDA1900" w14:textId="77777777" w:rsidTr="003E6900">
        <w:trPr>
          <w:trHeight w:val="600"/>
        </w:trPr>
        <w:tc>
          <w:tcPr>
            <w:tcW w:w="960" w:type="dxa"/>
            <w:shd w:val="clear" w:color="auto" w:fill="auto"/>
            <w:vAlign w:val="bottom"/>
            <w:hideMark/>
          </w:tcPr>
          <w:p w14:paraId="3844AC4D"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4490</w:t>
            </w:r>
          </w:p>
        </w:tc>
        <w:tc>
          <w:tcPr>
            <w:tcW w:w="3420" w:type="dxa"/>
            <w:shd w:val="clear" w:color="auto" w:fill="auto"/>
            <w:vAlign w:val="bottom"/>
            <w:hideMark/>
          </w:tcPr>
          <w:p w14:paraId="3D92D360"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O.J. pod Gradiščem - polje </w:t>
            </w:r>
            <w:proofErr w:type="spellStart"/>
            <w:r w:rsidRPr="003E6900">
              <w:rPr>
                <w:rFonts w:eastAsia="Times New Roman" w:cs="Calibri"/>
                <w:color w:val="000000"/>
                <w:lang w:eastAsia="sl-SI"/>
              </w:rPr>
              <w:t>Prvaina</w:t>
            </w:r>
            <w:proofErr w:type="spellEnd"/>
            <w:r w:rsidRPr="003E6900">
              <w:rPr>
                <w:rFonts w:eastAsia="Times New Roman" w:cs="Calibri"/>
                <w:color w:val="000000"/>
                <w:lang w:eastAsia="sl-SI"/>
              </w:rPr>
              <w:t xml:space="preserve"> I</w:t>
            </w:r>
          </w:p>
        </w:tc>
        <w:tc>
          <w:tcPr>
            <w:tcW w:w="3740" w:type="dxa"/>
            <w:shd w:val="clear" w:color="auto" w:fill="auto"/>
            <w:vAlign w:val="bottom"/>
            <w:hideMark/>
          </w:tcPr>
          <w:p w14:paraId="44C3D5B4"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27EA2D5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475403CC" w14:textId="77777777" w:rsidTr="003E6900">
        <w:trPr>
          <w:trHeight w:val="600"/>
        </w:trPr>
        <w:tc>
          <w:tcPr>
            <w:tcW w:w="960" w:type="dxa"/>
            <w:shd w:val="clear" w:color="auto" w:fill="auto"/>
            <w:vAlign w:val="bottom"/>
            <w:hideMark/>
          </w:tcPr>
          <w:p w14:paraId="12FE1043"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4491</w:t>
            </w:r>
          </w:p>
        </w:tc>
        <w:tc>
          <w:tcPr>
            <w:tcW w:w="3420" w:type="dxa"/>
            <w:shd w:val="clear" w:color="auto" w:fill="auto"/>
            <w:vAlign w:val="bottom"/>
            <w:hideMark/>
          </w:tcPr>
          <w:p w14:paraId="37C28619"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Obrobni jarek v nasadu - </w:t>
            </w:r>
            <w:proofErr w:type="spellStart"/>
            <w:r w:rsidRPr="003E6900">
              <w:rPr>
                <w:rFonts w:eastAsia="Times New Roman" w:cs="Calibri"/>
                <w:color w:val="000000"/>
                <w:lang w:eastAsia="sl-SI"/>
              </w:rPr>
              <w:t>Dornberščko</w:t>
            </w:r>
            <w:proofErr w:type="spellEnd"/>
            <w:r w:rsidRPr="003E6900">
              <w:rPr>
                <w:rFonts w:eastAsia="Times New Roman" w:cs="Calibri"/>
                <w:color w:val="000000"/>
                <w:lang w:eastAsia="sl-SI"/>
              </w:rPr>
              <w:t xml:space="preserve"> polje</w:t>
            </w:r>
          </w:p>
        </w:tc>
        <w:tc>
          <w:tcPr>
            <w:tcW w:w="3740" w:type="dxa"/>
            <w:shd w:val="clear" w:color="auto" w:fill="auto"/>
            <w:vAlign w:val="bottom"/>
            <w:hideMark/>
          </w:tcPr>
          <w:p w14:paraId="3C9F49EB"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45E3983C"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649D4194" w14:textId="77777777" w:rsidTr="003E6900">
        <w:trPr>
          <w:trHeight w:val="600"/>
        </w:trPr>
        <w:tc>
          <w:tcPr>
            <w:tcW w:w="960" w:type="dxa"/>
            <w:shd w:val="clear" w:color="auto" w:fill="auto"/>
            <w:vAlign w:val="bottom"/>
            <w:hideMark/>
          </w:tcPr>
          <w:p w14:paraId="7D228651"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4492</w:t>
            </w:r>
          </w:p>
        </w:tc>
        <w:tc>
          <w:tcPr>
            <w:tcW w:w="3420" w:type="dxa"/>
            <w:shd w:val="clear" w:color="auto" w:fill="auto"/>
            <w:vAlign w:val="bottom"/>
            <w:hideMark/>
          </w:tcPr>
          <w:p w14:paraId="3087D021"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O.J. od Kobalte - </w:t>
            </w:r>
            <w:proofErr w:type="spellStart"/>
            <w:r w:rsidRPr="003E6900">
              <w:rPr>
                <w:rFonts w:eastAsia="Times New Roman" w:cs="Calibri"/>
                <w:color w:val="000000"/>
                <w:lang w:eastAsia="sl-SI"/>
              </w:rPr>
              <w:t>Dornberščko</w:t>
            </w:r>
            <w:proofErr w:type="spellEnd"/>
            <w:r w:rsidRPr="003E6900">
              <w:rPr>
                <w:rFonts w:eastAsia="Times New Roman" w:cs="Calibri"/>
                <w:color w:val="000000"/>
                <w:lang w:eastAsia="sl-SI"/>
              </w:rPr>
              <w:t xml:space="preserve"> polje</w:t>
            </w:r>
          </w:p>
        </w:tc>
        <w:tc>
          <w:tcPr>
            <w:tcW w:w="3740" w:type="dxa"/>
            <w:shd w:val="clear" w:color="auto" w:fill="auto"/>
            <w:vAlign w:val="bottom"/>
            <w:hideMark/>
          </w:tcPr>
          <w:p w14:paraId="654861D2"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24DD9B58"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3E629589" w14:textId="77777777" w:rsidTr="003E6900">
        <w:trPr>
          <w:trHeight w:val="600"/>
        </w:trPr>
        <w:tc>
          <w:tcPr>
            <w:tcW w:w="960" w:type="dxa"/>
            <w:shd w:val="clear" w:color="auto" w:fill="auto"/>
            <w:vAlign w:val="bottom"/>
            <w:hideMark/>
          </w:tcPr>
          <w:p w14:paraId="7FE9B6F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lastRenderedPageBreak/>
              <w:t>4493</w:t>
            </w:r>
          </w:p>
        </w:tc>
        <w:tc>
          <w:tcPr>
            <w:tcW w:w="3420" w:type="dxa"/>
            <w:shd w:val="clear" w:color="auto" w:fill="auto"/>
            <w:vAlign w:val="bottom"/>
            <w:hideMark/>
          </w:tcPr>
          <w:p w14:paraId="441CE04C"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O.J. Kobalte - </w:t>
            </w:r>
            <w:proofErr w:type="spellStart"/>
            <w:r w:rsidRPr="003E6900">
              <w:rPr>
                <w:rFonts w:eastAsia="Times New Roman" w:cs="Calibri"/>
                <w:color w:val="000000"/>
                <w:lang w:eastAsia="sl-SI"/>
              </w:rPr>
              <w:t>Dornberščko</w:t>
            </w:r>
            <w:proofErr w:type="spellEnd"/>
            <w:r w:rsidRPr="003E6900">
              <w:rPr>
                <w:rFonts w:eastAsia="Times New Roman" w:cs="Calibri"/>
                <w:color w:val="000000"/>
                <w:lang w:eastAsia="sl-SI"/>
              </w:rPr>
              <w:t xml:space="preserve"> polje</w:t>
            </w:r>
          </w:p>
        </w:tc>
        <w:tc>
          <w:tcPr>
            <w:tcW w:w="3740" w:type="dxa"/>
            <w:shd w:val="clear" w:color="auto" w:fill="auto"/>
            <w:vAlign w:val="bottom"/>
            <w:hideMark/>
          </w:tcPr>
          <w:p w14:paraId="22D590DD"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76232C2C"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09E3F121" w14:textId="77777777" w:rsidTr="003E6900">
        <w:trPr>
          <w:trHeight w:val="600"/>
        </w:trPr>
        <w:tc>
          <w:tcPr>
            <w:tcW w:w="960" w:type="dxa"/>
            <w:shd w:val="clear" w:color="auto" w:fill="auto"/>
            <w:vAlign w:val="bottom"/>
            <w:hideMark/>
          </w:tcPr>
          <w:p w14:paraId="670F84DB"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4494</w:t>
            </w:r>
          </w:p>
        </w:tc>
        <w:tc>
          <w:tcPr>
            <w:tcW w:w="3420" w:type="dxa"/>
            <w:shd w:val="clear" w:color="auto" w:fill="auto"/>
            <w:vAlign w:val="bottom"/>
            <w:hideMark/>
          </w:tcPr>
          <w:p w14:paraId="5968A876"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Nasipi ob Vipavi - Dornberško polje</w:t>
            </w:r>
          </w:p>
        </w:tc>
        <w:tc>
          <w:tcPr>
            <w:tcW w:w="3740" w:type="dxa"/>
            <w:shd w:val="clear" w:color="auto" w:fill="auto"/>
            <w:vAlign w:val="bottom"/>
            <w:hideMark/>
          </w:tcPr>
          <w:p w14:paraId="1F13AE15"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510A0EBB"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37B970DA" w14:textId="77777777" w:rsidTr="003E6900">
        <w:trPr>
          <w:trHeight w:val="600"/>
        </w:trPr>
        <w:tc>
          <w:tcPr>
            <w:tcW w:w="960" w:type="dxa"/>
            <w:shd w:val="clear" w:color="auto" w:fill="auto"/>
            <w:vAlign w:val="bottom"/>
            <w:hideMark/>
          </w:tcPr>
          <w:p w14:paraId="08A646A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4495</w:t>
            </w:r>
          </w:p>
        </w:tc>
        <w:tc>
          <w:tcPr>
            <w:tcW w:w="3420" w:type="dxa"/>
            <w:shd w:val="clear" w:color="auto" w:fill="auto"/>
            <w:vAlign w:val="bottom"/>
            <w:hideMark/>
          </w:tcPr>
          <w:p w14:paraId="6DF00E1C"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Nasipi ob Vipavi - Dornberško polje</w:t>
            </w:r>
          </w:p>
        </w:tc>
        <w:tc>
          <w:tcPr>
            <w:tcW w:w="3740" w:type="dxa"/>
            <w:shd w:val="clear" w:color="auto" w:fill="auto"/>
            <w:vAlign w:val="bottom"/>
            <w:hideMark/>
          </w:tcPr>
          <w:p w14:paraId="2D5A4BE6"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7C1E769D"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49FC8BA9" w14:textId="77777777" w:rsidTr="003E6900">
        <w:trPr>
          <w:trHeight w:val="600"/>
        </w:trPr>
        <w:tc>
          <w:tcPr>
            <w:tcW w:w="960" w:type="dxa"/>
            <w:shd w:val="clear" w:color="auto" w:fill="auto"/>
            <w:vAlign w:val="bottom"/>
            <w:hideMark/>
          </w:tcPr>
          <w:p w14:paraId="602B32EF"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4517</w:t>
            </w:r>
          </w:p>
        </w:tc>
        <w:tc>
          <w:tcPr>
            <w:tcW w:w="3420" w:type="dxa"/>
            <w:shd w:val="clear" w:color="auto" w:fill="auto"/>
            <w:vAlign w:val="bottom"/>
            <w:hideMark/>
          </w:tcPr>
          <w:p w14:paraId="744DEF8F" w14:textId="77777777" w:rsidR="003E6900" w:rsidRPr="003E6900" w:rsidRDefault="003E6900" w:rsidP="003E6900">
            <w:pPr>
              <w:spacing w:after="0" w:line="240" w:lineRule="auto"/>
              <w:jc w:val="left"/>
              <w:rPr>
                <w:rFonts w:eastAsia="Times New Roman" w:cs="Calibri"/>
                <w:color w:val="000000"/>
                <w:lang w:eastAsia="sl-SI"/>
              </w:rPr>
            </w:pPr>
            <w:proofErr w:type="spellStart"/>
            <w:r w:rsidRPr="003E6900">
              <w:rPr>
                <w:rFonts w:eastAsia="Times New Roman" w:cs="Calibri"/>
                <w:color w:val="000000"/>
                <w:lang w:eastAsia="sl-SI"/>
              </w:rPr>
              <w:t>Vrtojbica</w:t>
            </w:r>
            <w:proofErr w:type="spellEnd"/>
            <w:r w:rsidRPr="003E6900">
              <w:rPr>
                <w:rFonts w:eastAsia="Times New Roman" w:cs="Calibri"/>
                <w:color w:val="000000"/>
                <w:lang w:eastAsia="sl-SI"/>
              </w:rPr>
              <w:t xml:space="preserve"> - Rožna dolina</w:t>
            </w:r>
          </w:p>
        </w:tc>
        <w:tc>
          <w:tcPr>
            <w:tcW w:w="3740" w:type="dxa"/>
            <w:shd w:val="clear" w:color="auto" w:fill="auto"/>
            <w:vAlign w:val="bottom"/>
            <w:hideMark/>
          </w:tcPr>
          <w:p w14:paraId="6CEC4100"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3E86872C"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1F8EA1B6" w14:textId="77777777" w:rsidTr="003E6900">
        <w:trPr>
          <w:trHeight w:val="600"/>
        </w:trPr>
        <w:tc>
          <w:tcPr>
            <w:tcW w:w="960" w:type="dxa"/>
            <w:shd w:val="clear" w:color="auto" w:fill="auto"/>
            <w:vAlign w:val="bottom"/>
            <w:hideMark/>
          </w:tcPr>
          <w:p w14:paraId="7886A2B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4520</w:t>
            </w:r>
          </w:p>
        </w:tc>
        <w:tc>
          <w:tcPr>
            <w:tcW w:w="3420" w:type="dxa"/>
            <w:shd w:val="clear" w:color="auto" w:fill="auto"/>
            <w:vAlign w:val="bottom"/>
            <w:hideMark/>
          </w:tcPr>
          <w:p w14:paraId="601D3BE4"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Branica - </w:t>
            </w:r>
            <w:proofErr w:type="spellStart"/>
            <w:r w:rsidRPr="003E6900">
              <w:rPr>
                <w:rFonts w:eastAsia="Times New Roman" w:cs="Calibri"/>
                <w:color w:val="000000"/>
                <w:lang w:eastAsia="sl-SI"/>
              </w:rPr>
              <w:t>Cvetrož</w:t>
            </w:r>
            <w:proofErr w:type="spellEnd"/>
          </w:p>
        </w:tc>
        <w:tc>
          <w:tcPr>
            <w:tcW w:w="3740" w:type="dxa"/>
            <w:shd w:val="clear" w:color="auto" w:fill="auto"/>
            <w:vAlign w:val="bottom"/>
            <w:hideMark/>
          </w:tcPr>
          <w:p w14:paraId="5C8F8BF1"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09F88EE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6EBD4A84" w14:textId="77777777" w:rsidTr="003E6900">
        <w:trPr>
          <w:trHeight w:val="600"/>
        </w:trPr>
        <w:tc>
          <w:tcPr>
            <w:tcW w:w="960" w:type="dxa"/>
            <w:shd w:val="clear" w:color="auto" w:fill="auto"/>
            <w:vAlign w:val="bottom"/>
            <w:hideMark/>
          </w:tcPr>
          <w:p w14:paraId="3DDE97A3"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4521</w:t>
            </w:r>
          </w:p>
        </w:tc>
        <w:tc>
          <w:tcPr>
            <w:tcW w:w="3420" w:type="dxa"/>
            <w:shd w:val="clear" w:color="auto" w:fill="auto"/>
            <w:vAlign w:val="bottom"/>
            <w:hideMark/>
          </w:tcPr>
          <w:p w14:paraId="1F6C1DDC"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Branica - pod Bizjaki</w:t>
            </w:r>
          </w:p>
        </w:tc>
        <w:tc>
          <w:tcPr>
            <w:tcW w:w="3740" w:type="dxa"/>
            <w:shd w:val="clear" w:color="auto" w:fill="auto"/>
            <w:vAlign w:val="bottom"/>
            <w:hideMark/>
          </w:tcPr>
          <w:p w14:paraId="11C24C01"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65EA75FD"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13E674A6" w14:textId="77777777" w:rsidTr="003E6900">
        <w:trPr>
          <w:trHeight w:val="600"/>
        </w:trPr>
        <w:tc>
          <w:tcPr>
            <w:tcW w:w="960" w:type="dxa"/>
            <w:shd w:val="clear" w:color="auto" w:fill="auto"/>
            <w:vAlign w:val="bottom"/>
            <w:hideMark/>
          </w:tcPr>
          <w:p w14:paraId="6EE0A176"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4522</w:t>
            </w:r>
          </w:p>
        </w:tc>
        <w:tc>
          <w:tcPr>
            <w:tcW w:w="3420" w:type="dxa"/>
            <w:shd w:val="clear" w:color="auto" w:fill="auto"/>
            <w:vAlign w:val="bottom"/>
            <w:hideMark/>
          </w:tcPr>
          <w:p w14:paraId="3A9F2148"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Branica - nad mostom za Štanjel</w:t>
            </w:r>
          </w:p>
        </w:tc>
        <w:tc>
          <w:tcPr>
            <w:tcW w:w="3740" w:type="dxa"/>
            <w:shd w:val="clear" w:color="auto" w:fill="auto"/>
            <w:vAlign w:val="bottom"/>
            <w:hideMark/>
          </w:tcPr>
          <w:p w14:paraId="05CC92EA"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142CC0A0"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306515C9" w14:textId="77777777" w:rsidTr="003E6900">
        <w:trPr>
          <w:trHeight w:val="600"/>
        </w:trPr>
        <w:tc>
          <w:tcPr>
            <w:tcW w:w="960" w:type="dxa"/>
            <w:shd w:val="clear" w:color="auto" w:fill="auto"/>
            <w:vAlign w:val="bottom"/>
            <w:hideMark/>
          </w:tcPr>
          <w:p w14:paraId="0B15B277"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4523</w:t>
            </w:r>
          </w:p>
        </w:tc>
        <w:tc>
          <w:tcPr>
            <w:tcW w:w="3420" w:type="dxa"/>
            <w:shd w:val="clear" w:color="auto" w:fill="auto"/>
            <w:vAlign w:val="bottom"/>
            <w:hideMark/>
          </w:tcPr>
          <w:p w14:paraId="5A6C2E82"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Levi pritok Branice nad mostom za š </w:t>
            </w:r>
            <w:proofErr w:type="spellStart"/>
            <w:r w:rsidRPr="003E6900">
              <w:rPr>
                <w:rFonts w:eastAsia="Times New Roman" w:cs="Calibri"/>
                <w:color w:val="000000"/>
                <w:lang w:eastAsia="sl-SI"/>
              </w:rPr>
              <w:t>tanjel</w:t>
            </w:r>
            <w:proofErr w:type="spellEnd"/>
          </w:p>
        </w:tc>
        <w:tc>
          <w:tcPr>
            <w:tcW w:w="3740" w:type="dxa"/>
            <w:shd w:val="clear" w:color="auto" w:fill="auto"/>
            <w:vAlign w:val="bottom"/>
            <w:hideMark/>
          </w:tcPr>
          <w:p w14:paraId="034122AC"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74DBD41B"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47FD393A" w14:textId="77777777" w:rsidTr="003E6900">
        <w:trPr>
          <w:trHeight w:val="600"/>
        </w:trPr>
        <w:tc>
          <w:tcPr>
            <w:tcW w:w="960" w:type="dxa"/>
            <w:shd w:val="clear" w:color="auto" w:fill="auto"/>
            <w:vAlign w:val="bottom"/>
            <w:hideMark/>
          </w:tcPr>
          <w:p w14:paraId="310181E2"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4524</w:t>
            </w:r>
          </w:p>
        </w:tc>
        <w:tc>
          <w:tcPr>
            <w:tcW w:w="3420" w:type="dxa"/>
            <w:shd w:val="clear" w:color="auto" w:fill="auto"/>
            <w:vAlign w:val="bottom"/>
            <w:hideMark/>
          </w:tcPr>
          <w:p w14:paraId="21E087FB"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 xml:space="preserve">Nasip ob Vipavi - polje </w:t>
            </w:r>
            <w:proofErr w:type="spellStart"/>
            <w:r w:rsidRPr="003E6900">
              <w:rPr>
                <w:rFonts w:eastAsia="Times New Roman" w:cs="Calibri"/>
                <w:color w:val="000000"/>
                <w:lang w:eastAsia="sl-SI"/>
              </w:rPr>
              <w:t>Prvaina</w:t>
            </w:r>
            <w:proofErr w:type="spellEnd"/>
            <w:r w:rsidRPr="003E6900">
              <w:rPr>
                <w:rFonts w:eastAsia="Times New Roman" w:cs="Calibri"/>
                <w:color w:val="000000"/>
                <w:lang w:eastAsia="sl-SI"/>
              </w:rPr>
              <w:t xml:space="preserve"> I</w:t>
            </w:r>
          </w:p>
        </w:tc>
        <w:tc>
          <w:tcPr>
            <w:tcW w:w="3740" w:type="dxa"/>
            <w:shd w:val="clear" w:color="auto" w:fill="auto"/>
            <w:vAlign w:val="bottom"/>
            <w:hideMark/>
          </w:tcPr>
          <w:p w14:paraId="3DCD6999"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0C58DC04"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39F57CF8" w14:textId="77777777" w:rsidTr="003E6900">
        <w:trPr>
          <w:trHeight w:val="1200"/>
        </w:trPr>
        <w:tc>
          <w:tcPr>
            <w:tcW w:w="960" w:type="dxa"/>
            <w:shd w:val="clear" w:color="auto" w:fill="auto"/>
            <w:vAlign w:val="bottom"/>
            <w:hideMark/>
          </w:tcPr>
          <w:p w14:paraId="5889539D"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4610</w:t>
            </w:r>
          </w:p>
        </w:tc>
        <w:tc>
          <w:tcPr>
            <w:tcW w:w="3420" w:type="dxa"/>
            <w:shd w:val="clear" w:color="auto" w:fill="auto"/>
            <w:vAlign w:val="bottom"/>
            <w:hideMark/>
          </w:tcPr>
          <w:p w14:paraId="27599D4E"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AC VRTOJBA - SELO Regulacija R 7-17 v km 36.528</w:t>
            </w:r>
          </w:p>
        </w:tc>
        <w:tc>
          <w:tcPr>
            <w:tcW w:w="3740" w:type="dxa"/>
            <w:shd w:val="clear" w:color="auto" w:fill="auto"/>
            <w:vAlign w:val="bottom"/>
            <w:hideMark/>
          </w:tcPr>
          <w:p w14:paraId="33F48910"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473AE87A"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4CA6F27A" w14:textId="77777777" w:rsidTr="003E6900">
        <w:trPr>
          <w:trHeight w:val="1200"/>
        </w:trPr>
        <w:tc>
          <w:tcPr>
            <w:tcW w:w="960" w:type="dxa"/>
            <w:shd w:val="clear" w:color="auto" w:fill="auto"/>
            <w:vAlign w:val="bottom"/>
            <w:hideMark/>
          </w:tcPr>
          <w:p w14:paraId="19C7F81C"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4611</w:t>
            </w:r>
          </w:p>
        </w:tc>
        <w:tc>
          <w:tcPr>
            <w:tcW w:w="3420" w:type="dxa"/>
            <w:shd w:val="clear" w:color="auto" w:fill="auto"/>
            <w:vAlign w:val="bottom"/>
            <w:hideMark/>
          </w:tcPr>
          <w:p w14:paraId="2785FEA0"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AC VRTOJBA - SELO Regulacija R 7-20 v km 35.550</w:t>
            </w:r>
          </w:p>
        </w:tc>
        <w:tc>
          <w:tcPr>
            <w:tcW w:w="3740" w:type="dxa"/>
            <w:shd w:val="clear" w:color="auto" w:fill="auto"/>
            <w:vAlign w:val="bottom"/>
            <w:hideMark/>
          </w:tcPr>
          <w:p w14:paraId="5A85F94B"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60B9A2C9"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r w:rsidR="003E6900" w:rsidRPr="003E6900" w14:paraId="5CC10531" w14:textId="77777777" w:rsidTr="003E6900">
        <w:trPr>
          <w:trHeight w:val="1200"/>
        </w:trPr>
        <w:tc>
          <w:tcPr>
            <w:tcW w:w="960" w:type="dxa"/>
            <w:shd w:val="clear" w:color="auto" w:fill="auto"/>
            <w:vAlign w:val="bottom"/>
            <w:hideMark/>
          </w:tcPr>
          <w:p w14:paraId="3BB11D05"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4612</w:t>
            </w:r>
          </w:p>
        </w:tc>
        <w:tc>
          <w:tcPr>
            <w:tcW w:w="3420" w:type="dxa"/>
            <w:shd w:val="clear" w:color="auto" w:fill="auto"/>
            <w:vAlign w:val="bottom"/>
            <w:hideMark/>
          </w:tcPr>
          <w:p w14:paraId="14B31579"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AC VRTOJBA - SELO Regulacija R 7-20a v km 35.450</w:t>
            </w:r>
          </w:p>
        </w:tc>
        <w:tc>
          <w:tcPr>
            <w:tcW w:w="3740" w:type="dxa"/>
            <w:shd w:val="clear" w:color="auto" w:fill="auto"/>
            <w:vAlign w:val="bottom"/>
            <w:hideMark/>
          </w:tcPr>
          <w:p w14:paraId="354B6F77" w14:textId="77777777" w:rsidR="003E6900" w:rsidRPr="003E6900" w:rsidRDefault="003E6900" w:rsidP="003E6900">
            <w:pPr>
              <w:spacing w:after="0" w:line="240" w:lineRule="auto"/>
              <w:jc w:val="left"/>
              <w:rPr>
                <w:rFonts w:eastAsia="Times New Roman" w:cs="Calibri"/>
                <w:color w:val="000000"/>
                <w:lang w:eastAsia="sl-SI"/>
              </w:rPr>
            </w:pPr>
            <w:r w:rsidRPr="003E6900">
              <w:rPr>
                <w:rFonts w:eastAsia="Times New Roman" w:cs="Calibri"/>
                <w:color w:val="000000"/>
                <w:lang w:eastAsia="sl-SI"/>
              </w:rPr>
              <w:t>Odstranitev prekomerne zarasti, izboljšanje pretočnosti</w:t>
            </w:r>
          </w:p>
        </w:tc>
        <w:tc>
          <w:tcPr>
            <w:tcW w:w="860" w:type="dxa"/>
            <w:shd w:val="clear" w:color="auto" w:fill="auto"/>
            <w:vAlign w:val="bottom"/>
            <w:hideMark/>
          </w:tcPr>
          <w:p w14:paraId="29FFFE06" w14:textId="77777777" w:rsidR="003E6900" w:rsidRPr="003E6900" w:rsidRDefault="003E6900" w:rsidP="003E6900">
            <w:pPr>
              <w:spacing w:after="0" w:line="240" w:lineRule="auto"/>
              <w:jc w:val="right"/>
              <w:rPr>
                <w:rFonts w:eastAsia="Times New Roman" w:cs="Calibri"/>
                <w:color w:val="000000"/>
                <w:lang w:eastAsia="sl-SI"/>
              </w:rPr>
            </w:pPr>
            <w:r w:rsidRPr="003E6900">
              <w:rPr>
                <w:rFonts w:eastAsia="Times New Roman" w:cs="Calibri"/>
                <w:color w:val="000000"/>
                <w:lang w:eastAsia="sl-SI"/>
              </w:rPr>
              <w:t>1</w:t>
            </w:r>
          </w:p>
        </w:tc>
      </w:tr>
    </w:tbl>
    <w:p w14:paraId="41AAC28A" w14:textId="77777777" w:rsidR="003E6900" w:rsidRDefault="003E6900" w:rsidP="003E6900"/>
    <w:p w14:paraId="007DCF9F" w14:textId="56C794F8" w:rsidR="003E6900" w:rsidRDefault="003E6900" w:rsidP="003E6900">
      <w:r>
        <w:t xml:space="preserve">Izvajalec javne službe Hidrotehnik </w:t>
      </w:r>
      <w:proofErr w:type="spellStart"/>
      <w:r>
        <w:t>d.d</w:t>
      </w:r>
      <w:proofErr w:type="spellEnd"/>
      <w:r>
        <w:t>. zelo natančno podaja lokacije in opise vzdrževalnih del po programu, kar je pozitivno, saj to omogoča tudi dober pregled nad njimi.</w:t>
      </w:r>
    </w:p>
    <w:p w14:paraId="7592BA76" w14:textId="77777777" w:rsidR="003E6900" w:rsidRDefault="003E6900" w:rsidP="003E6900">
      <w:r>
        <w:t xml:space="preserve">Poleg vzdrževalnih del so ključnega pomena tudi sanacijski ukrepi, ki so vezani na investicijsko vzdrževanje ali večje sanacije objektov. Med potrebne sanacijske ukrepe na območju Mestne občine Nova Gorica izpostavljamo potrebo po opredelitvi ciljnega stanja regulacije reke Vipave. Reka Vipava je bila v okviru zelenega plana v sedemdesetih letih prejšnjega stoletja regulirana na ciljno prevodnost Qn20, ki je zaradi neupoštevanja pogojev gradbenega dovoljenja na podlagi katerega je bila regulirana ne dosega več. </w:t>
      </w:r>
    </w:p>
    <w:p w14:paraId="19082773" w14:textId="77777777" w:rsidR="003E6900" w:rsidRDefault="003E6900" w:rsidP="003E6900">
      <w:pPr>
        <w:rPr>
          <w:lang w:eastAsia="sl-SI"/>
        </w:rPr>
      </w:pPr>
      <w:r>
        <w:rPr>
          <w:lang w:eastAsia="sl-SI"/>
        </w:rPr>
        <w:t xml:space="preserve">Za obstoječe stanje vodne infrastrukture nimamo sistemskega kazalnika, ki bi podajal informacijo o stanju le-te. Zaradi tega je težko govoriti tudi o identifikaciji trendov na tem področju, kar bi </w:t>
      </w:r>
      <w:r>
        <w:rPr>
          <w:lang w:eastAsia="sl-SI"/>
        </w:rPr>
        <w:lastRenderedPageBreak/>
        <w:t>bilo potrebno, saj je ravno na podlagi trendov obeh kazalnikov mogoče sistemsko prepoznavati težave, ki bi jih lahko upravljalec vodne infrastrukture imel v primeru delovanja v oteženih klimatskih pogojev, ki bi nastali zaradi pričakovanih podnebnih sprememb.</w:t>
      </w:r>
    </w:p>
    <w:p w14:paraId="68DE190D" w14:textId="48C93D82" w:rsidR="003E6900" w:rsidRDefault="004D2955" w:rsidP="003E6900">
      <w:pPr>
        <w:rPr>
          <w:lang w:eastAsia="sl-SI"/>
        </w:rPr>
      </w:pPr>
      <w:r>
        <w:rPr>
          <w:lang w:eastAsia="sl-SI"/>
        </w:rPr>
        <w:t>Preglednico</w:t>
      </w:r>
      <w:r w:rsidR="003E6900">
        <w:rPr>
          <w:lang w:eastAsia="sl-SI"/>
        </w:rPr>
        <w:t xml:space="preserve"> vzdrževalnih del podajamo, saj je pri integriranem, celovitem upravljanju z vodami potrebno sodelovanje različnih deležnikov, kar pomeni, da je partner pri pripravi programa vzdrževalnih del in spremljanju realizacije tudi Mestna občina Nova Gorica.</w:t>
      </w:r>
    </w:p>
    <w:p w14:paraId="44135BCA" w14:textId="77777777" w:rsidR="00E73BA7" w:rsidRDefault="00E73BA7" w:rsidP="00CE43D7">
      <w:pPr>
        <w:pStyle w:val="Naslov4"/>
      </w:pPr>
      <w:r>
        <w:t>Kazalniki potencialnih vplivov podnebnih sprememb na stanje poplavne ogroženosti</w:t>
      </w:r>
    </w:p>
    <w:p w14:paraId="7E44BB28" w14:textId="77777777" w:rsidR="003E6900" w:rsidRDefault="003E6900" w:rsidP="003E6900">
      <w:pPr>
        <w:rPr>
          <w:lang w:eastAsia="sl-SI"/>
        </w:rPr>
      </w:pPr>
      <w:r>
        <w:rPr>
          <w:lang w:eastAsia="sl-SI"/>
        </w:rPr>
        <w:t>Ključni kazalnik, povezan z vplivom podnebnih sprememb je stanje poplavne ogroženosti (trenutno) in stanje poplavne ogroženosti ob upoštevanju različnih scenarijev razvoja podnebnih sprememb, med katere spada predvsem spremenjena intenziteta padavinskih dogodkov ob specifični povratni dobi. Poleg intenzitete padavinskih dogodkov ob določeni povratni dobi je ključnega pomena še trajanje padavin, ki se glede na tip poplavnih dogodkov (fluvialne poplave, pluvialne poplave) povezuje s časom koncentracije (</w:t>
      </w:r>
      <w:proofErr w:type="spellStart"/>
      <w:r>
        <w:rPr>
          <w:lang w:eastAsia="sl-SI"/>
        </w:rPr>
        <w:t>t</w:t>
      </w:r>
      <w:r w:rsidRPr="006E0234">
        <w:rPr>
          <w:vertAlign w:val="subscript"/>
          <w:lang w:eastAsia="sl-SI"/>
        </w:rPr>
        <w:t>c</w:t>
      </w:r>
      <w:proofErr w:type="spellEnd"/>
      <w:r>
        <w:rPr>
          <w:lang w:eastAsia="sl-SI"/>
        </w:rPr>
        <w:t>).</w:t>
      </w:r>
    </w:p>
    <w:p w14:paraId="6684EF4F" w14:textId="77777777" w:rsidR="00E73BA7" w:rsidRPr="00345C2E" w:rsidRDefault="00E73BA7" w:rsidP="00CE43D7">
      <w:pPr>
        <w:pStyle w:val="Naslov4"/>
      </w:pPr>
      <w:r w:rsidRPr="00345C2E">
        <w:t>Kazalniki sposobnosti prilagajanja podnebnim spremembam</w:t>
      </w:r>
    </w:p>
    <w:p w14:paraId="775E9ACD" w14:textId="77777777" w:rsidR="003E6900" w:rsidRDefault="003E6900" w:rsidP="003E6900">
      <w:pPr>
        <w:rPr>
          <w:lang w:eastAsia="sl-SI"/>
        </w:rPr>
      </w:pPr>
      <w:r w:rsidRPr="00345C2E">
        <w:rPr>
          <w:lang w:eastAsia="sl-SI"/>
        </w:rPr>
        <w:t xml:space="preserve">Sposobnost prilagajanja </w:t>
      </w:r>
      <w:r>
        <w:rPr>
          <w:lang w:eastAsia="sl-SI"/>
        </w:rPr>
        <w:t xml:space="preserve">sistema upravljanja s poplavno ogroženostjo – področje poplav </w:t>
      </w:r>
      <w:r w:rsidRPr="00345C2E">
        <w:rPr>
          <w:lang w:eastAsia="sl-SI"/>
        </w:rPr>
        <w:t>na podnebne spremembe je povezana z uspešnostjo in učinkovitostjo delovanja</w:t>
      </w:r>
      <w:r>
        <w:rPr>
          <w:lang w:eastAsia="sl-SI"/>
        </w:rPr>
        <w:t xml:space="preserve"> Mestne</w:t>
      </w:r>
      <w:r w:rsidRPr="00345C2E">
        <w:rPr>
          <w:lang w:eastAsia="sl-SI"/>
        </w:rPr>
        <w:t xml:space="preserve"> občine </w:t>
      </w:r>
      <w:r>
        <w:rPr>
          <w:lang w:eastAsia="sl-SI"/>
        </w:rPr>
        <w:t xml:space="preserve">Nova Gorica na področju pristojnosti, ki vplivajo na poplavno ogroženost – pri tem lahko občina vpliva predvsem na: </w:t>
      </w:r>
    </w:p>
    <w:p w14:paraId="0365988C" w14:textId="77777777" w:rsidR="003E6900" w:rsidRDefault="003E6900" w:rsidP="003E6900">
      <w:pPr>
        <w:pStyle w:val="Odstavekseznama"/>
        <w:numPr>
          <w:ilvl w:val="0"/>
          <w:numId w:val="28"/>
        </w:numPr>
        <w:rPr>
          <w:rFonts w:ascii="Trebuchet MS" w:hAnsi="Trebuchet MS"/>
          <w:lang w:eastAsia="sl-SI"/>
        </w:rPr>
      </w:pPr>
      <w:r>
        <w:rPr>
          <w:rFonts w:ascii="Trebuchet MS" w:hAnsi="Trebuchet MS"/>
          <w:lang w:eastAsia="sl-SI"/>
        </w:rPr>
        <w:t xml:space="preserve">ogroženost zaradi pluvialnih poplav, ki so v občinski pristojnosti, </w:t>
      </w:r>
    </w:p>
    <w:p w14:paraId="6B99DFE4" w14:textId="77777777" w:rsidR="003E6900" w:rsidRPr="00345C2E" w:rsidRDefault="003E6900" w:rsidP="003E6900">
      <w:pPr>
        <w:pStyle w:val="Odstavekseznama"/>
        <w:numPr>
          <w:ilvl w:val="0"/>
          <w:numId w:val="28"/>
        </w:numPr>
        <w:spacing w:after="120"/>
        <w:ind w:left="714" w:hanging="357"/>
        <w:rPr>
          <w:rFonts w:ascii="Trebuchet MS" w:hAnsi="Trebuchet MS"/>
          <w:lang w:eastAsia="sl-SI"/>
        </w:rPr>
      </w:pPr>
      <w:r>
        <w:rPr>
          <w:rFonts w:ascii="Trebuchet MS" w:hAnsi="Trebuchet MS"/>
          <w:lang w:eastAsia="sl-SI"/>
        </w:rPr>
        <w:t xml:space="preserve">ustreznemu umeščanju novih rab prostora glede na razrede poplavne nevarnosti, ob upoštevanju pričakovanih podnebnih sprememb. </w:t>
      </w:r>
    </w:p>
    <w:p w14:paraId="092F0E0A" w14:textId="77777777" w:rsidR="003E6900" w:rsidRDefault="003E6900" w:rsidP="003E6900">
      <w:pPr>
        <w:rPr>
          <w:bCs/>
          <w:lang w:eastAsia="sl-SI"/>
        </w:rPr>
      </w:pPr>
      <w:r w:rsidRPr="004A0B22">
        <w:rPr>
          <w:bCs/>
          <w:lang w:eastAsia="sl-SI"/>
        </w:rPr>
        <w:t>Ostali, predvsem gradbeni ukrepi za prilagajanje podnebnim spremembam so glede na slovensko zakonodajo iz področja voda (</w:t>
      </w:r>
      <w:proofErr w:type="spellStart"/>
      <w:r w:rsidRPr="004A0B22">
        <w:rPr>
          <w:bCs/>
          <w:lang w:eastAsia="sl-SI"/>
        </w:rPr>
        <w:t>ZoV</w:t>
      </w:r>
      <w:proofErr w:type="spellEnd"/>
      <w:r w:rsidRPr="004A0B22">
        <w:rPr>
          <w:bCs/>
          <w:lang w:eastAsia="sl-SI"/>
        </w:rPr>
        <w:t xml:space="preserve"> 2002) v pristojnosti državnih organov, saj so glede na navedeni zakon pristojnosti občin izrazito omejene.</w:t>
      </w:r>
    </w:p>
    <w:p w14:paraId="6D3A51CC" w14:textId="77777777" w:rsidR="003E6900" w:rsidRDefault="003E6900" w:rsidP="003E6900">
      <w:pPr>
        <w:rPr>
          <w:bCs/>
          <w:lang w:eastAsia="sl-SI"/>
        </w:rPr>
      </w:pPr>
      <w:r>
        <w:rPr>
          <w:bCs/>
          <w:lang w:eastAsia="sl-SI"/>
        </w:rPr>
        <w:t xml:space="preserve">Sposobnost prilagajanja opredeljujemo predvsem z viri (resursi) ki so na razpolago za izvedbo ukrepov prilagajanja. Med viri poleg finančnih virov, ki se zagotavljajo na podlagi političnih prioritet v okviru </w:t>
      </w:r>
      <w:proofErr w:type="spellStart"/>
      <w:r>
        <w:rPr>
          <w:bCs/>
          <w:lang w:eastAsia="sl-SI"/>
        </w:rPr>
        <w:t>maksimiziranja</w:t>
      </w:r>
      <w:proofErr w:type="spellEnd"/>
      <w:r>
        <w:rPr>
          <w:bCs/>
          <w:lang w:eastAsia="sl-SI"/>
        </w:rPr>
        <w:t xml:space="preserve"> mejnih družbenih koristi, opredeljujemo še: čas; znanje in veščine - kadri; razpoložljivost prostora; kapacitete različnih organizacij, ki so deležniki v procesu; usposobljenost (reference) podjetij; organizacijska kultura. </w:t>
      </w:r>
    </w:p>
    <w:p w14:paraId="27C663FA" w14:textId="15A4BD01" w:rsidR="00583CB8" w:rsidRDefault="00583CB8">
      <w:pPr>
        <w:jc w:val="left"/>
        <w:rPr>
          <w:bCs/>
          <w:lang w:eastAsia="sl-SI"/>
        </w:rPr>
      </w:pPr>
      <w:r>
        <w:rPr>
          <w:bCs/>
          <w:lang w:eastAsia="sl-SI"/>
        </w:rPr>
        <w:br w:type="page"/>
      </w:r>
    </w:p>
    <w:p w14:paraId="5CBFC65C" w14:textId="77777777" w:rsidR="00E73BA7" w:rsidRPr="00345C2E" w:rsidRDefault="00E73BA7" w:rsidP="00E73BA7">
      <w:pPr>
        <w:pStyle w:val="Naslov3"/>
      </w:pPr>
      <w:bookmarkStart w:id="517" w:name="_Toc65052902"/>
      <w:bookmarkStart w:id="518" w:name="_Toc97026811"/>
      <w:r w:rsidRPr="00345C2E">
        <w:lastRenderedPageBreak/>
        <w:t>Zakonodajni okvir</w:t>
      </w:r>
      <w:r>
        <w:t xml:space="preserve"> za </w:t>
      </w:r>
      <w:r w:rsidRPr="00345C2E">
        <w:t>sektor</w:t>
      </w:r>
      <w:r>
        <w:t xml:space="preserve"> poplavna ogroženost</w:t>
      </w:r>
      <w:bookmarkEnd w:id="517"/>
      <w:bookmarkEnd w:id="518"/>
    </w:p>
    <w:p w14:paraId="4517C669" w14:textId="77777777" w:rsidR="003E6900" w:rsidRDefault="003E6900" w:rsidP="003E6900">
      <w:pPr>
        <w:rPr>
          <w:lang w:eastAsia="sl-SI"/>
        </w:rPr>
      </w:pPr>
      <w:r w:rsidRPr="00345C2E">
        <w:rPr>
          <w:lang w:eastAsia="sl-SI"/>
        </w:rPr>
        <w:t xml:space="preserve">V Sloveniji področje </w:t>
      </w:r>
      <w:r>
        <w:rPr>
          <w:lang w:eastAsia="sl-SI"/>
        </w:rPr>
        <w:t>poplavne ogroženosti naslavlja</w:t>
      </w:r>
      <w:r w:rsidRPr="00345C2E">
        <w:rPr>
          <w:lang w:eastAsia="sl-SI"/>
        </w:rPr>
        <w:t xml:space="preserve"> </w:t>
      </w:r>
      <w:r>
        <w:rPr>
          <w:lang w:eastAsia="sl-SI"/>
        </w:rPr>
        <w:t xml:space="preserve">zakon o vodah in podzakonski akti tega zakona. </w:t>
      </w:r>
    </w:p>
    <w:p w14:paraId="3C238E79" w14:textId="77777777" w:rsidR="003E6900" w:rsidRDefault="003E6900" w:rsidP="003E6900">
      <w:pPr>
        <w:rPr>
          <w:lang w:eastAsia="sl-SI"/>
        </w:rPr>
      </w:pPr>
      <w:r w:rsidRPr="00345C2E">
        <w:rPr>
          <w:lang w:eastAsia="sl-SI"/>
        </w:rPr>
        <w:t xml:space="preserve">V manjši meri se </w:t>
      </w:r>
      <w:r>
        <w:rPr>
          <w:lang w:eastAsia="sl-SI"/>
        </w:rPr>
        <w:t xml:space="preserve">tega področja </w:t>
      </w:r>
      <w:r w:rsidRPr="00345C2E">
        <w:rPr>
          <w:lang w:eastAsia="sl-SI"/>
        </w:rPr>
        <w:t xml:space="preserve">dotika tudi </w:t>
      </w:r>
      <w:r>
        <w:rPr>
          <w:lang w:eastAsia="sl-SI"/>
        </w:rPr>
        <w:t xml:space="preserve">ostala </w:t>
      </w:r>
      <w:r w:rsidRPr="00345C2E">
        <w:rPr>
          <w:lang w:eastAsia="sl-SI"/>
        </w:rPr>
        <w:t>zakonodaja (zakon o javno zasebnem partnerstvu, zakon o varstvu pred naravnimi in drugimi nesrečami, zakon o graditvi objektov , zakon o javnih financah).</w:t>
      </w:r>
    </w:p>
    <w:p w14:paraId="112DE1C0" w14:textId="77777777" w:rsidR="00E73BA7" w:rsidRPr="00E73BA7" w:rsidRDefault="00E73BA7" w:rsidP="00CE43D7">
      <w:pPr>
        <w:pStyle w:val="Naslov4"/>
      </w:pPr>
      <w:r w:rsidRPr="00E73BA7">
        <w:t>Pregled zakonskih izhodišč</w:t>
      </w:r>
    </w:p>
    <w:p w14:paraId="283A4BF5" w14:textId="77777777" w:rsidR="00E73BA7" w:rsidRPr="00E73BA7" w:rsidRDefault="00E73BA7" w:rsidP="00E73BA7">
      <w:pPr>
        <w:rPr>
          <w:rFonts w:cs="Arial"/>
          <w:color w:val="000000"/>
          <w:shd w:val="clear" w:color="auto" w:fill="FFFFFF"/>
        </w:rPr>
      </w:pPr>
      <w:r w:rsidRPr="00E73BA7">
        <w:rPr>
          <w:lang w:eastAsia="sl-SI"/>
        </w:rPr>
        <w:t xml:space="preserve">Zakon o varstvu okolja (Zakon o varstvu okolja (Uradni list RS, št. 39/06) – opredelitev 149. člena da je odvajanje odpadnih voda občinska gospodarska javne službe varstva </w:t>
      </w:r>
      <w:proofErr w:type="spellStart"/>
      <w:r w:rsidRPr="00E73BA7">
        <w:rPr>
          <w:lang w:eastAsia="sl-SI"/>
        </w:rPr>
        <w:t>okolj</w:t>
      </w:r>
      <w:proofErr w:type="spellEnd"/>
      <w:r w:rsidRPr="00E73BA7">
        <w:rPr>
          <w:lang w:eastAsia="sl-SI"/>
        </w:rPr>
        <w:t xml:space="preserve"> je </w:t>
      </w:r>
      <w:r w:rsidRPr="00E73BA7">
        <w:rPr>
          <w:color w:val="000000"/>
          <w:sz w:val="14"/>
          <w:szCs w:val="14"/>
          <w:shd w:val="clear" w:color="auto" w:fill="FFFFFF"/>
        </w:rPr>
        <w:t> </w:t>
      </w:r>
      <w:r w:rsidRPr="00E73BA7">
        <w:rPr>
          <w:rFonts w:cs="Arial"/>
          <w:color w:val="000000"/>
          <w:shd w:val="clear" w:color="auto" w:fill="FFFFFF"/>
        </w:rPr>
        <w:t xml:space="preserve">odvajanje in čiščenje komunalne in padavinske odpadne vode. </w:t>
      </w:r>
    </w:p>
    <w:p w14:paraId="5F80BB3C" w14:textId="77777777" w:rsidR="00E73BA7" w:rsidRPr="00E73BA7" w:rsidRDefault="00E73BA7" w:rsidP="00E73BA7">
      <w:pPr>
        <w:rPr>
          <w:rFonts w:cs="Arial"/>
          <w:color w:val="000000"/>
          <w:shd w:val="clear" w:color="auto" w:fill="FFFFFF"/>
        </w:rPr>
      </w:pPr>
      <w:r w:rsidRPr="00E73BA7">
        <w:rPr>
          <w:rFonts w:cs="Arial"/>
          <w:color w:val="000000"/>
          <w:shd w:val="clear" w:color="auto" w:fill="FFFFFF"/>
        </w:rPr>
        <w:t xml:space="preserve">Standardi za izvajanje te gospodarske javne službe so opredeljeni v zakonu o vodah (67/2002): </w:t>
      </w:r>
    </w:p>
    <w:p w14:paraId="689BE6B4" w14:textId="77777777" w:rsidR="00E73BA7" w:rsidRPr="00E73BA7" w:rsidRDefault="00E73BA7" w:rsidP="00E73BA7">
      <w:pPr>
        <w:pStyle w:val="len"/>
        <w:shd w:val="clear" w:color="auto" w:fill="FFFFFF"/>
        <w:spacing w:before="480" w:beforeAutospacing="0" w:after="0" w:afterAutospacing="0"/>
        <w:ind w:left="851" w:right="849"/>
        <w:jc w:val="center"/>
        <w:rPr>
          <w:rFonts w:ascii="Trebuchet MS" w:hAnsi="Trebuchet MS" w:cs="Arial"/>
          <w:b/>
          <w:bCs/>
          <w:sz w:val="22"/>
          <w:szCs w:val="22"/>
        </w:rPr>
      </w:pPr>
      <w:r w:rsidRPr="00E73BA7">
        <w:rPr>
          <w:rFonts w:ascii="Trebuchet MS" w:hAnsi="Trebuchet MS" w:cs="Arial"/>
          <w:b/>
          <w:bCs/>
          <w:sz w:val="22"/>
          <w:szCs w:val="22"/>
          <w:lang w:val="x-none"/>
        </w:rPr>
        <w:t>92. člen</w:t>
      </w:r>
    </w:p>
    <w:p w14:paraId="3FEE7589" w14:textId="77777777" w:rsidR="00E73BA7" w:rsidRPr="00E73BA7" w:rsidRDefault="00E73BA7" w:rsidP="00E73BA7">
      <w:pPr>
        <w:pStyle w:val="lennaslov"/>
        <w:shd w:val="clear" w:color="auto" w:fill="FFFFFF"/>
        <w:spacing w:before="0" w:beforeAutospacing="0" w:after="0" w:afterAutospacing="0"/>
        <w:ind w:left="851" w:right="849"/>
        <w:jc w:val="center"/>
        <w:rPr>
          <w:rFonts w:ascii="Trebuchet MS" w:hAnsi="Trebuchet MS" w:cs="Arial"/>
          <w:b/>
          <w:bCs/>
          <w:sz w:val="22"/>
          <w:szCs w:val="22"/>
        </w:rPr>
      </w:pPr>
      <w:r w:rsidRPr="00E73BA7">
        <w:rPr>
          <w:rFonts w:ascii="Trebuchet MS" w:hAnsi="Trebuchet MS" w:cs="Arial"/>
          <w:b/>
          <w:bCs/>
          <w:sz w:val="22"/>
          <w:szCs w:val="22"/>
          <w:lang w:val="x-none"/>
        </w:rPr>
        <w:t>(varstvo pred padavinskimi vodami)</w:t>
      </w:r>
    </w:p>
    <w:p w14:paraId="3A1FE30F" w14:textId="77777777" w:rsidR="00E73BA7" w:rsidRPr="00E73BA7" w:rsidRDefault="00E73BA7" w:rsidP="00E73BA7">
      <w:pPr>
        <w:pStyle w:val="odstavek"/>
        <w:shd w:val="clear" w:color="auto" w:fill="FFFFFF"/>
        <w:spacing w:before="240" w:beforeAutospacing="0" w:after="0" w:afterAutospacing="0"/>
        <w:ind w:left="851" w:right="849" w:firstLine="1021"/>
        <w:jc w:val="both"/>
        <w:rPr>
          <w:rFonts w:ascii="Trebuchet MS" w:hAnsi="Trebuchet MS" w:cs="Arial"/>
          <w:sz w:val="22"/>
          <w:szCs w:val="22"/>
        </w:rPr>
      </w:pPr>
      <w:r w:rsidRPr="00E73BA7">
        <w:rPr>
          <w:rFonts w:ascii="Trebuchet MS" w:hAnsi="Trebuchet MS" w:cs="Arial"/>
          <w:sz w:val="22"/>
          <w:szCs w:val="22"/>
          <w:lang w:val="x-none"/>
        </w:rPr>
        <w:t>(1) Lokalna skupnost skrbi za varstvo pred škodljivim delovanjem padavinskih voda v ureditvenih območjih naselij.</w:t>
      </w:r>
    </w:p>
    <w:p w14:paraId="74568B91" w14:textId="77777777" w:rsidR="00E73BA7" w:rsidRPr="00E73BA7" w:rsidRDefault="00E73BA7" w:rsidP="00E73BA7">
      <w:pPr>
        <w:pStyle w:val="odstavek"/>
        <w:shd w:val="clear" w:color="auto" w:fill="FFFFFF"/>
        <w:spacing w:before="240" w:beforeAutospacing="0" w:after="0" w:afterAutospacing="0"/>
        <w:ind w:left="851" w:right="849" w:firstLine="1021"/>
        <w:jc w:val="both"/>
        <w:rPr>
          <w:rFonts w:ascii="Trebuchet MS" w:hAnsi="Trebuchet MS" w:cs="Arial"/>
          <w:sz w:val="22"/>
          <w:szCs w:val="22"/>
        </w:rPr>
      </w:pPr>
      <w:r w:rsidRPr="00E73BA7">
        <w:rPr>
          <w:rFonts w:ascii="Trebuchet MS" w:hAnsi="Trebuchet MS" w:cs="Arial"/>
          <w:sz w:val="22"/>
          <w:szCs w:val="22"/>
          <w:lang w:val="x-none"/>
        </w:rPr>
        <w:t>(2) Varstvo pred škodljivim delovanjem padavinskih voda obsega zlasti ukrepe za zmanjševanje odtoka padavinskih voda z urbanih površin in ukrepe za omejevanje izlitja komunalnih in padavinskih voda.</w:t>
      </w:r>
    </w:p>
    <w:p w14:paraId="373520B4" w14:textId="0F0A1406" w:rsidR="00E73BA7" w:rsidRDefault="00E73BA7" w:rsidP="00E73BA7">
      <w:pPr>
        <w:pStyle w:val="odstavek"/>
        <w:shd w:val="clear" w:color="auto" w:fill="FFFFFF"/>
        <w:spacing w:before="240" w:beforeAutospacing="0" w:after="0" w:afterAutospacing="0"/>
        <w:ind w:left="851" w:right="849" w:firstLine="1021"/>
        <w:jc w:val="both"/>
        <w:rPr>
          <w:rFonts w:ascii="Trebuchet MS" w:hAnsi="Trebuchet MS" w:cs="Arial"/>
          <w:sz w:val="22"/>
          <w:szCs w:val="22"/>
          <w:lang w:val="x-none"/>
        </w:rPr>
      </w:pPr>
      <w:r w:rsidRPr="00E73BA7">
        <w:rPr>
          <w:rFonts w:ascii="Trebuchet MS" w:hAnsi="Trebuchet MS" w:cs="Arial"/>
          <w:sz w:val="22"/>
          <w:szCs w:val="22"/>
          <w:lang w:val="x-none"/>
        </w:rPr>
        <w:t>(3) Podrobnejše ukrepe in način varstva iz prejšnjega odstavka predpiše minister.</w:t>
      </w:r>
    </w:p>
    <w:p w14:paraId="10AEF15D" w14:textId="77777777" w:rsidR="00E73BA7" w:rsidRPr="00E73BA7" w:rsidRDefault="00E73BA7" w:rsidP="00E73BA7"/>
    <w:p w14:paraId="685ECC33" w14:textId="26B96E82" w:rsidR="003E6900" w:rsidRDefault="003E6900" w:rsidP="003E6900">
      <w:pPr>
        <w:rPr>
          <w:lang w:eastAsia="sl-SI"/>
        </w:rPr>
      </w:pPr>
      <w:r>
        <w:rPr>
          <w:lang w:eastAsia="sl-SI"/>
        </w:rPr>
        <w:t xml:space="preserve">Žal pristojni ministri že od leta 2002 odlašajo s pripravo predpisa iz 92. člena s katerim bi se sistemsko enotno opredelili ukrepi in načini varstva pred padavinskimi vodami. </w:t>
      </w:r>
    </w:p>
    <w:p w14:paraId="157632FB" w14:textId="77777777" w:rsidR="00473FD0" w:rsidRDefault="00473FD0" w:rsidP="00473FD0">
      <w:pPr>
        <w:keepNext/>
        <w:jc w:val="center"/>
      </w:pPr>
      <w:r>
        <w:rPr>
          <w:noProof/>
          <w:lang w:eastAsia="sl-SI"/>
        </w:rPr>
        <w:lastRenderedPageBreak/>
        <w:drawing>
          <wp:inline distT="0" distB="0" distL="0" distR="0" wp14:anchorId="6F7EB529" wp14:editId="6DD0C85C">
            <wp:extent cx="3274695" cy="3061970"/>
            <wp:effectExtent l="0" t="0" r="1905" b="5080"/>
            <wp:docPr id="2111931301" name="Picture 211193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274695" cy="3061970"/>
                    </a:xfrm>
                    <a:prstGeom prst="rect">
                      <a:avLst/>
                    </a:prstGeom>
                    <a:noFill/>
                    <a:ln>
                      <a:noFill/>
                    </a:ln>
                  </pic:spPr>
                </pic:pic>
              </a:graphicData>
            </a:graphic>
          </wp:inline>
        </w:drawing>
      </w:r>
    </w:p>
    <w:p w14:paraId="3229749E" w14:textId="267E966E" w:rsidR="00473FD0" w:rsidRDefault="00473FD0" w:rsidP="00473FD0">
      <w:pPr>
        <w:pStyle w:val="Napis"/>
        <w:rPr>
          <w:lang w:eastAsia="sl-SI"/>
        </w:rPr>
      </w:pPr>
      <w:bookmarkStart w:id="519" w:name="_Toc97026914"/>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63</w:t>
      </w:r>
      <w:r w:rsidR="008334B2">
        <w:fldChar w:fldCharType="end"/>
      </w:r>
      <w:r>
        <w:t xml:space="preserve"> </w:t>
      </w:r>
      <w:r w:rsidRPr="00CE2ACE">
        <w:t>Prikaz stanja poplavne nevarnosti – opozorilna karta poplav (Vir- atlas voda).</w:t>
      </w:r>
      <w:r>
        <w:t>:</w:t>
      </w:r>
      <w:bookmarkEnd w:id="519"/>
    </w:p>
    <w:p w14:paraId="5ABFFE52" w14:textId="187FA45B" w:rsidR="003E6900" w:rsidRPr="003E6900" w:rsidRDefault="003E6900" w:rsidP="003E6900">
      <w:pPr>
        <w:rPr>
          <w:u w:val="single"/>
          <w:lang w:eastAsia="sl-SI"/>
        </w:rPr>
      </w:pPr>
      <w:r w:rsidRPr="003E6900">
        <w:rPr>
          <w:u w:val="single"/>
          <w:lang w:eastAsia="sl-SI"/>
        </w:rPr>
        <w:t>Odlok o ureditvi javne službe odvajanja in čiščenja komunalne in padavinske odpadne vode na območju Mestne občine Nova Gorica (</w:t>
      </w:r>
      <w:proofErr w:type="spellStart"/>
      <w:r w:rsidRPr="003E6900">
        <w:rPr>
          <w:u w:val="single"/>
          <w:lang w:eastAsia="sl-SI"/>
        </w:rPr>
        <w:t>Ur.l</w:t>
      </w:r>
      <w:proofErr w:type="spellEnd"/>
      <w:r w:rsidRPr="003E6900">
        <w:rPr>
          <w:u w:val="single"/>
          <w:lang w:eastAsia="sl-SI"/>
        </w:rPr>
        <w:t xml:space="preserve">. RS 77/2016) </w:t>
      </w:r>
    </w:p>
    <w:p w14:paraId="33382F12" w14:textId="77777777" w:rsidR="003E6900" w:rsidRDefault="003E6900" w:rsidP="003E6900">
      <w:pPr>
        <w:rPr>
          <w:lang w:eastAsia="sl-SI"/>
        </w:rPr>
      </w:pPr>
      <w:r>
        <w:rPr>
          <w:lang w:eastAsia="sl-SI"/>
        </w:rPr>
        <w:t>Odlok skladno z pravnim okvirom v RS podaja način organiziranosti na področju odvajanja in čiščenja komunalnih in padavinskih odpadnih voda. Med naloge javne službe opredeljuje tudi:</w:t>
      </w:r>
    </w:p>
    <w:p w14:paraId="7F8D3299" w14:textId="77777777" w:rsidR="003E6900" w:rsidRDefault="003E6900" w:rsidP="00642FD9">
      <w:pPr>
        <w:pStyle w:val="Odstavekseznama"/>
        <w:numPr>
          <w:ilvl w:val="0"/>
          <w:numId w:val="26"/>
        </w:numPr>
        <w:ind w:left="851"/>
        <w:rPr>
          <w:lang w:eastAsia="sl-SI"/>
        </w:rPr>
      </w:pPr>
      <w:r>
        <w:rPr>
          <w:lang w:eastAsia="sl-SI"/>
        </w:rPr>
        <w:t>odvajanje in čiščenje padavinske odpadne vode (12. člen 7. odstavek) – obseg storitev javne službe), ki se odvaja v javno kanalizacijo iz javnih površin, če za to padavinsko odpadno vodo ni mogoče zagotoviti ravnanja v skladu s predpisom, ki ureja emisijo snovi in toplote pri odvajanju odpadnih voda v vode in javno kanalizacijo;</w:t>
      </w:r>
    </w:p>
    <w:p w14:paraId="66DB1E87" w14:textId="77777777" w:rsidR="003E6900" w:rsidRDefault="003E6900" w:rsidP="00642FD9">
      <w:pPr>
        <w:pStyle w:val="Odstavekseznama"/>
        <w:numPr>
          <w:ilvl w:val="0"/>
          <w:numId w:val="26"/>
        </w:numPr>
        <w:ind w:left="851"/>
        <w:rPr>
          <w:lang w:eastAsia="sl-SI"/>
        </w:rPr>
      </w:pPr>
      <w:r w:rsidRPr="00616E21">
        <w:rPr>
          <w:lang w:eastAsia="sl-SI"/>
        </w:rPr>
        <w:t xml:space="preserve">odvajanje in čiščenje padavinske odpadne vode, ki se odvaja v javno kanalizacijo s streh </w:t>
      </w:r>
      <w:r>
        <w:rPr>
          <w:lang w:eastAsia="sl-SI"/>
        </w:rPr>
        <w:t>(12. člen 8. odstavek)</w:t>
      </w:r>
      <w:r w:rsidRPr="00616E21">
        <w:rPr>
          <w:lang w:eastAsia="sl-SI"/>
        </w:rPr>
        <w:t>, če za to padavinsko odpadno vodo ni mogoče zagotoviti ravnanja v skladu s predpisom, ki ureja emisijo snovi in toplote pri odvajanju odpadnih voda v vode in javno kanalizacijo;</w:t>
      </w:r>
    </w:p>
    <w:p w14:paraId="7F2F0020" w14:textId="77777777" w:rsidR="003E6900" w:rsidRDefault="003E6900" w:rsidP="00642FD9">
      <w:pPr>
        <w:pStyle w:val="Odstavekseznama"/>
        <w:numPr>
          <w:ilvl w:val="0"/>
          <w:numId w:val="26"/>
        </w:numPr>
        <w:ind w:left="851"/>
        <w:rPr>
          <w:lang w:eastAsia="sl-SI"/>
        </w:rPr>
      </w:pPr>
      <w:r>
        <w:rPr>
          <w:lang w:eastAsia="sl-SI"/>
        </w:rPr>
        <w:t>odvajanje in čiščenje padavinske odpadne vode, ki se odvaja v javno kanalizacijo z zasebnih utrjenih površin, večjih od 50 in manjših od 100 m2 in pripadajo objektu, iz katerega se odvaja komunalna odpadna voda ali padavinska odpadna voda s streh (12. člen 9. odstavek)</w:t>
      </w:r>
      <w:r w:rsidRPr="00616E21">
        <w:rPr>
          <w:lang w:eastAsia="sl-SI"/>
        </w:rPr>
        <w:t>,</w:t>
      </w:r>
      <w:r>
        <w:rPr>
          <w:lang w:eastAsia="sl-SI"/>
        </w:rPr>
        <w:t xml:space="preserve">. </w:t>
      </w:r>
    </w:p>
    <w:p w14:paraId="4924B8B8" w14:textId="77777777" w:rsidR="003E6900" w:rsidRPr="001164AA" w:rsidRDefault="003E6900" w:rsidP="00642FD9">
      <w:pPr>
        <w:pStyle w:val="Odstavekseznama"/>
        <w:numPr>
          <w:ilvl w:val="0"/>
          <w:numId w:val="26"/>
        </w:numPr>
        <w:spacing w:after="120"/>
        <w:ind w:left="851" w:hanging="357"/>
        <w:rPr>
          <w:lang w:eastAsia="sl-SI"/>
        </w:rPr>
      </w:pPr>
      <w:r>
        <w:rPr>
          <w:lang w:eastAsia="sl-SI"/>
        </w:rPr>
        <w:t>56. člen določa, da se d</w:t>
      </w:r>
      <w:r w:rsidRPr="001164AA">
        <w:rPr>
          <w:lang w:eastAsia="sl-SI"/>
        </w:rPr>
        <w:t>o izdelave katastra prispevnih površin za obračunavanje padavinskih voda iz javnih površin, streh ter utrjenih površin večjih od 50 m² in manjših od 100 m2 se stroški odvajanja in čiščenja padavinskih voda ne obračunavajo.</w:t>
      </w:r>
      <w:r>
        <w:rPr>
          <w:lang w:eastAsia="sl-SI"/>
        </w:rPr>
        <w:t xml:space="preserve"> </w:t>
      </w:r>
      <w:r w:rsidRPr="001164AA">
        <w:rPr>
          <w:lang w:eastAsia="sl-SI"/>
        </w:rPr>
        <w:t>Izvajalec javne službe je dolžan izdelati kataster iz prejšnjega odstavka tega člena v roku treh let od uveljavitve odloka.</w:t>
      </w:r>
    </w:p>
    <w:p w14:paraId="742FDB1F" w14:textId="77777777" w:rsidR="003E6900" w:rsidRDefault="003E6900" w:rsidP="003E6900">
      <w:pPr>
        <w:rPr>
          <w:lang w:eastAsia="sl-SI"/>
        </w:rPr>
      </w:pPr>
      <w:r>
        <w:rPr>
          <w:lang w:eastAsia="sl-SI"/>
        </w:rPr>
        <w:lastRenderedPageBreak/>
        <w:t>Sam odlok navaja, da je po definiciji »</w:t>
      </w:r>
      <w:r w:rsidRPr="00616E21">
        <w:rPr>
          <w:lang w:eastAsia="sl-SI"/>
        </w:rPr>
        <w:t>Padavinska odpadna voda</w:t>
      </w:r>
      <w:r>
        <w:rPr>
          <w:lang w:eastAsia="sl-SI"/>
        </w:rPr>
        <w:t>«</w:t>
      </w:r>
      <w:r w:rsidRPr="00616E21">
        <w:rPr>
          <w:lang w:eastAsia="sl-SI"/>
        </w:rPr>
        <w:t xml:space="preserve"> je voda, skladna s predpisom, ki ureja emisijo snovi in toplote pri odvajanju odpadnih voda v vode in javno kanalizacijo</w:t>
      </w:r>
      <w:r>
        <w:rPr>
          <w:lang w:eastAsia="sl-SI"/>
        </w:rPr>
        <w:t>. Same padavinske vode (ne padavinske odpadne vode) v definicijskem smislu ne obravnava. Pri padavinski vodi (neonesnaženi) je namreč poudarek na njenem zadrževanju in odvajanju, saj samo čiščenje v tem primeru ni potrebno. Navedena ugotovitev v sami osnovi prenaša opredelitve, ki so opredeljene na nivoju krovne, državne zakonodaje, kjer je prav tako zakonsko naslovljena le padavinska odpadna voda, sama padavinska voda pa ni zakonsko regulirana.</w:t>
      </w:r>
    </w:p>
    <w:p w14:paraId="6AF61930" w14:textId="2072849D" w:rsidR="003E6900" w:rsidRDefault="003E6900" w:rsidP="003E6900">
      <w:pPr>
        <w:rPr>
          <w:lang w:eastAsia="sl-SI"/>
        </w:rPr>
      </w:pPr>
      <w:r>
        <w:rPr>
          <w:lang w:eastAsia="sl-SI"/>
        </w:rPr>
        <w:t xml:space="preserve">Odlok v več 10. členu predvideva, da izvajalec javne službe pripravi tehnični pravilnik s katerim se oblikujejo tehnični standardi izvajanja javne službe odvajanja komunalnih odpadnih in padavinskih voda. </w:t>
      </w:r>
    </w:p>
    <w:p w14:paraId="094B4E0D" w14:textId="77777777" w:rsidR="003E6900" w:rsidRPr="003E6900" w:rsidRDefault="003E6900" w:rsidP="003E6900">
      <w:pPr>
        <w:rPr>
          <w:u w:val="single"/>
          <w:lang w:eastAsia="sl-SI"/>
        </w:rPr>
      </w:pPr>
      <w:r w:rsidRPr="003E6900">
        <w:rPr>
          <w:u w:val="single"/>
          <w:lang w:eastAsia="sl-SI"/>
        </w:rPr>
        <w:t xml:space="preserve">Tehnični pravilnik o javni kanalizaciji (Ur. l. RS 6/2017) </w:t>
      </w:r>
    </w:p>
    <w:p w14:paraId="33D215EA" w14:textId="77777777" w:rsidR="003E6900" w:rsidRDefault="003E6900" w:rsidP="003E6900">
      <w:pPr>
        <w:rPr>
          <w:lang w:eastAsia="sl-SI"/>
        </w:rPr>
      </w:pPr>
      <w:r>
        <w:rPr>
          <w:lang w:eastAsia="sl-SI"/>
        </w:rPr>
        <w:t xml:space="preserve">Za območje izvajanja javne službe odvajanja in čiščenja komunalnih odpadnih in padavinskih voda. Tehnični pravilnik predstavlja za slovenske razmere enega najpopolnejših tehničnih pravilnikov, ki ga pogosto posnemajo tudi ostale občine in izvajalci javne službe. S tem pravilnikom se urejajo tehnični normativi, izvedba, uporaba javnega kanalizacijskega omrežja ter kanalizacijskih objektov in naprav v lasti Mestne občine Nova Gorica, ki jih ima v najemu Javno podjetje Vodovodi in kanalizacija Nova Gorica </w:t>
      </w:r>
      <w:proofErr w:type="spellStart"/>
      <w:r>
        <w:rPr>
          <w:lang w:eastAsia="sl-SI"/>
        </w:rPr>
        <w:t>d.d</w:t>
      </w:r>
      <w:proofErr w:type="spellEnd"/>
      <w:r>
        <w:rPr>
          <w:lang w:eastAsia="sl-SI"/>
        </w:rPr>
        <w:t>. (v nadaljevanju: upravljalec).</w:t>
      </w:r>
    </w:p>
    <w:p w14:paraId="1D9F8388" w14:textId="77777777" w:rsidR="003E6900" w:rsidRDefault="003E6900" w:rsidP="003E6900">
      <w:pPr>
        <w:rPr>
          <w:lang w:eastAsia="sl-SI"/>
        </w:rPr>
      </w:pPr>
      <w:r>
        <w:rPr>
          <w:lang w:eastAsia="sl-SI"/>
        </w:rPr>
        <w:t xml:space="preserve">Pravilnik je primer ustreznega prenosa standardov (SIST, EN, ISO) v prakso, pri čemer se opredeljuje v tehničnem pravilniku opredeljuje tako zasnova dimenzioniranja objektov glede na jakost nalivov, kakor referenčna tudi intenziteta padavin. </w:t>
      </w:r>
    </w:p>
    <w:p w14:paraId="0B85C3DD" w14:textId="77777777" w:rsidR="003E6900" w:rsidRDefault="003E6900" w:rsidP="003E6900">
      <w:pPr>
        <w:rPr>
          <w:lang w:eastAsia="sl-SI"/>
        </w:rPr>
      </w:pPr>
      <w:r>
        <w:rPr>
          <w:lang w:eastAsia="sl-SI"/>
        </w:rPr>
        <w:t xml:space="preserve">Standardi zajeti v tehničnem pravilniku so: </w:t>
      </w:r>
    </w:p>
    <w:p w14:paraId="25B7A564" w14:textId="77777777" w:rsidR="003E6900" w:rsidRPr="0039727E" w:rsidRDefault="003E6900" w:rsidP="00900691">
      <w:pPr>
        <w:numPr>
          <w:ilvl w:val="1"/>
          <w:numId w:val="33"/>
        </w:numPr>
      </w:pPr>
      <w:r w:rsidRPr="005678AF">
        <w:t xml:space="preserve">A 128E - Standardi za dimenzioniranje in načrtovanje objektov padavinske </w:t>
      </w:r>
      <w:proofErr w:type="spellStart"/>
      <w:r w:rsidRPr="005678AF">
        <w:t>odvodnje</w:t>
      </w:r>
      <w:proofErr w:type="spellEnd"/>
      <w:r w:rsidRPr="005678AF">
        <w:t xml:space="preserve"> v kombinirani kanalizaciji (</w:t>
      </w:r>
      <w:proofErr w:type="spellStart"/>
      <w:r w:rsidRPr="005678AF">
        <w:t>Standards</w:t>
      </w:r>
      <w:proofErr w:type="spellEnd"/>
      <w:r w:rsidRPr="005678AF">
        <w:t xml:space="preserve"> </w:t>
      </w:r>
      <w:proofErr w:type="spellStart"/>
      <w:r w:rsidRPr="005678AF">
        <w:t>for</w:t>
      </w:r>
      <w:proofErr w:type="spellEnd"/>
      <w:r w:rsidRPr="005678AF">
        <w:t xml:space="preserve"> </w:t>
      </w:r>
      <w:proofErr w:type="spellStart"/>
      <w:r w:rsidRPr="005678AF">
        <w:t>the</w:t>
      </w:r>
      <w:proofErr w:type="spellEnd"/>
      <w:r w:rsidRPr="005678AF">
        <w:t xml:space="preserve"> </w:t>
      </w:r>
      <w:proofErr w:type="spellStart"/>
      <w:r w:rsidRPr="005678AF">
        <w:t>Dimensioning</w:t>
      </w:r>
      <w:proofErr w:type="spellEnd"/>
      <w:r w:rsidRPr="005678AF">
        <w:t xml:space="preserve"> </w:t>
      </w:r>
      <w:proofErr w:type="spellStart"/>
      <w:r w:rsidRPr="005678AF">
        <w:t>and</w:t>
      </w:r>
      <w:proofErr w:type="spellEnd"/>
      <w:r w:rsidRPr="005678AF">
        <w:t xml:space="preserve"> Design of </w:t>
      </w:r>
      <w:proofErr w:type="spellStart"/>
      <w:r w:rsidRPr="005678AF">
        <w:t>Stormwater</w:t>
      </w:r>
      <w:proofErr w:type="spellEnd"/>
      <w:r w:rsidRPr="005678AF">
        <w:t xml:space="preserve"> </w:t>
      </w:r>
      <w:proofErr w:type="spellStart"/>
      <w:r w:rsidRPr="005678AF">
        <w:t>Structures</w:t>
      </w:r>
      <w:proofErr w:type="spellEnd"/>
      <w:r w:rsidRPr="005678AF">
        <w:t xml:space="preserve"> in </w:t>
      </w:r>
      <w:proofErr w:type="spellStart"/>
      <w:r w:rsidRPr="005678AF">
        <w:t>Combined</w:t>
      </w:r>
      <w:proofErr w:type="spellEnd"/>
      <w:r w:rsidRPr="005678AF">
        <w:t xml:space="preserve"> </w:t>
      </w:r>
      <w:proofErr w:type="spellStart"/>
      <w:r w:rsidRPr="005678AF">
        <w:t>Sewers</w:t>
      </w:r>
      <w:proofErr w:type="spellEnd"/>
      <w:r w:rsidRPr="005678AF">
        <w:t>)</w:t>
      </w:r>
      <w:r>
        <w:t xml:space="preserve">; </w:t>
      </w:r>
    </w:p>
    <w:p w14:paraId="1150B856" w14:textId="77777777" w:rsidR="003E6900" w:rsidRPr="005678AF" w:rsidRDefault="003E6900" w:rsidP="00900691">
      <w:pPr>
        <w:numPr>
          <w:ilvl w:val="1"/>
          <w:numId w:val="33"/>
        </w:numPr>
        <w:rPr>
          <w:iCs/>
        </w:rPr>
      </w:pPr>
      <w:r w:rsidRPr="005678AF">
        <w:t>Standard ATV-DVWK-A 110E Hidravlično dimenzioniranje in preverjanje zmogljivosti odvodnikov in odtočnih elementov (</w:t>
      </w:r>
      <w:proofErr w:type="spellStart"/>
      <w:r w:rsidRPr="005678AF">
        <w:t>Hydraulic</w:t>
      </w:r>
      <w:proofErr w:type="spellEnd"/>
      <w:r w:rsidRPr="005678AF">
        <w:t xml:space="preserve"> </w:t>
      </w:r>
      <w:proofErr w:type="spellStart"/>
      <w:r w:rsidRPr="005678AF">
        <w:t>Dimensioning</w:t>
      </w:r>
      <w:proofErr w:type="spellEnd"/>
      <w:r w:rsidRPr="005678AF">
        <w:t xml:space="preserve"> </w:t>
      </w:r>
      <w:proofErr w:type="spellStart"/>
      <w:r w:rsidRPr="005678AF">
        <w:t>and</w:t>
      </w:r>
      <w:proofErr w:type="spellEnd"/>
      <w:r w:rsidRPr="005678AF">
        <w:t xml:space="preserve"> </w:t>
      </w:r>
      <w:proofErr w:type="spellStart"/>
      <w:r w:rsidRPr="005678AF">
        <w:t>Performance</w:t>
      </w:r>
      <w:proofErr w:type="spellEnd"/>
      <w:r w:rsidRPr="005678AF">
        <w:t xml:space="preserve"> </w:t>
      </w:r>
      <w:proofErr w:type="spellStart"/>
      <w:r w:rsidRPr="005678AF">
        <w:t>Verification</w:t>
      </w:r>
      <w:proofErr w:type="spellEnd"/>
      <w:r w:rsidRPr="005678AF">
        <w:t xml:space="preserve"> of </w:t>
      </w:r>
      <w:proofErr w:type="spellStart"/>
      <w:r w:rsidRPr="005678AF">
        <w:t>Sewers</w:t>
      </w:r>
      <w:proofErr w:type="spellEnd"/>
      <w:r w:rsidRPr="005678AF">
        <w:t xml:space="preserve"> </w:t>
      </w:r>
      <w:proofErr w:type="spellStart"/>
      <w:r w:rsidRPr="005678AF">
        <w:t>and</w:t>
      </w:r>
      <w:proofErr w:type="spellEnd"/>
      <w:r w:rsidRPr="005678AF">
        <w:t xml:space="preserve"> </w:t>
      </w:r>
      <w:proofErr w:type="spellStart"/>
      <w:r w:rsidRPr="005678AF">
        <w:t>Drains</w:t>
      </w:r>
      <w:proofErr w:type="spellEnd"/>
      <w:r w:rsidRPr="005678AF">
        <w:t>)</w:t>
      </w:r>
      <w:r>
        <w:t xml:space="preserve">; </w:t>
      </w:r>
      <w:r w:rsidRPr="005678AF">
        <w:t xml:space="preserve">Standard </w:t>
      </w:r>
    </w:p>
    <w:p w14:paraId="60BC67E6" w14:textId="77777777" w:rsidR="003E6900" w:rsidRPr="005678AF" w:rsidRDefault="003E6900" w:rsidP="00900691">
      <w:pPr>
        <w:numPr>
          <w:ilvl w:val="1"/>
          <w:numId w:val="33"/>
        </w:numPr>
        <w:rPr>
          <w:iCs/>
        </w:rPr>
      </w:pPr>
      <w:r w:rsidRPr="005678AF">
        <w:t>ATV-DVWK-A 157E Objekti kanalizacijskih sistemov (</w:t>
      </w:r>
      <w:proofErr w:type="spellStart"/>
      <w:r w:rsidRPr="005678AF">
        <w:t>Sewer</w:t>
      </w:r>
      <w:proofErr w:type="spellEnd"/>
      <w:r w:rsidRPr="005678AF">
        <w:t xml:space="preserve"> </w:t>
      </w:r>
      <w:proofErr w:type="spellStart"/>
      <w:r w:rsidRPr="005678AF">
        <w:t>System</w:t>
      </w:r>
      <w:proofErr w:type="spellEnd"/>
      <w:r w:rsidRPr="005678AF">
        <w:t xml:space="preserve"> </w:t>
      </w:r>
      <w:proofErr w:type="spellStart"/>
      <w:r w:rsidRPr="005678AF">
        <w:t>Structures</w:t>
      </w:r>
      <w:proofErr w:type="spellEnd"/>
      <w:r w:rsidRPr="005678AF">
        <w:t>)</w:t>
      </w:r>
      <w:r>
        <w:t xml:space="preserve">; </w:t>
      </w:r>
    </w:p>
    <w:p w14:paraId="36EAC649" w14:textId="77777777" w:rsidR="003E6900" w:rsidRPr="005678AF" w:rsidRDefault="003E6900" w:rsidP="00900691">
      <w:pPr>
        <w:numPr>
          <w:ilvl w:val="1"/>
          <w:numId w:val="33"/>
        </w:numPr>
        <w:rPr>
          <w:iCs/>
        </w:rPr>
      </w:pPr>
      <w:r w:rsidRPr="005678AF">
        <w:t>Standard DWA-A 138E Načrtovanje, gradnja in obratovanje objektov za filtriranje in ponikanje padavinskih voda (</w:t>
      </w:r>
      <w:proofErr w:type="spellStart"/>
      <w:r w:rsidRPr="005678AF">
        <w:t>Planning</w:t>
      </w:r>
      <w:proofErr w:type="spellEnd"/>
      <w:r w:rsidRPr="005678AF">
        <w:t xml:space="preserve">, </w:t>
      </w:r>
      <w:proofErr w:type="spellStart"/>
      <w:r w:rsidRPr="005678AF">
        <w:t>Construction</w:t>
      </w:r>
      <w:proofErr w:type="spellEnd"/>
      <w:r w:rsidRPr="005678AF">
        <w:t xml:space="preserve"> </w:t>
      </w:r>
      <w:proofErr w:type="spellStart"/>
      <w:r w:rsidRPr="005678AF">
        <w:t>and</w:t>
      </w:r>
      <w:proofErr w:type="spellEnd"/>
      <w:r w:rsidRPr="005678AF">
        <w:t xml:space="preserve"> </w:t>
      </w:r>
      <w:proofErr w:type="spellStart"/>
      <w:r w:rsidRPr="005678AF">
        <w:t>Operation</w:t>
      </w:r>
      <w:proofErr w:type="spellEnd"/>
      <w:r w:rsidRPr="005678AF">
        <w:t xml:space="preserve"> of </w:t>
      </w:r>
      <w:proofErr w:type="spellStart"/>
      <w:r w:rsidRPr="005678AF">
        <w:t>facilities</w:t>
      </w:r>
      <w:proofErr w:type="spellEnd"/>
      <w:r w:rsidRPr="005678AF">
        <w:t xml:space="preserve"> </w:t>
      </w:r>
      <w:proofErr w:type="spellStart"/>
      <w:r w:rsidRPr="005678AF">
        <w:t>for</w:t>
      </w:r>
      <w:proofErr w:type="spellEnd"/>
      <w:r w:rsidRPr="005678AF">
        <w:t xml:space="preserve"> </w:t>
      </w:r>
      <w:proofErr w:type="spellStart"/>
      <w:r w:rsidRPr="005678AF">
        <w:t>the</w:t>
      </w:r>
      <w:proofErr w:type="spellEnd"/>
      <w:r w:rsidRPr="005678AF">
        <w:t xml:space="preserve"> </w:t>
      </w:r>
      <w:proofErr w:type="spellStart"/>
      <w:r w:rsidRPr="005678AF">
        <w:t>Percolation</w:t>
      </w:r>
      <w:proofErr w:type="spellEnd"/>
      <w:r w:rsidRPr="005678AF">
        <w:t xml:space="preserve"> of </w:t>
      </w:r>
      <w:proofErr w:type="spellStart"/>
      <w:r w:rsidRPr="005678AF">
        <w:t>precipitation</w:t>
      </w:r>
      <w:proofErr w:type="spellEnd"/>
      <w:r w:rsidRPr="005678AF">
        <w:t xml:space="preserve"> </w:t>
      </w:r>
      <w:proofErr w:type="spellStart"/>
      <w:r w:rsidRPr="005678AF">
        <w:t>Water</w:t>
      </w:r>
      <w:proofErr w:type="spellEnd"/>
      <w:r w:rsidRPr="005678AF">
        <w:t>)</w:t>
      </w:r>
      <w:r>
        <w:t xml:space="preserve">; </w:t>
      </w:r>
    </w:p>
    <w:p w14:paraId="67C5AF4A" w14:textId="77777777" w:rsidR="003E6900" w:rsidRDefault="003E6900" w:rsidP="00900691">
      <w:pPr>
        <w:numPr>
          <w:ilvl w:val="1"/>
          <w:numId w:val="33"/>
        </w:numPr>
        <w:rPr>
          <w:iCs/>
        </w:rPr>
      </w:pPr>
      <w:r w:rsidRPr="005678AF">
        <w:rPr>
          <w:iCs/>
        </w:rPr>
        <w:t>Standard DWA-A 118 E Hidravlično dimenzioniranje in preverjanje odtočnih in kanalizacijskih sistemov (</w:t>
      </w:r>
      <w:r w:rsidRPr="005678AF">
        <w:rPr>
          <w:iCs/>
          <w:lang w:val="en-US"/>
        </w:rPr>
        <w:t>Hydraulic Dimensioning and Verification</w:t>
      </w:r>
      <w:r w:rsidRPr="005678AF">
        <w:rPr>
          <w:iCs/>
        </w:rPr>
        <w:t xml:space="preserve"> </w:t>
      </w:r>
      <w:r w:rsidRPr="005678AF">
        <w:rPr>
          <w:iCs/>
          <w:lang w:val="en-US"/>
        </w:rPr>
        <w:t>of Drain and Sewer Systems</w:t>
      </w:r>
      <w:r w:rsidRPr="005678AF">
        <w:rPr>
          <w:iCs/>
        </w:rPr>
        <w:t xml:space="preserve">); </w:t>
      </w:r>
    </w:p>
    <w:p w14:paraId="25E2A2BE" w14:textId="77777777" w:rsidR="003E6900" w:rsidRDefault="003E6900" w:rsidP="00900691">
      <w:pPr>
        <w:numPr>
          <w:ilvl w:val="1"/>
          <w:numId w:val="33"/>
        </w:numPr>
        <w:rPr>
          <w:iCs/>
        </w:rPr>
      </w:pPr>
      <w:r w:rsidRPr="005678AF">
        <w:rPr>
          <w:iCs/>
        </w:rPr>
        <w:t>Standard DWA-A 139E gradnja in preskušanje odtokov in kanalizacij (</w:t>
      </w:r>
      <w:r w:rsidRPr="005678AF">
        <w:rPr>
          <w:iCs/>
          <w:lang w:val="en-US"/>
        </w:rPr>
        <w:t>Construction and Testing of Drains</w:t>
      </w:r>
      <w:r w:rsidRPr="005678AF">
        <w:rPr>
          <w:iCs/>
        </w:rPr>
        <w:t xml:space="preserve"> </w:t>
      </w:r>
      <w:r w:rsidRPr="005678AF">
        <w:rPr>
          <w:iCs/>
          <w:lang w:val="en-US"/>
        </w:rPr>
        <w:t>and Sewers</w:t>
      </w:r>
      <w:r w:rsidRPr="005678AF">
        <w:rPr>
          <w:iCs/>
        </w:rPr>
        <w:t xml:space="preserve">); </w:t>
      </w:r>
    </w:p>
    <w:p w14:paraId="028A2C58" w14:textId="77777777" w:rsidR="003E6900" w:rsidRPr="005678AF" w:rsidRDefault="003E6900" w:rsidP="00900691">
      <w:pPr>
        <w:numPr>
          <w:ilvl w:val="1"/>
          <w:numId w:val="33"/>
        </w:numPr>
        <w:rPr>
          <w:iCs/>
        </w:rPr>
      </w:pPr>
      <w:r w:rsidRPr="005678AF">
        <w:rPr>
          <w:iCs/>
        </w:rPr>
        <w:t xml:space="preserve">Standard DWA-A 117 Dimenzioniranje vseh vrst sistemov za zadrževanje padavinskih voda </w:t>
      </w:r>
    </w:p>
    <w:p w14:paraId="09D3CCDE" w14:textId="77777777" w:rsidR="003E6900" w:rsidRDefault="003E6900" w:rsidP="003E6900">
      <w:pPr>
        <w:rPr>
          <w:lang w:eastAsia="sl-SI"/>
        </w:rPr>
      </w:pPr>
      <w:r>
        <w:rPr>
          <w:lang w:eastAsia="sl-SI"/>
        </w:rPr>
        <w:lastRenderedPageBreak/>
        <w:t xml:space="preserve">Uveljavljanje navedenih standardov je zahteven proces, predvsem zato, ker za uveljavljanjem stoji dokaj sam izvajalec javne službe in občina, širše okolje v Republiki Sloveniji pa še nima širših mehanizmov uveljavljanja teh ali primerljivih standardov. </w:t>
      </w:r>
    </w:p>
    <w:p w14:paraId="443E6351" w14:textId="3D4A8B7F" w:rsidR="003E6900" w:rsidRPr="003E6900" w:rsidRDefault="003E6900" w:rsidP="003E6900">
      <w:pPr>
        <w:rPr>
          <w:u w:val="single"/>
          <w:lang w:eastAsia="sl-SI"/>
        </w:rPr>
      </w:pPr>
      <w:r w:rsidRPr="003E6900">
        <w:rPr>
          <w:u w:val="single"/>
          <w:lang w:eastAsia="sl-SI"/>
        </w:rPr>
        <w:t>Operativni program odvajanja in čiščenja komunalne odpadne vode v Mestni občini Nova Gorica (oktober 2011);</w:t>
      </w:r>
    </w:p>
    <w:p w14:paraId="2B837297" w14:textId="77777777" w:rsidR="003E6900" w:rsidRDefault="003E6900" w:rsidP="003E6900">
      <w:pPr>
        <w:rPr>
          <w:lang w:eastAsia="sl-SI"/>
        </w:rPr>
      </w:pPr>
      <w:r>
        <w:rPr>
          <w:lang w:eastAsia="sl-SI"/>
        </w:rPr>
        <w:t xml:space="preserve">Pomemben del programa, ki se nanaša na pluvialne poplave – odvajanje padavinskih voda v operativnem programu opredeljujejo naslednji elementi: </w:t>
      </w:r>
    </w:p>
    <w:tbl>
      <w:tblPr>
        <w:tblStyle w:val="Tabelamrea"/>
        <w:tblW w:w="0" w:type="auto"/>
        <w:tblInd w:w="-5" w:type="dxa"/>
        <w:tblLook w:val="04A0" w:firstRow="1" w:lastRow="0" w:firstColumn="1" w:lastColumn="0" w:noHBand="0" w:noVBand="1"/>
      </w:tblPr>
      <w:tblGrid>
        <w:gridCol w:w="931"/>
        <w:gridCol w:w="2657"/>
        <w:gridCol w:w="3442"/>
        <w:gridCol w:w="2603"/>
      </w:tblGrid>
      <w:tr w:rsidR="003E6900" w14:paraId="3ABA4448" w14:textId="77777777" w:rsidTr="003E6900">
        <w:tc>
          <w:tcPr>
            <w:tcW w:w="0" w:type="auto"/>
          </w:tcPr>
          <w:p w14:paraId="6CCFD389" w14:textId="77777777" w:rsidR="003E6900" w:rsidRDefault="003E6900" w:rsidP="003E6900">
            <w:pPr>
              <w:rPr>
                <w:lang w:eastAsia="sl-SI"/>
              </w:rPr>
            </w:pPr>
            <w:r>
              <w:rPr>
                <w:lang w:eastAsia="sl-SI"/>
              </w:rPr>
              <w:t>AGLO ID</w:t>
            </w:r>
          </w:p>
        </w:tc>
        <w:tc>
          <w:tcPr>
            <w:tcW w:w="0" w:type="auto"/>
          </w:tcPr>
          <w:p w14:paraId="7BF30FF3" w14:textId="77777777" w:rsidR="003E6900" w:rsidRDefault="003E6900" w:rsidP="003E6900">
            <w:pPr>
              <w:rPr>
                <w:lang w:eastAsia="sl-SI"/>
              </w:rPr>
            </w:pPr>
            <w:r>
              <w:rPr>
                <w:lang w:eastAsia="sl-SI"/>
              </w:rPr>
              <w:t>naselje</w:t>
            </w:r>
          </w:p>
        </w:tc>
        <w:tc>
          <w:tcPr>
            <w:tcW w:w="0" w:type="auto"/>
          </w:tcPr>
          <w:p w14:paraId="36B7CDBF" w14:textId="77777777" w:rsidR="003E6900" w:rsidRDefault="003E6900" w:rsidP="003E6900">
            <w:pPr>
              <w:rPr>
                <w:lang w:eastAsia="sl-SI"/>
              </w:rPr>
            </w:pPr>
            <w:r>
              <w:rPr>
                <w:lang w:eastAsia="sl-SI"/>
              </w:rPr>
              <w:t>Dolžina mešane/fekalne kanalizacije (m)</w:t>
            </w:r>
          </w:p>
        </w:tc>
        <w:tc>
          <w:tcPr>
            <w:tcW w:w="0" w:type="auto"/>
          </w:tcPr>
          <w:p w14:paraId="445CE497" w14:textId="77777777" w:rsidR="003E6900" w:rsidRDefault="003E6900" w:rsidP="003E6900">
            <w:pPr>
              <w:rPr>
                <w:lang w:eastAsia="sl-SI"/>
              </w:rPr>
            </w:pPr>
            <w:r>
              <w:rPr>
                <w:lang w:eastAsia="sl-SI"/>
              </w:rPr>
              <w:t>Dolžina meteorne kanalizacije</w:t>
            </w:r>
          </w:p>
        </w:tc>
      </w:tr>
      <w:tr w:rsidR="003E6900" w14:paraId="6D1733CC" w14:textId="77777777" w:rsidTr="003E6900">
        <w:tc>
          <w:tcPr>
            <w:tcW w:w="0" w:type="auto"/>
          </w:tcPr>
          <w:p w14:paraId="16DA4651" w14:textId="77777777" w:rsidR="003E6900" w:rsidRDefault="003E6900" w:rsidP="003E6900">
            <w:pPr>
              <w:rPr>
                <w:lang w:eastAsia="sl-SI"/>
              </w:rPr>
            </w:pPr>
            <w:r>
              <w:rPr>
                <w:lang w:eastAsia="sl-SI"/>
              </w:rPr>
              <w:t>1515</w:t>
            </w:r>
          </w:p>
        </w:tc>
        <w:tc>
          <w:tcPr>
            <w:tcW w:w="0" w:type="auto"/>
          </w:tcPr>
          <w:p w14:paraId="4EC841D4" w14:textId="77777777" w:rsidR="003E6900" w:rsidRDefault="003E6900" w:rsidP="003E6900">
            <w:pPr>
              <w:rPr>
                <w:lang w:eastAsia="sl-SI"/>
              </w:rPr>
            </w:pPr>
            <w:r>
              <w:rPr>
                <w:lang w:eastAsia="sl-SI"/>
              </w:rPr>
              <w:t>Nova Gorica in povezana naselja</w:t>
            </w:r>
          </w:p>
        </w:tc>
        <w:tc>
          <w:tcPr>
            <w:tcW w:w="0" w:type="auto"/>
          </w:tcPr>
          <w:p w14:paraId="739248E4" w14:textId="77777777" w:rsidR="003E6900" w:rsidRDefault="003E6900" w:rsidP="003E6900">
            <w:pPr>
              <w:rPr>
                <w:lang w:eastAsia="sl-SI"/>
              </w:rPr>
            </w:pPr>
            <w:r>
              <w:rPr>
                <w:lang w:eastAsia="sl-SI"/>
              </w:rPr>
              <w:t>100.880</w:t>
            </w:r>
          </w:p>
        </w:tc>
        <w:tc>
          <w:tcPr>
            <w:tcW w:w="0" w:type="auto"/>
          </w:tcPr>
          <w:p w14:paraId="4E033BBA" w14:textId="77777777" w:rsidR="003E6900" w:rsidRDefault="003E6900" w:rsidP="003E6900">
            <w:pPr>
              <w:rPr>
                <w:lang w:eastAsia="sl-SI"/>
              </w:rPr>
            </w:pPr>
            <w:r>
              <w:rPr>
                <w:lang w:eastAsia="sl-SI"/>
              </w:rPr>
              <w:t>5.000</w:t>
            </w:r>
          </w:p>
        </w:tc>
      </w:tr>
      <w:tr w:rsidR="003E6900" w14:paraId="0127D466" w14:textId="77777777" w:rsidTr="003E6900">
        <w:tc>
          <w:tcPr>
            <w:tcW w:w="0" w:type="auto"/>
          </w:tcPr>
          <w:p w14:paraId="2E2B0229" w14:textId="77777777" w:rsidR="003E6900" w:rsidRDefault="003E6900" w:rsidP="003E6900">
            <w:pPr>
              <w:rPr>
                <w:lang w:eastAsia="sl-SI"/>
              </w:rPr>
            </w:pPr>
            <w:r>
              <w:rPr>
                <w:lang w:eastAsia="sl-SI"/>
              </w:rPr>
              <w:t>1596</w:t>
            </w:r>
          </w:p>
        </w:tc>
        <w:tc>
          <w:tcPr>
            <w:tcW w:w="0" w:type="auto"/>
          </w:tcPr>
          <w:p w14:paraId="42FEABD9" w14:textId="77777777" w:rsidR="003E6900" w:rsidRDefault="003E6900" w:rsidP="003E6900">
            <w:pPr>
              <w:rPr>
                <w:lang w:eastAsia="sl-SI"/>
              </w:rPr>
            </w:pPr>
            <w:r>
              <w:rPr>
                <w:lang w:eastAsia="sl-SI"/>
              </w:rPr>
              <w:t>Ozeljan, Šempas</w:t>
            </w:r>
          </w:p>
        </w:tc>
        <w:tc>
          <w:tcPr>
            <w:tcW w:w="0" w:type="auto"/>
          </w:tcPr>
          <w:p w14:paraId="3F136C37" w14:textId="77777777" w:rsidR="003E6900" w:rsidRDefault="003E6900" w:rsidP="003E6900">
            <w:pPr>
              <w:rPr>
                <w:lang w:eastAsia="sl-SI"/>
              </w:rPr>
            </w:pPr>
            <w:r>
              <w:rPr>
                <w:lang w:eastAsia="sl-SI"/>
              </w:rPr>
              <w:t>2.750</w:t>
            </w:r>
          </w:p>
        </w:tc>
        <w:tc>
          <w:tcPr>
            <w:tcW w:w="0" w:type="auto"/>
          </w:tcPr>
          <w:p w14:paraId="672B3F49" w14:textId="77777777" w:rsidR="003E6900" w:rsidRDefault="003E6900" w:rsidP="003E6900">
            <w:pPr>
              <w:rPr>
                <w:lang w:eastAsia="sl-SI"/>
              </w:rPr>
            </w:pPr>
            <w:r>
              <w:rPr>
                <w:lang w:eastAsia="sl-SI"/>
              </w:rPr>
              <w:t>1.700</w:t>
            </w:r>
          </w:p>
        </w:tc>
      </w:tr>
      <w:tr w:rsidR="003E6900" w14:paraId="7168E097" w14:textId="77777777" w:rsidTr="003E6900">
        <w:tc>
          <w:tcPr>
            <w:tcW w:w="0" w:type="auto"/>
          </w:tcPr>
          <w:p w14:paraId="700C10B6" w14:textId="77777777" w:rsidR="003E6900" w:rsidRDefault="003E6900" w:rsidP="003E6900">
            <w:pPr>
              <w:rPr>
                <w:lang w:eastAsia="sl-SI"/>
              </w:rPr>
            </w:pPr>
            <w:r>
              <w:rPr>
                <w:lang w:eastAsia="sl-SI"/>
              </w:rPr>
              <w:t>1614</w:t>
            </w:r>
          </w:p>
        </w:tc>
        <w:tc>
          <w:tcPr>
            <w:tcW w:w="0" w:type="auto"/>
          </w:tcPr>
          <w:p w14:paraId="19EA1726" w14:textId="77777777" w:rsidR="003E6900" w:rsidRDefault="003E6900" w:rsidP="003E6900">
            <w:pPr>
              <w:rPr>
                <w:lang w:eastAsia="sl-SI"/>
              </w:rPr>
            </w:pPr>
            <w:r>
              <w:rPr>
                <w:lang w:eastAsia="sl-SI"/>
              </w:rPr>
              <w:t>Ravnica</w:t>
            </w:r>
          </w:p>
        </w:tc>
        <w:tc>
          <w:tcPr>
            <w:tcW w:w="0" w:type="auto"/>
          </w:tcPr>
          <w:p w14:paraId="4486C394" w14:textId="77777777" w:rsidR="003E6900" w:rsidRDefault="003E6900" w:rsidP="003E6900">
            <w:pPr>
              <w:rPr>
                <w:lang w:eastAsia="sl-SI"/>
              </w:rPr>
            </w:pPr>
            <w:r>
              <w:rPr>
                <w:lang w:eastAsia="sl-SI"/>
              </w:rPr>
              <w:t>2.600</w:t>
            </w:r>
          </w:p>
        </w:tc>
        <w:tc>
          <w:tcPr>
            <w:tcW w:w="0" w:type="auto"/>
          </w:tcPr>
          <w:p w14:paraId="0109D624" w14:textId="77777777" w:rsidR="003E6900" w:rsidRDefault="003E6900" w:rsidP="003E6900">
            <w:pPr>
              <w:rPr>
                <w:lang w:eastAsia="sl-SI"/>
              </w:rPr>
            </w:pPr>
            <w:r>
              <w:rPr>
                <w:lang w:eastAsia="sl-SI"/>
              </w:rPr>
              <w:t>950</w:t>
            </w:r>
          </w:p>
        </w:tc>
      </w:tr>
      <w:tr w:rsidR="003E6900" w14:paraId="1CEE2328" w14:textId="77777777" w:rsidTr="003E6900">
        <w:tc>
          <w:tcPr>
            <w:tcW w:w="0" w:type="auto"/>
          </w:tcPr>
          <w:p w14:paraId="5F7D05ED" w14:textId="77777777" w:rsidR="003E6900" w:rsidRDefault="003E6900" w:rsidP="003E6900">
            <w:pPr>
              <w:rPr>
                <w:lang w:eastAsia="sl-SI"/>
              </w:rPr>
            </w:pPr>
            <w:r>
              <w:rPr>
                <w:lang w:eastAsia="sl-SI"/>
              </w:rPr>
              <w:t>1585</w:t>
            </w:r>
          </w:p>
        </w:tc>
        <w:tc>
          <w:tcPr>
            <w:tcW w:w="0" w:type="auto"/>
          </w:tcPr>
          <w:p w14:paraId="5A595141" w14:textId="77777777" w:rsidR="003E6900" w:rsidRDefault="003E6900" w:rsidP="003E6900">
            <w:pPr>
              <w:rPr>
                <w:lang w:eastAsia="sl-SI"/>
              </w:rPr>
            </w:pPr>
            <w:r>
              <w:rPr>
                <w:lang w:eastAsia="sl-SI"/>
              </w:rPr>
              <w:t>Dornberk</w:t>
            </w:r>
          </w:p>
        </w:tc>
        <w:tc>
          <w:tcPr>
            <w:tcW w:w="0" w:type="auto"/>
          </w:tcPr>
          <w:p w14:paraId="2F8F03A1" w14:textId="77777777" w:rsidR="003E6900" w:rsidRDefault="003E6900" w:rsidP="003E6900">
            <w:pPr>
              <w:rPr>
                <w:lang w:eastAsia="sl-SI"/>
              </w:rPr>
            </w:pPr>
            <w:r>
              <w:rPr>
                <w:lang w:eastAsia="sl-SI"/>
              </w:rPr>
              <w:t>2.900</w:t>
            </w:r>
          </w:p>
        </w:tc>
        <w:tc>
          <w:tcPr>
            <w:tcW w:w="0" w:type="auto"/>
          </w:tcPr>
          <w:p w14:paraId="1C8B093D" w14:textId="77777777" w:rsidR="003E6900" w:rsidRDefault="003E6900" w:rsidP="003E6900">
            <w:pPr>
              <w:rPr>
                <w:lang w:eastAsia="sl-SI"/>
              </w:rPr>
            </w:pPr>
            <w:r>
              <w:rPr>
                <w:lang w:eastAsia="sl-SI"/>
              </w:rPr>
              <w:t>1.800</w:t>
            </w:r>
          </w:p>
        </w:tc>
      </w:tr>
      <w:tr w:rsidR="003E6900" w14:paraId="775EE8C4" w14:textId="77777777" w:rsidTr="003E6900">
        <w:tc>
          <w:tcPr>
            <w:tcW w:w="0" w:type="auto"/>
          </w:tcPr>
          <w:p w14:paraId="76C77FA2" w14:textId="77777777" w:rsidR="003E6900" w:rsidRDefault="003E6900" w:rsidP="003E6900">
            <w:pPr>
              <w:rPr>
                <w:lang w:eastAsia="sl-SI"/>
              </w:rPr>
            </w:pPr>
            <w:r>
              <w:rPr>
                <w:lang w:eastAsia="sl-SI"/>
              </w:rPr>
              <w:t>1586</w:t>
            </w:r>
          </w:p>
        </w:tc>
        <w:tc>
          <w:tcPr>
            <w:tcW w:w="0" w:type="auto"/>
          </w:tcPr>
          <w:p w14:paraId="5E785C57" w14:textId="77777777" w:rsidR="003E6900" w:rsidRDefault="003E6900" w:rsidP="003E6900">
            <w:pPr>
              <w:rPr>
                <w:lang w:eastAsia="sl-SI"/>
              </w:rPr>
            </w:pPr>
            <w:r>
              <w:rPr>
                <w:lang w:eastAsia="sl-SI"/>
              </w:rPr>
              <w:t xml:space="preserve">Prvačina </w:t>
            </w:r>
          </w:p>
        </w:tc>
        <w:tc>
          <w:tcPr>
            <w:tcW w:w="0" w:type="auto"/>
          </w:tcPr>
          <w:p w14:paraId="4A7B646D" w14:textId="77777777" w:rsidR="003E6900" w:rsidRDefault="003E6900" w:rsidP="003E6900">
            <w:pPr>
              <w:rPr>
                <w:lang w:eastAsia="sl-SI"/>
              </w:rPr>
            </w:pPr>
            <w:r>
              <w:rPr>
                <w:lang w:eastAsia="sl-SI"/>
              </w:rPr>
              <w:t>5.000</w:t>
            </w:r>
          </w:p>
        </w:tc>
        <w:tc>
          <w:tcPr>
            <w:tcW w:w="0" w:type="auto"/>
          </w:tcPr>
          <w:p w14:paraId="7AC875DF" w14:textId="77777777" w:rsidR="003E6900" w:rsidRDefault="003E6900" w:rsidP="003E6900">
            <w:pPr>
              <w:rPr>
                <w:lang w:eastAsia="sl-SI"/>
              </w:rPr>
            </w:pPr>
          </w:p>
        </w:tc>
      </w:tr>
      <w:tr w:rsidR="003E6900" w14:paraId="21A429E0" w14:textId="77777777" w:rsidTr="003E6900">
        <w:tc>
          <w:tcPr>
            <w:tcW w:w="0" w:type="auto"/>
          </w:tcPr>
          <w:p w14:paraId="0F1491AE" w14:textId="77777777" w:rsidR="003E6900" w:rsidRDefault="003E6900" w:rsidP="003E6900">
            <w:pPr>
              <w:rPr>
                <w:lang w:eastAsia="sl-SI"/>
              </w:rPr>
            </w:pPr>
            <w:r>
              <w:rPr>
                <w:lang w:eastAsia="sl-SI"/>
              </w:rPr>
              <w:t>1535</w:t>
            </w:r>
          </w:p>
        </w:tc>
        <w:tc>
          <w:tcPr>
            <w:tcW w:w="0" w:type="auto"/>
          </w:tcPr>
          <w:p w14:paraId="23257809" w14:textId="77777777" w:rsidR="003E6900" w:rsidRDefault="003E6900" w:rsidP="003E6900">
            <w:pPr>
              <w:rPr>
                <w:lang w:eastAsia="sl-SI"/>
              </w:rPr>
            </w:pPr>
            <w:r>
              <w:rPr>
                <w:lang w:eastAsia="sl-SI"/>
              </w:rPr>
              <w:t>Grgar</w:t>
            </w:r>
          </w:p>
        </w:tc>
        <w:tc>
          <w:tcPr>
            <w:tcW w:w="0" w:type="auto"/>
          </w:tcPr>
          <w:p w14:paraId="6F7AB11B" w14:textId="77777777" w:rsidR="003E6900" w:rsidRDefault="003E6900" w:rsidP="003E6900">
            <w:pPr>
              <w:rPr>
                <w:lang w:eastAsia="sl-SI"/>
              </w:rPr>
            </w:pPr>
            <w:r>
              <w:rPr>
                <w:lang w:eastAsia="sl-SI"/>
              </w:rPr>
              <w:t>5.000</w:t>
            </w:r>
          </w:p>
        </w:tc>
        <w:tc>
          <w:tcPr>
            <w:tcW w:w="0" w:type="auto"/>
          </w:tcPr>
          <w:p w14:paraId="50E94FB8" w14:textId="41E238ED" w:rsidR="003E6900" w:rsidRDefault="003E6900" w:rsidP="003E6900">
            <w:pPr>
              <w:rPr>
                <w:lang w:eastAsia="sl-SI"/>
              </w:rPr>
            </w:pPr>
            <w:r>
              <w:rPr>
                <w:lang w:eastAsia="sl-SI"/>
              </w:rPr>
              <w:t>5.0</w:t>
            </w:r>
            <w:r w:rsidR="00EF5E41">
              <w:rPr>
                <w:lang w:eastAsia="sl-SI"/>
              </w:rPr>
              <w:t>0</w:t>
            </w:r>
            <w:r>
              <w:rPr>
                <w:lang w:eastAsia="sl-SI"/>
              </w:rPr>
              <w:t>0</w:t>
            </w:r>
          </w:p>
        </w:tc>
      </w:tr>
    </w:tbl>
    <w:p w14:paraId="31E73CA9" w14:textId="77777777" w:rsidR="003E6900" w:rsidRDefault="003E6900" w:rsidP="003E6900">
      <w:pPr>
        <w:rPr>
          <w:lang w:eastAsia="sl-SI"/>
        </w:rPr>
      </w:pPr>
    </w:p>
    <w:p w14:paraId="0F0EE169" w14:textId="77777777" w:rsidR="003E6900" w:rsidRDefault="003E6900" w:rsidP="003E6900">
      <w:pPr>
        <w:rPr>
          <w:lang w:eastAsia="sl-SI"/>
        </w:rPr>
      </w:pPr>
      <w:r>
        <w:rPr>
          <w:lang w:eastAsia="sl-SI"/>
        </w:rPr>
        <w:t xml:space="preserve">Opredeljeno je, da je vzpostavljena evidenca utrjenih površin, za katere zagotavlja oskrbo padavinske vode (str. 20), kar omogoča bolj sistematični pristop (1) tehnično – ustrezno odvajanje in čiščenje padavinskih voda, (2) pravno – opredelitev pravnega statusa </w:t>
      </w:r>
      <w:proofErr w:type="spellStart"/>
      <w:r>
        <w:rPr>
          <w:lang w:eastAsia="sl-SI"/>
        </w:rPr>
        <w:t>odvodnje</w:t>
      </w:r>
      <w:proofErr w:type="spellEnd"/>
      <w:r>
        <w:rPr>
          <w:lang w:eastAsia="sl-SI"/>
        </w:rPr>
        <w:t xml:space="preserve">, kot podlaga za zaračunavanje storitve in (3) ekonomsko – opredelitev ustreznega zaračunavanja storitve </w:t>
      </w:r>
      <w:proofErr w:type="spellStart"/>
      <w:r>
        <w:rPr>
          <w:lang w:eastAsia="sl-SI"/>
        </w:rPr>
        <w:t>odvodnje</w:t>
      </w:r>
      <w:proofErr w:type="spellEnd"/>
      <w:r>
        <w:rPr>
          <w:lang w:eastAsia="sl-SI"/>
        </w:rPr>
        <w:t xml:space="preserve"> in čiščenja padavinskih voda. </w:t>
      </w:r>
    </w:p>
    <w:p w14:paraId="48EA2D98" w14:textId="77777777" w:rsidR="003E6900" w:rsidRDefault="003E6900" w:rsidP="003E6900">
      <w:pPr>
        <w:rPr>
          <w:lang w:eastAsia="sl-SI"/>
        </w:rPr>
      </w:pPr>
      <w:r>
        <w:rPr>
          <w:lang w:eastAsia="sl-SI"/>
        </w:rPr>
        <w:t xml:space="preserve">Specifična analiza, ki bi obravnavala stanje </w:t>
      </w:r>
      <w:proofErr w:type="spellStart"/>
      <w:r>
        <w:rPr>
          <w:lang w:eastAsia="sl-SI"/>
        </w:rPr>
        <w:t>odvodnje</w:t>
      </w:r>
      <w:proofErr w:type="spellEnd"/>
      <w:r>
        <w:rPr>
          <w:lang w:eastAsia="sl-SI"/>
        </w:rPr>
        <w:t xml:space="preserve"> padavinskih voda v Mestni občini Nova Gorica in glavnem urbaniziranem območju v njem – naselju Nova Gorica v operativnem programu ni izvedena. Zato tudi specifični ukrepi s katerimi bi se naslavljalo to področje niso podani v operativnem programu.</w:t>
      </w:r>
    </w:p>
    <w:p w14:paraId="5AE3FFC0" w14:textId="77777777" w:rsidR="003E6900" w:rsidRDefault="003E6900" w:rsidP="003E6900">
      <w:r>
        <w:t xml:space="preserve">Priporočamo postopen prenos oz. uveljavljanje navedenih ali primerljivih standardov tudi v operativni program in kasnejšo fazno izvedbo, saj se lahko le na ta način tehnično ustrezno in standardizirano pristopi k oblikovanju ustreznih rešitev na področju odvajanja odpadnih voda, tako za obstoječe stanje, kakor tudi kot podlaga za pripravo na podnebne spremembe.  </w:t>
      </w:r>
    </w:p>
    <w:p w14:paraId="77D7594A" w14:textId="77777777" w:rsidR="003E6900" w:rsidRDefault="003E6900" w:rsidP="003E6900">
      <w:r>
        <w:t xml:space="preserve">Poleg opredelitev, ki se nanašajo predvsem na standarde za načrtovanje novih ukrepov na mešanih kanalizacijskih sistemih priporočamo predvsem vzpostavitev vzdrževanega hidravličnega modela sistema </w:t>
      </w:r>
      <w:proofErr w:type="spellStart"/>
      <w:r>
        <w:t>odvodnje</w:t>
      </w:r>
      <w:proofErr w:type="spellEnd"/>
      <w:r>
        <w:t xml:space="preserve"> padavinskih voda s katerim bo mogoče bolje oceniti stanje obremenjenosti vsakega specifičnega odseka in načrtovati tudi sanacijo odsekov, ki so trenutno ob opredeljenih povratnih dobah preobremenjeni, v primeru spremembe - povečanja intenzitete padavin pa bo v primeru podnebnih sprememb stanje  na teh odsekih še bolj problematično. Pri tem priporočamo uvajanje ukrepov in postopkov, ki jih na področju odvajanja padavinskih voda umeščamo v skupino trajnostnih sistemov </w:t>
      </w:r>
      <w:proofErr w:type="spellStart"/>
      <w:r>
        <w:t>odvodnje</w:t>
      </w:r>
      <w:proofErr w:type="spellEnd"/>
      <w:r>
        <w:t xml:space="preserve"> padavinskih voda (</w:t>
      </w:r>
      <w:proofErr w:type="spellStart"/>
      <w:r>
        <w:t>Sustainable</w:t>
      </w:r>
      <w:proofErr w:type="spellEnd"/>
      <w:r>
        <w:t xml:space="preserve"> </w:t>
      </w:r>
      <w:proofErr w:type="spellStart"/>
      <w:r>
        <w:t>Drainage</w:t>
      </w:r>
      <w:proofErr w:type="spellEnd"/>
      <w:r>
        <w:t xml:space="preserve"> </w:t>
      </w:r>
      <w:proofErr w:type="spellStart"/>
      <w:r>
        <w:t>Systems</w:t>
      </w:r>
      <w:proofErr w:type="spellEnd"/>
      <w:r>
        <w:t xml:space="preserve"> – SUDS).</w:t>
      </w:r>
    </w:p>
    <w:p w14:paraId="258D356A" w14:textId="77777777" w:rsidR="003E6900" w:rsidRPr="001E1703" w:rsidRDefault="003E6900" w:rsidP="003E6900">
      <w:pPr>
        <w:jc w:val="left"/>
        <w:rPr>
          <w:u w:val="single"/>
          <w:lang w:eastAsia="sl-SI"/>
        </w:rPr>
      </w:pPr>
      <w:r w:rsidRPr="001E1703">
        <w:rPr>
          <w:u w:val="single"/>
          <w:lang w:eastAsia="sl-SI"/>
        </w:rPr>
        <w:t xml:space="preserve">Drugi pravni akti: </w:t>
      </w:r>
    </w:p>
    <w:p w14:paraId="3546F39B" w14:textId="77777777" w:rsidR="003E6900" w:rsidRPr="003E6900" w:rsidRDefault="003E6900" w:rsidP="00900691">
      <w:pPr>
        <w:pStyle w:val="Odstavekseznama"/>
        <w:numPr>
          <w:ilvl w:val="0"/>
          <w:numId w:val="50"/>
        </w:numPr>
        <w:rPr>
          <w:lang w:eastAsia="sl-SI"/>
        </w:rPr>
      </w:pPr>
      <w:r w:rsidRPr="003E6900">
        <w:rPr>
          <w:lang w:eastAsia="sl-SI"/>
        </w:rPr>
        <w:t xml:space="preserve">Zakon o varstvu pred naravnimi in drugimi nesrečami ((Uradni list RS, št. 51/06 – uradno prečiščeno besedilo, 97/10 in 21/18 – </w:t>
      </w:r>
      <w:proofErr w:type="spellStart"/>
      <w:r w:rsidRPr="003E6900">
        <w:rPr>
          <w:lang w:eastAsia="sl-SI"/>
        </w:rPr>
        <w:t>ZNOrg</w:t>
      </w:r>
      <w:proofErr w:type="spellEnd"/>
      <w:r w:rsidRPr="003E6900">
        <w:rPr>
          <w:lang w:eastAsia="sl-SI"/>
        </w:rPr>
        <w:t>).</w:t>
      </w:r>
    </w:p>
    <w:p w14:paraId="7DFC61D0" w14:textId="77777777" w:rsidR="003E6900" w:rsidRPr="003E6900" w:rsidRDefault="003E6900" w:rsidP="00900691">
      <w:pPr>
        <w:pStyle w:val="Odstavekseznama"/>
        <w:numPr>
          <w:ilvl w:val="1"/>
          <w:numId w:val="50"/>
        </w:numPr>
        <w:spacing w:after="120"/>
        <w:rPr>
          <w:lang w:eastAsia="sl-SI"/>
        </w:rPr>
      </w:pPr>
      <w:r w:rsidRPr="003E6900">
        <w:rPr>
          <w:lang w:eastAsia="sl-SI"/>
        </w:rPr>
        <w:lastRenderedPageBreak/>
        <w:t>Uredba o vsebini in izdelavi načrtov zaščite in reševanja (Uradni list RS, št. 24/12, 78/16 in 26/19)</w:t>
      </w:r>
    </w:p>
    <w:p w14:paraId="564166F7" w14:textId="77777777" w:rsidR="003E6900" w:rsidRDefault="003E6900" w:rsidP="003E6900">
      <w:r>
        <w:rPr>
          <w:lang w:eastAsia="sl-SI"/>
        </w:rPr>
        <w:t xml:space="preserve">Poseben pravni akt na področju poplavne varnosti predstavlja postopek vpliva podnebnih sprememb, ki se uveljavlja na področju priprave prostorskih aktov - </w:t>
      </w:r>
      <w:r>
        <w:t xml:space="preserve">Navodilo izdelovalcem poročila o vplivih na okolje za obravnavo vidika podnebnih sprememb (MOP, 2020). Poleg ciljev zmanjševanja emisij toplogrednih plinov navodilo podaja tudi primerljiv pristop vezan na identifikacijo ranljivosti. Praktični okvir izvedbe navedenih navodil za specifično področje poplavne ogroženosti je sicer še precej vprašljiv. </w:t>
      </w:r>
    </w:p>
    <w:p w14:paraId="12886AB3" w14:textId="6E9F757C" w:rsidR="002628D8" w:rsidRDefault="002628D8">
      <w:pPr>
        <w:jc w:val="left"/>
      </w:pPr>
    </w:p>
    <w:p w14:paraId="08A0151B" w14:textId="77777777" w:rsidR="00882ADC" w:rsidRDefault="00882ADC" w:rsidP="00882ADC">
      <w:pPr>
        <w:pStyle w:val="Naslov3"/>
      </w:pPr>
      <w:bookmarkStart w:id="520" w:name="_Toc65052903"/>
      <w:bookmarkStart w:id="521" w:name="_Toc97026812"/>
      <w:r w:rsidRPr="00B14994">
        <w:t xml:space="preserve">Obstoječe </w:t>
      </w:r>
      <w:r w:rsidRPr="000415FD">
        <w:t>stanje</w:t>
      </w:r>
      <w:r w:rsidRPr="00B14994">
        <w:t xml:space="preserve"> </w:t>
      </w:r>
      <w:r>
        <w:t>sektorja poplavna ogroženost</w:t>
      </w:r>
      <w:bookmarkEnd w:id="520"/>
      <w:bookmarkEnd w:id="521"/>
    </w:p>
    <w:p w14:paraId="005664A2" w14:textId="4D3168EF" w:rsidR="00882ADC" w:rsidRDefault="00882ADC" w:rsidP="00CE43D7">
      <w:pPr>
        <w:pStyle w:val="Naslov4"/>
      </w:pPr>
      <w:r>
        <w:t>Obstoječe stanje sistemov odvajanja padavinskih voda</w:t>
      </w:r>
      <w:r w:rsidR="00BE6D4C">
        <w:t xml:space="preserve"> – pluvialne poplave</w:t>
      </w:r>
    </w:p>
    <w:p w14:paraId="15C76E63" w14:textId="77777777" w:rsidR="003E6900" w:rsidRPr="00601B34" w:rsidRDefault="003E6900" w:rsidP="003E6900">
      <w:pPr>
        <w:rPr>
          <w:lang w:eastAsia="sl-SI"/>
        </w:rPr>
      </w:pPr>
      <w:r>
        <w:rPr>
          <w:lang w:eastAsia="sl-SI"/>
        </w:rPr>
        <w:t xml:space="preserve">Ogroženost zaradi padavinskih voda se oblikuje predvsem v urbanih okoljih, saj je povezana z razvojem neprepustnih površin (strehe, prometnice, parkirišča), kar se je zgodovinsko običajno oblikovalo brez ustreznih tehničnih izhodišč, kar pomeni, da so tudi oblikovane rešitve pomanjkljive. Stanje sistema odhodnje padavinskih voda v naselju Nova Gorica prikazuje naslednja slika: </w:t>
      </w:r>
    </w:p>
    <w:p w14:paraId="76C7991E" w14:textId="77777777" w:rsidR="003E6900" w:rsidRDefault="003E6900" w:rsidP="003E6900">
      <w:pPr>
        <w:keepNext/>
        <w:ind w:left="360"/>
        <w:jc w:val="center"/>
      </w:pPr>
      <w:r>
        <w:rPr>
          <w:noProof/>
          <w:lang w:eastAsia="sl-SI"/>
        </w:rPr>
        <w:drawing>
          <wp:inline distT="0" distB="0" distL="0" distR="0" wp14:anchorId="4C0AC013" wp14:editId="70BC4626">
            <wp:extent cx="4343800" cy="2897069"/>
            <wp:effectExtent l="0" t="0" r="0" b="0"/>
            <wp:docPr id="211193129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350494" cy="2901533"/>
                    </a:xfrm>
                    <a:prstGeom prst="rect">
                      <a:avLst/>
                    </a:prstGeom>
                  </pic:spPr>
                </pic:pic>
              </a:graphicData>
            </a:graphic>
          </wp:inline>
        </w:drawing>
      </w:r>
    </w:p>
    <w:p w14:paraId="1EE27C36" w14:textId="36C0540B" w:rsidR="003E6900" w:rsidRDefault="003E6900" w:rsidP="003E6900">
      <w:pPr>
        <w:pStyle w:val="Napis"/>
        <w:jc w:val="left"/>
        <w:rPr>
          <w:lang w:eastAsia="sl-SI"/>
        </w:rPr>
      </w:pPr>
      <w:bookmarkStart w:id="522" w:name="_Toc97026915"/>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64</w:t>
      </w:r>
      <w:r w:rsidR="008334B2">
        <w:fldChar w:fldCharType="end"/>
      </w:r>
      <w:r w:rsidRPr="00423D32">
        <w:t xml:space="preserve">: Prikaz stanja sistema odvajanja in </w:t>
      </w:r>
      <w:proofErr w:type="spellStart"/>
      <w:r w:rsidRPr="00423D32">
        <w:t>čiščanje</w:t>
      </w:r>
      <w:proofErr w:type="spellEnd"/>
      <w:r w:rsidRPr="00423D32">
        <w:t xml:space="preserve"> komunalnih odpadnih in padavinskih voda (Vir: GURS zbirni kataster gospodarske javne infrastrukture)</w:t>
      </w:r>
      <w:bookmarkEnd w:id="522"/>
    </w:p>
    <w:p w14:paraId="0473CF0D" w14:textId="21484427" w:rsidR="003E6900" w:rsidRDefault="003E6900" w:rsidP="003E6900">
      <w:pPr>
        <w:rPr>
          <w:noProof/>
          <w:lang w:eastAsia="sl-SI"/>
        </w:rPr>
      </w:pPr>
      <w:r>
        <w:rPr>
          <w:noProof/>
          <w:lang w:eastAsia="sl-SI"/>
        </w:rPr>
        <w:t xml:space="preserve">Iz slike je razvidno, da v sistemu prevladujejo mešani kanalizacijski vodi, ki se v zadrževalniku in črpališču ob Erjavčevi cesti pred mejnim prehodom zberejo in prečrpavajo v smeri proti Centralni čistilni napravi ob Vrtojbici. Presežne količine se razbremenjujejo v odvodnik Koren. </w:t>
      </w:r>
    </w:p>
    <w:p w14:paraId="6C6B49D5" w14:textId="6AFC5D06" w:rsidR="00642FD9" w:rsidRDefault="00642FD9" w:rsidP="003E6900">
      <w:pPr>
        <w:rPr>
          <w:noProof/>
          <w:lang w:eastAsia="sl-SI"/>
        </w:rPr>
      </w:pPr>
    </w:p>
    <w:p w14:paraId="6E8997B4" w14:textId="77777777" w:rsidR="00642FD9" w:rsidRDefault="00642FD9" w:rsidP="003E6900">
      <w:pPr>
        <w:rPr>
          <w:noProof/>
          <w:lang w:eastAsia="sl-SI"/>
        </w:rPr>
      </w:pPr>
    </w:p>
    <w:p w14:paraId="5DA85A70" w14:textId="2D734307" w:rsidR="003E6900" w:rsidRPr="0021246A" w:rsidRDefault="003E6900" w:rsidP="00BE6D4C">
      <w:pPr>
        <w:pStyle w:val="Naslov4"/>
      </w:pPr>
      <w:r>
        <w:lastRenderedPageBreak/>
        <w:t>Fluvialna poplavna ogroženost</w:t>
      </w:r>
    </w:p>
    <w:p w14:paraId="1EA26683" w14:textId="77777777" w:rsidR="003E6900" w:rsidRDefault="003E6900" w:rsidP="003E6900">
      <w:r>
        <w:t>Obstoječe stanje poplavne nevarnosti, ki je osnova za opredeljevanje poplavne ogroženosti na območju Mestne občine Nova Gorica je prikazano na spodnjih slikah. Ugotavljamo lahko, da modeliranje poplavne nevarnosti v Mestni občini Nova Gorica že izvedeno v veliki meri z izdelanimi kartami poplavne nevarnosti, ki so objavljene na atlasu voda (DRSV).</w:t>
      </w:r>
    </w:p>
    <w:p w14:paraId="574371AD" w14:textId="77777777" w:rsidR="003E6900" w:rsidRDefault="003E6900" w:rsidP="003E6900">
      <w:r>
        <w:t xml:space="preserve">Ključna območja poplavne ogroženosti na območju mestne občine Nova Gorica so: </w:t>
      </w:r>
    </w:p>
    <w:p w14:paraId="516CDBA1" w14:textId="77777777" w:rsidR="003E6900" w:rsidRPr="00BE6D4C" w:rsidRDefault="003E6900" w:rsidP="00900691">
      <w:pPr>
        <w:pStyle w:val="Odstavekseznama"/>
        <w:numPr>
          <w:ilvl w:val="0"/>
          <w:numId w:val="51"/>
        </w:numPr>
        <w:rPr>
          <w:rFonts w:ascii="Trebuchet MS" w:hAnsi="Trebuchet MS"/>
        </w:rPr>
      </w:pPr>
      <w:r w:rsidRPr="00BE6D4C">
        <w:rPr>
          <w:rFonts w:ascii="Trebuchet MS" w:hAnsi="Trebuchet MS"/>
        </w:rPr>
        <w:t xml:space="preserve">Območje odvodnika Koren </w:t>
      </w:r>
    </w:p>
    <w:p w14:paraId="58328AE6" w14:textId="77777777" w:rsidR="003E6900" w:rsidRPr="00BE6D4C" w:rsidRDefault="003E6900" w:rsidP="00900691">
      <w:pPr>
        <w:pStyle w:val="Odstavekseznama"/>
        <w:numPr>
          <w:ilvl w:val="0"/>
          <w:numId w:val="51"/>
        </w:numPr>
        <w:rPr>
          <w:rFonts w:ascii="Trebuchet MS" w:hAnsi="Trebuchet MS"/>
        </w:rPr>
      </w:pPr>
      <w:r w:rsidRPr="00BE6D4C">
        <w:rPr>
          <w:rFonts w:ascii="Trebuchet MS" w:hAnsi="Trebuchet MS"/>
        </w:rPr>
        <w:t xml:space="preserve">Območje Grgar </w:t>
      </w:r>
    </w:p>
    <w:p w14:paraId="26078A79" w14:textId="77777777" w:rsidR="003E6900" w:rsidRPr="00BE6D4C" w:rsidRDefault="003E6900" w:rsidP="00900691">
      <w:pPr>
        <w:pStyle w:val="Odstavekseznama"/>
        <w:numPr>
          <w:ilvl w:val="0"/>
          <w:numId w:val="51"/>
        </w:numPr>
        <w:rPr>
          <w:rFonts w:ascii="Trebuchet MS" w:hAnsi="Trebuchet MS"/>
        </w:rPr>
      </w:pPr>
      <w:r w:rsidRPr="00BE6D4C">
        <w:rPr>
          <w:rFonts w:ascii="Trebuchet MS" w:hAnsi="Trebuchet MS"/>
        </w:rPr>
        <w:t>Območje Rožna dolina</w:t>
      </w:r>
    </w:p>
    <w:p w14:paraId="0A581389" w14:textId="77777777" w:rsidR="003E6900" w:rsidRPr="00BE6D4C" w:rsidRDefault="003E6900" w:rsidP="00900691">
      <w:pPr>
        <w:pStyle w:val="Odstavekseznama"/>
        <w:numPr>
          <w:ilvl w:val="0"/>
          <w:numId w:val="51"/>
        </w:numPr>
        <w:rPr>
          <w:rFonts w:ascii="Trebuchet MS" w:hAnsi="Trebuchet MS"/>
        </w:rPr>
      </w:pPr>
      <w:r w:rsidRPr="00BE6D4C">
        <w:rPr>
          <w:rFonts w:ascii="Trebuchet MS" w:hAnsi="Trebuchet MS"/>
        </w:rPr>
        <w:t xml:space="preserve">Območje Lijak </w:t>
      </w:r>
    </w:p>
    <w:p w14:paraId="6FF21E7F" w14:textId="77777777" w:rsidR="003E6900" w:rsidRPr="00BE6D4C" w:rsidRDefault="003E6900" w:rsidP="00900691">
      <w:pPr>
        <w:pStyle w:val="Odstavekseznama"/>
        <w:numPr>
          <w:ilvl w:val="0"/>
          <w:numId w:val="51"/>
        </w:numPr>
        <w:rPr>
          <w:rFonts w:ascii="Trebuchet MS" w:hAnsi="Trebuchet MS"/>
        </w:rPr>
      </w:pPr>
      <w:r w:rsidRPr="00BE6D4C">
        <w:rPr>
          <w:rFonts w:ascii="Trebuchet MS" w:hAnsi="Trebuchet MS"/>
        </w:rPr>
        <w:t xml:space="preserve">Območje Potok </w:t>
      </w:r>
    </w:p>
    <w:p w14:paraId="3688E307" w14:textId="77777777" w:rsidR="003E6900" w:rsidRPr="00BE6D4C" w:rsidRDefault="003E6900" w:rsidP="00900691">
      <w:pPr>
        <w:pStyle w:val="Odstavekseznama"/>
        <w:numPr>
          <w:ilvl w:val="0"/>
          <w:numId w:val="51"/>
        </w:numPr>
        <w:rPr>
          <w:rFonts w:ascii="Trebuchet MS" w:hAnsi="Trebuchet MS"/>
        </w:rPr>
      </w:pPr>
      <w:r w:rsidRPr="00BE6D4C">
        <w:rPr>
          <w:rFonts w:ascii="Trebuchet MS" w:hAnsi="Trebuchet MS"/>
        </w:rPr>
        <w:t xml:space="preserve">Območje Branica </w:t>
      </w:r>
    </w:p>
    <w:p w14:paraId="39AE74B1" w14:textId="1C1EC3B8" w:rsidR="003E6900" w:rsidRPr="00BE6D4C" w:rsidRDefault="003E6900" w:rsidP="00900691">
      <w:pPr>
        <w:pStyle w:val="Odstavekseznama"/>
        <w:numPr>
          <w:ilvl w:val="0"/>
          <w:numId w:val="51"/>
        </w:numPr>
        <w:spacing w:after="120"/>
        <w:ind w:left="714" w:hanging="357"/>
        <w:rPr>
          <w:rFonts w:ascii="Trebuchet MS" w:hAnsi="Trebuchet MS"/>
        </w:rPr>
      </w:pPr>
      <w:r w:rsidRPr="00BE6D4C">
        <w:rPr>
          <w:rFonts w:ascii="Trebuchet MS" w:hAnsi="Trebuchet MS"/>
        </w:rPr>
        <w:t>Območje Prvačina - Dornberk</w:t>
      </w:r>
    </w:p>
    <w:p w14:paraId="7384DC01" w14:textId="77777777" w:rsidR="003E6900" w:rsidRDefault="003E6900" w:rsidP="003E6900">
      <w:r>
        <w:t xml:space="preserve">V nadaljevanju so navedena območja prikazana in opisan osnovni mehanizem poplav. </w:t>
      </w:r>
    </w:p>
    <w:p w14:paraId="02C01659" w14:textId="50504414" w:rsidR="003E6900" w:rsidRDefault="003E6900" w:rsidP="00BE6D4C">
      <w:pPr>
        <w:pStyle w:val="Naslov5"/>
      </w:pPr>
      <w:r>
        <w:t>Odvodnik Koren Nova Gorica</w:t>
      </w:r>
    </w:p>
    <w:p w14:paraId="1F839D16" w14:textId="77777777" w:rsidR="00BE6D4C" w:rsidRDefault="003E6900" w:rsidP="00BE6D4C">
      <w:pPr>
        <w:keepNext/>
        <w:ind w:left="360"/>
        <w:jc w:val="center"/>
      </w:pPr>
      <w:r>
        <w:rPr>
          <w:noProof/>
          <w:lang w:eastAsia="sl-SI"/>
        </w:rPr>
        <w:drawing>
          <wp:inline distT="0" distB="0" distL="0" distR="0" wp14:anchorId="29A1D5C3" wp14:editId="613568A4">
            <wp:extent cx="4227535" cy="3642400"/>
            <wp:effectExtent l="0" t="0" r="1905" b="0"/>
            <wp:docPr id="2111931291"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232557" cy="3646727"/>
                    </a:xfrm>
                    <a:prstGeom prst="rect">
                      <a:avLst/>
                    </a:prstGeom>
                  </pic:spPr>
                </pic:pic>
              </a:graphicData>
            </a:graphic>
          </wp:inline>
        </w:drawing>
      </w:r>
    </w:p>
    <w:p w14:paraId="1E25F5AD" w14:textId="62D35F9D" w:rsidR="003E6900" w:rsidRDefault="00BE6D4C" w:rsidP="00BE6D4C">
      <w:pPr>
        <w:pStyle w:val="Napis"/>
        <w:rPr>
          <w:lang w:eastAsia="sl-SI"/>
        </w:rPr>
      </w:pPr>
      <w:bookmarkStart w:id="523" w:name="_Toc97026916"/>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65</w:t>
      </w:r>
      <w:r w:rsidR="008334B2">
        <w:fldChar w:fldCharType="end"/>
      </w:r>
      <w:r>
        <w:t xml:space="preserve">: </w:t>
      </w:r>
      <w:r w:rsidRPr="004C5001">
        <w:t>Območje ob vodotoku Koren</w:t>
      </w:r>
      <w:bookmarkEnd w:id="523"/>
    </w:p>
    <w:p w14:paraId="35557EDD" w14:textId="77777777" w:rsidR="003E6900" w:rsidRPr="00A76C66" w:rsidRDefault="003E6900" w:rsidP="00BE6D4C">
      <w:r>
        <w:t xml:space="preserve">Vodotok Koren je močno reguliran vodotok, ki je bil postopoma urbaniziran. </w:t>
      </w:r>
      <w:r w:rsidRPr="00A76C66">
        <w:t xml:space="preserve">Na območju </w:t>
      </w:r>
      <w:r>
        <w:t>M</w:t>
      </w:r>
      <w:r w:rsidRPr="00A76C66">
        <w:t xml:space="preserve">estne občine Nova Gorica je mogoče prepoznati tako z vidika preteklih dogodkov, kakor tudi z vidika izdelanih hidravličnih modelov, da je poplavna nevarnost močno prisotna. Pri tem izstopa poplavna ogroženost urbaniziranega dela Nove Gorice zaradi vodotoka Koren. </w:t>
      </w:r>
    </w:p>
    <w:p w14:paraId="2BF0C1DF" w14:textId="77777777" w:rsidR="003E6900" w:rsidRPr="00A76C66" w:rsidRDefault="003E6900" w:rsidP="00BE6D4C">
      <w:r w:rsidRPr="00A76C66">
        <w:lastRenderedPageBreak/>
        <w:t>Za navedeno območje so bile izdelane različne analize v skladu z Uredbo o pogojih in omejitvah za izvajanje dejavnosti in posegov v prostor na območjih, ogroženih zaradi poplav in z njimi povezane erozije celinskih voda in morja (</w:t>
      </w:r>
      <w:proofErr w:type="spellStart"/>
      <w:r w:rsidRPr="00A76C66">
        <w:t>Ur.l</w:t>
      </w:r>
      <w:proofErr w:type="spellEnd"/>
      <w:r w:rsidRPr="00A76C66">
        <w:t>. RS 89/2008), ki izkazujejo v urbaniziranem delu naselja majhno do srednjo poplavno ogroženost.</w:t>
      </w:r>
    </w:p>
    <w:p w14:paraId="4E4A5CD4" w14:textId="669CE400" w:rsidR="003E6900" w:rsidRPr="00A76C66" w:rsidRDefault="003E6900" w:rsidP="00BE6D4C">
      <w:r w:rsidRPr="00A76C66">
        <w:t xml:space="preserve">Pri tem je razlog za poplavno ogroženost </w:t>
      </w:r>
      <w:proofErr w:type="spellStart"/>
      <w:r w:rsidRPr="00A76C66">
        <w:t>poddimenzionirana</w:t>
      </w:r>
      <w:proofErr w:type="spellEnd"/>
      <w:r w:rsidRPr="00A76C66">
        <w:t xml:space="preserve"> hidravlična prevodna sposobnost potoka Koren, ki cca. 200 metrov pred mejo z Republiko Italijo preide v daljši prekriti odsek, ki ne omogoča hidravlične prevodnosti visokih voda, saj je njegova pretočna sposobnost omejena na cca. 19 m3/s (nepotopljen vtok) in 23 m3/s – potopljen vtok v obstoječe prekritje </w:t>
      </w:r>
      <w:proofErr w:type="spellStart"/>
      <w:r w:rsidRPr="00A76C66">
        <w:t>Korna</w:t>
      </w:r>
      <w:proofErr w:type="spellEnd"/>
      <w:r w:rsidRPr="00A76C66">
        <w:t>.</w:t>
      </w:r>
    </w:p>
    <w:p w14:paraId="75F0FACB" w14:textId="77777777" w:rsidR="00BE6D4C" w:rsidRDefault="003E6900" w:rsidP="00BE6D4C">
      <w:pPr>
        <w:keepNext/>
        <w:spacing w:line="360" w:lineRule="auto"/>
        <w:jc w:val="center"/>
      </w:pPr>
      <w:r w:rsidRPr="00A76C66">
        <w:rPr>
          <w:noProof/>
          <w:lang w:eastAsia="sl-SI"/>
        </w:rPr>
        <w:drawing>
          <wp:inline distT="0" distB="0" distL="0" distR="0" wp14:anchorId="4C449934" wp14:editId="7EB63BC0">
            <wp:extent cx="4992041" cy="1885406"/>
            <wp:effectExtent l="0" t="0" r="0" b="635"/>
            <wp:docPr id="2111931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48" cstate="print"/>
                    <a:stretch>
                      <a:fillRect/>
                    </a:stretch>
                  </pic:blipFill>
                  <pic:spPr>
                    <a:xfrm>
                      <a:off x="0" y="0"/>
                      <a:ext cx="4992041" cy="1885406"/>
                    </a:xfrm>
                    <a:prstGeom prst="rect">
                      <a:avLst/>
                    </a:prstGeom>
                  </pic:spPr>
                </pic:pic>
              </a:graphicData>
            </a:graphic>
          </wp:inline>
        </w:drawing>
      </w:r>
    </w:p>
    <w:p w14:paraId="15D82289" w14:textId="78455CBF" w:rsidR="003E6900" w:rsidRPr="00A76C66" w:rsidRDefault="00BE6D4C" w:rsidP="00BE6D4C">
      <w:pPr>
        <w:pStyle w:val="Napis"/>
      </w:pPr>
      <w:bookmarkStart w:id="524" w:name="_Toc97026917"/>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66</w:t>
      </w:r>
      <w:r w:rsidR="008334B2">
        <w:fldChar w:fldCharType="end"/>
      </w:r>
      <w:r>
        <w:t xml:space="preserve">: </w:t>
      </w:r>
      <w:proofErr w:type="spellStart"/>
      <w:r w:rsidRPr="00964A89">
        <w:t>Vtočni</w:t>
      </w:r>
      <w:proofErr w:type="spellEnd"/>
      <w:r w:rsidRPr="00964A89">
        <w:t xml:space="preserve"> del v prekritje na slovenski strani.</w:t>
      </w:r>
      <w:bookmarkEnd w:id="524"/>
    </w:p>
    <w:p w14:paraId="7BC87745" w14:textId="2BE3B40F" w:rsidR="003E6900" w:rsidRDefault="003E6900" w:rsidP="00BE6D4C">
      <w:r w:rsidRPr="00A76C66">
        <w:t xml:space="preserve">Izrazito poplavno ogroženost je potrdila tudi poplava oktobra 1984, ko so visoke vode </w:t>
      </w:r>
      <w:proofErr w:type="spellStart"/>
      <w:r w:rsidRPr="00A76C66">
        <w:t>Korna</w:t>
      </w:r>
      <w:proofErr w:type="spellEnd"/>
      <w:r w:rsidRPr="00A76C66">
        <w:t xml:space="preserve"> zalile velik del območja Nove Gorice in Gorice. Posledično je bil v letu 1989 zgrajen suhi zadrževalnik </w:t>
      </w:r>
      <w:proofErr w:type="spellStart"/>
      <w:r w:rsidRPr="00A76C66">
        <w:t>Pikolud</w:t>
      </w:r>
      <w:proofErr w:type="spellEnd"/>
      <w:r w:rsidRPr="00A76C66">
        <w:t xml:space="preserve">, ki od začetka obratovanja ustrezno varuje urbano območje Nove Gorice in Gorice pred visokimi vodami. </w:t>
      </w:r>
      <w:r>
        <w:t>Sedanje stanje predstavlja močno odstopanje od stanja pred cca. 200 leti (slika 2), saj je v tem obdobju nastopila izrazita urbanizacija prostora, katere je posledica je bila tudi prekritje potoka Koren v dolžini daljši od 2 km.</w:t>
      </w:r>
    </w:p>
    <w:p w14:paraId="549489F3" w14:textId="597F780B" w:rsidR="003E6900" w:rsidRPr="00A76C66" w:rsidRDefault="003E6900" w:rsidP="00BE6D4C">
      <w:r>
        <w:t xml:space="preserve">Zadrževalnik </w:t>
      </w:r>
      <w:proofErr w:type="spellStart"/>
      <w:r>
        <w:t>Pikolud</w:t>
      </w:r>
      <w:proofErr w:type="spellEnd"/>
      <w:r>
        <w:t xml:space="preserve"> s svojim razpoložljiv volumnom dokaj uspešno varuje urbanizirano območje Nove Gorice in Gorice pred visokimi vodami, ki prihajajo iz samega povodja potoka Koren do zadrževalnika, večjo težavo predstavlja obremenjevanje potoka Koren s padavinskimi vodami, ki prihajajo iz urbaniziranega dela naselja Nova Gorica </w:t>
      </w:r>
      <w:proofErr w:type="spellStart"/>
      <w:r>
        <w:t>dolvodno</w:t>
      </w:r>
      <w:proofErr w:type="spellEnd"/>
      <w:r>
        <w:t xml:space="preserve"> od zadrževalnika, kar se z nadaljnjo urbanizacijo in povečanjem intenzitete kratkotrajnih padavin vsled podnebnih sprememb še poslabšuje.</w:t>
      </w:r>
    </w:p>
    <w:p w14:paraId="617D2117" w14:textId="77777777" w:rsidR="003E6900" w:rsidRPr="00A76C66" w:rsidRDefault="003E6900" w:rsidP="003E6900">
      <w:pPr>
        <w:spacing w:line="360" w:lineRule="auto"/>
      </w:pPr>
    </w:p>
    <w:p w14:paraId="484FF08D" w14:textId="77777777" w:rsidR="00BE6D4C" w:rsidRDefault="003E6900" w:rsidP="009A7AFC">
      <w:pPr>
        <w:jc w:val="center"/>
      </w:pPr>
      <w:r w:rsidRPr="00A76C66">
        <w:rPr>
          <w:noProof/>
          <w:lang w:eastAsia="sl-SI"/>
        </w:rPr>
        <w:lastRenderedPageBreak/>
        <w:drawing>
          <wp:inline distT="0" distB="0" distL="0" distR="0" wp14:anchorId="301F291D" wp14:editId="5152152D">
            <wp:extent cx="4715302" cy="3126156"/>
            <wp:effectExtent l="0" t="0" r="9525" b="0"/>
            <wp:docPr id="21119312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49" cstate="print"/>
                    <a:stretch>
                      <a:fillRect/>
                    </a:stretch>
                  </pic:blipFill>
                  <pic:spPr>
                    <a:xfrm>
                      <a:off x="0" y="0"/>
                      <a:ext cx="4715302" cy="3126156"/>
                    </a:xfrm>
                    <a:prstGeom prst="rect">
                      <a:avLst/>
                    </a:prstGeom>
                  </pic:spPr>
                </pic:pic>
              </a:graphicData>
            </a:graphic>
          </wp:inline>
        </w:drawing>
      </w:r>
    </w:p>
    <w:p w14:paraId="186B6C30" w14:textId="6E6A9657" w:rsidR="003E6900" w:rsidRPr="00A76C66" w:rsidRDefault="00BE6D4C" w:rsidP="009A7AFC">
      <w:pPr>
        <w:pStyle w:val="Napis"/>
        <w:jc w:val="left"/>
      </w:pPr>
      <w:bookmarkStart w:id="525" w:name="_Toc97026918"/>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67</w:t>
      </w:r>
      <w:r w:rsidR="008334B2">
        <w:fldChar w:fldCharType="end"/>
      </w:r>
      <w:r>
        <w:t xml:space="preserve">: </w:t>
      </w:r>
      <w:r w:rsidRPr="00AC6B16">
        <w:t>Območje vodotoka Koren v Gorici (Palača Attems) leta 1822, ko potok Koren še ni bil prekrit.</w:t>
      </w:r>
      <w:bookmarkEnd w:id="525"/>
    </w:p>
    <w:p w14:paraId="7BEC1EBE" w14:textId="77777777" w:rsidR="00BE6D4C" w:rsidRDefault="003E6900" w:rsidP="00BE6D4C">
      <w:pPr>
        <w:keepNext/>
        <w:jc w:val="center"/>
      </w:pPr>
      <w:r>
        <w:rPr>
          <w:noProof/>
          <w:lang w:eastAsia="sl-SI"/>
        </w:rPr>
        <w:drawing>
          <wp:inline distT="0" distB="0" distL="0" distR="0" wp14:anchorId="5F06C999" wp14:editId="7DF596DE">
            <wp:extent cx="5932967" cy="2086610"/>
            <wp:effectExtent l="0" t="0" r="0" b="8890"/>
            <wp:docPr id="2111931294"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34762" cy="2087241"/>
                    </a:xfrm>
                    <a:prstGeom prst="rect">
                      <a:avLst/>
                    </a:prstGeom>
                  </pic:spPr>
                </pic:pic>
              </a:graphicData>
            </a:graphic>
          </wp:inline>
        </w:drawing>
      </w:r>
    </w:p>
    <w:p w14:paraId="77DC1A11" w14:textId="2A5BEA97" w:rsidR="003E6900" w:rsidRPr="00A76C66" w:rsidRDefault="00BE6D4C" w:rsidP="00BE6D4C">
      <w:pPr>
        <w:pStyle w:val="Napis"/>
        <w:jc w:val="left"/>
      </w:pPr>
      <w:bookmarkStart w:id="526" w:name="_Toc97026919"/>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68</w:t>
      </w:r>
      <w:r w:rsidR="008334B2">
        <w:fldChar w:fldCharType="end"/>
      </w:r>
      <w:r w:rsidRPr="006326AE">
        <w:t xml:space="preserve">: Območje vodotoka Koren v Gorici (vir: </w:t>
      </w:r>
      <w:proofErr w:type="spellStart"/>
      <w:r w:rsidRPr="006326AE">
        <w:t>Mapire</w:t>
      </w:r>
      <w:proofErr w:type="spellEnd"/>
      <w:r w:rsidRPr="006326AE">
        <w:t xml:space="preserve"> – Obalno območje (1821–1824) – Druga vojaška izmera Habsburškega imperija.</w:t>
      </w:r>
      <w:bookmarkEnd w:id="526"/>
    </w:p>
    <w:p w14:paraId="46FA5D79" w14:textId="55032E65" w:rsidR="003E6900" w:rsidRDefault="003E6900" w:rsidP="00BE6D4C">
      <w:r w:rsidRPr="00A76C66">
        <w:t xml:space="preserve">V letu 2012 Izdelana analiza izkazuje, da je območje še vedno ogroženo pred visokimi vodami, saj je vpliv meteorne </w:t>
      </w:r>
      <w:proofErr w:type="spellStart"/>
      <w:r w:rsidRPr="00A76C66">
        <w:t>odvodnje</w:t>
      </w:r>
      <w:proofErr w:type="spellEnd"/>
      <w:r w:rsidRPr="00A76C66">
        <w:t xml:space="preserve"> iz urbanega območja Nove Gorice, ki se razbremenjuje v Koren tako velik, da je že presežena maksimalna pretočna sposobnost odvodnika in bi prišlo do poplavljanja površin na območju Kotalkališče »NG-30« s </w:t>
      </w:r>
      <w:proofErr w:type="spellStart"/>
      <w:r w:rsidRPr="00A76C66">
        <w:t>prekomejnimi</w:t>
      </w:r>
      <w:proofErr w:type="spellEnd"/>
      <w:r w:rsidRPr="00A76C66">
        <w:t xml:space="preserve"> vplivi. </w:t>
      </w:r>
      <w:r>
        <w:t xml:space="preserve">Območje je opredeljeno tudi kot območje pomembnega vpliva poplav (skupaj z </w:t>
      </w:r>
      <w:proofErr w:type="spellStart"/>
      <w:r>
        <w:t>Vrtojbico</w:t>
      </w:r>
      <w:proofErr w:type="spellEnd"/>
      <w:r>
        <w:t xml:space="preserve"> v Rožni dolini), s podatki o OPVP:</w:t>
      </w:r>
    </w:p>
    <w:p w14:paraId="7617CABB" w14:textId="09C9534F" w:rsidR="009A7AFC" w:rsidRDefault="009A7AFC" w:rsidP="00BE6D4C"/>
    <w:p w14:paraId="0B8DBC6B" w14:textId="5782099F" w:rsidR="009A7AFC" w:rsidRDefault="009A7AFC" w:rsidP="00BE6D4C"/>
    <w:p w14:paraId="32B7EDCE" w14:textId="77777777" w:rsidR="009A7AFC" w:rsidRDefault="009A7AFC" w:rsidP="00BE6D4C"/>
    <w:tbl>
      <w:tblPr>
        <w:tblStyle w:val="TableGrid1"/>
        <w:tblW w:w="5000" w:type="pct"/>
        <w:tblLook w:val="04A0" w:firstRow="1" w:lastRow="0" w:firstColumn="1" w:lastColumn="0" w:noHBand="0" w:noVBand="1"/>
      </w:tblPr>
      <w:tblGrid>
        <w:gridCol w:w="5923"/>
        <w:gridCol w:w="3705"/>
      </w:tblGrid>
      <w:tr w:rsidR="00BE6D4C" w:rsidRPr="00BE6D4C" w14:paraId="0C04E51B" w14:textId="77777777" w:rsidTr="00BE6D4C">
        <w:trPr>
          <w:trHeight w:val="20"/>
        </w:trPr>
        <w:tc>
          <w:tcPr>
            <w:tcW w:w="3076" w:type="pct"/>
            <w:shd w:val="clear" w:color="auto" w:fill="D9D9D9" w:themeFill="background1" w:themeFillShade="D9"/>
            <w:hideMark/>
          </w:tcPr>
          <w:p w14:paraId="3B680102" w14:textId="77777777" w:rsidR="00BE6D4C" w:rsidRPr="00BE6D4C" w:rsidRDefault="00BE6D4C" w:rsidP="00BE6D4C">
            <w:pPr>
              <w:jc w:val="left"/>
              <w:rPr>
                <w:rFonts w:eastAsia="Times New Roman" w:cs="Calibri"/>
                <w:color w:val="000000"/>
              </w:rPr>
            </w:pPr>
            <w:r w:rsidRPr="00BE6D4C">
              <w:rPr>
                <w:rFonts w:eastAsia="Times New Roman" w:cs="Calibri"/>
                <w:color w:val="000000"/>
              </w:rPr>
              <w:lastRenderedPageBreak/>
              <w:t>Naziv območja</w:t>
            </w:r>
          </w:p>
        </w:tc>
        <w:tc>
          <w:tcPr>
            <w:tcW w:w="1924" w:type="pct"/>
            <w:shd w:val="clear" w:color="auto" w:fill="D9D9D9" w:themeFill="background1" w:themeFillShade="D9"/>
            <w:hideMark/>
          </w:tcPr>
          <w:p w14:paraId="1FFB7003" w14:textId="77777777" w:rsidR="00BE6D4C" w:rsidRPr="00BE6D4C" w:rsidRDefault="00BE6D4C" w:rsidP="00BE6D4C">
            <w:pPr>
              <w:jc w:val="center"/>
              <w:rPr>
                <w:rFonts w:eastAsia="Times New Roman" w:cs="Calibri"/>
                <w:color w:val="000000"/>
              </w:rPr>
            </w:pPr>
            <w:r w:rsidRPr="00BE6D4C">
              <w:rPr>
                <w:rFonts w:eastAsia="Times New Roman" w:cs="Calibri"/>
                <w:color w:val="000000"/>
              </w:rPr>
              <w:t>Nova Gorica</w:t>
            </w:r>
          </w:p>
        </w:tc>
      </w:tr>
      <w:tr w:rsidR="00BE6D4C" w:rsidRPr="00BE6D4C" w14:paraId="7F3E7BC4" w14:textId="77777777" w:rsidTr="00BE6D4C">
        <w:trPr>
          <w:trHeight w:val="20"/>
        </w:trPr>
        <w:tc>
          <w:tcPr>
            <w:tcW w:w="3076" w:type="pct"/>
            <w:hideMark/>
          </w:tcPr>
          <w:p w14:paraId="32D5F142" w14:textId="77777777" w:rsidR="00BE6D4C" w:rsidRPr="00BE6D4C" w:rsidRDefault="00BE6D4C" w:rsidP="00BE6D4C">
            <w:pPr>
              <w:jc w:val="left"/>
              <w:rPr>
                <w:rFonts w:eastAsia="Times New Roman" w:cs="Calibri"/>
                <w:color w:val="000000"/>
              </w:rPr>
            </w:pPr>
            <w:r w:rsidRPr="00BE6D4C">
              <w:rPr>
                <w:rFonts w:eastAsia="Times New Roman" w:cs="Calibri"/>
                <w:color w:val="000000"/>
              </w:rPr>
              <w:t>Površina območja (km2)</w:t>
            </w:r>
          </w:p>
        </w:tc>
        <w:tc>
          <w:tcPr>
            <w:tcW w:w="1924" w:type="pct"/>
            <w:hideMark/>
          </w:tcPr>
          <w:p w14:paraId="54955082" w14:textId="77777777" w:rsidR="00BE6D4C" w:rsidRPr="00BE6D4C" w:rsidRDefault="00BE6D4C" w:rsidP="00BE6D4C">
            <w:pPr>
              <w:jc w:val="center"/>
              <w:rPr>
                <w:rFonts w:eastAsia="Times New Roman" w:cs="Calibri"/>
                <w:color w:val="000000"/>
              </w:rPr>
            </w:pPr>
            <w:r w:rsidRPr="00BE6D4C">
              <w:rPr>
                <w:rFonts w:eastAsia="Times New Roman" w:cs="Calibri"/>
                <w:color w:val="000000"/>
              </w:rPr>
              <w:t>0,71</w:t>
            </w:r>
          </w:p>
        </w:tc>
      </w:tr>
      <w:tr w:rsidR="00BE6D4C" w:rsidRPr="00BE6D4C" w14:paraId="11B34A3F" w14:textId="77777777" w:rsidTr="00BE6D4C">
        <w:trPr>
          <w:trHeight w:val="20"/>
        </w:trPr>
        <w:tc>
          <w:tcPr>
            <w:tcW w:w="3076" w:type="pct"/>
            <w:hideMark/>
          </w:tcPr>
          <w:p w14:paraId="1B1F07AA" w14:textId="77777777" w:rsidR="00BE6D4C" w:rsidRPr="00BE6D4C" w:rsidRDefault="00BE6D4C" w:rsidP="00BE6D4C">
            <w:pPr>
              <w:jc w:val="left"/>
              <w:rPr>
                <w:rFonts w:eastAsia="Times New Roman" w:cs="Calibri"/>
                <w:color w:val="000000"/>
              </w:rPr>
            </w:pPr>
            <w:r w:rsidRPr="00BE6D4C">
              <w:rPr>
                <w:rFonts w:eastAsia="Times New Roman" w:cs="Calibri"/>
                <w:color w:val="000000"/>
              </w:rPr>
              <w:t>Število stalnih in začasnih prebivalcev</w:t>
            </w:r>
          </w:p>
        </w:tc>
        <w:tc>
          <w:tcPr>
            <w:tcW w:w="1924" w:type="pct"/>
            <w:hideMark/>
          </w:tcPr>
          <w:p w14:paraId="1075C92C" w14:textId="77777777" w:rsidR="00BE6D4C" w:rsidRPr="00BE6D4C" w:rsidRDefault="00BE6D4C" w:rsidP="00BE6D4C">
            <w:pPr>
              <w:jc w:val="center"/>
              <w:rPr>
                <w:rFonts w:eastAsia="Times New Roman" w:cs="Calibri"/>
                <w:color w:val="000000"/>
              </w:rPr>
            </w:pPr>
            <w:r w:rsidRPr="00BE6D4C">
              <w:rPr>
                <w:rFonts w:eastAsia="Times New Roman" w:cs="Calibri"/>
                <w:color w:val="000000"/>
              </w:rPr>
              <w:t>1722</w:t>
            </w:r>
          </w:p>
        </w:tc>
      </w:tr>
      <w:tr w:rsidR="00BE6D4C" w:rsidRPr="00BE6D4C" w14:paraId="0D0DFD14" w14:textId="77777777" w:rsidTr="00BE6D4C">
        <w:trPr>
          <w:trHeight w:val="20"/>
        </w:trPr>
        <w:tc>
          <w:tcPr>
            <w:tcW w:w="3076" w:type="pct"/>
            <w:hideMark/>
          </w:tcPr>
          <w:p w14:paraId="2633FB46" w14:textId="77777777" w:rsidR="00BE6D4C" w:rsidRPr="00BE6D4C" w:rsidRDefault="00BE6D4C" w:rsidP="00BE6D4C">
            <w:pPr>
              <w:jc w:val="left"/>
              <w:rPr>
                <w:rFonts w:eastAsia="Times New Roman" w:cs="Calibri"/>
                <w:color w:val="000000"/>
              </w:rPr>
            </w:pPr>
            <w:r w:rsidRPr="00BE6D4C">
              <w:rPr>
                <w:rFonts w:eastAsia="Times New Roman" w:cs="Calibri"/>
                <w:color w:val="000000"/>
              </w:rPr>
              <w:t>Število hiš s hišno št.</w:t>
            </w:r>
          </w:p>
        </w:tc>
        <w:tc>
          <w:tcPr>
            <w:tcW w:w="1924" w:type="pct"/>
            <w:hideMark/>
          </w:tcPr>
          <w:p w14:paraId="333B8299" w14:textId="77777777" w:rsidR="00BE6D4C" w:rsidRPr="00BE6D4C" w:rsidRDefault="00BE6D4C" w:rsidP="00BE6D4C">
            <w:pPr>
              <w:jc w:val="center"/>
              <w:rPr>
                <w:rFonts w:eastAsia="Times New Roman" w:cs="Calibri"/>
                <w:color w:val="000000"/>
              </w:rPr>
            </w:pPr>
            <w:r w:rsidRPr="00BE6D4C">
              <w:rPr>
                <w:rFonts w:eastAsia="Times New Roman" w:cs="Calibri"/>
                <w:color w:val="000000"/>
              </w:rPr>
              <w:t> 337</w:t>
            </w:r>
          </w:p>
        </w:tc>
      </w:tr>
      <w:tr w:rsidR="00BE6D4C" w:rsidRPr="00BE6D4C" w14:paraId="05497707" w14:textId="77777777" w:rsidTr="00BE6D4C">
        <w:trPr>
          <w:trHeight w:val="20"/>
        </w:trPr>
        <w:tc>
          <w:tcPr>
            <w:tcW w:w="3076" w:type="pct"/>
            <w:hideMark/>
          </w:tcPr>
          <w:p w14:paraId="6CB2A568" w14:textId="77777777" w:rsidR="00BE6D4C" w:rsidRPr="00BE6D4C" w:rsidRDefault="00BE6D4C" w:rsidP="00BE6D4C">
            <w:pPr>
              <w:jc w:val="left"/>
              <w:rPr>
                <w:rFonts w:eastAsia="Times New Roman" w:cs="Calibri"/>
                <w:color w:val="000000"/>
              </w:rPr>
            </w:pPr>
            <w:r w:rsidRPr="00BE6D4C">
              <w:rPr>
                <w:rFonts w:eastAsia="Times New Roman" w:cs="Calibri"/>
                <w:color w:val="000000"/>
              </w:rPr>
              <w:t>Št. kulturnih spomenikov državnega pomena</w:t>
            </w:r>
          </w:p>
        </w:tc>
        <w:tc>
          <w:tcPr>
            <w:tcW w:w="1924" w:type="pct"/>
            <w:hideMark/>
          </w:tcPr>
          <w:p w14:paraId="1C806904" w14:textId="77777777" w:rsidR="00BE6D4C" w:rsidRPr="00BE6D4C" w:rsidRDefault="00BE6D4C" w:rsidP="00BE6D4C">
            <w:pPr>
              <w:jc w:val="center"/>
              <w:rPr>
                <w:rFonts w:eastAsia="Times New Roman" w:cs="Calibri"/>
                <w:color w:val="000000"/>
              </w:rPr>
            </w:pPr>
            <w:r w:rsidRPr="00BE6D4C">
              <w:rPr>
                <w:rFonts w:eastAsia="Times New Roman" w:cs="Calibri"/>
                <w:color w:val="000000"/>
              </w:rPr>
              <w:t>11</w:t>
            </w:r>
          </w:p>
        </w:tc>
      </w:tr>
      <w:tr w:rsidR="00BE6D4C" w:rsidRPr="00BE6D4C" w14:paraId="410DB31D" w14:textId="77777777" w:rsidTr="00BE6D4C">
        <w:trPr>
          <w:trHeight w:val="20"/>
        </w:trPr>
        <w:tc>
          <w:tcPr>
            <w:tcW w:w="3076" w:type="pct"/>
            <w:hideMark/>
          </w:tcPr>
          <w:p w14:paraId="6E680056" w14:textId="77777777" w:rsidR="00BE6D4C" w:rsidRPr="00BE6D4C" w:rsidRDefault="00BE6D4C" w:rsidP="00BE6D4C">
            <w:pPr>
              <w:jc w:val="left"/>
              <w:rPr>
                <w:rFonts w:eastAsia="Times New Roman" w:cs="Calibri"/>
                <w:color w:val="000000"/>
              </w:rPr>
            </w:pPr>
            <w:r w:rsidRPr="00BE6D4C">
              <w:rPr>
                <w:rFonts w:eastAsia="Times New Roman" w:cs="Calibri"/>
                <w:color w:val="000000"/>
              </w:rPr>
              <w:t>Število poslovnih subjektov</w:t>
            </w:r>
          </w:p>
        </w:tc>
        <w:tc>
          <w:tcPr>
            <w:tcW w:w="1924" w:type="pct"/>
            <w:hideMark/>
          </w:tcPr>
          <w:p w14:paraId="26E1D74F" w14:textId="77777777" w:rsidR="00BE6D4C" w:rsidRPr="00BE6D4C" w:rsidRDefault="00BE6D4C" w:rsidP="00BE6D4C">
            <w:pPr>
              <w:jc w:val="center"/>
              <w:rPr>
                <w:rFonts w:eastAsia="Times New Roman" w:cs="Calibri"/>
                <w:color w:val="000000"/>
              </w:rPr>
            </w:pPr>
            <w:r w:rsidRPr="00BE6D4C">
              <w:rPr>
                <w:rFonts w:eastAsia="Times New Roman" w:cs="Calibri"/>
                <w:color w:val="000000"/>
              </w:rPr>
              <w:t>342</w:t>
            </w:r>
          </w:p>
        </w:tc>
      </w:tr>
      <w:tr w:rsidR="00BE6D4C" w:rsidRPr="00BE6D4C" w14:paraId="6A05E331" w14:textId="77777777" w:rsidTr="00BE6D4C">
        <w:trPr>
          <w:trHeight w:val="20"/>
        </w:trPr>
        <w:tc>
          <w:tcPr>
            <w:tcW w:w="3076" w:type="pct"/>
            <w:hideMark/>
          </w:tcPr>
          <w:p w14:paraId="459D28F7" w14:textId="77777777" w:rsidR="00BE6D4C" w:rsidRPr="00BE6D4C" w:rsidRDefault="00BE6D4C" w:rsidP="00BE6D4C">
            <w:pPr>
              <w:jc w:val="left"/>
              <w:rPr>
                <w:rFonts w:eastAsia="Times New Roman" w:cs="Calibri"/>
                <w:color w:val="000000"/>
              </w:rPr>
            </w:pPr>
            <w:r w:rsidRPr="00BE6D4C">
              <w:rPr>
                <w:rFonts w:eastAsia="Times New Roman" w:cs="Calibri"/>
                <w:color w:val="000000"/>
              </w:rPr>
              <w:t>Ocenjeno št. zaposlenih</w:t>
            </w:r>
          </w:p>
        </w:tc>
        <w:tc>
          <w:tcPr>
            <w:tcW w:w="1924" w:type="pct"/>
            <w:hideMark/>
          </w:tcPr>
          <w:p w14:paraId="393965DF" w14:textId="77777777" w:rsidR="00BE6D4C" w:rsidRPr="00BE6D4C" w:rsidRDefault="00BE6D4C" w:rsidP="00BE6D4C">
            <w:pPr>
              <w:jc w:val="center"/>
              <w:rPr>
                <w:rFonts w:eastAsia="Times New Roman" w:cs="Calibri"/>
                <w:color w:val="000000"/>
              </w:rPr>
            </w:pPr>
            <w:r w:rsidRPr="00BE6D4C">
              <w:rPr>
                <w:rFonts w:eastAsia="Times New Roman" w:cs="Calibri"/>
                <w:color w:val="000000"/>
              </w:rPr>
              <w:t>1909</w:t>
            </w:r>
          </w:p>
        </w:tc>
      </w:tr>
      <w:tr w:rsidR="00BE6D4C" w:rsidRPr="00BE6D4C" w14:paraId="35D1565F" w14:textId="77777777" w:rsidTr="00BE6D4C">
        <w:trPr>
          <w:trHeight w:val="20"/>
        </w:trPr>
        <w:tc>
          <w:tcPr>
            <w:tcW w:w="3076" w:type="pct"/>
            <w:hideMark/>
          </w:tcPr>
          <w:p w14:paraId="7EE9BE11" w14:textId="77777777" w:rsidR="00BE6D4C" w:rsidRPr="00BE6D4C" w:rsidRDefault="00BE6D4C" w:rsidP="00BE6D4C">
            <w:pPr>
              <w:jc w:val="left"/>
              <w:rPr>
                <w:rFonts w:eastAsia="Times New Roman" w:cs="Calibri"/>
                <w:color w:val="000000"/>
              </w:rPr>
            </w:pPr>
            <w:proofErr w:type="spellStart"/>
            <w:r w:rsidRPr="00BE6D4C">
              <w:rPr>
                <w:rFonts w:eastAsia="Times New Roman" w:cs="Calibri"/>
                <w:color w:val="000000"/>
              </w:rPr>
              <w:t>Površ</w:t>
            </w:r>
            <w:proofErr w:type="spellEnd"/>
            <w:r w:rsidRPr="00BE6D4C">
              <w:rPr>
                <w:rFonts w:eastAsia="Times New Roman" w:cs="Calibri"/>
                <w:color w:val="000000"/>
              </w:rPr>
              <w:t xml:space="preserve">. </w:t>
            </w:r>
            <w:proofErr w:type="spellStart"/>
            <w:r w:rsidRPr="00BE6D4C">
              <w:rPr>
                <w:rFonts w:eastAsia="Times New Roman" w:cs="Calibri"/>
                <w:color w:val="000000"/>
              </w:rPr>
              <w:t>Omočja</w:t>
            </w:r>
            <w:proofErr w:type="spellEnd"/>
            <w:r w:rsidRPr="00BE6D4C">
              <w:rPr>
                <w:rFonts w:eastAsia="Times New Roman" w:cs="Calibri"/>
                <w:color w:val="000000"/>
              </w:rPr>
              <w:t xml:space="preserve"> (</w:t>
            </w:r>
            <w:proofErr w:type="spellStart"/>
            <w:r w:rsidRPr="00BE6D4C">
              <w:rPr>
                <w:rFonts w:eastAsia="Times New Roman" w:cs="Calibri"/>
                <w:color w:val="000000"/>
              </w:rPr>
              <w:t>onesnaž-enje</w:t>
            </w:r>
            <w:proofErr w:type="spellEnd"/>
            <w:r w:rsidRPr="00BE6D4C">
              <w:rPr>
                <w:rFonts w:eastAsia="Times New Roman" w:cs="Calibri"/>
                <w:color w:val="000000"/>
              </w:rPr>
              <w:t>)</w:t>
            </w:r>
          </w:p>
        </w:tc>
        <w:tc>
          <w:tcPr>
            <w:tcW w:w="1924" w:type="pct"/>
            <w:hideMark/>
          </w:tcPr>
          <w:p w14:paraId="682D8843" w14:textId="77777777" w:rsidR="00BE6D4C" w:rsidRPr="00BE6D4C" w:rsidRDefault="00BE6D4C" w:rsidP="00BE6D4C">
            <w:pPr>
              <w:jc w:val="center"/>
              <w:rPr>
                <w:rFonts w:eastAsia="Times New Roman" w:cs="Calibri"/>
                <w:color w:val="000000"/>
              </w:rPr>
            </w:pPr>
            <w:r w:rsidRPr="00BE6D4C">
              <w:rPr>
                <w:rFonts w:eastAsia="Times New Roman" w:cs="Calibri"/>
                <w:color w:val="000000"/>
              </w:rPr>
              <w:t> 1</w:t>
            </w:r>
          </w:p>
        </w:tc>
      </w:tr>
      <w:tr w:rsidR="00BE6D4C" w:rsidRPr="00BE6D4C" w14:paraId="193C4414" w14:textId="77777777" w:rsidTr="00BE6D4C">
        <w:trPr>
          <w:trHeight w:val="20"/>
        </w:trPr>
        <w:tc>
          <w:tcPr>
            <w:tcW w:w="3076" w:type="pct"/>
            <w:hideMark/>
          </w:tcPr>
          <w:p w14:paraId="3AEB40CC" w14:textId="77777777" w:rsidR="00BE6D4C" w:rsidRPr="00BE6D4C" w:rsidRDefault="00BE6D4C" w:rsidP="00BE6D4C">
            <w:pPr>
              <w:jc w:val="left"/>
              <w:rPr>
                <w:rFonts w:eastAsia="Times New Roman" w:cs="Calibri"/>
                <w:color w:val="000000"/>
              </w:rPr>
            </w:pPr>
            <w:r w:rsidRPr="00BE6D4C">
              <w:rPr>
                <w:rFonts w:eastAsia="Times New Roman" w:cs="Calibri"/>
                <w:color w:val="000000"/>
              </w:rPr>
              <w:t>IPPC SEVESO</w:t>
            </w:r>
          </w:p>
        </w:tc>
        <w:tc>
          <w:tcPr>
            <w:tcW w:w="1924" w:type="pct"/>
            <w:hideMark/>
          </w:tcPr>
          <w:p w14:paraId="6E21941E" w14:textId="77777777" w:rsidR="00BE6D4C" w:rsidRPr="00BE6D4C" w:rsidRDefault="00BE6D4C" w:rsidP="00BE6D4C">
            <w:pPr>
              <w:jc w:val="center"/>
              <w:rPr>
                <w:rFonts w:eastAsia="Times New Roman" w:cs="Calibri"/>
                <w:color w:val="000000"/>
              </w:rPr>
            </w:pPr>
            <w:r w:rsidRPr="00BE6D4C">
              <w:rPr>
                <w:rFonts w:eastAsia="Times New Roman" w:cs="Calibri"/>
                <w:color w:val="000000"/>
              </w:rPr>
              <w:t>4</w:t>
            </w:r>
          </w:p>
        </w:tc>
      </w:tr>
      <w:tr w:rsidR="00BE6D4C" w:rsidRPr="00BE6D4C" w14:paraId="1A14EDBF" w14:textId="77777777" w:rsidTr="00BE6D4C">
        <w:trPr>
          <w:trHeight w:val="20"/>
        </w:trPr>
        <w:tc>
          <w:tcPr>
            <w:tcW w:w="3076" w:type="pct"/>
            <w:hideMark/>
          </w:tcPr>
          <w:p w14:paraId="380C6C70" w14:textId="77777777" w:rsidR="00BE6D4C" w:rsidRPr="00BE6D4C" w:rsidRDefault="00BE6D4C" w:rsidP="00BE6D4C">
            <w:pPr>
              <w:jc w:val="left"/>
              <w:rPr>
                <w:rFonts w:eastAsia="Times New Roman" w:cs="Calibri"/>
                <w:color w:val="000000"/>
              </w:rPr>
            </w:pPr>
            <w:r w:rsidRPr="00BE6D4C">
              <w:rPr>
                <w:rFonts w:eastAsia="Times New Roman" w:cs="Calibri"/>
                <w:color w:val="000000"/>
              </w:rPr>
              <w:t xml:space="preserve">Linijska </w:t>
            </w:r>
            <w:proofErr w:type="spellStart"/>
            <w:r w:rsidRPr="00BE6D4C">
              <w:rPr>
                <w:rFonts w:eastAsia="Times New Roman" w:cs="Calibri"/>
                <w:color w:val="000000"/>
              </w:rPr>
              <w:t>infr</w:t>
            </w:r>
            <w:proofErr w:type="spellEnd"/>
            <w:r w:rsidRPr="00BE6D4C">
              <w:rPr>
                <w:rFonts w:eastAsia="Times New Roman" w:cs="Calibri"/>
                <w:color w:val="000000"/>
              </w:rPr>
              <w:t>. (km)</w:t>
            </w:r>
          </w:p>
        </w:tc>
        <w:tc>
          <w:tcPr>
            <w:tcW w:w="1924" w:type="pct"/>
            <w:hideMark/>
          </w:tcPr>
          <w:p w14:paraId="4FA8CEDE" w14:textId="77777777" w:rsidR="00BE6D4C" w:rsidRPr="00BE6D4C" w:rsidRDefault="00BE6D4C" w:rsidP="00BE6D4C">
            <w:pPr>
              <w:jc w:val="center"/>
              <w:rPr>
                <w:rFonts w:eastAsia="Times New Roman" w:cs="Calibri"/>
                <w:color w:val="000000"/>
              </w:rPr>
            </w:pPr>
            <w:r w:rsidRPr="00BE6D4C">
              <w:rPr>
                <w:rFonts w:eastAsia="Times New Roman" w:cs="Calibri"/>
                <w:color w:val="000000"/>
              </w:rPr>
              <w:t>13</w:t>
            </w:r>
          </w:p>
        </w:tc>
      </w:tr>
      <w:tr w:rsidR="00BE6D4C" w:rsidRPr="00BE6D4C" w14:paraId="6DCA77CA" w14:textId="77777777" w:rsidTr="00BE6D4C">
        <w:trPr>
          <w:trHeight w:val="20"/>
        </w:trPr>
        <w:tc>
          <w:tcPr>
            <w:tcW w:w="3076" w:type="pct"/>
            <w:hideMark/>
          </w:tcPr>
          <w:p w14:paraId="2FF17CB9" w14:textId="77777777" w:rsidR="00BE6D4C" w:rsidRPr="00BE6D4C" w:rsidRDefault="00BE6D4C" w:rsidP="00BE6D4C">
            <w:pPr>
              <w:jc w:val="left"/>
              <w:rPr>
                <w:rFonts w:eastAsia="Times New Roman" w:cs="Calibri"/>
                <w:color w:val="000000"/>
              </w:rPr>
            </w:pPr>
            <w:r w:rsidRPr="00BE6D4C">
              <w:rPr>
                <w:rFonts w:eastAsia="Times New Roman" w:cs="Calibri"/>
                <w:color w:val="000000"/>
              </w:rPr>
              <w:t xml:space="preserve">Družbena </w:t>
            </w:r>
            <w:proofErr w:type="spellStart"/>
            <w:r w:rsidRPr="00BE6D4C">
              <w:rPr>
                <w:rFonts w:eastAsia="Times New Roman" w:cs="Calibri"/>
                <w:color w:val="000000"/>
              </w:rPr>
              <w:t>infr</w:t>
            </w:r>
            <w:proofErr w:type="spellEnd"/>
            <w:r w:rsidRPr="00BE6D4C">
              <w:rPr>
                <w:rFonts w:eastAsia="Times New Roman" w:cs="Calibri"/>
                <w:color w:val="000000"/>
              </w:rPr>
              <w:t>.</w:t>
            </w:r>
          </w:p>
        </w:tc>
        <w:tc>
          <w:tcPr>
            <w:tcW w:w="1924" w:type="pct"/>
            <w:hideMark/>
          </w:tcPr>
          <w:p w14:paraId="5E4A91DB" w14:textId="77777777" w:rsidR="00BE6D4C" w:rsidRPr="00BE6D4C" w:rsidRDefault="00BE6D4C" w:rsidP="00BE6D4C">
            <w:pPr>
              <w:jc w:val="center"/>
              <w:rPr>
                <w:rFonts w:eastAsia="Times New Roman" w:cs="Calibri"/>
                <w:color w:val="000000"/>
              </w:rPr>
            </w:pPr>
            <w:r w:rsidRPr="00BE6D4C">
              <w:rPr>
                <w:rFonts w:eastAsia="Times New Roman" w:cs="Calibri"/>
                <w:color w:val="000000"/>
              </w:rPr>
              <w:t>13</w:t>
            </w:r>
          </w:p>
        </w:tc>
      </w:tr>
    </w:tbl>
    <w:p w14:paraId="65F39A4F" w14:textId="77777777" w:rsidR="00BE6D4C" w:rsidRPr="00A76C66" w:rsidRDefault="00BE6D4C" w:rsidP="003E6900">
      <w:pPr>
        <w:spacing w:line="360" w:lineRule="auto"/>
      </w:pPr>
    </w:p>
    <w:p w14:paraId="62A4F816" w14:textId="77777777" w:rsidR="009A7AFC" w:rsidRDefault="003E6900" w:rsidP="009A7AFC">
      <w:pPr>
        <w:keepNext/>
      </w:pPr>
      <w:r>
        <w:rPr>
          <w:noProof/>
          <w:lang w:eastAsia="sl-SI"/>
        </w:rPr>
        <w:drawing>
          <wp:inline distT="0" distB="0" distL="0" distR="0" wp14:anchorId="5CA419CD" wp14:editId="1E7EB70D">
            <wp:extent cx="5972810" cy="5094605"/>
            <wp:effectExtent l="0" t="0" r="8890" b="0"/>
            <wp:docPr id="21119312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print"/>
                    <a:stretch>
                      <a:fillRect/>
                    </a:stretch>
                  </pic:blipFill>
                  <pic:spPr>
                    <a:xfrm>
                      <a:off x="0" y="0"/>
                      <a:ext cx="5972810" cy="5094605"/>
                    </a:xfrm>
                    <a:prstGeom prst="rect">
                      <a:avLst/>
                    </a:prstGeom>
                  </pic:spPr>
                </pic:pic>
              </a:graphicData>
            </a:graphic>
          </wp:inline>
        </w:drawing>
      </w:r>
    </w:p>
    <w:p w14:paraId="00EFA934" w14:textId="4722D6E2" w:rsidR="003E6900" w:rsidRDefault="009A7AFC" w:rsidP="009A7AFC">
      <w:pPr>
        <w:pStyle w:val="Napis"/>
      </w:pPr>
      <w:bookmarkStart w:id="527" w:name="_Toc97026920"/>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69</w:t>
      </w:r>
      <w:r w:rsidR="008334B2">
        <w:fldChar w:fldCharType="end"/>
      </w:r>
      <w:r>
        <w:t xml:space="preserve">: </w:t>
      </w:r>
      <w:r w:rsidRPr="00267326">
        <w:t>Pregled analizirani objektov na poplavnem območju (modri objekti so objekti, ki so podkleteni, zeleni objekti so objekti brez podkletitve (vseh objektov, tudi izven poplavnega območja je 169).</w:t>
      </w:r>
      <w:bookmarkEnd w:id="527"/>
    </w:p>
    <w:p w14:paraId="3F56BD24" w14:textId="77777777" w:rsidR="003E6900" w:rsidRDefault="003E6900" w:rsidP="003E6900">
      <w:pPr>
        <w:ind w:left="360"/>
        <w:rPr>
          <w:lang w:eastAsia="sl-SI"/>
        </w:rPr>
      </w:pPr>
    </w:p>
    <w:p w14:paraId="7DA2E3C0" w14:textId="3450EE91" w:rsidR="003E6900" w:rsidRDefault="003E6900" w:rsidP="009A7AFC">
      <w:pPr>
        <w:rPr>
          <w:lang w:eastAsia="sl-SI"/>
        </w:rPr>
      </w:pPr>
      <w:r>
        <w:rPr>
          <w:lang w:eastAsia="sl-SI"/>
        </w:rPr>
        <w:lastRenderedPageBreak/>
        <w:t>Območje predstavlja eno od prioritetnih območij, ob tem je bil leta 2016 izdelan DIIP (naročnik: DRSV) »U</w:t>
      </w:r>
      <w:r w:rsidRPr="005B47EF">
        <w:rPr>
          <w:lang w:eastAsia="sl-SI"/>
        </w:rPr>
        <w:t>krepi za zmanjšanje poplav</w:t>
      </w:r>
      <w:r>
        <w:rPr>
          <w:lang w:eastAsia="sl-SI"/>
        </w:rPr>
        <w:t>ne ogroženosti zaradi vodotoka K</w:t>
      </w:r>
      <w:r w:rsidRPr="005B47EF">
        <w:rPr>
          <w:lang w:eastAsia="sl-SI"/>
        </w:rPr>
        <w:t>oren na območju mestne občine Nova Gorica</w:t>
      </w:r>
      <w:r>
        <w:rPr>
          <w:lang w:eastAsia="sl-SI"/>
        </w:rPr>
        <w:t xml:space="preserve">«. DIIP opredeljuje možno povezovanje z ukrepi, ki so se takrat načrtovali na </w:t>
      </w:r>
      <w:proofErr w:type="spellStart"/>
      <w:r>
        <w:rPr>
          <w:lang w:eastAsia="sl-SI"/>
        </w:rPr>
        <w:t>Kornu</w:t>
      </w:r>
      <w:proofErr w:type="spellEnd"/>
      <w:r>
        <w:rPr>
          <w:lang w:eastAsia="sl-SI"/>
        </w:rPr>
        <w:t xml:space="preserve"> italijanski strani, kjer naj bi kot ukrep za zmanjšanje poplavne ogroženosti izvedli razbremenilnik v obliki usmerjenega vrtanja (premer 2,00 metra) s katerim bi Gorico varovali pred visokimi vodami z 250-letno povratno dobo oziroma visokimi vodami z nekaj nižjo povratno dobo ob upoštevanju možnih podnebnih sprememb.</w:t>
      </w:r>
      <w:r w:rsidR="00B8745C">
        <w:rPr>
          <w:lang w:eastAsia="sl-SI"/>
        </w:rPr>
        <w:t xml:space="preserve"> Razbremenilnik je bil 11.10.2021 podaljšan do na slovensko stran, vendar še ne deluje, saj je za </w:t>
      </w:r>
      <w:proofErr w:type="spellStart"/>
      <w:r w:rsidR="00B8745C">
        <w:rPr>
          <w:lang w:eastAsia="sl-SI"/>
        </w:rPr>
        <w:t>akativacijo</w:t>
      </w:r>
      <w:proofErr w:type="spellEnd"/>
      <w:r w:rsidR="00B8745C">
        <w:rPr>
          <w:lang w:eastAsia="sl-SI"/>
        </w:rPr>
        <w:t xml:space="preserve"> potrebno izvesti vstopni jašek. </w:t>
      </w:r>
    </w:p>
    <w:p w14:paraId="3D76D8D4" w14:textId="77777777" w:rsidR="009A7AFC" w:rsidRDefault="003E6900" w:rsidP="009A7AFC">
      <w:pPr>
        <w:keepNext/>
        <w:jc w:val="center"/>
      </w:pPr>
      <w:r w:rsidRPr="00A76C66">
        <w:rPr>
          <w:noProof/>
          <w:lang w:eastAsia="sl-SI"/>
        </w:rPr>
        <w:drawing>
          <wp:inline distT="0" distB="0" distL="0" distR="0" wp14:anchorId="7E411E93" wp14:editId="233ED7BA">
            <wp:extent cx="5972810" cy="2680335"/>
            <wp:effectExtent l="0" t="0" r="8890" b="5715"/>
            <wp:docPr id="2111931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52" cstate="print"/>
                    <a:stretch>
                      <a:fillRect/>
                    </a:stretch>
                  </pic:blipFill>
                  <pic:spPr>
                    <a:xfrm>
                      <a:off x="0" y="0"/>
                      <a:ext cx="5972810" cy="2680335"/>
                    </a:xfrm>
                    <a:prstGeom prst="rect">
                      <a:avLst/>
                    </a:prstGeom>
                  </pic:spPr>
                </pic:pic>
              </a:graphicData>
            </a:graphic>
          </wp:inline>
        </w:drawing>
      </w:r>
    </w:p>
    <w:p w14:paraId="6D083D40" w14:textId="5ADDE1D8" w:rsidR="003E6900" w:rsidRDefault="009A7AFC" w:rsidP="009A7AFC">
      <w:pPr>
        <w:pStyle w:val="Napis"/>
        <w:jc w:val="left"/>
      </w:pPr>
      <w:bookmarkStart w:id="528" w:name="_Toc97026921"/>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70</w:t>
      </w:r>
      <w:r w:rsidR="008334B2">
        <w:fldChar w:fldCharType="end"/>
      </w:r>
      <w:r>
        <w:t xml:space="preserve">: </w:t>
      </w:r>
      <w:r w:rsidRPr="00212920">
        <w:t xml:space="preserve">Trasa in vzdolžni prerez ukrepa za zmanjšanje poplavne ogroženosti naselja Gorica zaradi poplavljanja s strani </w:t>
      </w:r>
      <w:proofErr w:type="spellStart"/>
      <w:r w:rsidRPr="00212920">
        <w:t>Korna</w:t>
      </w:r>
      <w:proofErr w:type="spellEnd"/>
      <w:r w:rsidRPr="00212920">
        <w:t xml:space="preserve"> (v izvedbi v letu 2021).</w:t>
      </w:r>
      <w:bookmarkEnd w:id="528"/>
    </w:p>
    <w:p w14:paraId="0D2E05CC" w14:textId="61F5589D" w:rsidR="00B8745C" w:rsidRDefault="00B8745C" w:rsidP="00B8745C">
      <w:pPr>
        <w:jc w:val="center"/>
      </w:pPr>
      <w:r>
        <w:rPr>
          <w:noProof/>
          <w:lang w:eastAsia="sl-SI"/>
        </w:rPr>
        <w:drawing>
          <wp:inline distT="0" distB="0" distL="0" distR="0" wp14:anchorId="1C556EC1" wp14:editId="5B358C39">
            <wp:extent cx="5417871" cy="2789321"/>
            <wp:effectExtent l="0" t="0" r="0" b="0"/>
            <wp:docPr id="1802182976" name="Slika 180218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420820" cy="2790839"/>
                    </a:xfrm>
                    <a:prstGeom prst="rect">
                      <a:avLst/>
                    </a:prstGeom>
                  </pic:spPr>
                </pic:pic>
              </a:graphicData>
            </a:graphic>
          </wp:inline>
        </w:drawing>
      </w:r>
    </w:p>
    <w:p w14:paraId="1C34D364" w14:textId="1FB90AEC" w:rsidR="00B8745C" w:rsidRDefault="00B8745C" w:rsidP="00B8745C">
      <w:pPr>
        <w:pStyle w:val="Napis"/>
        <w:jc w:val="left"/>
      </w:pPr>
      <w:bookmarkStart w:id="529" w:name="_Toc97026922"/>
      <w:r>
        <w:t xml:space="preserve">Slika </w:t>
      </w:r>
      <w:r>
        <w:fldChar w:fldCharType="begin"/>
      </w:r>
      <w:r>
        <w:instrText xml:space="preserve"> STYLEREF 1 \s </w:instrText>
      </w:r>
      <w:r>
        <w:fldChar w:fldCharType="separate"/>
      </w:r>
      <w:r>
        <w:rPr>
          <w:noProof/>
        </w:rPr>
        <w:t>6</w:t>
      </w:r>
      <w:r>
        <w:fldChar w:fldCharType="end"/>
      </w:r>
      <w:r>
        <w:t>.</w:t>
      </w:r>
      <w:r>
        <w:fldChar w:fldCharType="begin"/>
      </w:r>
      <w:r>
        <w:instrText xml:space="preserve"> SEQ Slika \* ARABIC \s 1 </w:instrText>
      </w:r>
      <w:r>
        <w:fldChar w:fldCharType="separate"/>
      </w:r>
      <w:r>
        <w:rPr>
          <w:noProof/>
        </w:rPr>
        <w:t>71</w:t>
      </w:r>
      <w:r>
        <w:fldChar w:fldCharType="end"/>
      </w:r>
      <w:r>
        <w:t>: Vhodni del cevi razbremenilnika na lokaciji Erjavčeva cesta</w:t>
      </w:r>
      <w:bookmarkEnd w:id="529"/>
    </w:p>
    <w:p w14:paraId="66F8EF4E" w14:textId="2C2F10F7" w:rsidR="00B8745C" w:rsidRDefault="00B8745C" w:rsidP="00B8745C"/>
    <w:p w14:paraId="24AAA3FB" w14:textId="77777777" w:rsidR="00B8745C" w:rsidRPr="00B8745C" w:rsidRDefault="00B8745C" w:rsidP="00B8745C"/>
    <w:p w14:paraId="792D356A" w14:textId="77777777" w:rsidR="003E6900" w:rsidRDefault="003E6900" w:rsidP="003E6900">
      <w:pPr>
        <w:rPr>
          <w:lang w:eastAsia="sl-SI"/>
        </w:rPr>
      </w:pPr>
      <w:r>
        <w:rPr>
          <w:lang w:eastAsia="sl-SI"/>
        </w:rPr>
        <w:t xml:space="preserve">Za Mestno občino Nova Gorica so nove karte poplavne nevarnosti trenutno v pripravi (naročilo za celovito študijo Vipave – v teku postopek naročanja DRSV 2021), pri tem pa bo predstavljal velik izziv tudi prilagajanje na nova hidrološka izhodišča (DRSV 2020). </w:t>
      </w:r>
    </w:p>
    <w:p w14:paraId="56670FDA" w14:textId="77777777" w:rsidR="003E6900" w:rsidRDefault="003E6900" w:rsidP="003E6900">
      <w:pPr>
        <w:rPr>
          <w:lang w:eastAsia="sl-SI"/>
        </w:rPr>
      </w:pPr>
      <w:r>
        <w:rPr>
          <w:lang w:eastAsia="sl-SI"/>
        </w:rPr>
        <w:t xml:space="preserve">Opozorilna karta poplavne nevarnosti  izkazujejo, da je poplavna nevarnosti visoka na poplavnih območjih vzdolž reke Vipave, Lijaka, Branice, </w:t>
      </w:r>
      <w:proofErr w:type="spellStart"/>
      <w:r>
        <w:rPr>
          <w:lang w:eastAsia="sl-SI"/>
        </w:rPr>
        <w:t>Vrtojbice</w:t>
      </w:r>
      <w:proofErr w:type="spellEnd"/>
      <w:r>
        <w:rPr>
          <w:lang w:eastAsia="sl-SI"/>
        </w:rPr>
        <w:t xml:space="preserve">, Potoka in </w:t>
      </w:r>
      <w:proofErr w:type="spellStart"/>
      <w:r>
        <w:rPr>
          <w:lang w:eastAsia="sl-SI"/>
        </w:rPr>
        <w:t>Korna</w:t>
      </w:r>
      <w:proofErr w:type="spellEnd"/>
      <w:r>
        <w:rPr>
          <w:lang w:eastAsia="sl-SI"/>
        </w:rPr>
        <w:t xml:space="preserve">. </w:t>
      </w:r>
    </w:p>
    <w:p w14:paraId="4AD81136" w14:textId="0CA71D28" w:rsidR="009A7AFC" w:rsidRDefault="003E6900" w:rsidP="003E6900">
      <w:pPr>
        <w:rPr>
          <w:lang w:eastAsia="sl-SI"/>
        </w:rPr>
      </w:pPr>
      <w:r>
        <w:rPr>
          <w:lang w:eastAsia="sl-SI"/>
        </w:rPr>
        <w:t xml:space="preserve">Po drugi strani poplavna ogroženost na nekaterih območjih (Lijak, Branica) ni izrazito visoka, saj se na teh poplavnih območjih ne nahaja veliko ranljivih objektov. </w:t>
      </w:r>
    </w:p>
    <w:p w14:paraId="021632EB" w14:textId="77777777" w:rsidR="009A7AFC" w:rsidRDefault="009A7AFC">
      <w:pPr>
        <w:jc w:val="left"/>
        <w:rPr>
          <w:lang w:eastAsia="sl-SI"/>
        </w:rPr>
      </w:pPr>
      <w:r>
        <w:rPr>
          <w:lang w:eastAsia="sl-SI"/>
        </w:rPr>
        <w:br w:type="page"/>
      </w:r>
    </w:p>
    <w:p w14:paraId="357728CF" w14:textId="3D92B7C7" w:rsidR="003E6900" w:rsidRDefault="003E6900" w:rsidP="009A7AFC">
      <w:pPr>
        <w:pStyle w:val="Naslov5"/>
      </w:pPr>
      <w:r>
        <w:lastRenderedPageBreak/>
        <w:t>Grgar</w:t>
      </w:r>
    </w:p>
    <w:p w14:paraId="4DF29C8A" w14:textId="77777777" w:rsidR="009A7AFC" w:rsidRDefault="003E6900" w:rsidP="009A7AFC">
      <w:pPr>
        <w:keepNext/>
        <w:jc w:val="center"/>
      </w:pPr>
      <w:r>
        <w:rPr>
          <w:noProof/>
          <w:lang w:eastAsia="sl-SI"/>
        </w:rPr>
        <w:drawing>
          <wp:inline distT="0" distB="0" distL="0" distR="0" wp14:anchorId="3CE6CAD2" wp14:editId="63949373">
            <wp:extent cx="5486400" cy="4695825"/>
            <wp:effectExtent l="0" t="0" r="0" b="9525"/>
            <wp:docPr id="2111931297"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486400" cy="4695825"/>
                    </a:xfrm>
                    <a:prstGeom prst="rect">
                      <a:avLst/>
                    </a:prstGeom>
                  </pic:spPr>
                </pic:pic>
              </a:graphicData>
            </a:graphic>
          </wp:inline>
        </w:drawing>
      </w:r>
    </w:p>
    <w:p w14:paraId="47AA8241" w14:textId="001018DF" w:rsidR="003E6900" w:rsidRDefault="009A7AFC" w:rsidP="009A7AFC">
      <w:pPr>
        <w:pStyle w:val="Napis"/>
        <w:rPr>
          <w:lang w:eastAsia="sl-SI"/>
        </w:rPr>
      </w:pPr>
      <w:bookmarkStart w:id="530" w:name="_Toc97026923"/>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71</w:t>
      </w:r>
      <w:r w:rsidR="008334B2">
        <w:fldChar w:fldCharType="end"/>
      </w:r>
      <w:r w:rsidRPr="002A0F0F">
        <w:t xml:space="preserve">: Opozorilna karta poplav (atlas voda DRSV) za </w:t>
      </w:r>
      <w:proofErr w:type="spellStart"/>
      <w:r w:rsidRPr="002A0F0F">
        <w:t>obmčje</w:t>
      </w:r>
      <w:proofErr w:type="spellEnd"/>
      <w:r w:rsidRPr="002A0F0F">
        <w:t xml:space="preserve"> naselja Grgar</w:t>
      </w:r>
      <w:bookmarkEnd w:id="530"/>
    </w:p>
    <w:p w14:paraId="4BEBC10A" w14:textId="4518CD37" w:rsidR="003E6900" w:rsidRDefault="003E6900" w:rsidP="003E6900">
      <w:pPr>
        <w:rPr>
          <w:lang w:eastAsia="sl-SI"/>
        </w:rPr>
      </w:pPr>
      <w:r>
        <w:t>Območje je poplavno ogroženo</w:t>
      </w:r>
      <w:r w:rsidR="00B8745C">
        <w:t>,</w:t>
      </w:r>
      <w:r>
        <w:t xml:space="preserve"> saj odtok visokih voda omejuje </w:t>
      </w:r>
      <w:proofErr w:type="spellStart"/>
      <w:r>
        <w:t>požiralnost</w:t>
      </w:r>
      <w:proofErr w:type="spellEnd"/>
      <w:r>
        <w:t xml:space="preserve"> kraških brezen. Dve ključni brezni sta: požiralnik potoka Slatna na koncu Grgarskega p</w:t>
      </w:r>
      <w:r w:rsidR="00B8745C">
        <w:t xml:space="preserve">olja, ki je </w:t>
      </w:r>
      <w:proofErr w:type="spellStart"/>
      <w:r w:rsidR="00B8745C">
        <w:t>r</w:t>
      </w:r>
      <w:r>
        <w:t>gistriran</w:t>
      </w:r>
      <w:proofErr w:type="spellEnd"/>
      <w:r>
        <w:t xml:space="preserve"> je pod številko 6485 z imenom Kloštre in </w:t>
      </w:r>
      <w:proofErr w:type="spellStart"/>
      <w:r>
        <w:t>Bezno</w:t>
      </w:r>
      <w:proofErr w:type="spellEnd"/>
      <w:r>
        <w:t xml:space="preserve">, ki se nahaja v centru Grgarja. </w:t>
      </w:r>
      <w:r w:rsidR="00B8745C">
        <w:t>Ta j</w:t>
      </w:r>
      <w:r>
        <w:t xml:space="preserve">ama ima v jamskem katastru številko 1512. </w:t>
      </w:r>
    </w:p>
    <w:p w14:paraId="3BFF5D3B" w14:textId="4EA8825D" w:rsidR="00642FD9" w:rsidRDefault="003E6900" w:rsidP="003E6900">
      <w:pPr>
        <w:rPr>
          <w:lang w:eastAsia="sl-SI"/>
        </w:rPr>
      </w:pPr>
      <w:r>
        <w:rPr>
          <w:lang w:eastAsia="sl-SI"/>
        </w:rPr>
        <w:t xml:space="preserve">Za navedeno območje priporočamo vzpostavitev izvajanja meritev nivojev v ključnih kraških breznih, saj je le z ustreznimi merjenimi podatki mogoče razumeti mehanizme </w:t>
      </w:r>
      <w:proofErr w:type="spellStart"/>
      <w:r>
        <w:rPr>
          <w:lang w:eastAsia="sl-SI"/>
        </w:rPr>
        <w:t>požiralnosti</w:t>
      </w:r>
      <w:proofErr w:type="spellEnd"/>
      <w:r>
        <w:rPr>
          <w:lang w:eastAsia="sl-SI"/>
        </w:rPr>
        <w:t xml:space="preserve"> brezen in ob tem razumeti tudi obstoječo poplavno nevarnost in ogroženost tega območja. </w:t>
      </w:r>
    </w:p>
    <w:p w14:paraId="5D4ED0DF" w14:textId="6CF15DC7" w:rsidR="003E6900" w:rsidRDefault="003E6900" w:rsidP="009A7AFC">
      <w:pPr>
        <w:pStyle w:val="Naslov5"/>
      </w:pPr>
      <w:r>
        <w:t xml:space="preserve">Rožna dolina – </w:t>
      </w:r>
      <w:proofErr w:type="spellStart"/>
      <w:r>
        <w:t>Vrtojbica</w:t>
      </w:r>
      <w:proofErr w:type="spellEnd"/>
    </w:p>
    <w:p w14:paraId="7B4643B6" w14:textId="77777777" w:rsidR="003E6900" w:rsidRDefault="003E6900" w:rsidP="003E6900">
      <w:pPr>
        <w:rPr>
          <w:lang w:eastAsia="sl-SI"/>
        </w:rPr>
      </w:pPr>
      <w:r>
        <w:rPr>
          <w:lang w:eastAsia="sl-SI"/>
        </w:rPr>
        <w:t xml:space="preserve">Poplavno nevarnost </w:t>
      </w:r>
      <w:proofErr w:type="spellStart"/>
      <w:r>
        <w:rPr>
          <w:lang w:eastAsia="sl-SI"/>
        </w:rPr>
        <w:t>Vrtojbice</w:t>
      </w:r>
      <w:proofErr w:type="spellEnd"/>
      <w:r>
        <w:rPr>
          <w:lang w:eastAsia="sl-SI"/>
        </w:rPr>
        <w:t xml:space="preserve"> v Rožni dolini pretežno opredeljuje suhi zadrževalnik Pivol, ki ima s prenovo zaporničnih objektov, merilnih mest in mehanizma upravljanja z zadrževalnikom (obratovalni pravilnik) pred 10 leti ključno vlogo pri varovanju Rožne doline pred škodljivim delovanjem voda. </w:t>
      </w:r>
    </w:p>
    <w:p w14:paraId="6E0F595F" w14:textId="77777777" w:rsidR="009A7AFC" w:rsidRDefault="003E6900" w:rsidP="009A7AFC">
      <w:pPr>
        <w:keepNext/>
      </w:pPr>
      <w:r>
        <w:rPr>
          <w:noProof/>
          <w:lang w:eastAsia="sl-SI"/>
        </w:rPr>
        <w:lastRenderedPageBreak/>
        <mc:AlternateContent>
          <mc:Choice Requires="wps">
            <w:drawing>
              <wp:anchor distT="0" distB="0" distL="114300" distR="114300" simplePos="0" relativeHeight="252182528" behindDoc="0" locked="0" layoutInCell="1" allowOverlap="1" wp14:anchorId="7604E64F" wp14:editId="35044FC6">
                <wp:simplePos x="0" y="0"/>
                <wp:positionH relativeFrom="column">
                  <wp:posOffset>3118665</wp:posOffset>
                </wp:positionH>
                <wp:positionV relativeFrom="paragraph">
                  <wp:posOffset>991774</wp:posOffset>
                </wp:positionV>
                <wp:extent cx="103517" cy="215661"/>
                <wp:effectExtent l="38100" t="38100" r="29845" b="13335"/>
                <wp:wrapNone/>
                <wp:docPr id="69956" name="Raven puščični povezovalnik 69956"/>
                <wp:cNvGraphicFramePr/>
                <a:graphic xmlns:a="http://schemas.openxmlformats.org/drawingml/2006/main">
                  <a:graphicData uri="http://schemas.microsoft.com/office/word/2010/wordprocessingShape">
                    <wps:wsp>
                      <wps:cNvCnPr/>
                      <wps:spPr>
                        <a:xfrm flipH="1" flipV="1">
                          <a:off x="0" y="0"/>
                          <a:ext cx="103517" cy="215661"/>
                        </a:xfrm>
                        <a:prstGeom prst="straightConnector1">
                          <a:avLst/>
                        </a:prstGeom>
                        <a:ln w="28575">
                          <a:solidFill>
                            <a:schemeClr val="accent1">
                              <a:lumMod val="20000"/>
                              <a:lumOff val="8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058908D" id="_x0000_t32" coordsize="21600,21600" o:spt="32" o:oned="t" path="m,l21600,21600e" filled="f">
                <v:path arrowok="t" fillok="f" o:connecttype="none"/>
                <o:lock v:ext="edit" shapetype="t"/>
              </v:shapetype>
              <v:shape id="Raven puščični povezovalnik 69956" o:spid="_x0000_s1026" type="#_x0000_t32" style="position:absolute;margin-left:245.55pt;margin-top:78.1pt;width:8.15pt;height:17pt;flip:x y;z-index:252182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" strokecolor="#d9e2f3 [660]" strokeweight="2.25pt">
                <v:stroke endarrow="block" joinstyle="miter"/>
              </v:shape>
            </w:pict>
          </mc:Fallback>
        </mc:AlternateContent>
      </w:r>
      <w:r>
        <w:rPr>
          <w:noProof/>
          <w:lang w:eastAsia="sl-SI"/>
        </w:rPr>
        <mc:AlternateContent>
          <mc:Choice Requires="wps">
            <w:drawing>
              <wp:anchor distT="0" distB="0" distL="114300" distR="114300" simplePos="0" relativeHeight="252181504" behindDoc="0" locked="0" layoutInCell="1" allowOverlap="1" wp14:anchorId="01752824" wp14:editId="06918BF4">
                <wp:simplePos x="0" y="0"/>
                <wp:positionH relativeFrom="column">
                  <wp:posOffset>2825211</wp:posOffset>
                </wp:positionH>
                <wp:positionV relativeFrom="paragraph">
                  <wp:posOffset>1206884</wp:posOffset>
                </wp:positionV>
                <wp:extent cx="638247" cy="483080"/>
                <wp:effectExtent l="0" t="0" r="0" b="0"/>
                <wp:wrapNone/>
                <wp:docPr id="2111931286" name="Polje z besedilom 69955"/>
                <wp:cNvGraphicFramePr/>
                <a:graphic xmlns:a="http://schemas.openxmlformats.org/drawingml/2006/main">
                  <a:graphicData uri="http://schemas.microsoft.com/office/word/2010/wordprocessingShape">
                    <wps:wsp>
                      <wps:cNvSpPr txBox="1"/>
                      <wps:spPr>
                        <a:xfrm>
                          <a:off x="0" y="0"/>
                          <a:ext cx="638247" cy="483080"/>
                        </a:xfrm>
                        <a:prstGeom prst="rect">
                          <a:avLst/>
                        </a:prstGeom>
                        <a:noFill/>
                        <a:ln w="6350">
                          <a:noFill/>
                        </a:ln>
                      </wps:spPr>
                      <wps:txbx>
                        <w:txbxContent>
                          <w:p w14:paraId="06CC33C3" w14:textId="77777777" w:rsidR="00996D54" w:rsidRPr="005D1C46" w:rsidRDefault="00996D54" w:rsidP="003E6900">
                            <w:pPr>
                              <w:rPr>
                                <w:color w:val="FFFFFF" w:themeColor="background1"/>
                              </w:rPr>
                            </w:pPr>
                            <w:r>
                              <w:rPr>
                                <w:color w:val="FFFFFF" w:themeColor="background1"/>
                              </w:rPr>
                              <w:t>Liskur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752824" id="Polje z besedilom 69955" o:spid="_x0000_s1031" type="#_x0000_t202" style="position:absolute;left:0;text-align:left;margin-left:222.45pt;margin-top:95.05pt;width:50.25pt;height:38.05pt;z-index:252181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" filled="f" stroked="f" strokeweight=".5pt">
                <v:textbox>
                  <w:txbxContent>
                    <w:p w14:paraId="06CC33C3" w14:textId="77777777" w:rsidR="00996D54" w:rsidRPr="005D1C46" w:rsidRDefault="00996D54" w:rsidP="003E6900">
                      <w:pPr>
                        <w:rPr>
                          <w:color w:val="FFFFFF" w:themeColor="background1"/>
                        </w:rPr>
                      </w:pPr>
                      <w:r>
                        <w:rPr>
                          <w:color w:val="FFFFFF" w:themeColor="background1"/>
                        </w:rPr>
                        <w:t>Liskur</w:t>
                      </w:r>
                    </w:p>
                  </w:txbxContent>
                </v:textbox>
              </v:shape>
            </w:pict>
          </mc:Fallback>
        </mc:AlternateContent>
      </w:r>
      <w:r>
        <w:rPr>
          <w:noProof/>
          <w:lang w:eastAsia="sl-SI"/>
        </w:rPr>
        <mc:AlternateContent>
          <mc:Choice Requires="wps">
            <w:drawing>
              <wp:anchor distT="0" distB="0" distL="114300" distR="114300" simplePos="0" relativeHeight="252180480" behindDoc="0" locked="0" layoutInCell="1" allowOverlap="1" wp14:anchorId="18B2BCD4" wp14:editId="1C02BDEF">
                <wp:simplePos x="0" y="0"/>
                <wp:positionH relativeFrom="column">
                  <wp:posOffset>4429760</wp:posOffset>
                </wp:positionH>
                <wp:positionV relativeFrom="paragraph">
                  <wp:posOffset>896524</wp:posOffset>
                </wp:positionV>
                <wp:extent cx="1319841" cy="483080"/>
                <wp:effectExtent l="0" t="0" r="0" b="0"/>
                <wp:wrapNone/>
                <wp:docPr id="2111931287" name="Polje z besedilom 69954"/>
                <wp:cNvGraphicFramePr/>
                <a:graphic xmlns:a="http://schemas.openxmlformats.org/drawingml/2006/main">
                  <a:graphicData uri="http://schemas.microsoft.com/office/word/2010/wordprocessingShape">
                    <wps:wsp>
                      <wps:cNvSpPr txBox="1"/>
                      <wps:spPr>
                        <a:xfrm>
                          <a:off x="0" y="0"/>
                          <a:ext cx="1319841" cy="483080"/>
                        </a:xfrm>
                        <a:prstGeom prst="rect">
                          <a:avLst/>
                        </a:prstGeom>
                        <a:noFill/>
                        <a:ln w="6350">
                          <a:noFill/>
                        </a:ln>
                      </wps:spPr>
                      <wps:txbx>
                        <w:txbxContent>
                          <w:p w14:paraId="62EA7C28" w14:textId="77777777" w:rsidR="00996D54" w:rsidRPr="005D1C46" w:rsidRDefault="00996D54" w:rsidP="003E6900">
                            <w:pPr>
                              <w:rPr>
                                <w:color w:val="FFFFFF" w:themeColor="background1"/>
                              </w:rPr>
                            </w:pPr>
                            <w:r w:rsidRPr="005D1C46">
                              <w:rPr>
                                <w:color w:val="FFFFFF" w:themeColor="background1"/>
                              </w:rPr>
                              <w:t>Suhi zadrževalnik Pivol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B2BCD4" id="Polje z besedilom 69954" o:spid="_x0000_s1032" type="#_x0000_t202" style="position:absolute;left:0;text-align:left;margin-left:348.8pt;margin-top:70.6pt;width:103.9pt;height:38.05pt;z-index:25218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" filled="f" stroked="f" strokeweight=".5pt">
                <v:textbox>
                  <w:txbxContent>
                    <w:p w14:paraId="62EA7C28" w14:textId="77777777" w:rsidR="00996D54" w:rsidRPr="005D1C46" w:rsidRDefault="00996D54" w:rsidP="003E6900">
                      <w:pPr>
                        <w:rPr>
                          <w:color w:val="FFFFFF" w:themeColor="background1"/>
                        </w:rPr>
                      </w:pPr>
                      <w:r w:rsidRPr="005D1C46">
                        <w:rPr>
                          <w:color w:val="FFFFFF" w:themeColor="background1"/>
                        </w:rPr>
                        <w:t>Suhi zadrževalnik Pivol</w:t>
                      </w:r>
                    </w:p>
                  </w:txbxContent>
                </v:textbox>
              </v:shape>
            </w:pict>
          </mc:Fallback>
        </mc:AlternateContent>
      </w:r>
      <w:r>
        <w:rPr>
          <w:noProof/>
          <w:lang w:eastAsia="sl-SI"/>
        </w:rPr>
        <mc:AlternateContent>
          <mc:Choice Requires="wps">
            <w:drawing>
              <wp:anchor distT="0" distB="0" distL="114300" distR="114300" simplePos="0" relativeHeight="252179456" behindDoc="0" locked="0" layoutInCell="1" allowOverlap="1" wp14:anchorId="303D34C6" wp14:editId="371E6FC4">
                <wp:simplePos x="0" y="0"/>
                <wp:positionH relativeFrom="column">
                  <wp:posOffset>4076197</wp:posOffset>
                </wp:positionH>
                <wp:positionV relativeFrom="paragraph">
                  <wp:posOffset>1190182</wp:posOffset>
                </wp:positionV>
                <wp:extent cx="224287" cy="500332"/>
                <wp:effectExtent l="19050" t="19050" r="23495" b="14605"/>
                <wp:wrapNone/>
                <wp:docPr id="69952" name="Raven povezovalnik 69952"/>
                <wp:cNvGraphicFramePr/>
                <a:graphic xmlns:a="http://schemas.openxmlformats.org/drawingml/2006/main">
                  <a:graphicData uri="http://schemas.microsoft.com/office/word/2010/wordprocessingShape">
                    <wps:wsp>
                      <wps:cNvCnPr/>
                      <wps:spPr>
                        <a:xfrm flipV="1">
                          <a:off x="0" y="0"/>
                          <a:ext cx="224287" cy="500332"/>
                        </a:xfrm>
                        <a:prstGeom prst="line">
                          <a:avLst/>
                        </a:prstGeom>
                        <a:ln w="412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F9552A" id="Raven povezovalnik 69952" o:spid="_x0000_s1026" style="position:absolute;flip:y;z-index:252179456;visibility:visible;mso-wrap-style:square;mso-wrap-distance-left:9pt;mso-wrap-distance-top:0;mso-wrap-distance-right:9pt;mso-wrap-distance-bottom:0;mso-position-horizontal:absolute;mso-position-horizontal-relative:text;mso-position-vertical:absolute;mso-position-vertical-relative:text" from="320.95pt,93.7pt" to="338.6pt,1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" strokecolor="white [3212]" strokeweight="3.25pt">
                <v:stroke joinstyle="miter"/>
              </v:line>
            </w:pict>
          </mc:Fallback>
        </mc:AlternateContent>
      </w:r>
      <w:r>
        <w:rPr>
          <w:noProof/>
          <w:lang w:eastAsia="sl-SI"/>
        </w:rPr>
        <w:drawing>
          <wp:inline distT="0" distB="0" distL="0" distR="0" wp14:anchorId="25B271E5" wp14:editId="49C820CD">
            <wp:extent cx="6120130" cy="2679065"/>
            <wp:effectExtent l="0" t="0" r="0" b="6985"/>
            <wp:docPr id="2111931298"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6120130" cy="2679065"/>
                    </a:xfrm>
                    <a:prstGeom prst="rect">
                      <a:avLst/>
                    </a:prstGeom>
                  </pic:spPr>
                </pic:pic>
              </a:graphicData>
            </a:graphic>
          </wp:inline>
        </w:drawing>
      </w:r>
    </w:p>
    <w:p w14:paraId="51A08471" w14:textId="50EF260F" w:rsidR="003E6900" w:rsidRDefault="009A7AFC" w:rsidP="009A7AFC">
      <w:pPr>
        <w:pStyle w:val="Napis"/>
        <w:rPr>
          <w:lang w:eastAsia="sl-SI"/>
        </w:rPr>
      </w:pPr>
      <w:bookmarkStart w:id="531" w:name="_Toc97026924"/>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72</w:t>
      </w:r>
      <w:r w:rsidR="008334B2">
        <w:fldChar w:fldCharType="end"/>
      </w:r>
      <w:r>
        <w:t xml:space="preserve">: </w:t>
      </w:r>
      <w:r w:rsidRPr="00FB551B">
        <w:t>Poplavna nevarnost (KPN) in lokacija suhega zadrževalnika Pivol v Rožni dolini</w:t>
      </w:r>
      <w:bookmarkEnd w:id="531"/>
    </w:p>
    <w:p w14:paraId="131CC4C7" w14:textId="77777777" w:rsidR="003E6900" w:rsidRDefault="003E6900" w:rsidP="003E6900">
      <w:pPr>
        <w:rPr>
          <w:lang w:eastAsia="sl-SI"/>
        </w:rPr>
      </w:pPr>
      <w:r>
        <w:rPr>
          <w:lang w:eastAsia="sl-SI"/>
        </w:rPr>
        <w:t>Ker je zadrževalnik relativno omejenega volumna, dodatni pritoki pod njim (</w:t>
      </w:r>
      <w:proofErr w:type="spellStart"/>
      <w:r>
        <w:rPr>
          <w:lang w:eastAsia="sl-SI"/>
        </w:rPr>
        <w:t>Liskur</w:t>
      </w:r>
      <w:proofErr w:type="spellEnd"/>
      <w:r>
        <w:rPr>
          <w:lang w:eastAsia="sl-SI"/>
        </w:rPr>
        <w:t>) pa prispevajo k visokim pretokom je učinkovitost delovanja zadrževalnika omejena na območje Rožne doline, predvsem del neposredno pod zadrževalnikom.</w:t>
      </w:r>
    </w:p>
    <w:p w14:paraId="4456C438" w14:textId="43E8E851" w:rsidR="003E6900" w:rsidRDefault="003E6900" w:rsidP="009A7AFC">
      <w:pPr>
        <w:pStyle w:val="Naslov5"/>
      </w:pPr>
      <w:r>
        <w:t>Lijak in njegovi pritok</w:t>
      </w:r>
      <w:r w:rsidR="009A7AFC">
        <w:t>i</w:t>
      </w:r>
      <w:r>
        <w:t xml:space="preserve"> (Globočnik)</w:t>
      </w:r>
    </w:p>
    <w:p w14:paraId="0DB63106" w14:textId="1284FA53" w:rsidR="003E6900" w:rsidRDefault="003E6900" w:rsidP="003E6900">
      <w:pPr>
        <w:rPr>
          <w:lang w:eastAsia="sl-SI"/>
        </w:rPr>
      </w:pPr>
      <w:r w:rsidRPr="005D1C46">
        <w:rPr>
          <w:lang w:eastAsia="sl-SI"/>
        </w:rPr>
        <w:t xml:space="preserve">Lijak je nestalen močan kraški izvir potoka pod strmim skalnim naravnim mostom </w:t>
      </w:r>
      <w:proofErr w:type="spellStart"/>
      <w:r w:rsidRPr="005D1C46">
        <w:rPr>
          <w:lang w:eastAsia="sl-SI"/>
        </w:rPr>
        <w:t>Skozno</w:t>
      </w:r>
      <w:proofErr w:type="spellEnd"/>
      <w:r w:rsidRPr="005D1C46">
        <w:rPr>
          <w:lang w:eastAsia="sl-SI"/>
        </w:rPr>
        <w:t xml:space="preserve"> na robu Trnovskega gozda. </w:t>
      </w:r>
      <w:r>
        <w:rPr>
          <w:lang w:eastAsia="sl-SI"/>
        </w:rPr>
        <w:t>Neposredno pod izvirom je reguliran in na območju Mestne občine Nova Gorica teče ob robu hidromelioracijskega območja Lijak.</w:t>
      </w:r>
    </w:p>
    <w:p w14:paraId="6BE30E1D" w14:textId="77777777" w:rsidR="009A7AFC" w:rsidRDefault="009A7AFC" w:rsidP="009A7AFC">
      <w:pPr>
        <w:jc w:val="left"/>
        <w:rPr>
          <w:lang w:eastAsia="sl-SI"/>
        </w:rPr>
      </w:pPr>
      <w:r>
        <w:rPr>
          <w:lang w:eastAsia="sl-SI"/>
        </w:rPr>
        <w:t xml:space="preserve">Za območje so bile za posamezne investicije izdelane karte poplavne nevarnosti in razredov poplavne nevarnosti (tudi za pritok Globočnik), vendar niso objavljene na atlasu voda. </w:t>
      </w:r>
    </w:p>
    <w:p w14:paraId="00A16706" w14:textId="77777777" w:rsidR="009A7AFC" w:rsidRDefault="009A7AFC" w:rsidP="009A7AFC">
      <w:pPr>
        <w:jc w:val="left"/>
        <w:rPr>
          <w:lang w:eastAsia="sl-SI"/>
        </w:rPr>
      </w:pPr>
      <w:r>
        <w:rPr>
          <w:lang w:eastAsia="sl-SI"/>
        </w:rPr>
        <w:t>Samo območje je redko poseljeno in zato je poplavna ogroženost nizka.</w:t>
      </w:r>
    </w:p>
    <w:p w14:paraId="1283F88E" w14:textId="77777777" w:rsidR="009A7AFC" w:rsidRDefault="009A7AFC" w:rsidP="003E6900">
      <w:pPr>
        <w:rPr>
          <w:lang w:eastAsia="sl-SI"/>
        </w:rPr>
      </w:pPr>
    </w:p>
    <w:p w14:paraId="700F9A73" w14:textId="77777777" w:rsidR="009A7AFC" w:rsidRDefault="003E6900" w:rsidP="009A7AFC">
      <w:pPr>
        <w:keepNext/>
        <w:jc w:val="center"/>
      </w:pPr>
      <w:r>
        <w:rPr>
          <w:noProof/>
          <w:lang w:eastAsia="sl-SI"/>
        </w:rPr>
        <w:lastRenderedPageBreak/>
        <mc:AlternateContent>
          <mc:Choice Requires="wps">
            <w:drawing>
              <wp:anchor distT="0" distB="0" distL="114300" distR="114300" simplePos="0" relativeHeight="252186624" behindDoc="0" locked="0" layoutInCell="1" allowOverlap="1" wp14:anchorId="1D9F44AC" wp14:editId="021A390E">
                <wp:simplePos x="0" y="0"/>
                <wp:positionH relativeFrom="column">
                  <wp:posOffset>2545979</wp:posOffset>
                </wp:positionH>
                <wp:positionV relativeFrom="paragraph">
                  <wp:posOffset>656027</wp:posOffset>
                </wp:positionV>
                <wp:extent cx="862462" cy="483080"/>
                <wp:effectExtent l="0" t="0" r="0" b="0"/>
                <wp:wrapNone/>
                <wp:docPr id="69961" name="Polje z besedilom 69961"/>
                <wp:cNvGraphicFramePr/>
                <a:graphic xmlns:a="http://schemas.openxmlformats.org/drawingml/2006/main">
                  <a:graphicData uri="http://schemas.microsoft.com/office/word/2010/wordprocessingShape">
                    <wps:wsp>
                      <wps:cNvSpPr txBox="1"/>
                      <wps:spPr>
                        <a:xfrm>
                          <a:off x="0" y="0"/>
                          <a:ext cx="862462" cy="483080"/>
                        </a:xfrm>
                        <a:prstGeom prst="rect">
                          <a:avLst/>
                        </a:prstGeom>
                        <a:noFill/>
                        <a:ln w="6350">
                          <a:noFill/>
                        </a:ln>
                      </wps:spPr>
                      <wps:txbx>
                        <w:txbxContent>
                          <w:p w14:paraId="58A9ECD6" w14:textId="77777777" w:rsidR="00996D54" w:rsidRPr="005D1C46" w:rsidRDefault="00996D54" w:rsidP="003E6900">
                            <w:pPr>
                              <w:rPr>
                                <w:color w:val="FFFFFF" w:themeColor="background1"/>
                              </w:rPr>
                            </w:pPr>
                            <w:r>
                              <w:rPr>
                                <w:color w:val="FFFFFF" w:themeColor="background1"/>
                              </w:rPr>
                              <w:t>Lijak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D9F44AC" id="Polje z besedilom 69961" o:spid="_x0000_s1033" type="#_x0000_t202" style="position:absolute;left:0;text-align:left;margin-left:200.45pt;margin-top:51.65pt;width:67.9pt;height:38.05pt;z-index:252186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" filled="f" stroked="f" strokeweight=".5pt">
                <v:textbox>
                  <w:txbxContent>
                    <w:p w14:paraId="58A9ECD6" w14:textId="77777777" w:rsidR="00996D54" w:rsidRPr="005D1C46" w:rsidRDefault="00996D54" w:rsidP="003E6900">
                      <w:pPr>
                        <w:rPr>
                          <w:color w:val="FFFFFF" w:themeColor="background1"/>
                        </w:rPr>
                      </w:pPr>
                      <w:r>
                        <w:rPr>
                          <w:color w:val="FFFFFF" w:themeColor="background1"/>
                        </w:rPr>
                        <w:t>Lijak</w:t>
                      </w:r>
                    </w:p>
                  </w:txbxContent>
                </v:textbox>
              </v:shape>
            </w:pict>
          </mc:Fallback>
        </mc:AlternateContent>
      </w:r>
      <w:r>
        <w:rPr>
          <w:noProof/>
          <w:lang w:eastAsia="sl-SI"/>
        </w:rPr>
        <mc:AlternateContent>
          <mc:Choice Requires="wps">
            <w:drawing>
              <wp:anchor distT="0" distB="0" distL="114300" distR="114300" simplePos="0" relativeHeight="252185600" behindDoc="0" locked="0" layoutInCell="1" allowOverlap="1" wp14:anchorId="430B74E6" wp14:editId="299078D8">
                <wp:simplePos x="0" y="0"/>
                <wp:positionH relativeFrom="column">
                  <wp:posOffset>3141201</wp:posOffset>
                </wp:positionH>
                <wp:positionV relativeFrom="paragraph">
                  <wp:posOffset>2415816</wp:posOffset>
                </wp:positionV>
                <wp:extent cx="862462" cy="483080"/>
                <wp:effectExtent l="0" t="0" r="0" b="0"/>
                <wp:wrapNone/>
                <wp:docPr id="69960" name="Polje z besedilom 69960"/>
                <wp:cNvGraphicFramePr/>
                <a:graphic xmlns:a="http://schemas.openxmlformats.org/drawingml/2006/main">
                  <a:graphicData uri="http://schemas.microsoft.com/office/word/2010/wordprocessingShape">
                    <wps:wsp>
                      <wps:cNvSpPr txBox="1"/>
                      <wps:spPr>
                        <a:xfrm>
                          <a:off x="0" y="0"/>
                          <a:ext cx="862462" cy="483080"/>
                        </a:xfrm>
                        <a:prstGeom prst="rect">
                          <a:avLst/>
                        </a:prstGeom>
                        <a:noFill/>
                        <a:ln w="6350">
                          <a:noFill/>
                        </a:ln>
                      </wps:spPr>
                      <wps:txbx>
                        <w:txbxContent>
                          <w:p w14:paraId="09EFB393" w14:textId="77777777" w:rsidR="00996D54" w:rsidRPr="005D1C46" w:rsidRDefault="00996D54" w:rsidP="003E6900">
                            <w:pPr>
                              <w:rPr>
                                <w:color w:val="FFFFFF" w:themeColor="background1"/>
                              </w:rPr>
                            </w:pPr>
                            <w:r>
                              <w:rPr>
                                <w:color w:val="FFFFFF" w:themeColor="background1"/>
                              </w:rPr>
                              <w:t>Ozlenšček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0B74E6" id="Polje z besedilom 69960" o:spid="_x0000_s1034" type="#_x0000_t202" style="position:absolute;left:0;text-align:left;margin-left:247.35pt;margin-top:190.2pt;width:67.9pt;height:38.05pt;z-index:252185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" filled="f" stroked="f" strokeweight=".5pt">
                <v:textbox>
                  <w:txbxContent>
                    <w:p w14:paraId="09EFB393" w14:textId="77777777" w:rsidR="00996D54" w:rsidRPr="005D1C46" w:rsidRDefault="00996D54" w:rsidP="003E6900">
                      <w:pPr>
                        <w:rPr>
                          <w:color w:val="FFFFFF" w:themeColor="background1"/>
                        </w:rPr>
                      </w:pPr>
                      <w:r>
                        <w:rPr>
                          <w:color w:val="FFFFFF" w:themeColor="background1"/>
                        </w:rPr>
                        <w:t>Ozlenšček</w:t>
                      </w:r>
                    </w:p>
                  </w:txbxContent>
                </v:textbox>
              </v:shape>
            </w:pict>
          </mc:Fallback>
        </mc:AlternateContent>
      </w:r>
      <w:r>
        <w:rPr>
          <w:noProof/>
          <w:lang w:eastAsia="sl-SI"/>
        </w:rPr>
        <mc:AlternateContent>
          <mc:Choice Requires="wps">
            <w:drawing>
              <wp:anchor distT="0" distB="0" distL="114300" distR="114300" simplePos="0" relativeHeight="252184576" behindDoc="0" locked="0" layoutInCell="1" allowOverlap="1" wp14:anchorId="2678C66B" wp14:editId="0260C972">
                <wp:simplePos x="0" y="0"/>
                <wp:positionH relativeFrom="column">
                  <wp:posOffset>2856949</wp:posOffset>
                </wp:positionH>
                <wp:positionV relativeFrom="paragraph">
                  <wp:posOffset>3080002</wp:posOffset>
                </wp:positionV>
                <wp:extent cx="862462" cy="483080"/>
                <wp:effectExtent l="0" t="0" r="0" b="0"/>
                <wp:wrapNone/>
                <wp:docPr id="69959" name="Polje z besedilom 69959"/>
                <wp:cNvGraphicFramePr/>
                <a:graphic xmlns:a="http://schemas.openxmlformats.org/drawingml/2006/main">
                  <a:graphicData uri="http://schemas.microsoft.com/office/word/2010/wordprocessingShape">
                    <wps:wsp>
                      <wps:cNvSpPr txBox="1"/>
                      <wps:spPr>
                        <a:xfrm>
                          <a:off x="0" y="0"/>
                          <a:ext cx="862462" cy="483080"/>
                        </a:xfrm>
                        <a:prstGeom prst="rect">
                          <a:avLst/>
                        </a:prstGeom>
                        <a:noFill/>
                        <a:ln w="6350">
                          <a:noFill/>
                        </a:ln>
                      </wps:spPr>
                      <wps:txbx>
                        <w:txbxContent>
                          <w:p w14:paraId="4BC8BC1C" w14:textId="77777777" w:rsidR="00996D54" w:rsidRPr="005D1C46" w:rsidRDefault="00996D54" w:rsidP="003E6900">
                            <w:pPr>
                              <w:rPr>
                                <w:color w:val="FFFFFF" w:themeColor="background1"/>
                              </w:rPr>
                            </w:pPr>
                            <w:r>
                              <w:rPr>
                                <w:color w:val="FFFFFF" w:themeColor="background1"/>
                              </w:rPr>
                              <w:t>Vitovnik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78C66B" id="Polje z besedilom 69959" o:spid="_x0000_s1035" type="#_x0000_t202" style="position:absolute;left:0;text-align:left;margin-left:224.95pt;margin-top:242.5pt;width:67.9pt;height:38.05pt;z-index:252184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" filled="f" stroked="f" strokeweight=".5pt">
                <v:textbox>
                  <w:txbxContent>
                    <w:p w14:paraId="4BC8BC1C" w14:textId="77777777" w:rsidR="00996D54" w:rsidRPr="005D1C46" w:rsidRDefault="00996D54" w:rsidP="003E6900">
                      <w:pPr>
                        <w:rPr>
                          <w:color w:val="FFFFFF" w:themeColor="background1"/>
                        </w:rPr>
                      </w:pPr>
                      <w:r>
                        <w:rPr>
                          <w:color w:val="FFFFFF" w:themeColor="background1"/>
                        </w:rPr>
                        <w:t>Vitovnik</w:t>
                      </w:r>
                    </w:p>
                  </w:txbxContent>
                </v:textbox>
              </v:shape>
            </w:pict>
          </mc:Fallback>
        </mc:AlternateContent>
      </w:r>
      <w:r>
        <w:rPr>
          <w:noProof/>
          <w:lang w:eastAsia="sl-SI"/>
        </w:rPr>
        <mc:AlternateContent>
          <mc:Choice Requires="wps">
            <w:drawing>
              <wp:anchor distT="0" distB="0" distL="114300" distR="114300" simplePos="0" relativeHeight="252183552" behindDoc="0" locked="0" layoutInCell="1" allowOverlap="1" wp14:anchorId="561CD455" wp14:editId="2B0AAA62">
                <wp:simplePos x="0" y="0"/>
                <wp:positionH relativeFrom="column">
                  <wp:posOffset>1065579</wp:posOffset>
                </wp:positionH>
                <wp:positionV relativeFrom="paragraph">
                  <wp:posOffset>754200</wp:posOffset>
                </wp:positionV>
                <wp:extent cx="862462" cy="483080"/>
                <wp:effectExtent l="0" t="0" r="0" b="0"/>
                <wp:wrapNone/>
                <wp:docPr id="69958" name="Polje z besedilom 69958"/>
                <wp:cNvGraphicFramePr/>
                <a:graphic xmlns:a="http://schemas.openxmlformats.org/drawingml/2006/main">
                  <a:graphicData uri="http://schemas.microsoft.com/office/word/2010/wordprocessingShape">
                    <wps:wsp>
                      <wps:cNvSpPr txBox="1"/>
                      <wps:spPr>
                        <a:xfrm>
                          <a:off x="0" y="0"/>
                          <a:ext cx="862462" cy="483080"/>
                        </a:xfrm>
                        <a:prstGeom prst="rect">
                          <a:avLst/>
                        </a:prstGeom>
                        <a:noFill/>
                        <a:ln w="6350">
                          <a:noFill/>
                        </a:ln>
                      </wps:spPr>
                      <wps:txbx>
                        <w:txbxContent>
                          <w:p w14:paraId="6EE5505E" w14:textId="77777777" w:rsidR="00996D54" w:rsidRPr="005D1C46" w:rsidRDefault="00996D54" w:rsidP="003E6900">
                            <w:pPr>
                              <w:rPr>
                                <w:color w:val="FFFFFF" w:themeColor="background1"/>
                              </w:rPr>
                            </w:pPr>
                            <w:r>
                              <w:rPr>
                                <w:color w:val="FFFFFF" w:themeColor="background1"/>
                              </w:rPr>
                              <w:t>Globočnik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1CD455" id="Polje z besedilom 69958" o:spid="_x0000_s1036" type="#_x0000_t202" style="position:absolute;left:0;text-align:left;margin-left:83.9pt;margin-top:59.4pt;width:67.9pt;height:38.05pt;z-index:252183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" filled="f" stroked="f" strokeweight=".5pt">
                <v:textbox>
                  <w:txbxContent>
                    <w:p w14:paraId="6EE5505E" w14:textId="77777777" w:rsidR="00996D54" w:rsidRPr="005D1C46" w:rsidRDefault="00996D54" w:rsidP="003E6900">
                      <w:pPr>
                        <w:rPr>
                          <w:color w:val="FFFFFF" w:themeColor="background1"/>
                        </w:rPr>
                      </w:pPr>
                      <w:r>
                        <w:rPr>
                          <w:color w:val="FFFFFF" w:themeColor="background1"/>
                        </w:rPr>
                        <w:t>Globočnik</w:t>
                      </w:r>
                    </w:p>
                  </w:txbxContent>
                </v:textbox>
              </v:shape>
            </w:pict>
          </mc:Fallback>
        </mc:AlternateContent>
      </w:r>
      <w:r>
        <w:rPr>
          <w:noProof/>
          <w:lang w:eastAsia="sl-SI"/>
        </w:rPr>
        <w:drawing>
          <wp:inline distT="0" distB="0" distL="0" distR="0" wp14:anchorId="5337327D" wp14:editId="0798CACB">
            <wp:extent cx="3971925" cy="3648075"/>
            <wp:effectExtent l="0" t="0" r="9525" b="9525"/>
            <wp:docPr id="69957" name="Slika 69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971925" cy="3648075"/>
                    </a:xfrm>
                    <a:prstGeom prst="rect">
                      <a:avLst/>
                    </a:prstGeom>
                  </pic:spPr>
                </pic:pic>
              </a:graphicData>
            </a:graphic>
          </wp:inline>
        </w:drawing>
      </w:r>
    </w:p>
    <w:p w14:paraId="21836469" w14:textId="61365B3F" w:rsidR="003E6900" w:rsidRDefault="009A7AFC" w:rsidP="009A7AFC">
      <w:pPr>
        <w:pStyle w:val="Napis"/>
        <w:jc w:val="left"/>
        <w:rPr>
          <w:lang w:eastAsia="sl-SI"/>
        </w:rPr>
      </w:pPr>
      <w:bookmarkStart w:id="532" w:name="_Toc97026925"/>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73</w:t>
      </w:r>
      <w:r w:rsidR="008334B2">
        <w:fldChar w:fldCharType="end"/>
      </w:r>
      <w:r>
        <w:t xml:space="preserve">: </w:t>
      </w:r>
      <w:r w:rsidRPr="002C2325">
        <w:t xml:space="preserve">Opozorilna karta poplav za območje vodotokov Lijak in pritokov (Globočnik, </w:t>
      </w:r>
      <w:proofErr w:type="spellStart"/>
      <w:r w:rsidRPr="002C2325">
        <w:t>Vitovnik</w:t>
      </w:r>
      <w:proofErr w:type="spellEnd"/>
      <w:r w:rsidRPr="002C2325">
        <w:t xml:space="preserve">, </w:t>
      </w:r>
      <w:proofErr w:type="spellStart"/>
      <w:r w:rsidRPr="002C2325">
        <w:t>Ozlenšček</w:t>
      </w:r>
      <w:proofErr w:type="spellEnd"/>
      <w:r w:rsidRPr="002C2325">
        <w:t>)</w:t>
      </w:r>
      <w:bookmarkEnd w:id="532"/>
    </w:p>
    <w:p w14:paraId="7DEA0A04" w14:textId="033CA5F4" w:rsidR="003E6900" w:rsidRDefault="009A7AFC" w:rsidP="009A7AFC">
      <w:pPr>
        <w:pStyle w:val="Naslov5"/>
      </w:pPr>
      <w:r>
        <w:t>O</w:t>
      </w:r>
      <w:r w:rsidR="003E6900">
        <w:t xml:space="preserve">bmočje potoka Potok </w:t>
      </w:r>
    </w:p>
    <w:p w14:paraId="0DD1264D" w14:textId="75046D87" w:rsidR="003E6900" w:rsidRDefault="003E6900" w:rsidP="003E6900">
      <w:pPr>
        <w:rPr>
          <w:iCs/>
          <w:lang w:eastAsia="sl-SI"/>
        </w:rPr>
      </w:pPr>
      <w:r>
        <w:rPr>
          <w:lang w:eastAsia="sl-SI"/>
        </w:rPr>
        <w:t xml:space="preserve">Povodje potoka Potok se je izkazalo kot problematično ob poplavah v letih </w:t>
      </w:r>
      <w:r w:rsidRPr="00E26A70">
        <w:rPr>
          <w:lang w:eastAsia="sl-SI"/>
        </w:rPr>
        <w:t>2008, 2010 in 2012</w:t>
      </w:r>
      <w:r w:rsidRPr="00E26A70">
        <w:rPr>
          <w:i/>
          <w:iCs/>
          <w:lang w:eastAsia="sl-SI"/>
        </w:rPr>
        <w:t xml:space="preserve">. </w:t>
      </w:r>
      <w:r>
        <w:rPr>
          <w:iCs/>
          <w:lang w:eastAsia="sl-SI"/>
        </w:rPr>
        <w:t>Pri tem je poplava v letu 2012 bila najbolj ogrožajoča za Potok pri Dornberku. Za območje se pripravlja načrt ukrepov za zmanjšanje poplavne ogroženosti z regulacijo potoka. Ob tem je nenavadno to, da same karte poplavne nevarnosti na podlagi katerih bi se načrt pripravljal niso recenzirane in objavljane na Atlasu voda. Zato na poplavno nevarnost, ki jo predstavlja navedeni potok opozarja samo opozorilna karta poplav.</w:t>
      </w:r>
    </w:p>
    <w:p w14:paraId="5CCEE75B" w14:textId="33DB5480" w:rsidR="009A7AFC" w:rsidRDefault="009A7AFC" w:rsidP="009A7AFC">
      <w:pPr>
        <w:rPr>
          <w:lang w:eastAsia="sl-SI"/>
        </w:rPr>
      </w:pPr>
      <w:r>
        <w:rPr>
          <w:lang w:eastAsia="sl-SI"/>
        </w:rPr>
        <w:t xml:space="preserve">Za povodje potoka Potok je pripravljena projektna dokumentacija za ureditev vodotoka s ciljem zmanjšanja poplavne ogroženosti objektov ob njem. </w:t>
      </w:r>
    </w:p>
    <w:p w14:paraId="21B3A0FE" w14:textId="77777777" w:rsidR="009A7AFC" w:rsidRDefault="003E6900" w:rsidP="009A7AFC">
      <w:pPr>
        <w:keepNext/>
        <w:jc w:val="center"/>
      </w:pPr>
      <w:r>
        <w:rPr>
          <w:noProof/>
          <w:lang w:eastAsia="sl-SI"/>
        </w:rPr>
        <w:lastRenderedPageBreak/>
        <mc:AlternateContent>
          <mc:Choice Requires="wps">
            <w:drawing>
              <wp:anchor distT="0" distB="0" distL="114300" distR="114300" simplePos="0" relativeHeight="252187648" behindDoc="0" locked="0" layoutInCell="1" allowOverlap="1" wp14:anchorId="0BA87802" wp14:editId="5910A949">
                <wp:simplePos x="0" y="0"/>
                <wp:positionH relativeFrom="column">
                  <wp:posOffset>2941608</wp:posOffset>
                </wp:positionH>
                <wp:positionV relativeFrom="paragraph">
                  <wp:posOffset>1831316</wp:posOffset>
                </wp:positionV>
                <wp:extent cx="862462" cy="483080"/>
                <wp:effectExtent l="0" t="0" r="0" b="0"/>
                <wp:wrapNone/>
                <wp:docPr id="69963" name="Polje z besedilom 69963"/>
                <wp:cNvGraphicFramePr/>
                <a:graphic xmlns:a="http://schemas.openxmlformats.org/drawingml/2006/main">
                  <a:graphicData uri="http://schemas.microsoft.com/office/word/2010/wordprocessingShape">
                    <wps:wsp>
                      <wps:cNvSpPr txBox="1"/>
                      <wps:spPr>
                        <a:xfrm>
                          <a:off x="0" y="0"/>
                          <a:ext cx="862462" cy="483080"/>
                        </a:xfrm>
                        <a:prstGeom prst="rect">
                          <a:avLst/>
                        </a:prstGeom>
                        <a:noFill/>
                        <a:ln w="6350">
                          <a:noFill/>
                        </a:ln>
                      </wps:spPr>
                      <wps:txbx>
                        <w:txbxContent>
                          <w:p w14:paraId="6E4909F3" w14:textId="77777777" w:rsidR="00996D54" w:rsidRPr="005D1C46" w:rsidRDefault="00996D54" w:rsidP="003E6900">
                            <w:pPr>
                              <w:rPr>
                                <w:color w:val="FFFFFF" w:themeColor="background1"/>
                              </w:rPr>
                            </w:pPr>
                            <w:r>
                              <w:rPr>
                                <w:color w:val="FFFFFF" w:themeColor="background1"/>
                              </w:rPr>
                              <w:t xml:space="preserve">Potok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A87802" id="Polje z besedilom 69963" o:spid="_x0000_s1037" type="#_x0000_t202" style="position:absolute;left:0;text-align:left;margin-left:231.6pt;margin-top:144.2pt;width:67.9pt;height:38.05pt;z-index:252187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" filled="f" stroked="f" strokeweight=".5pt">
                <v:textbox>
                  <w:txbxContent>
                    <w:p w14:paraId="6E4909F3" w14:textId="77777777" w:rsidR="00996D54" w:rsidRPr="005D1C46" w:rsidRDefault="00996D54" w:rsidP="003E6900">
                      <w:pPr>
                        <w:rPr>
                          <w:color w:val="FFFFFF" w:themeColor="background1"/>
                        </w:rPr>
                      </w:pPr>
                      <w:r>
                        <w:rPr>
                          <w:color w:val="FFFFFF" w:themeColor="background1"/>
                        </w:rPr>
                        <w:t xml:space="preserve">Potok </w:t>
                      </w:r>
                    </w:p>
                  </w:txbxContent>
                </v:textbox>
              </v:shape>
            </w:pict>
          </mc:Fallback>
        </mc:AlternateContent>
      </w:r>
      <w:r>
        <w:rPr>
          <w:noProof/>
          <w:lang w:eastAsia="sl-SI"/>
        </w:rPr>
        <w:drawing>
          <wp:inline distT="0" distB="0" distL="0" distR="0" wp14:anchorId="6F3B3713" wp14:editId="4DBCC0C6">
            <wp:extent cx="3933825" cy="3295650"/>
            <wp:effectExtent l="0" t="0" r="9525" b="0"/>
            <wp:docPr id="69962" name="Slika 69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933825" cy="3295650"/>
                    </a:xfrm>
                    <a:prstGeom prst="rect">
                      <a:avLst/>
                    </a:prstGeom>
                  </pic:spPr>
                </pic:pic>
              </a:graphicData>
            </a:graphic>
          </wp:inline>
        </w:drawing>
      </w:r>
    </w:p>
    <w:p w14:paraId="3DB7D8F5" w14:textId="217FB873" w:rsidR="003E6900" w:rsidRDefault="009A7AFC" w:rsidP="009A7AFC">
      <w:pPr>
        <w:pStyle w:val="Napis"/>
        <w:jc w:val="left"/>
        <w:rPr>
          <w:lang w:eastAsia="sl-SI"/>
        </w:rPr>
      </w:pPr>
      <w:bookmarkStart w:id="533" w:name="_Toc97026926"/>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74</w:t>
      </w:r>
      <w:r w:rsidR="008334B2">
        <w:fldChar w:fldCharType="end"/>
      </w:r>
      <w:r w:rsidRPr="00E0660C">
        <w:t>: Opozorilna karta poplav za območje vodotokov Potok in Vipava na območju Dornberka in Prvačine</w:t>
      </w:r>
      <w:bookmarkEnd w:id="533"/>
    </w:p>
    <w:p w14:paraId="2B260B74" w14:textId="6E54B770" w:rsidR="003E6900" w:rsidRDefault="009A7AFC" w:rsidP="009A7AFC">
      <w:pPr>
        <w:pStyle w:val="Naslov5"/>
      </w:pPr>
      <w:r>
        <w:t>P</w:t>
      </w:r>
      <w:r w:rsidR="003E6900">
        <w:t>ovodje Branice</w:t>
      </w:r>
    </w:p>
    <w:p w14:paraId="1983D3AF" w14:textId="6397AFE5" w:rsidR="003E6900" w:rsidRDefault="003E6900" w:rsidP="003E6900">
      <w:pPr>
        <w:rPr>
          <w:lang w:eastAsia="sl-SI"/>
        </w:rPr>
      </w:pPr>
      <w:r>
        <w:rPr>
          <w:lang w:eastAsia="sl-SI"/>
        </w:rPr>
        <w:t>Za povodje Branice na območju Mestne občine Nova Gorica je bila v letu 2012 izdelana karta poplavne nevarnosti, ki je prikazana na sliki spodaj</w:t>
      </w:r>
      <w:r w:rsidR="009A7AFC">
        <w:rPr>
          <w:lang w:eastAsia="sl-SI"/>
        </w:rPr>
        <w:t xml:space="preserve"> (Inštitut za vodarstvo, 2021)</w:t>
      </w:r>
      <w:r>
        <w:rPr>
          <w:lang w:eastAsia="sl-SI"/>
        </w:rPr>
        <w:t xml:space="preserve">. Karte (KPN, KRPN) so objavljene na </w:t>
      </w:r>
      <w:r w:rsidR="00921FCD">
        <w:rPr>
          <w:lang w:eastAsia="sl-SI"/>
        </w:rPr>
        <w:t>atlasu</w:t>
      </w:r>
      <w:r>
        <w:rPr>
          <w:lang w:eastAsia="sl-SI"/>
        </w:rPr>
        <w:t xml:space="preserve"> voda. Ugotovljeno je bilo, da je v primeru poplavnih dogodkov s visoko povratno dobo (Qn100, Qn500) poplavljeno pretežno neposeljeno dolinsko dno, število ogroženih objektov pa je relativno omejeno. </w:t>
      </w:r>
    </w:p>
    <w:p w14:paraId="715C9BFD" w14:textId="354E20F7" w:rsidR="003E6900" w:rsidRDefault="003E6900" w:rsidP="003E6900">
      <w:pPr>
        <w:rPr>
          <w:lang w:eastAsia="sl-SI"/>
        </w:rPr>
      </w:pPr>
      <w:r>
        <w:rPr>
          <w:lang w:eastAsia="sl-SI"/>
        </w:rPr>
        <w:t xml:space="preserve">Poplavno ogroženi so predvsem objekti, ki se </w:t>
      </w:r>
      <w:r w:rsidR="00B8745C">
        <w:rPr>
          <w:lang w:eastAsia="sl-SI"/>
        </w:rPr>
        <w:t>nahajajo v bližini naselja Branik,</w:t>
      </w:r>
      <w:r>
        <w:rPr>
          <w:lang w:eastAsia="sl-SI"/>
        </w:rPr>
        <w:t xml:space="preserve"> kjer je urbanizacija že pričela pritiskati na dolinsko dno. </w:t>
      </w:r>
    </w:p>
    <w:p w14:paraId="08D93AB1" w14:textId="77777777" w:rsidR="003E6900" w:rsidRDefault="003E6900" w:rsidP="003E6900">
      <w:pPr>
        <w:rPr>
          <w:lang w:eastAsia="sl-SI"/>
        </w:rPr>
      </w:pPr>
      <w:r>
        <w:rPr>
          <w:lang w:eastAsia="sl-SI"/>
        </w:rPr>
        <w:t xml:space="preserve">Vpliv podnebnih sprememb je glede na velikost povodja in tudi možnost razbremenjevanja visokih voda na poplavne ravnice relativno omejen. </w:t>
      </w:r>
    </w:p>
    <w:p w14:paraId="10AD3C7F" w14:textId="77777777" w:rsidR="003E6900" w:rsidRDefault="003E6900" w:rsidP="003E6900">
      <w:pPr>
        <w:rPr>
          <w:lang w:eastAsia="sl-SI"/>
        </w:rPr>
      </w:pPr>
    </w:p>
    <w:p w14:paraId="2D894F25" w14:textId="77777777" w:rsidR="009A7AFC" w:rsidRDefault="003E6900" w:rsidP="009A7AFC">
      <w:pPr>
        <w:keepNext/>
      </w:pPr>
      <w:r>
        <w:rPr>
          <w:noProof/>
          <w:lang w:eastAsia="sl-SI"/>
        </w:rPr>
        <w:lastRenderedPageBreak/>
        <w:drawing>
          <wp:inline distT="0" distB="0" distL="0" distR="0" wp14:anchorId="5D3C42EC" wp14:editId="6BE02D26">
            <wp:extent cx="6120130" cy="4855210"/>
            <wp:effectExtent l="0" t="0" r="0" b="2540"/>
            <wp:docPr id="69964" name="Slika 69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6120130" cy="4855210"/>
                    </a:xfrm>
                    <a:prstGeom prst="rect">
                      <a:avLst/>
                    </a:prstGeom>
                  </pic:spPr>
                </pic:pic>
              </a:graphicData>
            </a:graphic>
          </wp:inline>
        </w:drawing>
      </w:r>
    </w:p>
    <w:p w14:paraId="60F67D58" w14:textId="3018B649" w:rsidR="003E6900" w:rsidRDefault="009A7AFC" w:rsidP="009A7AFC">
      <w:pPr>
        <w:pStyle w:val="Napis"/>
        <w:rPr>
          <w:lang w:eastAsia="sl-SI"/>
        </w:rPr>
      </w:pPr>
      <w:bookmarkStart w:id="534" w:name="_Toc97026927"/>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75</w:t>
      </w:r>
      <w:r w:rsidR="008334B2">
        <w:fldChar w:fldCharType="end"/>
      </w:r>
      <w:r>
        <w:t xml:space="preserve">: </w:t>
      </w:r>
      <w:r w:rsidRPr="009C0E5F">
        <w:t>Karta poplavne nevarnosti za povodje Branice</w:t>
      </w:r>
      <w:bookmarkEnd w:id="534"/>
    </w:p>
    <w:p w14:paraId="33809DE3" w14:textId="77777777" w:rsidR="003E6900" w:rsidRDefault="003E6900" w:rsidP="003E6900">
      <w:pPr>
        <w:rPr>
          <w:lang w:eastAsia="sl-SI"/>
        </w:rPr>
      </w:pPr>
      <w:r>
        <w:rPr>
          <w:lang w:eastAsia="sl-SI"/>
        </w:rPr>
        <w:t xml:space="preserve">Usmeritve za nadaljnje ukrepe na povodju Branice se nanašajo na varovanje obstoječih </w:t>
      </w:r>
      <w:proofErr w:type="spellStart"/>
      <w:r>
        <w:rPr>
          <w:lang w:eastAsia="sl-SI"/>
        </w:rPr>
        <w:t>razlivnih</w:t>
      </w:r>
      <w:proofErr w:type="spellEnd"/>
      <w:r>
        <w:rPr>
          <w:lang w:eastAsia="sl-SI"/>
        </w:rPr>
        <w:t xml:space="preserve"> območij in lokalno zaščito ogroženih objektov. </w:t>
      </w:r>
    </w:p>
    <w:p w14:paraId="2A1F35D2" w14:textId="24FEAAEE" w:rsidR="003E6900" w:rsidRDefault="003E6900" w:rsidP="009A7AFC">
      <w:pPr>
        <w:pStyle w:val="Naslov5"/>
      </w:pPr>
      <w:r>
        <w:t>Vipava – Prvačina in Dornberk</w:t>
      </w:r>
    </w:p>
    <w:p w14:paraId="34E25735" w14:textId="77777777" w:rsidR="003E6900" w:rsidRDefault="003E6900" w:rsidP="003E6900">
      <w:pPr>
        <w:rPr>
          <w:lang w:eastAsia="sl-SI"/>
        </w:rPr>
      </w:pPr>
      <w:r>
        <w:rPr>
          <w:lang w:eastAsia="sl-SI"/>
        </w:rPr>
        <w:t xml:space="preserve">Odsek reke Vipave, ki se nahaja v Mestni občini Nova Gorica se nahaja ob dveh naseljih: Dornberk in Prvačina. Poplavni dogodek na Vipavi leta 2010 je opozoril na poplavno ogroženosti nižje ležečih delov naselja, zato je bila za odsek ob naselju Prvačina leta 2010 izdelana hidrološko – hidravlična analiza, kasnejše študije in analize (tudi projekt VISFRIM) pa so usmerjale ukrepe v izvedbo nasipa na desnem bregu reke Vipave ob naselju Prvačina nad križanjem z železnico in državno cesto 204. </w:t>
      </w:r>
    </w:p>
    <w:p w14:paraId="6A384F63" w14:textId="77777777" w:rsidR="003E6900" w:rsidRDefault="003E6900" w:rsidP="003E6900">
      <w:pPr>
        <w:rPr>
          <w:lang w:eastAsia="sl-SI"/>
        </w:rPr>
      </w:pPr>
      <w:r>
        <w:rPr>
          <w:lang w:eastAsia="sl-SI"/>
        </w:rPr>
        <w:t xml:space="preserve">Na atlasu voda za predmetno območje ni objavljenih kart poplavne nevarnosti in razredov poplavne nevarnosti, zato podajamo opozorilno karto poplavne nevarnosti (slika spodaj). </w:t>
      </w:r>
    </w:p>
    <w:p w14:paraId="0D4A7F94" w14:textId="77777777" w:rsidR="003E6900" w:rsidRDefault="003E6900" w:rsidP="003E6900">
      <w:pPr>
        <w:rPr>
          <w:lang w:eastAsia="sl-SI"/>
        </w:rPr>
      </w:pPr>
    </w:p>
    <w:p w14:paraId="5A281577" w14:textId="77777777" w:rsidR="009A7AFC" w:rsidRDefault="003E6900" w:rsidP="009A7AFC">
      <w:pPr>
        <w:keepNext/>
        <w:jc w:val="center"/>
      </w:pPr>
      <w:r>
        <w:rPr>
          <w:noProof/>
          <w:lang w:eastAsia="sl-SI"/>
        </w:rPr>
        <w:lastRenderedPageBreak/>
        <mc:AlternateContent>
          <mc:Choice Requires="wps">
            <w:drawing>
              <wp:anchor distT="0" distB="0" distL="114300" distR="114300" simplePos="0" relativeHeight="252189696" behindDoc="0" locked="0" layoutInCell="1" allowOverlap="1" wp14:anchorId="12310DB5" wp14:editId="7EE798D0">
                <wp:simplePos x="0" y="0"/>
                <wp:positionH relativeFrom="column">
                  <wp:posOffset>1925032</wp:posOffset>
                </wp:positionH>
                <wp:positionV relativeFrom="paragraph">
                  <wp:posOffset>807565</wp:posOffset>
                </wp:positionV>
                <wp:extent cx="862462" cy="483080"/>
                <wp:effectExtent l="0" t="0" r="0" b="0"/>
                <wp:wrapNone/>
                <wp:docPr id="2111931288" name="Polje z besedilom 13"/>
                <wp:cNvGraphicFramePr/>
                <a:graphic xmlns:a="http://schemas.openxmlformats.org/drawingml/2006/main">
                  <a:graphicData uri="http://schemas.microsoft.com/office/word/2010/wordprocessingShape">
                    <wps:wsp>
                      <wps:cNvSpPr txBox="1"/>
                      <wps:spPr>
                        <a:xfrm>
                          <a:off x="0" y="0"/>
                          <a:ext cx="862462" cy="483080"/>
                        </a:xfrm>
                        <a:prstGeom prst="rect">
                          <a:avLst/>
                        </a:prstGeom>
                        <a:noFill/>
                        <a:ln w="6350">
                          <a:noFill/>
                        </a:ln>
                      </wps:spPr>
                      <wps:txbx>
                        <w:txbxContent>
                          <w:p w14:paraId="030FAD63" w14:textId="77777777" w:rsidR="00996D54" w:rsidRPr="005D1C46" w:rsidRDefault="00996D54" w:rsidP="003E6900">
                            <w:pPr>
                              <w:rPr>
                                <w:color w:val="FFFFFF" w:themeColor="background1"/>
                              </w:rPr>
                            </w:pPr>
                            <w:r>
                              <w:rPr>
                                <w:color w:val="FFFFFF" w:themeColor="background1"/>
                              </w:rPr>
                              <w:t xml:space="preserve">Prvačina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310DB5" id="Polje z besedilom 13" o:spid="_x0000_s1038" type="#_x0000_t202" style="position:absolute;left:0;text-align:left;margin-left:151.6pt;margin-top:63.6pt;width:67.9pt;height:38.05pt;z-index:252189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" filled="f" stroked="f" strokeweight=".5pt">
                <v:textbox>
                  <w:txbxContent>
                    <w:p w14:paraId="030FAD63" w14:textId="77777777" w:rsidR="00996D54" w:rsidRPr="005D1C46" w:rsidRDefault="00996D54" w:rsidP="003E6900">
                      <w:pPr>
                        <w:rPr>
                          <w:color w:val="FFFFFF" w:themeColor="background1"/>
                        </w:rPr>
                      </w:pPr>
                      <w:r>
                        <w:rPr>
                          <w:color w:val="FFFFFF" w:themeColor="background1"/>
                        </w:rPr>
                        <w:t xml:space="preserve">Prvačina </w:t>
                      </w:r>
                    </w:p>
                  </w:txbxContent>
                </v:textbox>
              </v:shape>
            </w:pict>
          </mc:Fallback>
        </mc:AlternateContent>
      </w:r>
      <w:r>
        <w:rPr>
          <w:noProof/>
          <w:lang w:eastAsia="sl-SI"/>
        </w:rPr>
        <mc:AlternateContent>
          <mc:Choice Requires="wps">
            <w:drawing>
              <wp:anchor distT="0" distB="0" distL="114300" distR="114300" simplePos="0" relativeHeight="252188672" behindDoc="0" locked="0" layoutInCell="1" allowOverlap="1" wp14:anchorId="15DE6F62" wp14:editId="1163B3FC">
                <wp:simplePos x="0" y="0"/>
                <wp:positionH relativeFrom="column">
                  <wp:posOffset>3347049</wp:posOffset>
                </wp:positionH>
                <wp:positionV relativeFrom="paragraph">
                  <wp:posOffset>1086928</wp:posOffset>
                </wp:positionV>
                <wp:extent cx="862462" cy="483080"/>
                <wp:effectExtent l="0" t="0" r="0" b="0"/>
                <wp:wrapNone/>
                <wp:docPr id="2111931289" name="Polje z besedilom 9"/>
                <wp:cNvGraphicFramePr/>
                <a:graphic xmlns:a="http://schemas.openxmlformats.org/drawingml/2006/main">
                  <a:graphicData uri="http://schemas.microsoft.com/office/word/2010/wordprocessingShape">
                    <wps:wsp>
                      <wps:cNvSpPr txBox="1"/>
                      <wps:spPr>
                        <a:xfrm>
                          <a:off x="0" y="0"/>
                          <a:ext cx="862462" cy="483080"/>
                        </a:xfrm>
                        <a:prstGeom prst="rect">
                          <a:avLst/>
                        </a:prstGeom>
                        <a:noFill/>
                        <a:ln w="6350">
                          <a:noFill/>
                        </a:ln>
                      </wps:spPr>
                      <wps:txbx>
                        <w:txbxContent>
                          <w:p w14:paraId="0B7B570E" w14:textId="77777777" w:rsidR="00996D54" w:rsidRPr="005D1C46" w:rsidRDefault="00996D54" w:rsidP="003E6900">
                            <w:pPr>
                              <w:rPr>
                                <w:color w:val="FFFFFF" w:themeColor="background1"/>
                              </w:rPr>
                            </w:pPr>
                            <w:r>
                              <w:rPr>
                                <w:color w:val="FFFFFF" w:themeColor="background1"/>
                              </w:rPr>
                              <w:t xml:space="preserve">Dornberk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DE6F62" id="Polje z besedilom 9" o:spid="_x0000_s1039" type="#_x0000_t202" style="position:absolute;left:0;text-align:left;margin-left:263.55pt;margin-top:85.6pt;width:67.9pt;height:38.05pt;z-index:252188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" filled="f" stroked="f" strokeweight=".5pt">
                <v:textbox>
                  <w:txbxContent>
                    <w:p w14:paraId="0B7B570E" w14:textId="77777777" w:rsidR="00996D54" w:rsidRPr="005D1C46" w:rsidRDefault="00996D54" w:rsidP="003E6900">
                      <w:pPr>
                        <w:rPr>
                          <w:color w:val="FFFFFF" w:themeColor="background1"/>
                        </w:rPr>
                      </w:pPr>
                      <w:r>
                        <w:rPr>
                          <w:color w:val="FFFFFF" w:themeColor="background1"/>
                        </w:rPr>
                        <w:t xml:space="preserve">Dornberk </w:t>
                      </w:r>
                    </w:p>
                  </w:txbxContent>
                </v:textbox>
              </v:shape>
            </w:pict>
          </mc:Fallback>
        </mc:AlternateContent>
      </w:r>
      <w:r>
        <w:rPr>
          <w:noProof/>
          <w:lang w:eastAsia="sl-SI"/>
        </w:rPr>
        <w:drawing>
          <wp:inline distT="0" distB="0" distL="0" distR="0" wp14:anchorId="38FC728F" wp14:editId="47C3B1A3">
            <wp:extent cx="3933825" cy="3295650"/>
            <wp:effectExtent l="0" t="0" r="9525" b="0"/>
            <wp:docPr id="2111931300"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933825" cy="3295650"/>
                    </a:xfrm>
                    <a:prstGeom prst="rect">
                      <a:avLst/>
                    </a:prstGeom>
                  </pic:spPr>
                </pic:pic>
              </a:graphicData>
            </a:graphic>
          </wp:inline>
        </w:drawing>
      </w:r>
    </w:p>
    <w:p w14:paraId="7E0D18D8" w14:textId="20EF4F29" w:rsidR="003E6900" w:rsidRDefault="009A7AFC" w:rsidP="009A7AFC">
      <w:pPr>
        <w:pStyle w:val="Napis"/>
        <w:jc w:val="center"/>
        <w:rPr>
          <w:lang w:eastAsia="sl-SI"/>
        </w:rPr>
      </w:pPr>
      <w:bookmarkStart w:id="535" w:name="_Toc97026928"/>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76</w:t>
      </w:r>
      <w:r w:rsidR="008334B2">
        <w:fldChar w:fldCharType="end"/>
      </w:r>
      <w:r>
        <w:t xml:space="preserve">: </w:t>
      </w:r>
      <w:r w:rsidRPr="00F06568">
        <w:t>: Opozorilna karta poplavne nevarnosti za odsek reke Vipave ob naseljih Prvačina in Dornberk</w:t>
      </w:r>
      <w:bookmarkEnd w:id="535"/>
    </w:p>
    <w:p w14:paraId="78F146A5" w14:textId="06EFD0D3" w:rsidR="003E6900" w:rsidRPr="002963E1" w:rsidRDefault="003E6900" w:rsidP="009A7AFC">
      <w:pPr>
        <w:pStyle w:val="Naslov5"/>
      </w:pPr>
      <w:r>
        <w:t>Drugi n</w:t>
      </w:r>
      <w:r w:rsidRPr="002963E1">
        <w:t>ačrtovani ukrepi</w:t>
      </w:r>
    </w:p>
    <w:p w14:paraId="5B30224C" w14:textId="17794EA7" w:rsidR="003E6900" w:rsidRDefault="003E6900" w:rsidP="003E6900">
      <w:pPr>
        <w:rPr>
          <w:lang w:val="pl-PL"/>
        </w:rPr>
      </w:pPr>
      <w:r>
        <w:rPr>
          <w:lang w:eastAsia="sl-SI"/>
        </w:rPr>
        <w:t xml:space="preserve">Glede na veliko poplavno ogroženosti območij poselitve v Mestni občini Nova Gorica in ostalih občinah na povodju reke Vipave je bilo v preteklosti že oblikovanih več projektov, ki so naslavljali različne vidike poplavne nevarnosti, poplavne ogroženosti in ukrepov za zmanjšanje poplave ogroženosti (SIMIS, VISFRIM, GREVISLIN, </w:t>
      </w:r>
      <w:proofErr w:type="spellStart"/>
      <w:r w:rsidRPr="008241DC">
        <w:rPr>
          <w:lang w:eastAsia="sl-SI"/>
        </w:rPr>
        <w:t>BeWater</w:t>
      </w:r>
      <w:proofErr w:type="spellEnd"/>
      <w:r w:rsidR="009A7AFC">
        <w:rPr>
          <w:lang w:eastAsia="sl-SI"/>
        </w:rPr>
        <w:t xml:space="preserve"> (</w:t>
      </w:r>
      <w:proofErr w:type="spellStart"/>
      <w:r w:rsidR="009A7AFC">
        <w:rPr>
          <w:lang w:eastAsia="sl-SI"/>
        </w:rPr>
        <w:t>Magiar</w:t>
      </w:r>
      <w:proofErr w:type="spellEnd"/>
      <w:r w:rsidR="009A7AFC">
        <w:rPr>
          <w:lang w:eastAsia="sl-SI"/>
        </w:rPr>
        <w:t xml:space="preserve"> et </w:t>
      </w:r>
      <w:proofErr w:type="spellStart"/>
      <w:r w:rsidR="009A7AFC">
        <w:rPr>
          <w:lang w:eastAsia="sl-SI"/>
        </w:rPr>
        <w:t>al</w:t>
      </w:r>
      <w:proofErr w:type="spellEnd"/>
      <w:r w:rsidR="009A7AFC">
        <w:rPr>
          <w:lang w:eastAsia="sl-SI"/>
        </w:rPr>
        <w:t>., 2016)</w:t>
      </w:r>
      <w:r>
        <w:rPr>
          <w:lang w:eastAsia="sl-SI"/>
        </w:rPr>
        <w:t xml:space="preserve">) poleg tega pa so predvideni, analizirani in v teku načrtovanja tudi ukrepi na posameznih vodotokih in ogroženih območjih (Potok, </w:t>
      </w:r>
      <w:proofErr w:type="spellStart"/>
      <w:r>
        <w:rPr>
          <w:lang w:eastAsia="sl-SI"/>
        </w:rPr>
        <w:t>Vrtojbica</w:t>
      </w:r>
      <w:proofErr w:type="spellEnd"/>
      <w:r>
        <w:rPr>
          <w:lang w:eastAsia="sl-SI"/>
        </w:rPr>
        <w:t xml:space="preserve">, Miren, Vipava – Bela idr.). Ne glede na to celovite študije, ki bi na enoten način naslovila celotno povodje Vipave do sedaj ni bilo, zato je DRSV v letu 2021 zastavila razpis za izdelavo </w:t>
      </w:r>
      <w:r>
        <w:rPr>
          <w:lang w:val="pl-PL"/>
        </w:rPr>
        <w:t xml:space="preserve">Celovite hidrološko  -  hidravlične študijo </w:t>
      </w:r>
      <w:r w:rsidRPr="00804A1D">
        <w:rPr>
          <w:lang w:val="pl-PL"/>
        </w:rPr>
        <w:t xml:space="preserve"> na </w:t>
      </w:r>
      <w:r>
        <w:rPr>
          <w:lang w:val="pl-PL"/>
        </w:rPr>
        <w:t xml:space="preserve"> </w:t>
      </w:r>
      <w:r w:rsidRPr="00804A1D">
        <w:rPr>
          <w:lang w:val="pl-PL"/>
        </w:rPr>
        <w:t>porečju Vipave</w:t>
      </w:r>
      <w:r>
        <w:rPr>
          <w:lang w:val="pl-PL"/>
        </w:rPr>
        <w:t xml:space="preserve"> – (oznaka razpisa 43030-2/2021). </w:t>
      </w:r>
    </w:p>
    <w:p w14:paraId="60A0AF46" w14:textId="77777777" w:rsidR="003E6900" w:rsidRDefault="003E6900" w:rsidP="003E6900">
      <w:pPr>
        <w:rPr>
          <w:lang w:eastAsia="sl-SI"/>
        </w:rPr>
      </w:pPr>
      <w:r>
        <w:rPr>
          <w:lang w:eastAsia="sl-SI"/>
        </w:rPr>
        <w:t xml:space="preserve">Pričakovanja vezana na navedeno študijo so visoka, saj naj bi s študijo poenotili nova hidrološka izhodišča (Hidrološka študija Vipave, DRSV, 2020), oblikovali tudi ukrepe, ki so povezani z doseganjem ciljnega stanja poplavne ogroženosti, prilagajanja na pričakovane podnebne spremembe (analiza scenarija RSP 8.5), hkrati pa tudi analizirala ukrepe z vidika izboljšanja </w:t>
      </w:r>
      <w:proofErr w:type="spellStart"/>
      <w:r>
        <w:rPr>
          <w:lang w:eastAsia="sl-SI"/>
        </w:rPr>
        <w:t>hidromorofološkega</w:t>
      </w:r>
      <w:proofErr w:type="spellEnd"/>
      <w:r>
        <w:rPr>
          <w:lang w:eastAsia="sl-SI"/>
        </w:rPr>
        <w:t xml:space="preserve"> stanja, kakor je to zahteva, ki izhaja iz Okvirne vodne direktive (EU 2000/60). </w:t>
      </w:r>
    </w:p>
    <w:p w14:paraId="5B53CCB8" w14:textId="1DE8861F" w:rsidR="009A7AFC" w:rsidRDefault="009A7AFC">
      <w:pPr>
        <w:jc w:val="left"/>
        <w:rPr>
          <w:lang w:eastAsia="sl-SI"/>
        </w:rPr>
      </w:pPr>
      <w:r>
        <w:rPr>
          <w:lang w:eastAsia="sl-SI"/>
        </w:rPr>
        <w:br w:type="page"/>
      </w:r>
    </w:p>
    <w:p w14:paraId="695F2A48" w14:textId="380F0080" w:rsidR="00882ADC" w:rsidRDefault="00976D80" w:rsidP="00882ADC">
      <w:pPr>
        <w:pStyle w:val="Naslov3"/>
      </w:pPr>
      <w:bookmarkStart w:id="536" w:name="_Toc65052904"/>
      <w:bookmarkStart w:id="537" w:name="_Ref65433603"/>
      <w:bookmarkStart w:id="538" w:name="_Toc97026813"/>
      <w:r>
        <w:lastRenderedPageBreak/>
        <w:t>O</w:t>
      </w:r>
      <w:r w:rsidR="00882ADC" w:rsidRPr="008664C5">
        <w:t xml:space="preserve">cena potencialnih vplivov podnebnih sprememb na sektor po kazalnikih za sektor </w:t>
      </w:r>
      <w:r w:rsidR="00882ADC">
        <w:t>poplavna ogroženost</w:t>
      </w:r>
      <w:bookmarkEnd w:id="536"/>
      <w:bookmarkEnd w:id="537"/>
      <w:bookmarkEnd w:id="538"/>
      <w:r w:rsidR="00882ADC">
        <w:t xml:space="preserve"> </w:t>
      </w:r>
    </w:p>
    <w:p w14:paraId="32930B7D" w14:textId="77777777" w:rsidR="00B8745C" w:rsidRPr="00B8745C" w:rsidRDefault="00B8745C" w:rsidP="00B8745C"/>
    <w:p w14:paraId="4BBD5664" w14:textId="77777777" w:rsidR="00882ADC" w:rsidRDefault="00882ADC" w:rsidP="00CE43D7">
      <w:pPr>
        <w:pStyle w:val="Naslov4"/>
      </w:pPr>
      <w:r>
        <w:t>Fluvialne poplave</w:t>
      </w:r>
    </w:p>
    <w:p w14:paraId="04522404" w14:textId="77777777" w:rsidR="009A7AFC" w:rsidRDefault="009A7AFC" w:rsidP="009A7AFC">
      <w:pPr>
        <w:rPr>
          <w:lang w:eastAsia="sl-SI"/>
        </w:rPr>
      </w:pPr>
      <w:r>
        <w:rPr>
          <w:lang w:eastAsia="sl-SI"/>
        </w:rPr>
        <w:t xml:space="preserve">Podnebne spremembe bodo po podnebnih scenarijih imele vpliv na fluvialne poplavne na območju Mestne občine Nova Gorica, saj je po opredeljenih scenarijih podnebnih sprememb mogoče pričakovati povečano količino in intenziteto padavin. Zaradi mehanizma </w:t>
      </w:r>
      <w:proofErr w:type="spellStart"/>
      <w:r>
        <w:rPr>
          <w:lang w:eastAsia="sl-SI"/>
        </w:rPr>
        <w:t>retenzije</w:t>
      </w:r>
      <w:proofErr w:type="spellEnd"/>
      <w:r>
        <w:rPr>
          <w:lang w:eastAsia="sl-SI"/>
        </w:rPr>
        <w:t xml:space="preserve"> vode v </w:t>
      </w:r>
      <w:proofErr w:type="spellStart"/>
      <w:r>
        <w:rPr>
          <w:lang w:eastAsia="sl-SI"/>
        </w:rPr>
        <w:t>razpoklinskem</w:t>
      </w:r>
      <w:proofErr w:type="spellEnd"/>
      <w:r>
        <w:rPr>
          <w:lang w:eastAsia="sl-SI"/>
        </w:rPr>
        <w:t xml:space="preserve"> kraškem vodonosniku, ki napaja kraške izvire Vipave (Hubelj, Lijak) je vpliv podnebnih sprememb neposredno na visokovodne pojave verjetno omejen. Po drugi strani pa se s povečano intenziteto, predvsem kratkotrajnih padavin tudi na povodju Vipave pričakovano stanje poslabšuje. </w:t>
      </w:r>
    </w:p>
    <w:p w14:paraId="5E3C5F34" w14:textId="50955EFE" w:rsidR="009A7AFC" w:rsidRDefault="009A7AFC" w:rsidP="009A7AFC">
      <w:pPr>
        <w:rPr>
          <w:lang w:eastAsia="sl-SI"/>
        </w:rPr>
      </w:pPr>
      <w:r>
        <w:rPr>
          <w:lang w:eastAsia="sl-SI"/>
        </w:rPr>
        <w:t>Za reko Vipavo in manjše vodotoke je mogoče pričakovati večje poslabšanje stanja, kar se bo predvidoma izkazalo že z upoštevanjem zadnjih hidroloških podatkov, ki jih že upošteva hidrološka študija reke Vipave s pritoki, ki jo je pripravila Direkcija za vode RS</w:t>
      </w:r>
      <w:r w:rsidR="00976D80">
        <w:rPr>
          <w:lang w:eastAsia="sl-SI"/>
        </w:rPr>
        <w:t>.</w:t>
      </w:r>
    </w:p>
    <w:p w14:paraId="0DB6B342" w14:textId="77777777" w:rsidR="00882ADC" w:rsidRPr="00B8745C" w:rsidRDefault="00882ADC" w:rsidP="00B8745C">
      <w:pPr>
        <w:pStyle w:val="Naslov4"/>
      </w:pPr>
      <w:r w:rsidRPr="00B8745C">
        <w:t xml:space="preserve">Pluvialne poplave </w:t>
      </w:r>
    </w:p>
    <w:p w14:paraId="57A053B8" w14:textId="77777777" w:rsidR="00976D80" w:rsidRDefault="00976D80" w:rsidP="00976D80">
      <w:pPr>
        <w:rPr>
          <w:lang w:eastAsia="sl-SI"/>
        </w:rPr>
      </w:pPr>
      <w:r>
        <w:rPr>
          <w:lang w:eastAsia="sl-SI"/>
        </w:rPr>
        <w:t xml:space="preserve">Podnebne spremembe bodo po podnebnih scenarijih imele večji vpliv na pluvialne poplavne na območju Mestne občine Nova Gorica, saj je pričakovati povečano količino padavin, ki bodo nastajale zaradi močnejših kratkotrajnih nalivov – nevihtnih celic. </w:t>
      </w:r>
    </w:p>
    <w:p w14:paraId="3CB88CCA" w14:textId="7659D13E" w:rsidR="00976D80" w:rsidRDefault="00976D80" w:rsidP="00976D80">
      <w:pPr>
        <w:rPr>
          <w:lang w:eastAsia="sl-SI"/>
        </w:rPr>
      </w:pPr>
      <w:r>
        <w:rPr>
          <w:lang w:eastAsia="sl-SI"/>
        </w:rPr>
        <w:t xml:space="preserve">Problem pluvialnih poplav v osnovi že opredeljen v prioritetah dela izvajalca javne službe – Vodovodi in kanalizacija Nova Gorica, ki ima kot eden od redkih izvajalcev javne službe razvit model </w:t>
      </w:r>
      <w:proofErr w:type="spellStart"/>
      <w:r>
        <w:rPr>
          <w:lang w:eastAsia="sl-SI"/>
        </w:rPr>
        <w:t>odvodnje</w:t>
      </w:r>
      <w:proofErr w:type="spellEnd"/>
      <w:r>
        <w:rPr>
          <w:lang w:eastAsia="sl-SI"/>
        </w:rPr>
        <w:t xml:space="preserve"> meteornih voda</w:t>
      </w:r>
      <w:r w:rsidR="00B8745C">
        <w:rPr>
          <w:lang w:eastAsia="sl-SI"/>
        </w:rPr>
        <w:t xml:space="preserve"> </w:t>
      </w:r>
      <w:r>
        <w:rPr>
          <w:lang w:eastAsia="sl-SI"/>
        </w:rPr>
        <w:t>(</w:t>
      </w:r>
      <w:proofErr w:type="spellStart"/>
      <w:r>
        <w:rPr>
          <w:lang w:eastAsia="sl-SI"/>
        </w:rPr>
        <w:t>Hidrolab</w:t>
      </w:r>
      <w:proofErr w:type="spellEnd"/>
      <w:r>
        <w:rPr>
          <w:lang w:eastAsia="sl-SI"/>
        </w:rPr>
        <w:t>, 2019).</w:t>
      </w:r>
    </w:p>
    <w:p w14:paraId="340251C5" w14:textId="5A62E2BF" w:rsidR="00B8745C" w:rsidRPr="00B8745C" w:rsidRDefault="00B8745C" w:rsidP="00B8745C">
      <w:pPr>
        <w:pStyle w:val="Naslov4"/>
        <w:ind w:left="1985" w:hanging="1019"/>
      </w:pPr>
      <w:r>
        <w:t xml:space="preserve">Vodna infrastruktura </w:t>
      </w:r>
      <w:r w:rsidRPr="00B8745C">
        <w:t xml:space="preserve"> </w:t>
      </w:r>
    </w:p>
    <w:p w14:paraId="62840582" w14:textId="1677E35E" w:rsidR="00B8745C" w:rsidRDefault="00B8745C" w:rsidP="00B8745C">
      <w:bookmarkStart w:id="539" w:name="_Toc65052905"/>
      <w:bookmarkStart w:id="540" w:name="_Ref65433605"/>
      <w:r>
        <w:t xml:space="preserve">Potreba po ustreznem vzdrževanju in upravljanju z vodno infrastrukturo bo zaradi podnebnih sprememb, ki bodo prinašale večje obremenitve na vodno infrastrukturo večja. </w:t>
      </w:r>
    </w:p>
    <w:p w14:paraId="29729FBE" w14:textId="77777777" w:rsidR="00B8745C" w:rsidRDefault="00B8745C" w:rsidP="00B8745C">
      <w:pPr>
        <w:pStyle w:val="Naslov4"/>
      </w:pPr>
      <w:r>
        <w:t>Hudourniški izbruhi</w:t>
      </w:r>
    </w:p>
    <w:p w14:paraId="2D66FEF0" w14:textId="547C4A39" w:rsidR="00B8745C" w:rsidRDefault="00B8745C" w:rsidP="00B8745C">
      <w:r>
        <w:t xml:space="preserve">Hudourniški izbruhi so z vidika njihove nevarnosti in pojavnosti povezani z dvema ključnima dejavnikoma: (1) intenziteta padavin, ki se bo po podnebnih scenarijih povečala, ter (2) odpornost reguliranih vodotokov in vodne infrastrukture na te dogodke. </w:t>
      </w:r>
    </w:p>
    <w:p w14:paraId="1EA3E8CB" w14:textId="77777777" w:rsidR="00B8745C" w:rsidRDefault="00B8745C" w:rsidP="00B8745C">
      <w:pPr>
        <w:pStyle w:val="Naslov4"/>
      </w:pPr>
      <w:r>
        <w:t>Vodna infrastruktura</w:t>
      </w:r>
    </w:p>
    <w:p w14:paraId="11268319" w14:textId="77777777" w:rsidR="00B8745C" w:rsidRDefault="00B8745C" w:rsidP="00B8745C">
      <w:bookmarkStart w:id="541" w:name="_Hlk81472525"/>
      <w:r>
        <w:t xml:space="preserve">Potreba po ustreznem vzdrževanju in upravljanju z vodno infrastrukturo bo zaradi podnebnih sprememb, ki bodo prinašale večje obremenitve na vodno infrastrukturo večja. </w:t>
      </w:r>
    </w:p>
    <w:bookmarkEnd w:id="541"/>
    <w:p w14:paraId="3F383FF4" w14:textId="77777777" w:rsidR="00B8745C" w:rsidRDefault="00B8745C" w:rsidP="00B8745C"/>
    <w:p w14:paraId="66D72B63" w14:textId="77777777" w:rsidR="00B8745C" w:rsidRDefault="00B8745C" w:rsidP="00B8745C"/>
    <w:p w14:paraId="3A95051B" w14:textId="77777777" w:rsidR="00B8745C" w:rsidRDefault="00B8745C" w:rsidP="00976D80"/>
    <w:p w14:paraId="0299D9C9" w14:textId="77777777" w:rsidR="00976D80" w:rsidRDefault="00976D80">
      <w:pPr>
        <w:jc w:val="left"/>
      </w:pPr>
      <w:r>
        <w:br w:type="page"/>
      </w:r>
    </w:p>
    <w:p w14:paraId="3193521E" w14:textId="77777777" w:rsidR="00882ADC" w:rsidRPr="00384247" w:rsidRDefault="00882ADC" w:rsidP="00882ADC">
      <w:pPr>
        <w:pStyle w:val="Naslov3"/>
      </w:pPr>
      <w:bookmarkStart w:id="542" w:name="_Toc97026814"/>
      <w:r w:rsidRPr="00384247">
        <w:lastRenderedPageBreak/>
        <w:t xml:space="preserve">Ocena sposobnosti prilagajanja </w:t>
      </w:r>
      <w:r>
        <w:t>sektorja poplavna ogroženost</w:t>
      </w:r>
      <w:bookmarkEnd w:id="539"/>
      <w:bookmarkEnd w:id="540"/>
      <w:bookmarkEnd w:id="542"/>
    </w:p>
    <w:p w14:paraId="5D759251" w14:textId="77777777" w:rsidR="00976D80" w:rsidRDefault="00976D80" w:rsidP="00976D80">
      <w:pPr>
        <w:rPr>
          <w:lang w:eastAsia="sl-SI"/>
        </w:rPr>
      </w:pPr>
      <w:r w:rsidRPr="00384247">
        <w:rPr>
          <w:lang w:eastAsia="sl-SI"/>
        </w:rPr>
        <w:t xml:space="preserve">V okviru ocene sposobnosti prilagajanja analiziramo možne ukrepe, s katerimi bi se glede na prepoznano posamezno ranljivost podnebnim spremembam lahko prilagajali. Izvedljivost ukrepov je povezana predvsem s prepoznavanjem posameznega ukrepa in potrebnosti zanj, učinkovitostjo ukrepa in v končni fazi realno oceno izvedljivosti ukrepa, kar zajema različne vidike, predvsem pa: umeščanje v prostor, strošek ukrepa in časovni horizont v okviru katerega je mogoče ukrep prilagajanja na podnebne spremembe izvesti. </w:t>
      </w:r>
    </w:p>
    <w:p w14:paraId="12578765" w14:textId="77777777" w:rsidR="00882ADC" w:rsidRPr="00384247" w:rsidRDefault="00882ADC" w:rsidP="00CE43D7">
      <w:pPr>
        <w:pStyle w:val="Naslov4"/>
      </w:pPr>
      <w:r w:rsidRPr="00384247">
        <w:t xml:space="preserve">Sposobnost prilagajanja na podnebne spremembe – </w:t>
      </w:r>
      <w:r>
        <w:t xml:space="preserve">fluvialne poplave </w:t>
      </w:r>
    </w:p>
    <w:p w14:paraId="72EDD6AE" w14:textId="77777777" w:rsidR="00976D80" w:rsidRDefault="00976D80" w:rsidP="00976D80">
      <w:pPr>
        <w:rPr>
          <w:lang w:eastAsia="sl-SI"/>
        </w:rPr>
      </w:pPr>
      <w:r>
        <w:rPr>
          <w:lang w:eastAsia="sl-SI"/>
        </w:rPr>
        <w:t xml:space="preserve">Sposobnost prilagajanja na spremenjeno poplavno ogroženost zaradi fluvialnih poplav ocenjujemo za zmerno. Pri tem izhajamo iz dejstva, da je pristojnost vezana na zmanjšanje poplavne ogroženosti zaradi fluvialnih poplav v rokah državnih organov (MOP – DRSV), sama Mestna občina Nova Gorica pa ima skladno z zakonom o vodah izrazito omejeno vlogo. </w:t>
      </w:r>
    </w:p>
    <w:p w14:paraId="2951C906" w14:textId="77777777" w:rsidR="00976D80" w:rsidRDefault="00976D80" w:rsidP="00976D80">
      <w:pPr>
        <w:rPr>
          <w:lang w:eastAsia="sl-SI"/>
        </w:rPr>
      </w:pPr>
      <w:r>
        <w:rPr>
          <w:lang w:eastAsia="sl-SI"/>
        </w:rPr>
        <w:t xml:space="preserve">Osnovni ukrep vezan na zmanjšanje poplavne ogroženosti zaradi fluvialnih poplav na strani občine je povezan predvsem z oblikovanjem ustreznih prostorskih aktov s katerimi se na pravilen način usmerja rabo prostora na poplavno ogroženih območjih. </w:t>
      </w:r>
    </w:p>
    <w:p w14:paraId="3FF7C738" w14:textId="03CEA566" w:rsidR="00976D80" w:rsidRDefault="00976D80" w:rsidP="00976D80">
      <w:pPr>
        <w:rPr>
          <w:lang w:eastAsia="sl-SI"/>
        </w:rPr>
      </w:pPr>
      <w:r>
        <w:rPr>
          <w:lang w:eastAsia="sl-SI"/>
        </w:rPr>
        <w:t xml:space="preserve">V naslednji </w:t>
      </w:r>
      <w:r w:rsidR="004D2955">
        <w:rPr>
          <w:lang w:eastAsia="sl-SI"/>
        </w:rPr>
        <w:t>preglednici</w:t>
      </w:r>
      <w:r>
        <w:rPr>
          <w:lang w:eastAsia="sl-SI"/>
        </w:rPr>
        <w:t xml:space="preserve"> podajamo razširjen nabor ukrepov (poleg ukrepov iz NZPO1 še ukrepe, ki izhajajo iz specifičnih identificiranih potreb). </w:t>
      </w:r>
    </w:p>
    <w:p w14:paraId="058070B2" w14:textId="6B9B6DF2" w:rsidR="00976D80" w:rsidRDefault="00976D80" w:rsidP="00976D80">
      <w:pPr>
        <w:pStyle w:val="Napis"/>
        <w:keepNext/>
      </w:pPr>
      <w:bookmarkStart w:id="543" w:name="_Toc97026997"/>
      <w:r>
        <w:t xml:space="preserve">Preglednica </w:t>
      </w:r>
      <w:r>
        <w:fldChar w:fldCharType="begin"/>
      </w:r>
      <w:r>
        <w:instrText xml:space="preserve"> STYLEREF 1 \s </w:instrText>
      </w:r>
      <w:r>
        <w:fldChar w:fldCharType="separate"/>
      </w:r>
      <w:r>
        <w:rPr>
          <w:noProof/>
        </w:rPr>
        <w:t>6</w:t>
      </w:r>
      <w:r>
        <w:fldChar w:fldCharType="end"/>
      </w:r>
      <w:r>
        <w:t>.</w:t>
      </w:r>
      <w:r>
        <w:fldChar w:fldCharType="begin"/>
      </w:r>
      <w:r>
        <w:instrText xml:space="preserve"> SEQ Preglednica \* ARABIC \s 1 </w:instrText>
      </w:r>
      <w:r>
        <w:fldChar w:fldCharType="separate"/>
      </w:r>
      <w:r>
        <w:rPr>
          <w:noProof/>
        </w:rPr>
        <w:t>44</w:t>
      </w:r>
      <w:r>
        <w:fldChar w:fldCharType="end"/>
      </w:r>
      <w:r>
        <w:t xml:space="preserve">: </w:t>
      </w:r>
      <w:r w:rsidRPr="00F93E1D">
        <w:t>Osnovni nabor ukrepov - ukrepov iz NZPO1 in pomen za Mestno občino Nova Gorica</w:t>
      </w:r>
      <w:bookmarkEnd w:id="543"/>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0"/>
        <w:gridCol w:w="4522"/>
        <w:gridCol w:w="1648"/>
        <w:gridCol w:w="2770"/>
      </w:tblGrid>
      <w:tr w:rsidR="00976D80" w:rsidRPr="00976D80" w14:paraId="39760BA8" w14:textId="77777777" w:rsidTr="00976D80">
        <w:trPr>
          <w:trHeight w:val="720"/>
        </w:trPr>
        <w:tc>
          <w:tcPr>
            <w:tcW w:w="860" w:type="dxa"/>
            <w:shd w:val="clear" w:color="auto" w:fill="auto"/>
            <w:vAlign w:val="center"/>
            <w:hideMark/>
          </w:tcPr>
          <w:p w14:paraId="3690031D"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KODA ukrepa</w:t>
            </w:r>
          </w:p>
        </w:tc>
        <w:tc>
          <w:tcPr>
            <w:tcW w:w="4522" w:type="dxa"/>
            <w:shd w:val="clear" w:color="auto" w:fill="auto"/>
            <w:vAlign w:val="center"/>
            <w:hideMark/>
          </w:tcPr>
          <w:p w14:paraId="4DD43DFC"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Opis ukrepa</w:t>
            </w:r>
          </w:p>
        </w:tc>
        <w:tc>
          <w:tcPr>
            <w:tcW w:w="1648" w:type="dxa"/>
            <w:shd w:val="clear" w:color="auto" w:fill="auto"/>
            <w:vAlign w:val="center"/>
            <w:hideMark/>
          </w:tcPr>
          <w:p w14:paraId="625ACD34"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Prioriteta za Novo Gorico (1 nizka, 5 visoka)</w:t>
            </w:r>
          </w:p>
        </w:tc>
        <w:tc>
          <w:tcPr>
            <w:tcW w:w="2770" w:type="dxa"/>
            <w:shd w:val="clear" w:color="auto" w:fill="auto"/>
            <w:vAlign w:val="center"/>
            <w:hideMark/>
          </w:tcPr>
          <w:p w14:paraId="507F29DE"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Komentar</w:t>
            </w:r>
          </w:p>
        </w:tc>
      </w:tr>
      <w:tr w:rsidR="00976D80" w:rsidRPr="00976D80" w14:paraId="2B66B4A4" w14:textId="77777777" w:rsidTr="00976D80">
        <w:trPr>
          <w:trHeight w:val="480"/>
        </w:trPr>
        <w:tc>
          <w:tcPr>
            <w:tcW w:w="860" w:type="dxa"/>
            <w:shd w:val="clear" w:color="auto" w:fill="auto"/>
            <w:noWrap/>
            <w:vAlign w:val="center"/>
            <w:hideMark/>
          </w:tcPr>
          <w:p w14:paraId="00A9F5FD"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U1</w:t>
            </w:r>
          </w:p>
        </w:tc>
        <w:tc>
          <w:tcPr>
            <w:tcW w:w="4522" w:type="dxa"/>
            <w:shd w:val="clear" w:color="auto" w:fill="auto"/>
            <w:vAlign w:val="center"/>
            <w:hideMark/>
          </w:tcPr>
          <w:p w14:paraId="134EA91B"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 Določevanje in upoštevanje poplavnih območij </w:t>
            </w:r>
          </w:p>
        </w:tc>
        <w:tc>
          <w:tcPr>
            <w:tcW w:w="1648" w:type="dxa"/>
            <w:shd w:val="clear" w:color="auto" w:fill="auto"/>
            <w:noWrap/>
            <w:vAlign w:val="center"/>
            <w:hideMark/>
          </w:tcPr>
          <w:p w14:paraId="4BBA1B25"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5</w:t>
            </w:r>
          </w:p>
        </w:tc>
        <w:tc>
          <w:tcPr>
            <w:tcW w:w="2770" w:type="dxa"/>
            <w:shd w:val="clear" w:color="auto" w:fill="auto"/>
            <w:vAlign w:val="center"/>
            <w:hideMark/>
          </w:tcPr>
          <w:p w14:paraId="3DB03179"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Srednje - to je naloga države in v interesu MONG, prioriteta je visoka, ker številne KPN in KRPN še niso izdelane.</w:t>
            </w:r>
          </w:p>
        </w:tc>
      </w:tr>
      <w:tr w:rsidR="00976D80" w:rsidRPr="00976D80" w14:paraId="3A2D5C08" w14:textId="77777777" w:rsidTr="00976D80">
        <w:trPr>
          <w:trHeight w:val="720"/>
        </w:trPr>
        <w:tc>
          <w:tcPr>
            <w:tcW w:w="860" w:type="dxa"/>
            <w:shd w:val="clear" w:color="auto" w:fill="auto"/>
            <w:noWrap/>
            <w:vAlign w:val="center"/>
            <w:hideMark/>
          </w:tcPr>
          <w:p w14:paraId="1E2CCE92"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U2</w:t>
            </w:r>
          </w:p>
        </w:tc>
        <w:tc>
          <w:tcPr>
            <w:tcW w:w="4522" w:type="dxa"/>
            <w:shd w:val="clear" w:color="auto" w:fill="auto"/>
            <w:vAlign w:val="center"/>
            <w:hideMark/>
          </w:tcPr>
          <w:p w14:paraId="37FD8C75"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 Identifikacija,  vzpostavitev in ohranitev </w:t>
            </w:r>
            <w:proofErr w:type="spellStart"/>
            <w:r w:rsidRPr="00976D80">
              <w:rPr>
                <w:rFonts w:eastAsia="Times New Roman" w:cs="Calibri"/>
                <w:color w:val="000000"/>
                <w:lang w:eastAsia="sl-SI"/>
              </w:rPr>
              <w:t>razlivnih</w:t>
            </w:r>
            <w:proofErr w:type="spellEnd"/>
            <w:r w:rsidRPr="00976D80">
              <w:rPr>
                <w:rFonts w:eastAsia="Times New Roman" w:cs="Calibri"/>
                <w:color w:val="000000"/>
                <w:lang w:eastAsia="sl-SI"/>
              </w:rPr>
              <w:t xml:space="preserve"> površin visokih voda</w:t>
            </w:r>
          </w:p>
        </w:tc>
        <w:tc>
          <w:tcPr>
            <w:tcW w:w="1648" w:type="dxa"/>
            <w:shd w:val="clear" w:color="auto" w:fill="auto"/>
            <w:noWrap/>
            <w:vAlign w:val="center"/>
            <w:hideMark/>
          </w:tcPr>
          <w:p w14:paraId="1502410B"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3</w:t>
            </w:r>
          </w:p>
        </w:tc>
        <w:tc>
          <w:tcPr>
            <w:tcW w:w="2770" w:type="dxa"/>
            <w:shd w:val="clear" w:color="auto" w:fill="auto"/>
            <w:vAlign w:val="center"/>
            <w:hideMark/>
          </w:tcPr>
          <w:p w14:paraId="128602FD"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Srednje, </w:t>
            </w:r>
            <w:proofErr w:type="spellStart"/>
            <w:r w:rsidRPr="00976D80">
              <w:rPr>
                <w:rFonts w:eastAsia="Times New Roman" w:cs="Calibri"/>
                <w:color w:val="000000"/>
                <w:lang w:eastAsia="sl-SI"/>
              </w:rPr>
              <w:t>razlivne</w:t>
            </w:r>
            <w:proofErr w:type="spellEnd"/>
            <w:r w:rsidRPr="00976D80">
              <w:rPr>
                <w:rFonts w:eastAsia="Times New Roman" w:cs="Calibri"/>
                <w:color w:val="000000"/>
                <w:lang w:eastAsia="sl-SI"/>
              </w:rPr>
              <w:t xml:space="preserve"> površine ob reki Vipavi so pomembne</w:t>
            </w:r>
          </w:p>
        </w:tc>
      </w:tr>
      <w:tr w:rsidR="00976D80" w:rsidRPr="00976D80" w14:paraId="04D72DC0" w14:textId="77777777" w:rsidTr="00976D80">
        <w:trPr>
          <w:trHeight w:val="480"/>
        </w:trPr>
        <w:tc>
          <w:tcPr>
            <w:tcW w:w="860" w:type="dxa"/>
            <w:shd w:val="clear" w:color="auto" w:fill="auto"/>
            <w:noWrap/>
            <w:vAlign w:val="center"/>
            <w:hideMark/>
          </w:tcPr>
          <w:p w14:paraId="79307A9E"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U3</w:t>
            </w:r>
          </w:p>
        </w:tc>
        <w:tc>
          <w:tcPr>
            <w:tcW w:w="4522" w:type="dxa"/>
            <w:shd w:val="clear" w:color="auto" w:fill="auto"/>
            <w:vAlign w:val="center"/>
            <w:hideMark/>
          </w:tcPr>
          <w:p w14:paraId="53DCE5D3"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 Prilagoditev rabe zemljišč v porečjih </w:t>
            </w:r>
          </w:p>
        </w:tc>
        <w:tc>
          <w:tcPr>
            <w:tcW w:w="1648" w:type="dxa"/>
            <w:shd w:val="clear" w:color="auto" w:fill="auto"/>
            <w:noWrap/>
            <w:vAlign w:val="center"/>
            <w:hideMark/>
          </w:tcPr>
          <w:p w14:paraId="5C69B52E"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2</w:t>
            </w:r>
          </w:p>
        </w:tc>
        <w:tc>
          <w:tcPr>
            <w:tcW w:w="2770" w:type="dxa"/>
            <w:shd w:val="clear" w:color="auto" w:fill="auto"/>
            <w:vAlign w:val="center"/>
            <w:hideMark/>
          </w:tcPr>
          <w:p w14:paraId="5E588445"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Nizko, saj raba zemljišč na poplavnih ravnicah ni močno spremenjena</w:t>
            </w:r>
          </w:p>
        </w:tc>
      </w:tr>
      <w:tr w:rsidR="00976D80" w:rsidRPr="00976D80" w14:paraId="347656BF" w14:textId="77777777" w:rsidTr="00976D80">
        <w:trPr>
          <w:trHeight w:val="480"/>
        </w:trPr>
        <w:tc>
          <w:tcPr>
            <w:tcW w:w="860" w:type="dxa"/>
            <w:shd w:val="clear" w:color="auto" w:fill="auto"/>
            <w:noWrap/>
            <w:vAlign w:val="center"/>
            <w:hideMark/>
          </w:tcPr>
          <w:p w14:paraId="4E02DAB1"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U4</w:t>
            </w:r>
          </w:p>
        </w:tc>
        <w:tc>
          <w:tcPr>
            <w:tcW w:w="4522" w:type="dxa"/>
            <w:shd w:val="clear" w:color="auto" w:fill="auto"/>
            <w:vAlign w:val="center"/>
            <w:hideMark/>
          </w:tcPr>
          <w:p w14:paraId="5E8C9E20"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 Izvajanje hidrološkega in meteorološkega monitoringa </w:t>
            </w:r>
          </w:p>
        </w:tc>
        <w:tc>
          <w:tcPr>
            <w:tcW w:w="1648" w:type="dxa"/>
            <w:shd w:val="clear" w:color="auto" w:fill="auto"/>
            <w:noWrap/>
            <w:vAlign w:val="center"/>
            <w:hideMark/>
          </w:tcPr>
          <w:p w14:paraId="539B2C0F"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2</w:t>
            </w:r>
          </w:p>
        </w:tc>
        <w:tc>
          <w:tcPr>
            <w:tcW w:w="2770" w:type="dxa"/>
            <w:shd w:val="clear" w:color="auto" w:fill="auto"/>
            <w:vAlign w:val="center"/>
            <w:hideMark/>
          </w:tcPr>
          <w:p w14:paraId="02F60DA6"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Nizko, saj je izvajanje v pristojnosti ARSO, </w:t>
            </w:r>
          </w:p>
        </w:tc>
      </w:tr>
      <w:tr w:rsidR="00976D80" w:rsidRPr="00976D80" w14:paraId="58D8DAF7" w14:textId="77777777" w:rsidTr="00976D80">
        <w:trPr>
          <w:trHeight w:val="480"/>
        </w:trPr>
        <w:tc>
          <w:tcPr>
            <w:tcW w:w="860" w:type="dxa"/>
            <w:shd w:val="clear" w:color="auto" w:fill="auto"/>
            <w:noWrap/>
            <w:vAlign w:val="center"/>
            <w:hideMark/>
          </w:tcPr>
          <w:p w14:paraId="3AEAB521"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U5</w:t>
            </w:r>
          </w:p>
        </w:tc>
        <w:tc>
          <w:tcPr>
            <w:tcW w:w="4522" w:type="dxa"/>
            <w:shd w:val="clear" w:color="auto" w:fill="auto"/>
            <w:vAlign w:val="center"/>
            <w:hideMark/>
          </w:tcPr>
          <w:p w14:paraId="5933985D"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 Vzpostavitev in vodenje evidenc s področja poplavne ogroženosti </w:t>
            </w:r>
          </w:p>
        </w:tc>
        <w:tc>
          <w:tcPr>
            <w:tcW w:w="1648" w:type="dxa"/>
            <w:shd w:val="clear" w:color="auto" w:fill="auto"/>
            <w:noWrap/>
            <w:vAlign w:val="center"/>
            <w:hideMark/>
          </w:tcPr>
          <w:p w14:paraId="2B691EC6"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2</w:t>
            </w:r>
          </w:p>
        </w:tc>
        <w:tc>
          <w:tcPr>
            <w:tcW w:w="2770" w:type="dxa"/>
            <w:shd w:val="clear" w:color="auto" w:fill="auto"/>
            <w:vAlign w:val="center"/>
            <w:hideMark/>
          </w:tcPr>
          <w:p w14:paraId="7ACE567C"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Evidence načeloma vodi MOP DRSV</w:t>
            </w:r>
          </w:p>
        </w:tc>
      </w:tr>
      <w:tr w:rsidR="00976D80" w:rsidRPr="00976D80" w14:paraId="5D21215B" w14:textId="77777777" w:rsidTr="00976D80">
        <w:trPr>
          <w:trHeight w:val="720"/>
        </w:trPr>
        <w:tc>
          <w:tcPr>
            <w:tcW w:w="860" w:type="dxa"/>
            <w:shd w:val="clear" w:color="auto" w:fill="auto"/>
            <w:noWrap/>
            <w:vAlign w:val="center"/>
            <w:hideMark/>
          </w:tcPr>
          <w:p w14:paraId="125522C1"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U6</w:t>
            </w:r>
          </w:p>
        </w:tc>
        <w:tc>
          <w:tcPr>
            <w:tcW w:w="4522" w:type="dxa"/>
            <w:shd w:val="clear" w:color="auto" w:fill="auto"/>
            <w:vAlign w:val="center"/>
            <w:hideMark/>
          </w:tcPr>
          <w:p w14:paraId="6723049A"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 Izobraževanje in ozaveščanje o poplavni ogroženosti </w:t>
            </w:r>
          </w:p>
        </w:tc>
        <w:tc>
          <w:tcPr>
            <w:tcW w:w="1648" w:type="dxa"/>
            <w:shd w:val="clear" w:color="auto" w:fill="auto"/>
            <w:noWrap/>
            <w:vAlign w:val="center"/>
            <w:hideMark/>
          </w:tcPr>
          <w:p w14:paraId="45747484"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5</w:t>
            </w:r>
          </w:p>
        </w:tc>
        <w:tc>
          <w:tcPr>
            <w:tcW w:w="2770" w:type="dxa"/>
            <w:shd w:val="clear" w:color="auto" w:fill="auto"/>
            <w:vAlign w:val="center"/>
            <w:hideMark/>
          </w:tcPr>
          <w:p w14:paraId="1FA6CD5D"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Objava stanj in sprememba kulture prebivalcev in podjetij</w:t>
            </w:r>
          </w:p>
        </w:tc>
      </w:tr>
      <w:tr w:rsidR="00976D80" w:rsidRPr="00976D80" w14:paraId="597818AB" w14:textId="77777777" w:rsidTr="00976D80">
        <w:trPr>
          <w:trHeight w:val="240"/>
        </w:trPr>
        <w:tc>
          <w:tcPr>
            <w:tcW w:w="860" w:type="dxa"/>
            <w:shd w:val="clear" w:color="auto" w:fill="auto"/>
            <w:noWrap/>
            <w:vAlign w:val="center"/>
            <w:hideMark/>
          </w:tcPr>
          <w:p w14:paraId="5B097F37"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U7</w:t>
            </w:r>
          </w:p>
        </w:tc>
        <w:tc>
          <w:tcPr>
            <w:tcW w:w="4522" w:type="dxa"/>
            <w:shd w:val="clear" w:color="auto" w:fill="auto"/>
            <w:vAlign w:val="center"/>
            <w:hideMark/>
          </w:tcPr>
          <w:p w14:paraId="1662550C"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 Načrtovanje in gradnja gradbenih protipoplavnih ukrepov </w:t>
            </w:r>
          </w:p>
        </w:tc>
        <w:tc>
          <w:tcPr>
            <w:tcW w:w="1648" w:type="dxa"/>
            <w:shd w:val="clear" w:color="auto" w:fill="auto"/>
            <w:noWrap/>
            <w:vAlign w:val="center"/>
            <w:hideMark/>
          </w:tcPr>
          <w:p w14:paraId="55656EB2"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3</w:t>
            </w:r>
          </w:p>
        </w:tc>
        <w:tc>
          <w:tcPr>
            <w:tcW w:w="2770" w:type="dxa"/>
            <w:shd w:val="clear" w:color="auto" w:fill="auto"/>
            <w:vAlign w:val="center"/>
            <w:hideMark/>
          </w:tcPr>
          <w:p w14:paraId="2F548B7D"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Lokalni ukrepi – potok </w:t>
            </w:r>
            <w:proofErr w:type="spellStart"/>
            <w:r w:rsidRPr="00976D80">
              <w:rPr>
                <w:rFonts w:eastAsia="Times New Roman" w:cs="Calibri"/>
                <w:color w:val="000000"/>
                <w:lang w:eastAsia="sl-SI"/>
              </w:rPr>
              <w:t>Potok</w:t>
            </w:r>
            <w:proofErr w:type="spellEnd"/>
            <w:r w:rsidRPr="00976D80">
              <w:rPr>
                <w:rFonts w:eastAsia="Times New Roman" w:cs="Calibri"/>
                <w:color w:val="000000"/>
                <w:lang w:eastAsia="sl-SI"/>
              </w:rPr>
              <w:t xml:space="preserve">, Prvačina, Koren, </w:t>
            </w:r>
            <w:proofErr w:type="spellStart"/>
            <w:r w:rsidRPr="00976D80">
              <w:rPr>
                <w:rFonts w:eastAsia="Times New Roman" w:cs="Calibri"/>
                <w:color w:val="000000"/>
                <w:lang w:eastAsia="sl-SI"/>
              </w:rPr>
              <w:t>Vrtojbica</w:t>
            </w:r>
            <w:proofErr w:type="spellEnd"/>
          </w:p>
        </w:tc>
      </w:tr>
      <w:tr w:rsidR="00976D80" w:rsidRPr="00976D80" w14:paraId="137736BE" w14:textId="77777777" w:rsidTr="00976D80">
        <w:trPr>
          <w:trHeight w:val="720"/>
        </w:trPr>
        <w:tc>
          <w:tcPr>
            <w:tcW w:w="860" w:type="dxa"/>
            <w:shd w:val="clear" w:color="auto" w:fill="auto"/>
            <w:noWrap/>
            <w:vAlign w:val="center"/>
            <w:hideMark/>
          </w:tcPr>
          <w:p w14:paraId="6F57454A"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lastRenderedPageBreak/>
              <w:t>U8</w:t>
            </w:r>
          </w:p>
        </w:tc>
        <w:tc>
          <w:tcPr>
            <w:tcW w:w="4522" w:type="dxa"/>
            <w:shd w:val="clear" w:color="auto" w:fill="auto"/>
            <w:vAlign w:val="center"/>
            <w:hideMark/>
          </w:tcPr>
          <w:p w14:paraId="020A1AAD"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 Izvajanje individualnih (samozaščitnih) protipoplavnih ukrepov </w:t>
            </w:r>
          </w:p>
        </w:tc>
        <w:tc>
          <w:tcPr>
            <w:tcW w:w="1648" w:type="dxa"/>
            <w:shd w:val="clear" w:color="auto" w:fill="auto"/>
            <w:noWrap/>
            <w:vAlign w:val="center"/>
            <w:hideMark/>
          </w:tcPr>
          <w:p w14:paraId="58AE1CD0"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4</w:t>
            </w:r>
          </w:p>
        </w:tc>
        <w:tc>
          <w:tcPr>
            <w:tcW w:w="2770" w:type="dxa"/>
            <w:shd w:val="clear" w:color="auto" w:fill="auto"/>
            <w:vAlign w:val="center"/>
            <w:hideMark/>
          </w:tcPr>
          <w:p w14:paraId="2A9439B9"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Usmerjeni samozaščitni ukrepi posebej izpostavljenih objektov</w:t>
            </w:r>
          </w:p>
        </w:tc>
      </w:tr>
      <w:tr w:rsidR="00976D80" w:rsidRPr="00976D80" w14:paraId="2B9418BA" w14:textId="77777777" w:rsidTr="00976D80">
        <w:trPr>
          <w:trHeight w:val="720"/>
        </w:trPr>
        <w:tc>
          <w:tcPr>
            <w:tcW w:w="860" w:type="dxa"/>
            <w:shd w:val="clear" w:color="auto" w:fill="auto"/>
            <w:noWrap/>
            <w:vAlign w:val="center"/>
            <w:hideMark/>
          </w:tcPr>
          <w:p w14:paraId="5F7BC3E7"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U9</w:t>
            </w:r>
          </w:p>
        </w:tc>
        <w:tc>
          <w:tcPr>
            <w:tcW w:w="4522" w:type="dxa"/>
            <w:shd w:val="clear" w:color="auto" w:fill="auto"/>
            <w:vAlign w:val="center"/>
            <w:hideMark/>
          </w:tcPr>
          <w:p w14:paraId="2A176D8E"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 Redno preverjanje učinkovitosti obstoječih (gradbenih) protipoplavnih ureditev </w:t>
            </w:r>
          </w:p>
        </w:tc>
        <w:tc>
          <w:tcPr>
            <w:tcW w:w="1648" w:type="dxa"/>
            <w:shd w:val="clear" w:color="auto" w:fill="auto"/>
            <w:noWrap/>
            <w:vAlign w:val="center"/>
            <w:hideMark/>
          </w:tcPr>
          <w:p w14:paraId="5FD2A4FE"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3</w:t>
            </w:r>
          </w:p>
        </w:tc>
        <w:tc>
          <w:tcPr>
            <w:tcW w:w="2770" w:type="dxa"/>
            <w:shd w:val="clear" w:color="auto" w:fill="auto"/>
            <w:vAlign w:val="center"/>
            <w:hideMark/>
          </w:tcPr>
          <w:p w14:paraId="2F109E42"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Opozarjanje države na stanje državne vodne infrastrukture</w:t>
            </w:r>
          </w:p>
        </w:tc>
      </w:tr>
      <w:tr w:rsidR="00976D80" w:rsidRPr="00976D80" w14:paraId="7C073519" w14:textId="77777777" w:rsidTr="00976D80">
        <w:trPr>
          <w:trHeight w:val="720"/>
        </w:trPr>
        <w:tc>
          <w:tcPr>
            <w:tcW w:w="860" w:type="dxa"/>
            <w:shd w:val="clear" w:color="auto" w:fill="auto"/>
            <w:noWrap/>
            <w:vAlign w:val="center"/>
            <w:hideMark/>
          </w:tcPr>
          <w:p w14:paraId="6B856DBC"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U10</w:t>
            </w:r>
          </w:p>
        </w:tc>
        <w:tc>
          <w:tcPr>
            <w:tcW w:w="4522" w:type="dxa"/>
            <w:shd w:val="clear" w:color="auto" w:fill="auto"/>
            <w:vAlign w:val="center"/>
            <w:hideMark/>
          </w:tcPr>
          <w:p w14:paraId="78CFC126"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 Redno vzdrževanje vodotokov,  vodnih objektov ter vodnih in priobalnih zemljišč </w:t>
            </w:r>
          </w:p>
        </w:tc>
        <w:tc>
          <w:tcPr>
            <w:tcW w:w="1648" w:type="dxa"/>
            <w:shd w:val="clear" w:color="auto" w:fill="auto"/>
            <w:noWrap/>
            <w:vAlign w:val="center"/>
            <w:hideMark/>
          </w:tcPr>
          <w:p w14:paraId="5531D8BF"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2</w:t>
            </w:r>
          </w:p>
        </w:tc>
        <w:tc>
          <w:tcPr>
            <w:tcW w:w="2770" w:type="dxa"/>
            <w:shd w:val="clear" w:color="auto" w:fill="auto"/>
            <w:vAlign w:val="center"/>
            <w:hideMark/>
          </w:tcPr>
          <w:p w14:paraId="745500A8"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Opozarjanje države na stanje državne vodne infrastrukture</w:t>
            </w:r>
          </w:p>
        </w:tc>
      </w:tr>
      <w:tr w:rsidR="00976D80" w:rsidRPr="00976D80" w14:paraId="253EA6EF" w14:textId="77777777" w:rsidTr="00976D80">
        <w:trPr>
          <w:trHeight w:val="720"/>
        </w:trPr>
        <w:tc>
          <w:tcPr>
            <w:tcW w:w="860" w:type="dxa"/>
            <w:shd w:val="clear" w:color="auto" w:fill="auto"/>
            <w:noWrap/>
            <w:vAlign w:val="center"/>
            <w:hideMark/>
          </w:tcPr>
          <w:p w14:paraId="3B8CFAE4"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U11</w:t>
            </w:r>
          </w:p>
        </w:tc>
        <w:tc>
          <w:tcPr>
            <w:tcW w:w="4522" w:type="dxa"/>
            <w:shd w:val="clear" w:color="auto" w:fill="auto"/>
            <w:vAlign w:val="center"/>
            <w:hideMark/>
          </w:tcPr>
          <w:p w14:paraId="2A81CB94"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 Izvajanje rečnega nadzora </w:t>
            </w:r>
          </w:p>
        </w:tc>
        <w:tc>
          <w:tcPr>
            <w:tcW w:w="1648" w:type="dxa"/>
            <w:shd w:val="clear" w:color="auto" w:fill="auto"/>
            <w:noWrap/>
            <w:vAlign w:val="center"/>
            <w:hideMark/>
          </w:tcPr>
          <w:p w14:paraId="506BC2EF"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3</w:t>
            </w:r>
          </w:p>
        </w:tc>
        <w:tc>
          <w:tcPr>
            <w:tcW w:w="2770" w:type="dxa"/>
            <w:shd w:val="clear" w:color="auto" w:fill="auto"/>
            <w:vAlign w:val="center"/>
            <w:hideMark/>
          </w:tcPr>
          <w:p w14:paraId="51222051"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Spremljanje poročil rečnega nadzora s strani občine</w:t>
            </w:r>
          </w:p>
        </w:tc>
      </w:tr>
      <w:tr w:rsidR="00976D80" w:rsidRPr="00976D80" w14:paraId="541E07D2" w14:textId="77777777" w:rsidTr="00976D80">
        <w:trPr>
          <w:trHeight w:val="480"/>
        </w:trPr>
        <w:tc>
          <w:tcPr>
            <w:tcW w:w="860" w:type="dxa"/>
            <w:shd w:val="clear" w:color="auto" w:fill="auto"/>
            <w:noWrap/>
            <w:vAlign w:val="center"/>
            <w:hideMark/>
          </w:tcPr>
          <w:p w14:paraId="6F96DAB0"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U12</w:t>
            </w:r>
          </w:p>
        </w:tc>
        <w:tc>
          <w:tcPr>
            <w:tcW w:w="4522" w:type="dxa"/>
            <w:shd w:val="clear" w:color="auto" w:fill="auto"/>
            <w:vAlign w:val="center"/>
            <w:hideMark/>
          </w:tcPr>
          <w:p w14:paraId="0950972A"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 Protipoplavno upravljanje vodnih objektov </w:t>
            </w:r>
          </w:p>
        </w:tc>
        <w:tc>
          <w:tcPr>
            <w:tcW w:w="1648" w:type="dxa"/>
            <w:shd w:val="clear" w:color="auto" w:fill="auto"/>
            <w:noWrap/>
            <w:vAlign w:val="center"/>
            <w:hideMark/>
          </w:tcPr>
          <w:p w14:paraId="73C3D83B"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3</w:t>
            </w:r>
          </w:p>
        </w:tc>
        <w:tc>
          <w:tcPr>
            <w:tcW w:w="2770" w:type="dxa"/>
            <w:shd w:val="clear" w:color="auto" w:fill="auto"/>
            <w:vAlign w:val="center"/>
            <w:hideMark/>
          </w:tcPr>
          <w:p w14:paraId="3B4B558E"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Vodni objekti: podporni zidovi cest</w:t>
            </w:r>
          </w:p>
        </w:tc>
      </w:tr>
      <w:tr w:rsidR="00976D80" w:rsidRPr="00976D80" w14:paraId="76C51140" w14:textId="77777777" w:rsidTr="00976D80">
        <w:trPr>
          <w:trHeight w:val="480"/>
        </w:trPr>
        <w:tc>
          <w:tcPr>
            <w:tcW w:w="860" w:type="dxa"/>
            <w:shd w:val="clear" w:color="auto" w:fill="auto"/>
            <w:noWrap/>
            <w:vAlign w:val="center"/>
            <w:hideMark/>
          </w:tcPr>
          <w:p w14:paraId="1F1ED7F6"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U13</w:t>
            </w:r>
          </w:p>
        </w:tc>
        <w:tc>
          <w:tcPr>
            <w:tcW w:w="4522" w:type="dxa"/>
            <w:shd w:val="clear" w:color="auto" w:fill="auto"/>
            <w:vAlign w:val="center"/>
            <w:hideMark/>
          </w:tcPr>
          <w:p w14:paraId="7D4FB595"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 Zagotavljanje finančnih resursov za izvajanje gospodarske javne službe urejanja voda </w:t>
            </w:r>
          </w:p>
        </w:tc>
        <w:tc>
          <w:tcPr>
            <w:tcW w:w="1648" w:type="dxa"/>
            <w:shd w:val="clear" w:color="auto" w:fill="auto"/>
            <w:noWrap/>
            <w:vAlign w:val="center"/>
            <w:hideMark/>
          </w:tcPr>
          <w:p w14:paraId="75F5FE53"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2</w:t>
            </w:r>
          </w:p>
        </w:tc>
        <w:tc>
          <w:tcPr>
            <w:tcW w:w="2770" w:type="dxa"/>
            <w:shd w:val="clear" w:color="auto" w:fill="auto"/>
            <w:vAlign w:val="center"/>
            <w:hideMark/>
          </w:tcPr>
          <w:p w14:paraId="792AB740"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Spremljanje alokacije finančnih resursov države</w:t>
            </w:r>
          </w:p>
        </w:tc>
      </w:tr>
      <w:tr w:rsidR="00976D80" w:rsidRPr="00976D80" w14:paraId="0F73FFD5" w14:textId="77777777" w:rsidTr="00976D80">
        <w:trPr>
          <w:trHeight w:val="240"/>
        </w:trPr>
        <w:tc>
          <w:tcPr>
            <w:tcW w:w="860" w:type="dxa"/>
            <w:shd w:val="clear" w:color="auto" w:fill="auto"/>
            <w:noWrap/>
            <w:vAlign w:val="center"/>
            <w:hideMark/>
          </w:tcPr>
          <w:p w14:paraId="0133BFF6"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U14</w:t>
            </w:r>
          </w:p>
        </w:tc>
        <w:tc>
          <w:tcPr>
            <w:tcW w:w="4522" w:type="dxa"/>
            <w:shd w:val="clear" w:color="auto" w:fill="auto"/>
            <w:vAlign w:val="center"/>
            <w:hideMark/>
          </w:tcPr>
          <w:p w14:paraId="3957EFA6"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 Priprava načrtov zaščite in reševanja ob poplavah </w:t>
            </w:r>
          </w:p>
        </w:tc>
        <w:tc>
          <w:tcPr>
            <w:tcW w:w="1648" w:type="dxa"/>
            <w:shd w:val="clear" w:color="auto" w:fill="auto"/>
            <w:noWrap/>
            <w:vAlign w:val="center"/>
            <w:hideMark/>
          </w:tcPr>
          <w:p w14:paraId="7D917E61"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5</w:t>
            </w:r>
          </w:p>
        </w:tc>
        <w:tc>
          <w:tcPr>
            <w:tcW w:w="2770" w:type="dxa"/>
            <w:shd w:val="clear" w:color="auto" w:fill="auto"/>
            <w:vAlign w:val="center"/>
            <w:hideMark/>
          </w:tcPr>
          <w:p w14:paraId="51AA5B0E"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Zelo pomembno </w:t>
            </w:r>
          </w:p>
        </w:tc>
      </w:tr>
      <w:tr w:rsidR="00976D80" w:rsidRPr="00976D80" w14:paraId="5C58E1EC" w14:textId="77777777" w:rsidTr="00976D80">
        <w:trPr>
          <w:trHeight w:val="240"/>
        </w:trPr>
        <w:tc>
          <w:tcPr>
            <w:tcW w:w="860" w:type="dxa"/>
            <w:shd w:val="clear" w:color="auto" w:fill="auto"/>
            <w:noWrap/>
            <w:vAlign w:val="center"/>
            <w:hideMark/>
          </w:tcPr>
          <w:p w14:paraId="702A3663"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U15</w:t>
            </w:r>
          </w:p>
        </w:tc>
        <w:tc>
          <w:tcPr>
            <w:tcW w:w="4522" w:type="dxa"/>
            <w:shd w:val="clear" w:color="auto" w:fill="auto"/>
            <w:vAlign w:val="center"/>
            <w:hideMark/>
          </w:tcPr>
          <w:p w14:paraId="1E757405"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 Napovedovanje poplav </w:t>
            </w:r>
          </w:p>
        </w:tc>
        <w:tc>
          <w:tcPr>
            <w:tcW w:w="1648" w:type="dxa"/>
            <w:shd w:val="clear" w:color="auto" w:fill="auto"/>
            <w:noWrap/>
            <w:vAlign w:val="center"/>
            <w:hideMark/>
          </w:tcPr>
          <w:p w14:paraId="1AF0A7A1"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2</w:t>
            </w:r>
          </w:p>
        </w:tc>
        <w:tc>
          <w:tcPr>
            <w:tcW w:w="2770" w:type="dxa"/>
            <w:shd w:val="clear" w:color="auto" w:fill="auto"/>
            <w:vAlign w:val="center"/>
            <w:hideMark/>
          </w:tcPr>
          <w:p w14:paraId="1D5B8DBA"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Izvaja ARSO</w:t>
            </w:r>
          </w:p>
        </w:tc>
      </w:tr>
      <w:tr w:rsidR="00976D80" w:rsidRPr="00976D80" w14:paraId="6235FCCB" w14:textId="77777777" w:rsidTr="00976D80">
        <w:trPr>
          <w:trHeight w:val="720"/>
        </w:trPr>
        <w:tc>
          <w:tcPr>
            <w:tcW w:w="860" w:type="dxa"/>
            <w:shd w:val="clear" w:color="auto" w:fill="auto"/>
            <w:noWrap/>
            <w:vAlign w:val="center"/>
            <w:hideMark/>
          </w:tcPr>
          <w:p w14:paraId="58E01444"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U16</w:t>
            </w:r>
          </w:p>
        </w:tc>
        <w:tc>
          <w:tcPr>
            <w:tcW w:w="4522" w:type="dxa"/>
            <w:shd w:val="clear" w:color="auto" w:fill="auto"/>
            <w:vAlign w:val="center"/>
            <w:hideMark/>
          </w:tcPr>
          <w:p w14:paraId="2776665F"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 Opozarjanje v primeru poplav </w:t>
            </w:r>
          </w:p>
        </w:tc>
        <w:tc>
          <w:tcPr>
            <w:tcW w:w="1648" w:type="dxa"/>
            <w:shd w:val="clear" w:color="auto" w:fill="auto"/>
            <w:noWrap/>
            <w:vAlign w:val="center"/>
            <w:hideMark/>
          </w:tcPr>
          <w:p w14:paraId="0442130C"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3</w:t>
            </w:r>
          </w:p>
        </w:tc>
        <w:tc>
          <w:tcPr>
            <w:tcW w:w="2770" w:type="dxa"/>
            <w:shd w:val="clear" w:color="auto" w:fill="auto"/>
            <w:vAlign w:val="center"/>
            <w:hideMark/>
          </w:tcPr>
          <w:p w14:paraId="75E1603D"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Samozaščitno ukrepanje povezano z ozaveščanjem prebivalstva</w:t>
            </w:r>
          </w:p>
        </w:tc>
      </w:tr>
      <w:tr w:rsidR="00976D80" w:rsidRPr="00976D80" w14:paraId="05B1944B" w14:textId="77777777" w:rsidTr="00976D80">
        <w:trPr>
          <w:trHeight w:val="720"/>
        </w:trPr>
        <w:tc>
          <w:tcPr>
            <w:tcW w:w="860" w:type="dxa"/>
            <w:shd w:val="clear" w:color="auto" w:fill="auto"/>
            <w:noWrap/>
            <w:vAlign w:val="center"/>
            <w:hideMark/>
          </w:tcPr>
          <w:p w14:paraId="4C2FE2AB"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U17</w:t>
            </w:r>
          </w:p>
        </w:tc>
        <w:tc>
          <w:tcPr>
            <w:tcW w:w="4522" w:type="dxa"/>
            <w:shd w:val="clear" w:color="auto" w:fill="auto"/>
            <w:vAlign w:val="center"/>
            <w:hideMark/>
          </w:tcPr>
          <w:p w14:paraId="64179BAD"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 Interventno ukrepanje ob poplavah </w:t>
            </w:r>
          </w:p>
        </w:tc>
        <w:tc>
          <w:tcPr>
            <w:tcW w:w="1648" w:type="dxa"/>
            <w:shd w:val="clear" w:color="auto" w:fill="auto"/>
            <w:noWrap/>
            <w:vAlign w:val="center"/>
            <w:hideMark/>
          </w:tcPr>
          <w:p w14:paraId="78BC28B7"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4</w:t>
            </w:r>
          </w:p>
        </w:tc>
        <w:tc>
          <w:tcPr>
            <w:tcW w:w="2770" w:type="dxa"/>
            <w:shd w:val="clear" w:color="auto" w:fill="auto"/>
            <w:vAlign w:val="center"/>
            <w:hideMark/>
          </w:tcPr>
          <w:p w14:paraId="6572F1C2"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V povezavi s pripravo načrtov zaščite in reševanja</w:t>
            </w:r>
          </w:p>
        </w:tc>
      </w:tr>
      <w:tr w:rsidR="00976D80" w:rsidRPr="00976D80" w14:paraId="4D9CE5AF" w14:textId="77777777" w:rsidTr="00976D80">
        <w:trPr>
          <w:trHeight w:val="720"/>
        </w:trPr>
        <w:tc>
          <w:tcPr>
            <w:tcW w:w="860" w:type="dxa"/>
            <w:shd w:val="clear" w:color="auto" w:fill="auto"/>
            <w:noWrap/>
            <w:vAlign w:val="center"/>
            <w:hideMark/>
          </w:tcPr>
          <w:p w14:paraId="0892BB8B"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U18</w:t>
            </w:r>
          </w:p>
        </w:tc>
        <w:tc>
          <w:tcPr>
            <w:tcW w:w="4522" w:type="dxa"/>
            <w:shd w:val="clear" w:color="auto" w:fill="auto"/>
            <w:vAlign w:val="center"/>
            <w:hideMark/>
          </w:tcPr>
          <w:p w14:paraId="0031831D"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 Ocenjevanje škode in izvajanje sanacij po poplavah </w:t>
            </w:r>
          </w:p>
        </w:tc>
        <w:tc>
          <w:tcPr>
            <w:tcW w:w="1648" w:type="dxa"/>
            <w:shd w:val="clear" w:color="auto" w:fill="auto"/>
            <w:noWrap/>
            <w:vAlign w:val="center"/>
            <w:hideMark/>
          </w:tcPr>
          <w:p w14:paraId="067FAB2F"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3</w:t>
            </w:r>
          </w:p>
        </w:tc>
        <w:tc>
          <w:tcPr>
            <w:tcW w:w="2770" w:type="dxa"/>
            <w:shd w:val="clear" w:color="auto" w:fill="auto"/>
            <w:vAlign w:val="center"/>
            <w:hideMark/>
          </w:tcPr>
          <w:p w14:paraId="6AD6CDAA"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naloga že v izvajanju (aplikacija AJDA) - potreba po izboljšanju kataloga in cen</w:t>
            </w:r>
          </w:p>
        </w:tc>
      </w:tr>
      <w:tr w:rsidR="00976D80" w:rsidRPr="00976D80" w14:paraId="6A1AC25B" w14:textId="77777777" w:rsidTr="00976D80">
        <w:trPr>
          <w:trHeight w:val="720"/>
        </w:trPr>
        <w:tc>
          <w:tcPr>
            <w:tcW w:w="860" w:type="dxa"/>
            <w:shd w:val="clear" w:color="auto" w:fill="auto"/>
            <w:noWrap/>
            <w:vAlign w:val="center"/>
          </w:tcPr>
          <w:p w14:paraId="13725FC6" w14:textId="7A0A40DC" w:rsidR="00976D80" w:rsidRPr="00976D80" w:rsidRDefault="00976D80" w:rsidP="00976D80">
            <w:pPr>
              <w:spacing w:after="0" w:line="240" w:lineRule="auto"/>
              <w:jc w:val="center"/>
              <w:rPr>
                <w:rFonts w:eastAsia="Times New Roman" w:cs="Calibri"/>
                <w:color w:val="000000"/>
                <w:lang w:eastAsia="sl-SI"/>
              </w:rPr>
            </w:pPr>
            <w:r w:rsidRPr="00976D80">
              <w:rPr>
                <w:rFonts w:eastAsia="Times New Roman" w:cs="Calibri"/>
                <w:color w:val="000000"/>
                <w:lang w:eastAsia="sl-SI"/>
              </w:rPr>
              <w:t>U19</w:t>
            </w:r>
          </w:p>
        </w:tc>
        <w:tc>
          <w:tcPr>
            <w:tcW w:w="4522" w:type="dxa"/>
            <w:shd w:val="clear" w:color="auto" w:fill="auto"/>
            <w:vAlign w:val="center"/>
          </w:tcPr>
          <w:p w14:paraId="25D0E076" w14:textId="7667399F" w:rsidR="00976D80" w:rsidRPr="00976D80" w:rsidRDefault="00976D80" w:rsidP="00976D80">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 Dokumentiranje in analiza poplavnih dogodkov </w:t>
            </w:r>
          </w:p>
        </w:tc>
        <w:tc>
          <w:tcPr>
            <w:tcW w:w="1648" w:type="dxa"/>
            <w:shd w:val="clear" w:color="auto" w:fill="auto"/>
            <w:noWrap/>
            <w:vAlign w:val="center"/>
          </w:tcPr>
          <w:p w14:paraId="593FC4D0" w14:textId="711A72C8" w:rsidR="00976D80" w:rsidRPr="00976D80" w:rsidRDefault="00976D80" w:rsidP="00976D80">
            <w:pPr>
              <w:spacing w:after="0" w:line="240" w:lineRule="auto"/>
              <w:jc w:val="center"/>
              <w:rPr>
                <w:rFonts w:eastAsia="Times New Roman" w:cs="Calibri"/>
                <w:color w:val="000000"/>
                <w:lang w:eastAsia="sl-SI"/>
              </w:rPr>
            </w:pPr>
            <w:r w:rsidRPr="00976D80">
              <w:rPr>
                <w:rFonts w:eastAsia="Times New Roman" w:cs="Calibri"/>
                <w:color w:val="000000"/>
                <w:lang w:eastAsia="sl-SI"/>
              </w:rPr>
              <w:t>5</w:t>
            </w:r>
          </w:p>
        </w:tc>
        <w:tc>
          <w:tcPr>
            <w:tcW w:w="2770" w:type="dxa"/>
            <w:shd w:val="clear" w:color="auto" w:fill="auto"/>
            <w:vAlign w:val="center"/>
          </w:tcPr>
          <w:p w14:paraId="7E6E575F" w14:textId="1EB263C3" w:rsidR="00976D80" w:rsidRPr="00976D80" w:rsidRDefault="00976D80" w:rsidP="00976D80">
            <w:pPr>
              <w:spacing w:after="0" w:line="240" w:lineRule="auto"/>
              <w:jc w:val="center"/>
              <w:rPr>
                <w:rFonts w:eastAsia="Times New Roman" w:cs="Calibri"/>
                <w:color w:val="000000"/>
                <w:lang w:eastAsia="sl-SI"/>
              </w:rPr>
            </w:pPr>
            <w:r w:rsidRPr="00976D80">
              <w:rPr>
                <w:rFonts w:eastAsia="Times New Roman" w:cs="Calibri"/>
                <w:color w:val="000000"/>
                <w:lang w:eastAsia="sl-SI"/>
              </w:rPr>
              <w:t>arhiv občine za dokumentiranje dogodkov</w:t>
            </w:r>
          </w:p>
        </w:tc>
      </w:tr>
      <w:tr w:rsidR="00976D80" w:rsidRPr="00976D80" w14:paraId="245D951F" w14:textId="77777777" w:rsidTr="00976D80">
        <w:trPr>
          <w:trHeight w:val="720"/>
        </w:trPr>
        <w:tc>
          <w:tcPr>
            <w:tcW w:w="860" w:type="dxa"/>
            <w:shd w:val="clear" w:color="auto" w:fill="auto"/>
            <w:noWrap/>
            <w:vAlign w:val="center"/>
          </w:tcPr>
          <w:p w14:paraId="5DCAEA2C" w14:textId="3CA9E21E" w:rsidR="00976D80" w:rsidRPr="00976D80" w:rsidRDefault="00976D80" w:rsidP="00976D80">
            <w:pPr>
              <w:spacing w:after="0" w:line="240" w:lineRule="auto"/>
              <w:jc w:val="center"/>
              <w:rPr>
                <w:rFonts w:eastAsia="Times New Roman" w:cs="Calibri"/>
                <w:color w:val="000000"/>
                <w:lang w:eastAsia="sl-SI"/>
              </w:rPr>
            </w:pPr>
            <w:r w:rsidRPr="00976D80">
              <w:rPr>
                <w:rFonts w:eastAsia="Times New Roman" w:cs="Calibri"/>
                <w:color w:val="000000"/>
                <w:lang w:eastAsia="sl-SI"/>
              </w:rPr>
              <w:t>U20</w:t>
            </w:r>
          </w:p>
        </w:tc>
        <w:tc>
          <w:tcPr>
            <w:tcW w:w="4522" w:type="dxa"/>
            <w:shd w:val="clear" w:color="auto" w:fill="auto"/>
            <w:vAlign w:val="center"/>
          </w:tcPr>
          <w:p w14:paraId="4C867925" w14:textId="5C546E2A" w:rsidR="00976D80" w:rsidRPr="00976D80" w:rsidRDefault="00976D80" w:rsidP="00976D80">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 Sistemski,  normativni,  finančni in drugi ukrepi </w:t>
            </w:r>
          </w:p>
        </w:tc>
        <w:tc>
          <w:tcPr>
            <w:tcW w:w="1648" w:type="dxa"/>
            <w:shd w:val="clear" w:color="auto" w:fill="auto"/>
            <w:noWrap/>
            <w:vAlign w:val="center"/>
          </w:tcPr>
          <w:p w14:paraId="5DE24E24" w14:textId="2E133639" w:rsidR="00976D80" w:rsidRPr="00976D80" w:rsidRDefault="00976D80" w:rsidP="00976D80">
            <w:pPr>
              <w:spacing w:after="0" w:line="240" w:lineRule="auto"/>
              <w:jc w:val="center"/>
              <w:rPr>
                <w:rFonts w:eastAsia="Times New Roman" w:cs="Calibri"/>
                <w:color w:val="000000"/>
                <w:lang w:eastAsia="sl-SI"/>
              </w:rPr>
            </w:pPr>
            <w:r w:rsidRPr="00976D80">
              <w:rPr>
                <w:rFonts w:eastAsia="Times New Roman" w:cs="Calibri"/>
                <w:color w:val="000000"/>
                <w:lang w:eastAsia="sl-SI"/>
              </w:rPr>
              <w:t>3</w:t>
            </w:r>
          </w:p>
        </w:tc>
        <w:tc>
          <w:tcPr>
            <w:tcW w:w="2770" w:type="dxa"/>
            <w:shd w:val="clear" w:color="auto" w:fill="auto"/>
            <w:vAlign w:val="center"/>
          </w:tcPr>
          <w:p w14:paraId="4DDCA2C7" w14:textId="3213F0F0" w:rsidR="00976D80" w:rsidRPr="00976D80" w:rsidRDefault="00976D80" w:rsidP="00976D80">
            <w:pPr>
              <w:spacing w:after="0" w:line="240" w:lineRule="auto"/>
              <w:jc w:val="center"/>
              <w:rPr>
                <w:rFonts w:eastAsia="Times New Roman" w:cs="Calibri"/>
                <w:color w:val="000000"/>
                <w:lang w:eastAsia="sl-SI"/>
              </w:rPr>
            </w:pPr>
            <w:r w:rsidRPr="00976D80">
              <w:rPr>
                <w:rFonts w:eastAsia="Times New Roman" w:cs="Calibri"/>
                <w:color w:val="000000"/>
                <w:lang w:eastAsia="sl-SI"/>
              </w:rPr>
              <w:t>normativne ukrepe izvaja načeloma država</w:t>
            </w:r>
          </w:p>
        </w:tc>
      </w:tr>
    </w:tbl>
    <w:p w14:paraId="675A723A" w14:textId="77777777" w:rsidR="00976D80" w:rsidRDefault="00976D80" w:rsidP="00976D80">
      <w:pPr>
        <w:rPr>
          <w:lang w:eastAsia="sl-SI"/>
        </w:rPr>
      </w:pPr>
    </w:p>
    <w:p w14:paraId="13DD1222" w14:textId="77777777" w:rsidR="00976D80" w:rsidRDefault="00976D80" w:rsidP="00976D80">
      <w:pPr>
        <w:rPr>
          <w:lang w:eastAsia="sl-SI"/>
        </w:rPr>
      </w:pPr>
      <w:r>
        <w:rPr>
          <w:lang w:eastAsia="sl-SI"/>
        </w:rPr>
        <w:t xml:space="preserve">V nadaljevanju podajamo nabor dopolnilnih ukrepov, ki niso zajeti v NZPO1, vendar so pomembni z vidika prilagajanja podnebnim spremembam na področju varstva pred škodljivim delovanjem voda: </w:t>
      </w:r>
    </w:p>
    <w:p w14:paraId="230D6DE2" w14:textId="1949EA8B" w:rsidR="00976D80" w:rsidRDefault="00976D80">
      <w:pPr>
        <w:jc w:val="left"/>
        <w:rPr>
          <w:lang w:eastAsia="sl-SI"/>
        </w:rPr>
      </w:pPr>
      <w:r>
        <w:rPr>
          <w:lang w:eastAsia="sl-SI"/>
        </w:rPr>
        <w:br w:type="page"/>
      </w:r>
    </w:p>
    <w:p w14:paraId="20E76CFE" w14:textId="66A9AE35" w:rsidR="00976D80" w:rsidRDefault="00976D80" w:rsidP="00976D80">
      <w:pPr>
        <w:pStyle w:val="Napis"/>
        <w:keepNext/>
      </w:pPr>
      <w:bookmarkStart w:id="544" w:name="_Toc97026998"/>
      <w:r>
        <w:lastRenderedPageBreak/>
        <w:t xml:space="preserve">Preglednica </w:t>
      </w:r>
      <w:r>
        <w:fldChar w:fldCharType="begin"/>
      </w:r>
      <w:r>
        <w:instrText xml:space="preserve"> STYLEREF 1 \s </w:instrText>
      </w:r>
      <w:r>
        <w:fldChar w:fldCharType="separate"/>
      </w:r>
      <w:r>
        <w:rPr>
          <w:noProof/>
        </w:rPr>
        <w:t>6</w:t>
      </w:r>
      <w:r>
        <w:fldChar w:fldCharType="end"/>
      </w:r>
      <w:r>
        <w:t>.</w:t>
      </w:r>
      <w:r>
        <w:fldChar w:fldCharType="begin"/>
      </w:r>
      <w:r>
        <w:instrText xml:space="preserve"> SEQ Preglednica \* ARABIC \s 1 </w:instrText>
      </w:r>
      <w:r>
        <w:fldChar w:fldCharType="separate"/>
      </w:r>
      <w:r>
        <w:rPr>
          <w:noProof/>
        </w:rPr>
        <w:t>45</w:t>
      </w:r>
      <w:r>
        <w:fldChar w:fldCharType="end"/>
      </w:r>
      <w:r w:rsidRPr="008A3D09">
        <w:t>: Razširjen nabor ukrepov - poleg ukrepov iz NZPO1 so to ukrepi, ki izhajajo iz specifičnih identificiranih potreb na območju mestne občine Nova Gorica.</w:t>
      </w:r>
      <w:bookmarkEnd w:id="544"/>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0"/>
        <w:gridCol w:w="5320"/>
        <w:gridCol w:w="1360"/>
        <w:gridCol w:w="2260"/>
      </w:tblGrid>
      <w:tr w:rsidR="00976D80" w:rsidRPr="00976D80" w14:paraId="0E0DFF3E" w14:textId="77777777" w:rsidTr="00976D80">
        <w:trPr>
          <w:trHeight w:val="720"/>
        </w:trPr>
        <w:tc>
          <w:tcPr>
            <w:tcW w:w="860" w:type="dxa"/>
            <w:shd w:val="clear" w:color="auto" w:fill="auto"/>
            <w:vAlign w:val="center"/>
            <w:hideMark/>
          </w:tcPr>
          <w:p w14:paraId="553D2E2C"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KODA ukrepa</w:t>
            </w:r>
          </w:p>
        </w:tc>
        <w:tc>
          <w:tcPr>
            <w:tcW w:w="5320" w:type="dxa"/>
            <w:shd w:val="clear" w:color="auto" w:fill="auto"/>
            <w:vAlign w:val="center"/>
            <w:hideMark/>
          </w:tcPr>
          <w:p w14:paraId="27213B3B"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Opis ukrepa</w:t>
            </w:r>
          </w:p>
        </w:tc>
        <w:tc>
          <w:tcPr>
            <w:tcW w:w="1360" w:type="dxa"/>
            <w:shd w:val="clear" w:color="auto" w:fill="auto"/>
            <w:vAlign w:val="center"/>
            <w:hideMark/>
          </w:tcPr>
          <w:p w14:paraId="40EA19D4"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Prioriteta za Novo Gorico (1 nizka, 5 visoka)</w:t>
            </w:r>
          </w:p>
        </w:tc>
        <w:tc>
          <w:tcPr>
            <w:tcW w:w="2260" w:type="dxa"/>
            <w:shd w:val="clear" w:color="auto" w:fill="auto"/>
            <w:vAlign w:val="center"/>
            <w:hideMark/>
          </w:tcPr>
          <w:p w14:paraId="6FEDBA39"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komentar </w:t>
            </w:r>
          </w:p>
        </w:tc>
      </w:tr>
      <w:tr w:rsidR="00976D80" w:rsidRPr="00976D80" w14:paraId="15772D22" w14:textId="77777777" w:rsidTr="00976D80">
        <w:trPr>
          <w:trHeight w:val="480"/>
        </w:trPr>
        <w:tc>
          <w:tcPr>
            <w:tcW w:w="860" w:type="dxa"/>
            <w:shd w:val="clear" w:color="auto" w:fill="auto"/>
            <w:noWrap/>
            <w:vAlign w:val="center"/>
            <w:hideMark/>
          </w:tcPr>
          <w:p w14:paraId="4A059B9B" w14:textId="77777777" w:rsidR="00976D80" w:rsidRPr="00976D80" w:rsidRDefault="00976D80" w:rsidP="00DA53C1">
            <w:pPr>
              <w:spacing w:after="0" w:line="240" w:lineRule="auto"/>
              <w:jc w:val="center"/>
              <w:rPr>
                <w:rFonts w:eastAsia="Times New Roman" w:cs="Calibri"/>
                <w:b/>
                <w:bCs/>
                <w:color w:val="000000"/>
                <w:lang w:eastAsia="sl-SI"/>
              </w:rPr>
            </w:pPr>
            <w:r w:rsidRPr="00976D80">
              <w:rPr>
                <w:rFonts w:eastAsia="Times New Roman" w:cs="Calibri"/>
                <w:b/>
                <w:bCs/>
                <w:color w:val="000000"/>
                <w:lang w:eastAsia="sl-SI"/>
              </w:rPr>
              <w:t>UK1</w:t>
            </w:r>
          </w:p>
        </w:tc>
        <w:tc>
          <w:tcPr>
            <w:tcW w:w="5320" w:type="dxa"/>
            <w:shd w:val="clear" w:color="auto" w:fill="FFFFFF" w:themeFill="background1"/>
            <w:vAlign w:val="center"/>
            <w:hideMark/>
          </w:tcPr>
          <w:p w14:paraId="542F57FB"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Obvladovanje poplav na urbaniziranih vodotokih (pluvialne poplave)</w:t>
            </w:r>
          </w:p>
        </w:tc>
        <w:tc>
          <w:tcPr>
            <w:tcW w:w="1360" w:type="dxa"/>
            <w:shd w:val="clear" w:color="auto" w:fill="auto"/>
            <w:noWrap/>
            <w:vAlign w:val="center"/>
            <w:hideMark/>
          </w:tcPr>
          <w:p w14:paraId="374F2DBF"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5</w:t>
            </w:r>
          </w:p>
        </w:tc>
        <w:tc>
          <w:tcPr>
            <w:tcW w:w="2260" w:type="dxa"/>
            <w:shd w:val="clear" w:color="auto" w:fill="auto"/>
            <w:vAlign w:val="center"/>
            <w:hideMark/>
          </w:tcPr>
          <w:p w14:paraId="739AD200"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Zelo pomembno </w:t>
            </w:r>
          </w:p>
        </w:tc>
      </w:tr>
      <w:tr w:rsidR="00976D80" w:rsidRPr="00976D80" w14:paraId="46455534" w14:textId="77777777" w:rsidTr="00976D80">
        <w:trPr>
          <w:trHeight w:val="480"/>
        </w:trPr>
        <w:tc>
          <w:tcPr>
            <w:tcW w:w="860" w:type="dxa"/>
            <w:shd w:val="clear" w:color="auto" w:fill="auto"/>
            <w:noWrap/>
            <w:vAlign w:val="center"/>
            <w:hideMark/>
          </w:tcPr>
          <w:p w14:paraId="180B30D2" w14:textId="77777777" w:rsidR="00976D80" w:rsidRPr="00976D80" w:rsidRDefault="00976D80" w:rsidP="00DA53C1">
            <w:pPr>
              <w:spacing w:after="0" w:line="240" w:lineRule="auto"/>
              <w:jc w:val="center"/>
              <w:rPr>
                <w:rFonts w:eastAsia="Times New Roman" w:cs="Calibri"/>
                <w:b/>
                <w:bCs/>
                <w:color w:val="000000"/>
                <w:lang w:eastAsia="sl-SI"/>
              </w:rPr>
            </w:pPr>
            <w:r w:rsidRPr="00976D80">
              <w:rPr>
                <w:rFonts w:eastAsia="Times New Roman" w:cs="Calibri"/>
                <w:b/>
                <w:bCs/>
                <w:color w:val="000000"/>
                <w:lang w:eastAsia="sl-SI"/>
              </w:rPr>
              <w:t>UK2</w:t>
            </w:r>
          </w:p>
        </w:tc>
        <w:tc>
          <w:tcPr>
            <w:tcW w:w="5320" w:type="dxa"/>
            <w:shd w:val="clear" w:color="auto" w:fill="FFFFFF" w:themeFill="background1"/>
            <w:vAlign w:val="center"/>
            <w:hideMark/>
          </w:tcPr>
          <w:p w14:paraId="005C9600"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Odkup zemljišč za potrebe bodočega zmanjševanja poplavne ogroženosti</w:t>
            </w:r>
          </w:p>
        </w:tc>
        <w:tc>
          <w:tcPr>
            <w:tcW w:w="1360" w:type="dxa"/>
            <w:shd w:val="clear" w:color="auto" w:fill="auto"/>
            <w:noWrap/>
            <w:vAlign w:val="center"/>
            <w:hideMark/>
          </w:tcPr>
          <w:p w14:paraId="7AF329D4"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5</w:t>
            </w:r>
          </w:p>
        </w:tc>
        <w:tc>
          <w:tcPr>
            <w:tcW w:w="2260" w:type="dxa"/>
            <w:shd w:val="clear" w:color="auto" w:fill="auto"/>
            <w:vAlign w:val="center"/>
            <w:hideMark/>
          </w:tcPr>
          <w:p w14:paraId="5D98B42F"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Zelo pomembno </w:t>
            </w:r>
          </w:p>
        </w:tc>
      </w:tr>
      <w:tr w:rsidR="00976D80" w:rsidRPr="00976D80" w14:paraId="15E19430" w14:textId="77777777" w:rsidTr="00976D80">
        <w:trPr>
          <w:trHeight w:val="480"/>
        </w:trPr>
        <w:tc>
          <w:tcPr>
            <w:tcW w:w="860" w:type="dxa"/>
            <w:shd w:val="clear" w:color="auto" w:fill="auto"/>
            <w:noWrap/>
            <w:vAlign w:val="center"/>
            <w:hideMark/>
          </w:tcPr>
          <w:p w14:paraId="6CE27578" w14:textId="77777777" w:rsidR="00976D80" w:rsidRPr="00976D80" w:rsidRDefault="00976D80" w:rsidP="00DA53C1">
            <w:pPr>
              <w:spacing w:after="0" w:line="240" w:lineRule="auto"/>
              <w:jc w:val="center"/>
              <w:rPr>
                <w:rFonts w:eastAsia="Times New Roman" w:cs="Calibri"/>
                <w:b/>
                <w:bCs/>
                <w:color w:val="000000"/>
                <w:lang w:eastAsia="sl-SI"/>
              </w:rPr>
            </w:pPr>
            <w:r w:rsidRPr="00976D80">
              <w:rPr>
                <w:rFonts w:eastAsia="Times New Roman" w:cs="Calibri"/>
                <w:b/>
                <w:bCs/>
                <w:color w:val="000000"/>
                <w:lang w:eastAsia="sl-SI"/>
              </w:rPr>
              <w:t>UK3</w:t>
            </w:r>
          </w:p>
        </w:tc>
        <w:tc>
          <w:tcPr>
            <w:tcW w:w="5320" w:type="dxa"/>
            <w:shd w:val="clear" w:color="auto" w:fill="FFFFFF" w:themeFill="background1"/>
            <w:vAlign w:val="center"/>
            <w:hideMark/>
          </w:tcPr>
          <w:p w14:paraId="46C164AB"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Sistemsko ravnanje z viški materiala (predvsem gradbenega) in izkopi (tudi gradbeni odpadki)</w:t>
            </w:r>
          </w:p>
        </w:tc>
        <w:tc>
          <w:tcPr>
            <w:tcW w:w="1360" w:type="dxa"/>
            <w:shd w:val="clear" w:color="auto" w:fill="auto"/>
            <w:noWrap/>
            <w:vAlign w:val="center"/>
            <w:hideMark/>
          </w:tcPr>
          <w:p w14:paraId="043FD981"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5</w:t>
            </w:r>
          </w:p>
        </w:tc>
        <w:tc>
          <w:tcPr>
            <w:tcW w:w="2260" w:type="dxa"/>
            <w:shd w:val="clear" w:color="auto" w:fill="auto"/>
            <w:vAlign w:val="center"/>
            <w:hideMark/>
          </w:tcPr>
          <w:p w14:paraId="2087D420"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Zelo pomembno </w:t>
            </w:r>
          </w:p>
        </w:tc>
      </w:tr>
      <w:tr w:rsidR="00976D80" w:rsidRPr="00976D80" w14:paraId="6C2902BE" w14:textId="77777777" w:rsidTr="00976D80">
        <w:trPr>
          <w:trHeight w:val="240"/>
        </w:trPr>
        <w:tc>
          <w:tcPr>
            <w:tcW w:w="860" w:type="dxa"/>
            <w:shd w:val="clear" w:color="auto" w:fill="auto"/>
            <w:noWrap/>
            <w:vAlign w:val="center"/>
            <w:hideMark/>
          </w:tcPr>
          <w:p w14:paraId="09FEB0A2" w14:textId="77777777" w:rsidR="00976D80" w:rsidRPr="00976D80" w:rsidRDefault="00976D80" w:rsidP="00DA53C1">
            <w:pPr>
              <w:spacing w:after="0" w:line="240" w:lineRule="auto"/>
              <w:jc w:val="center"/>
              <w:rPr>
                <w:rFonts w:eastAsia="Times New Roman" w:cs="Calibri"/>
                <w:b/>
                <w:bCs/>
                <w:color w:val="000000"/>
                <w:lang w:eastAsia="sl-SI"/>
              </w:rPr>
            </w:pPr>
            <w:r w:rsidRPr="00976D80">
              <w:rPr>
                <w:rFonts w:eastAsia="Times New Roman" w:cs="Calibri"/>
                <w:b/>
                <w:bCs/>
                <w:color w:val="000000"/>
                <w:lang w:eastAsia="sl-SI"/>
              </w:rPr>
              <w:t>UK4</w:t>
            </w:r>
          </w:p>
        </w:tc>
        <w:tc>
          <w:tcPr>
            <w:tcW w:w="5320" w:type="dxa"/>
            <w:shd w:val="clear" w:color="auto" w:fill="FFFFFF" w:themeFill="background1"/>
            <w:vAlign w:val="center"/>
            <w:hideMark/>
          </w:tcPr>
          <w:p w14:paraId="0ACAFD5D"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Odkup ogroženih objektov in dejavnosti ter premestitev</w:t>
            </w:r>
          </w:p>
        </w:tc>
        <w:tc>
          <w:tcPr>
            <w:tcW w:w="1360" w:type="dxa"/>
            <w:shd w:val="clear" w:color="auto" w:fill="auto"/>
            <w:noWrap/>
            <w:vAlign w:val="center"/>
            <w:hideMark/>
          </w:tcPr>
          <w:p w14:paraId="28668957"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3</w:t>
            </w:r>
          </w:p>
        </w:tc>
        <w:tc>
          <w:tcPr>
            <w:tcW w:w="2260" w:type="dxa"/>
            <w:shd w:val="clear" w:color="auto" w:fill="auto"/>
            <w:vAlign w:val="center"/>
            <w:hideMark/>
          </w:tcPr>
          <w:p w14:paraId="00AF9D0F"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Ni opredeljen kot ukrep po NZPO, vendar pomembno orodje </w:t>
            </w:r>
          </w:p>
        </w:tc>
      </w:tr>
      <w:tr w:rsidR="00976D80" w:rsidRPr="00976D80" w14:paraId="2A39FD39" w14:textId="77777777" w:rsidTr="00976D80">
        <w:trPr>
          <w:trHeight w:val="480"/>
        </w:trPr>
        <w:tc>
          <w:tcPr>
            <w:tcW w:w="860" w:type="dxa"/>
            <w:shd w:val="clear" w:color="auto" w:fill="auto"/>
            <w:noWrap/>
            <w:vAlign w:val="center"/>
            <w:hideMark/>
          </w:tcPr>
          <w:p w14:paraId="7C5B1900" w14:textId="77777777" w:rsidR="00976D80" w:rsidRPr="00976D80" w:rsidRDefault="00976D80" w:rsidP="00DA53C1">
            <w:pPr>
              <w:spacing w:after="0" w:line="240" w:lineRule="auto"/>
              <w:jc w:val="center"/>
              <w:rPr>
                <w:rFonts w:eastAsia="Times New Roman" w:cs="Calibri"/>
                <w:b/>
                <w:bCs/>
                <w:color w:val="000000"/>
                <w:lang w:eastAsia="sl-SI"/>
              </w:rPr>
            </w:pPr>
            <w:r w:rsidRPr="00976D80">
              <w:rPr>
                <w:rFonts w:eastAsia="Times New Roman" w:cs="Calibri"/>
                <w:b/>
                <w:bCs/>
                <w:color w:val="000000"/>
                <w:lang w:eastAsia="sl-SI"/>
              </w:rPr>
              <w:t>UK5</w:t>
            </w:r>
          </w:p>
        </w:tc>
        <w:tc>
          <w:tcPr>
            <w:tcW w:w="5320" w:type="dxa"/>
            <w:shd w:val="clear" w:color="auto" w:fill="FFFFFF" w:themeFill="background1"/>
            <w:vAlign w:val="center"/>
            <w:hideMark/>
          </w:tcPr>
          <w:p w14:paraId="4DDB029F"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Vzpostavitev in vodenje evidenc s področja poplavne ranljivosti (priprava načrtov ukrepanja)</w:t>
            </w:r>
          </w:p>
        </w:tc>
        <w:tc>
          <w:tcPr>
            <w:tcW w:w="1360" w:type="dxa"/>
            <w:shd w:val="clear" w:color="auto" w:fill="auto"/>
            <w:noWrap/>
            <w:vAlign w:val="center"/>
            <w:hideMark/>
          </w:tcPr>
          <w:p w14:paraId="66005DB5"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3</w:t>
            </w:r>
          </w:p>
        </w:tc>
        <w:tc>
          <w:tcPr>
            <w:tcW w:w="2260" w:type="dxa"/>
            <w:shd w:val="clear" w:color="auto" w:fill="auto"/>
            <w:vAlign w:val="center"/>
            <w:hideMark/>
          </w:tcPr>
          <w:p w14:paraId="3717E1B0"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Kot del načrta odziva</w:t>
            </w:r>
          </w:p>
        </w:tc>
      </w:tr>
      <w:tr w:rsidR="00976D80" w:rsidRPr="00976D80" w14:paraId="1ADC0931" w14:textId="77777777" w:rsidTr="00976D80">
        <w:trPr>
          <w:trHeight w:val="480"/>
        </w:trPr>
        <w:tc>
          <w:tcPr>
            <w:tcW w:w="860" w:type="dxa"/>
            <w:shd w:val="clear" w:color="auto" w:fill="auto"/>
            <w:noWrap/>
            <w:vAlign w:val="center"/>
            <w:hideMark/>
          </w:tcPr>
          <w:p w14:paraId="0DB436D9" w14:textId="77777777" w:rsidR="00976D80" w:rsidRPr="00976D80" w:rsidRDefault="00976D80" w:rsidP="00DA53C1">
            <w:pPr>
              <w:spacing w:after="0" w:line="240" w:lineRule="auto"/>
              <w:jc w:val="center"/>
              <w:rPr>
                <w:rFonts w:eastAsia="Times New Roman" w:cs="Calibri"/>
                <w:b/>
                <w:bCs/>
                <w:color w:val="000000"/>
                <w:lang w:eastAsia="sl-SI"/>
              </w:rPr>
            </w:pPr>
            <w:r w:rsidRPr="00976D80">
              <w:rPr>
                <w:rFonts w:eastAsia="Times New Roman" w:cs="Calibri"/>
                <w:b/>
                <w:bCs/>
                <w:color w:val="000000"/>
                <w:lang w:eastAsia="sl-SI"/>
              </w:rPr>
              <w:t>UK6</w:t>
            </w:r>
          </w:p>
        </w:tc>
        <w:tc>
          <w:tcPr>
            <w:tcW w:w="5320" w:type="dxa"/>
            <w:shd w:val="clear" w:color="auto" w:fill="FFFFFF" w:themeFill="background1"/>
            <w:vAlign w:val="center"/>
            <w:hideMark/>
          </w:tcPr>
          <w:p w14:paraId="55A8CCB7"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 xml:space="preserve">Izboljšano obvladovanje erozijskih procesov (spremljanje, načrtovanje, izvajanje), </w:t>
            </w:r>
          </w:p>
        </w:tc>
        <w:tc>
          <w:tcPr>
            <w:tcW w:w="1360" w:type="dxa"/>
            <w:shd w:val="clear" w:color="auto" w:fill="auto"/>
            <w:noWrap/>
            <w:vAlign w:val="center"/>
            <w:hideMark/>
          </w:tcPr>
          <w:p w14:paraId="47C276ED"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3</w:t>
            </w:r>
          </w:p>
        </w:tc>
        <w:tc>
          <w:tcPr>
            <w:tcW w:w="2260" w:type="dxa"/>
            <w:shd w:val="clear" w:color="auto" w:fill="auto"/>
            <w:vAlign w:val="center"/>
            <w:hideMark/>
          </w:tcPr>
          <w:p w14:paraId="0A5931E6"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Naloga države, uskladiti</w:t>
            </w:r>
          </w:p>
        </w:tc>
      </w:tr>
      <w:tr w:rsidR="00976D80" w:rsidRPr="00976D80" w14:paraId="26104DFD" w14:textId="77777777" w:rsidTr="00976D80">
        <w:trPr>
          <w:trHeight w:val="480"/>
        </w:trPr>
        <w:tc>
          <w:tcPr>
            <w:tcW w:w="860" w:type="dxa"/>
            <w:shd w:val="clear" w:color="auto" w:fill="auto"/>
            <w:noWrap/>
            <w:vAlign w:val="center"/>
            <w:hideMark/>
          </w:tcPr>
          <w:p w14:paraId="06595EF7" w14:textId="77777777" w:rsidR="00976D80" w:rsidRPr="00976D80" w:rsidRDefault="00976D80" w:rsidP="00DA53C1">
            <w:pPr>
              <w:spacing w:after="0" w:line="240" w:lineRule="auto"/>
              <w:jc w:val="center"/>
              <w:rPr>
                <w:rFonts w:eastAsia="Times New Roman" w:cs="Calibri"/>
                <w:b/>
                <w:bCs/>
                <w:color w:val="000000"/>
                <w:lang w:eastAsia="sl-SI"/>
              </w:rPr>
            </w:pPr>
            <w:r w:rsidRPr="00976D80">
              <w:rPr>
                <w:rFonts w:eastAsia="Times New Roman" w:cs="Calibri"/>
                <w:b/>
                <w:bCs/>
                <w:color w:val="000000"/>
                <w:lang w:eastAsia="sl-SI"/>
              </w:rPr>
              <w:t>UK7</w:t>
            </w:r>
          </w:p>
        </w:tc>
        <w:tc>
          <w:tcPr>
            <w:tcW w:w="5320" w:type="dxa"/>
            <w:shd w:val="clear" w:color="auto" w:fill="FFFFFF" w:themeFill="background1"/>
            <w:vAlign w:val="center"/>
            <w:hideMark/>
          </w:tcPr>
          <w:p w14:paraId="2D9CEC1E"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Spremljanje in ukrepi vezani na poplavno nevarnost/ogroženost zaradi nestabilnosti brežin v povezavi s poplavami</w:t>
            </w:r>
          </w:p>
        </w:tc>
        <w:tc>
          <w:tcPr>
            <w:tcW w:w="1360" w:type="dxa"/>
            <w:shd w:val="clear" w:color="auto" w:fill="auto"/>
            <w:noWrap/>
            <w:vAlign w:val="center"/>
            <w:hideMark/>
          </w:tcPr>
          <w:p w14:paraId="781B1230"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5</w:t>
            </w:r>
          </w:p>
        </w:tc>
        <w:tc>
          <w:tcPr>
            <w:tcW w:w="2260" w:type="dxa"/>
            <w:shd w:val="clear" w:color="auto" w:fill="auto"/>
            <w:vAlign w:val="center"/>
          </w:tcPr>
          <w:p w14:paraId="4195ACBB" w14:textId="77777777" w:rsidR="00976D80" w:rsidRPr="00976D80" w:rsidRDefault="00976D80" w:rsidP="00DA53C1">
            <w:pPr>
              <w:spacing w:after="0" w:line="240" w:lineRule="auto"/>
              <w:jc w:val="center"/>
              <w:rPr>
                <w:rFonts w:eastAsia="Times New Roman" w:cs="Calibri"/>
                <w:color w:val="000000"/>
                <w:lang w:eastAsia="sl-SI"/>
              </w:rPr>
            </w:pPr>
            <w:r w:rsidRPr="00976D80">
              <w:rPr>
                <w:rFonts w:eastAsia="Times New Roman" w:cs="Calibri"/>
                <w:color w:val="000000"/>
                <w:lang w:eastAsia="sl-SI"/>
              </w:rPr>
              <w:t>Pomembno za MONG, saj se nahaja več pogojno stabilnih zemljišč (zemeljskih plazov)</w:t>
            </w:r>
          </w:p>
        </w:tc>
      </w:tr>
    </w:tbl>
    <w:p w14:paraId="20218950" w14:textId="77777777" w:rsidR="00882ADC" w:rsidRDefault="00882ADC" w:rsidP="00882ADC">
      <w:pPr>
        <w:rPr>
          <w:lang w:eastAsia="sl-SI"/>
        </w:rPr>
      </w:pPr>
    </w:p>
    <w:p w14:paraId="419D83C6" w14:textId="77777777" w:rsidR="00882ADC" w:rsidRDefault="00882ADC" w:rsidP="00CE43D7">
      <w:pPr>
        <w:pStyle w:val="Naslov4"/>
      </w:pPr>
      <w:r w:rsidRPr="00384247">
        <w:t xml:space="preserve">Sposobnost prilagajanja na podnebne spremembe – </w:t>
      </w:r>
      <w:r>
        <w:t>pluvialne poplave</w:t>
      </w:r>
    </w:p>
    <w:p w14:paraId="770AA49D" w14:textId="77777777" w:rsidR="00976D80" w:rsidRDefault="00976D80" w:rsidP="00976D80">
      <w:pPr>
        <w:rPr>
          <w:lang w:eastAsia="sl-SI"/>
        </w:rPr>
      </w:pPr>
      <w:r>
        <w:rPr>
          <w:lang w:eastAsia="sl-SI"/>
        </w:rPr>
        <w:t xml:space="preserve">Sposobnost prilagajanja na pluvialne poplave ocenjujemo za zmerno, pri tem izpostavljamo potrebo po prenosu standardov odvajanja padavinskih voda v operativno delovanje upravljalca, potrebo po boljši identifikaciji stanj (hidravlični model </w:t>
      </w:r>
      <w:proofErr w:type="spellStart"/>
      <w:r>
        <w:rPr>
          <w:lang w:eastAsia="sl-SI"/>
        </w:rPr>
        <w:t>odvodnje</w:t>
      </w:r>
      <w:proofErr w:type="spellEnd"/>
      <w:r>
        <w:rPr>
          <w:lang w:eastAsia="sl-SI"/>
        </w:rPr>
        <w:t xml:space="preserve"> padavinskih voda) in izvajanje ukrepov za zmanjšanje ogroženosti zaradi padavinskih voda. </w:t>
      </w:r>
    </w:p>
    <w:p w14:paraId="6824C60F" w14:textId="77777777" w:rsidR="00882ADC" w:rsidRDefault="00882ADC" w:rsidP="00CE43D7">
      <w:pPr>
        <w:pStyle w:val="Naslov4"/>
      </w:pPr>
      <w:r w:rsidRPr="00384247">
        <w:t xml:space="preserve">Sposobnost prilagajanja na podnebne spremembe – </w:t>
      </w:r>
      <w:r>
        <w:t xml:space="preserve">vzdrževanje vodne infrastrukture </w:t>
      </w:r>
    </w:p>
    <w:p w14:paraId="3B8DF1E0" w14:textId="77777777" w:rsidR="00976D80" w:rsidRDefault="00882ADC" w:rsidP="00976D80">
      <w:pPr>
        <w:rPr>
          <w:lang w:eastAsia="sl-SI"/>
        </w:rPr>
      </w:pPr>
      <w:r w:rsidRPr="00384247">
        <w:rPr>
          <w:lang w:eastAsia="sl-SI"/>
        </w:rPr>
        <w:t xml:space="preserve">Potrebo po prilagajanju na podnebne spremembe, ki bodo v obliki </w:t>
      </w:r>
      <w:r>
        <w:rPr>
          <w:lang w:eastAsia="sl-SI"/>
        </w:rPr>
        <w:t xml:space="preserve">povečane intenzitete padavinskih dogodkov in s tem povezanega odtoka in hidrološkega odziva povodja lahko tesno povezujemo s potrebnimi ukrepi izboljšanega vzdrževanja in investicijskega vzdrževanja vodne </w:t>
      </w:r>
    </w:p>
    <w:p w14:paraId="4F84FEA8" w14:textId="77777777" w:rsidR="00976D80" w:rsidRDefault="00976D80" w:rsidP="00976D80">
      <w:pPr>
        <w:rPr>
          <w:lang w:eastAsia="sl-SI"/>
        </w:rPr>
      </w:pPr>
      <w:r w:rsidRPr="00384247">
        <w:rPr>
          <w:lang w:eastAsia="sl-SI"/>
        </w:rPr>
        <w:t xml:space="preserve">Potrebo po prilagajanju na podnebne spremembe, ki bodo v obliki </w:t>
      </w:r>
      <w:r>
        <w:rPr>
          <w:lang w:eastAsia="sl-SI"/>
        </w:rPr>
        <w:t xml:space="preserve">povečane intenzitete padavinskih dogodkov in s tem povezanega odtoka in hidrološkega odziva povodja lahko tesno povezujemo s potrebnimi ukrepi izboljšanega vzdrževanja in investicijskega vzdrževanja vodne infrastrukture. </w:t>
      </w:r>
    </w:p>
    <w:p w14:paraId="3C2A5C88" w14:textId="77777777" w:rsidR="00976D80" w:rsidRDefault="00976D80" w:rsidP="00976D80">
      <w:pPr>
        <w:rPr>
          <w:lang w:eastAsia="sl-SI"/>
        </w:rPr>
      </w:pPr>
      <w:r>
        <w:rPr>
          <w:lang w:eastAsia="sl-SI"/>
        </w:rPr>
        <w:t xml:space="preserve">Pri tem je potrebno v celoti nadgraditi sistem od evidence vodne infrastrukture, kar vključuje tudi dokumentacijski vidik (klasificiranje in arhiviranje dokumentacije), spremljanja stanja vodne infrastrukture (redno letno spremljanje stanja in analitika stanja), sodelovanje različnih </w:t>
      </w:r>
      <w:r>
        <w:rPr>
          <w:lang w:eastAsia="sl-SI"/>
        </w:rPr>
        <w:lastRenderedPageBreak/>
        <w:t xml:space="preserve">deležnikov pri pripravi, izvajanju in nadzoru izvajanja vzdrževanja in investicijskega vzdrževanja in podobno. </w:t>
      </w:r>
    </w:p>
    <w:p w14:paraId="402C9DA8" w14:textId="43B175E9" w:rsidR="00976D80" w:rsidRPr="00976D80" w:rsidRDefault="00976D80" w:rsidP="00976D80">
      <w:pPr>
        <w:rPr>
          <w:lang w:eastAsia="sl-SI"/>
        </w:rPr>
      </w:pPr>
      <w:r w:rsidRPr="00384247">
        <w:rPr>
          <w:lang w:eastAsia="sl-SI"/>
        </w:rPr>
        <w:t xml:space="preserve">Izvedbo možnosti </w:t>
      </w:r>
      <w:r>
        <w:rPr>
          <w:lang w:eastAsia="sl-SI"/>
        </w:rPr>
        <w:t>prilagajanja lahko ocenjujemo kot zmerno, saj je širše področje ur</w:t>
      </w:r>
      <w:r w:rsidR="00921FCD">
        <w:rPr>
          <w:lang w:eastAsia="sl-SI"/>
        </w:rPr>
        <w:t>e</w:t>
      </w:r>
      <w:r>
        <w:rPr>
          <w:lang w:eastAsia="sl-SI"/>
        </w:rPr>
        <w:t>j</w:t>
      </w:r>
      <w:r w:rsidR="00921FCD">
        <w:rPr>
          <w:lang w:eastAsia="sl-SI"/>
        </w:rPr>
        <w:t>a</w:t>
      </w:r>
      <w:r>
        <w:rPr>
          <w:lang w:eastAsia="sl-SI"/>
        </w:rPr>
        <w:t xml:space="preserve">nja voda </w:t>
      </w:r>
      <w:r w:rsidRPr="00976D80">
        <w:rPr>
          <w:lang w:eastAsia="sl-SI"/>
        </w:rPr>
        <w:t>na področju zmanjševanja poplavne ogroženosti že leta upravljano pomanjkljivo. Upanje na izboljšanje lahko prepoznamo v zunanjih dejavnikih, predvsem iniciativi EU za okrevanje in zeleno rast.</w:t>
      </w:r>
    </w:p>
    <w:p w14:paraId="0AA8FE1E" w14:textId="77777777" w:rsidR="00976D80" w:rsidRPr="00976D80" w:rsidRDefault="00976D80" w:rsidP="00976D80">
      <w:pPr>
        <w:rPr>
          <w:lang w:eastAsia="sl-SI"/>
        </w:rPr>
      </w:pPr>
      <w:r w:rsidRPr="00976D80">
        <w:rPr>
          <w:lang w:eastAsia="sl-SI"/>
        </w:rPr>
        <w:t>Načrtovanje ukrepov je povezano z:</w:t>
      </w:r>
    </w:p>
    <w:p w14:paraId="10296E56" w14:textId="77777777" w:rsidR="00976D80" w:rsidRPr="00976D80" w:rsidRDefault="00976D80" w:rsidP="00900691">
      <w:pPr>
        <w:pStyle w:val="Odstavekseznama"/>
        <w:numPr>
          <w:ilvl w:val="0"/>
          <w:numId w:val="34"/>
        </w:numPr>
        <w:rPr>
          <w:rFonts w:ascii="Trebuchet MS" w:hAnsi="Trebuchet MS"/>
          <w:lang w:eastAsia="sl-SI"/>
        </w:rPr>
      </w:pPr>
      <w:r w:rsidRPr="00976D80">
        <w:rPr>
          <w:rFonts w:ascii="Trebuchet MS" w:hAnsi="Trebuchet MS"/>
          <w:lang w:eastAsia="sl-SI"/>
        </w:rPr>
        <w:t xml:space="preserve">Izboljšano načrtovanjem na dolgi rok, ki vpliva na zmanjšanje poplavne nevarnosti in posledično tudi na zmanjšanje poplavne ogroženosti. Ti ukrepi so pogosto povezani z zahtevnimi gradbenimi ukrepi za zadrževanje voda in preprečevanje vdora poplavnih voda na območja, kjer se nahaja ranljiva poselitev in dejavnosti. </w:t>
      </w:r>
    </w:p>
    <w:p w14:paraId="207A9DE1" w14:textId="77777777" w:rsidR="00976D80" w:rsidRPr="00976D80" w:rsidRDefault="00976D80" w:rsidP="00900691">
      <w:pPr>
        <w:pStyle w:val="Odstavekseznama"/>
        <w:numPr>
          <w:ilvl w:val="0"/>
          <w:numId w:val="34"/>
        </w:numPr>
        <w:spacing w:after="120"/>
        <w:ind w:left="1077" w:hanging="357"/>
        <w:rPr>
          <w:rFonts w:ascii="Trebuchet MS" w:hAnsi="Trebuchet MS"/>
          <w:lang w:eastAsia="sl-SI"/>
        </w:rPr>
      </w:pPr>
      <w:r w:rsidRPr="00976D80">
        <w:rPr>
          <w:rFonts w:ascii="Trebuchet MS" w:hAnsi="Trebuchet MS"/>
          <w:lang w:eastAsia="sl-SI"/>
        </w:rPr>
        <w:t>kratkoročnim načrtovanjem, ki je usmerjeno predvsem v izboljšane samozaščitne ukrepe s katerimi se predvsem neposredno zmanjšuje ranljivost objektov in dejavnosti za poplave.</w:t>
      </w:r>
    </w:p>
    <w:p w14:paraId="1B0782E7" w14:textId="77777777" w:rsidR="00976D80" w:rsidRDefault="00976D80" w:rsidP="00976D80">
      <w:pPr>
        <w:rPr>
          <w:lang w:eastAsia="sl-SI"/>
        </w:rPr>
      </w:pPr>
      <w:r w:rsidRPr="00384247">
        <w:rPr>
          <w:lang w:eastAsia="sl-SI"/>
        </w:rPr>
        <w:t>Sposobnost prilagajanja, predvsem kratkoročnega ocenjujemo za zmerno, saj so predvsem kratkoročni ukrepi načeloma izvedljivi</w:t>
      </w:r>
      <w:r>
        <w:rPr>
          <w:lang w:eastAsia="sl-SI"/>
        </w:rPr>
        <w:t>.</w:t>
      </w:r>
    </w:p>
    <w:p w14:paraId="043D7001" w14:textId="38A84656" w:rsidR="00882ADC" w:rsidRPr="00384247" w:rsidRDefault="00882ADC" w:rsidP="00976D80">
      <w:r w:rsidRPr="00384247">
        <w:t xml:space="preserve">Sposobnost prilagajanja na podnebne spremembe – </w:t>
      </w:r>
      <w:r>
        <w:t>dvig morja</w:t>
      </w:r>
    </w:p>
    <w:p w14:paraId="16F50F0A" w14:textId="77777777" w:rsidR="00882ADC" w:rsidRDefault="00882ADC" w:rsidP="00882ADC">
      <w:pPr>
        <w:rPr>
          <w:lang w:eastAsia="sl-SI"/>
        </w:rPr>
      </w:pPr>
      <w:r>
        <w:rPr>
          <w:lang w:eastAsia="sl-SI"/>
        </w:rPr>
        <w:t xml:space="preserve">Pri opredeljevanju sposobnosti prilagajanja na podnebne spremembe – dvig morja je težko podati enoličen odgovor. Po eni strani obstaja na splošno v Sloveniji ustrezna znanja in resursi s katerimi je mogoče izvesti številne ukrepe prilagajanja na učinke podnebnih sprememb. Prav tako zaradi topografije terena, kjer se v notranjosti kopnega teren dokaj hitro dviguje zaradi pričakovanega dviga morja ostaja ogroženost relativno omejena. </w:t>
      </w:r>
    </w:p>
    <w:p w14:paraId="524EADE6" w14:textId="51CCBC11" w:rsidR="00882ADC" w:rsidRDefault="00882ADC" w:rsidP="00882ADC">
      <w:pPr>
        <w:rPr>
          <w:lang w:eastAsia="sl-SI"/>
        </w:rPr>
      </w:pPr>
      <w:r>
        <w:rPr>
          <w:lang w:eastAsia="sl-SI"/>
        </w:rPr>
        <w:t>Po drugi strani lahko ugotovimo, da se številne države bolje pripravljajo na pričakovane podnebne spremembe, saj so že pred leti pričele z analizo pričakovanih učinkov in prihodnjih stanj, hkrati pa so tudi že pričele izvajati nekatere ukrepe prilagajanja na podnebne spremembe, še posebej pričakovani dvig morske gladine.</w:t>
      </w:r>
    </w:p>
    <w:p w14:paraId="3657CB31" w14:textId="77777777" w:rsidR="00400FFA" w:rsidRDefault="00400FFA" w:rsidP="00882ADC">
      <w:pPr>
        <w:rPr>
          <w:lang w:eastAsia="sl-SI"/>
        </w:rPr>
      </w:pPr>
    </w:p>
    <w:p w14:paraId="54776505" w14:textId="77777777" w:rsidR="00400FFA" w:rsidRDefault="00400FFA" w:rsidP="00400FFA">
      <w:pPr>
        <w:pStyle w:val="Naslov3"/>
      </w:pPr>
      <w:bookmarkStart w:id="545" w:name="_Toc65052906"/>
      <w:bookmarkStart w:id="546" w:name="_Toc97026815"/>
      <w:r>
        <w:t>Analiza</w:t>
      </w:r>
      <w:r w:rsidRPr="00B14994">
        <w:t xml:space="preserve"> ranljivosti </w:t>
      </w:r>
      <w:r>
        <w:t>sektorja poplavna ogroženost</w:t>
      </w:r>
      <w:bookmarkEnd w:id="545"/>
      <w:bookmarkEnd w:id="546"/>
    </w:p>
    <w:p w14:paraId="496BDA8D" w14:textId="125A11A2" w:rsidR="00400FFA" w:rsidRPr="00384247" w:rsidRDefault="00976D80" w:rsidP="00400FFA">
      <w:pPr>
        <w:rPr>
          <w:lang w:eastAsia="sl-SI"/>
        </w:rPr>
      </w:pPr>
      <w:r>
        <w:rPr>
          <w:lang w:eastAsia="sl-SI"/>
        </w:rPr>
        <w:t xml:space="preserve">Ranljivost sektorja se oceni na podlagi oceni potencialnih vplivov in oceni </w:t>
      </w:r>
      <w:r w:rsidRPr="00384247">
        <w:rPr>
          <w:lang w:eastAsia="sl-SI"/>
        </w:rPr>
        <w:t xml:space="preserve">sposobnosti prilagajanja </w:t>
      </w:r>
      <w:r w:rsidR="00400FFA" w:rsidRPr="00384247">
        <w:rPr>
          <w:lang w:eastAsia="sl-SI"/>
        </w:rPr>
        <w:t>(poglavje</w:t>
      </w:r>
      <w:r w:rsidR="00400FFA">
        <w:rPr>
          <w:lang w:eastAsia="sl-SI"/>
        </w:rPr>
        <w:t xml:space="preserve"> </w:t>
      </w:r>
      <w:r w:rsidR="00400FFA">
        <w:rPr>
          <w:lang w:eastAsia="sl-SI"/>
        </w:rPr>
        <w:fldChar w:fldCharType="begin"/>
      </w:r>
      <w:r w:rsidR="00400FFA">
        <w:rPr>
          <w:lang w:eastAsia="sl-SI"/>
        </w:rPr>
        <w:instrText xml:space="preserve"> REF _Ref65433603 \r \h </w:instrText>
      </w:r>
      <w:r w:rsidR="00400FFA">
        <w:rPr>
          <w:lang w:eastAsia="sl-SI"/>
        </w:rPr>
      </w:r>
      <w:r w:rsidR="00400FFA">
        <w:rPr>
          <w:lang w:eastAsia="sl-SI"/>
        </w:rPr>
        <w:fldChar w:fldCharType="separate"/>
      </w:r>
      <w:r w:rsidR="004700D5">
        <w:rPr>
          <w:lang w:eastAsia="sl-SI"/>
        </w:rPr>
        <w:t>6.7.4</w:t>
      </w:r>
      <w:r w:rsidR="00400FFA">
        <w:rPr>
          <w:lang w:eastAsia="sl-SI"/>
        </w:rPr>
        <w:fldChar w:fldCharType="end"/>
      </w:r>
      <w:r w:rsidR="00400FFA">
        <w:rPr>
          <w:lang w:eastAsia="sl-SI"/>
        </w:rPr>
        <w:t xml:space="preserve"> in </w:t>
      </w:r>
      <w:r w:rsidR="00400FFA">
        <w:rPr>
          <w:lang w:eastAsia="sl-SI"/>
        </w:rPr>
        <w:fldChar w:fldCharType="begin"/>
      </w:r>
      <w:r w:rsidR="00400FFA">
        <w:rPr>
          <w:lang w:eastAsia="sl-SI"/>
        </w:rPr>
        <w:instrText xml:space="preserve"> REF _Ref65433605 \r \h </w:instrText>
      </w:r>
      <w:r w:rsidR="00400FFA">
        <w:rPr>
          <w:lang w:eastAsia="sl-SI"/>
        </w:rPr>
      </w:r>
      <w:r w:rsidR="00400FFA">
        <w:rPr>
          <w:lang w:eastAsia="sl-SI"/>
        </w:rPr>
        <w:fldChar w:fldCharType="separate"/>
      </w:r>
      <w:r w:rsidR="004700D5">
        <w:rPr>
          <w:lang w:eastAsia="sl-SI"/>
        </w:rPr>
        <w:t>6.7.5</w:t>
      </w:r>
      <w:r w:rsidR="00400FFA">
        <w:rPr>
          <w:lang w:eastAsia="sl-SI"/>
        </w:rPr>
        <w:fldChar w:fldCharType="end"/>
      </w:r>
      <w:r w:rsidR="00400FFA" w:rsidRPr="00384247">
        <w:rPr>
          <w:lang w:eastAsia="sl-SI"/>
        </w:rPr>
        <w:t>).</w:t>
      </w:r>
    </w:p>
    <w:p w14:paraId="7FC3874A" w14:textId="1079714A" w:rsidR="00976D80" w:rsidRDefault="00976D80" w:rsidP="00976D80">
      <w:pPr>
        <w:rPr>
          <w:lang w:eastAsia="sl-SI"/>
        </w:rPr>
      </w:pPr>
      <w:r w:rsidRPr="00384247">
        <w:rPr>
          <w:lang w:eastAsia="sl-SI"/>
        </w:rPr>
        <w:t xml:space="preserve">Analiza potencialnih vplivov podnebnih sprememb na </w:t>
      </w:r>
      <w:r>
        <w:rPr>
          <w:lang w:eastAsia="sl-SI"/>
        </w:rPr>
        <w:t>stanje poplavne ogroženosti na območju Mestne občine Nova Gorica je</w:t>
      </w:r>
      <w:r w:rsidRPr="00384247">
        <w:rPr>
          <w:lang w:eastAsia="sl-SI"/>
        </w:rPr>
        <w:t xml:space="preserve">, glede na navedeno povezana predvsem s </w:t>
      </w:r>
      <w:r>
        <w:rPr>
          <w:lang w:eastAsia="sl-SI"/>
        </w:rPr>
        <w:t>povečano intenziteto padavinskih dogodkov. Poleg poplavne ogroženosti, ki jo narekujejo fluvialne poplave izpostavljamo prepoznani pomen  ranljivosti na fluvialne poplave, ki lahko prizadenejo predvsem močno urbanizirane dele občine, ki imajo največji škodni potencial.</w:t>
      </w:r>
    </w:p>
    <w:p w14:paraId="224E07B6" w14:textId="2646BDF9" w:rsidR="00400FFA" w:rsidRDefault="00400FFA" w:rsidP="00400FFA">
      <w:pPr>
        <w:rPr>
          <w:rFonts w:eastAsia="Calibri"/>
          <w:lang w:eastAsia="sl-SI"/>
        </w:rPr>
      </w:pPr>
    </w:p>
    <w:p w14:paraId="6D7F54B7" w14:textId="1E90A498" w:rsidR="00400FFA" w:rsidRDefault="00400FFA" w:rsidP="00400FFA">
      <w:pPr>
        <w:pStyle w:val="Napis"/>
        <w:keepNext/>
      </w:pPr>
      <w:bookmarkStart w:id="547" w:name="_Toc97026999"/>
      <w:r>
        <w:lastRenderedPageBreak/>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46</w:t>
      </w:r>
      <w:r w:rsidR="00976D80">
        <w:fldChar w:fldCharType="end"/>
      </w:r>
      <w:r>
        <w:t>: Ocena ranljivosti sektorja poplavne ogroženosti v sedanjosti</w:t>
      </w:r>
      <w:bookmarkEnd w:id="547"/>
    </w:p>
    <w:p w14:paraId="02F2B63A" w14:textId="64357741" w:rsidR="00400FFA" w:rsidRDefault="00400FFA" w:rsidP="00400FFA">
      <w:pPr>
        <w:rPr>
          <w:rFonts w:eastAsia="Calibri"/>
          <w:lang w:eastAsia="sl-SI"/>
        </w:rPr>
      </w:pPr>
      <w:r>
        <w:rPr>
          <w:noProof/>
          <w:lang w:eastAsia="sl-SI"/>
        </w:rPr>
        <w:drawing>
          <wp:inline distT="0" distB="0" distL="0" distR="0" wp14:anchorId="4E8F6AA6" wp14:editId="793D1E22">
            <wp:extent cx="7654988" cy="4316929"/>
            <wp:effectExtent l="0" t="7302" r="0" b="0"/>
            <wp:docPr id="898580672" name="Picture 898580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580672" name="Picture 898580672"/>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rot="16200000">
                      <a:off x="0" y="0"/>
                      <a:ext cx="7663713" cy="4321849"/>
                    </a:xfrm>
                    <a:prstGeom prst="rect">
                      <a:avLst/>
                    </a:prstGeom>
                    <a:noFill/>
                    <a:ln>
                      <a:noFill/>
                    </a:ln>
                  </pic:spPr>
                </pic:pic>
              </a:graphicData>
            </a:graphic>
          </wp:inline>
        </w:drawing>
      </w:r>
    </w:p>
    <w:p w14:paraId="722CD30D" w14:textId="77777777" w:rsidR="00976D80" w:rsidRDefault="00976D80" w:rsidP="00400FFA">
      <w:pPr>
        <w:rPr>
          <w:rFonts w:eastAsia="Calibri"/>
          <w:lang w:eastAsia="sl-SI"/>
        </w:rPr>
      </w:pPr>
    </w:p>
    <w:p w14:paraId="2C2CFFF6" w14:textId="77777777" w:rsidR="00400FFA" w:rsidRDefault="00400FFA" w:rsidP="00400FFA">
      <w:pPr>
        <w:pStyle w:val="Naslov3"/>
      </w:pPr>
      <w:bookmarkStart w:id="548" w:name="_Toc65052907"/>
      <w:bookmarkStart w:id="549" w:name="_Toc97026816"/>
      <w:r w:rsidRPr="00B14994">
        <w:t>Ocena tveganja</w:t>
      </w:r>
      <w:r>
        <w:t xml:space="preserve"> sektorja poplavna ogroženost</w:t>
      </w:r>
      <w:bookmarkEnd w:id="548"/>
      <w:bookmarkEnd w:id="549"/>
    </w:p>
    <w:p w14:paraId="157C393B" w14:textId="77777777" w:rsidR="00976D80" w:rsidRDefault="00976D80" w:rsidP="00976D80">
      <w:pPr>
        <w:rPr>
          <w:lang w:eastAsia="sl-SI"/>
        </w:rPr>
      </w:pPr>
      <w:r>
        <w:rPr>
          <w:lang w:eastAsia="sl-SI"/>
        </w:rPr>
        <w:t xml:space="preserve">Analiza potencialnih vplivov podnebnih sprememb je pokazala, da so si vplivi med seboj zelo podobni, ne glede na podnebni scenarij analizirano obdobje. Zato jih na tem mestu obravnavamo skupaj. Podrobneje je navedeno v predhodnem poglavju, ker so podani naraščajoči trendi intenzitet padavinskih dogodkov za Mestno občino Nova Gorica po različnih scenarijih. </w:t>
      </w:r>
    </w:p>
    <w:p w14:paraId="59AC5A22" w14:textId="77777777" w:rsidR="00976D80" w:rsidRDefault="00976D80" w:rsidP="00976D80">
      <w:pPr>
        <w:rPr>
          <w:lang w:eastAsia="sl-SI"/>
        </w:rPr>
      </w:pPr>
    </w:p>
    <w:p w14:paraId="151F3531" w14:textId="77777777" w:rsidR="002628D8" w:rsidRDefault="002628D8" w:rsidP="002628D8">
      <w:pPr>
        <w:keepNext/>
        <w:jc w:val="center"/>
      </w:pPr>
      <w:r>
        <w:rPr>
          <w:noProof/>
          <w:lang w:eastAsia="sl-SI"/>
        </w:rPr>
        <w:drawing>
          <wp:inline distT="0" distB="0" distL="0" distR="0" wp14:anchorId="273C7B15" wp14:editId="75EFB4F7">
            <wp:extent cx="4601387" cy="3590319"/>
            <wp:effectExtent l="0" t="0" r="8890" b="0"/>
            <wp:docPr id="69955" name="Slika 69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55" name="Slika 69955"/>
                    <pic:cNvPicPr/>
                  </pic:nvPicPr>
                  <pic:blipFill>
                    <a:blip r:embed="rId38">
                      <a:extLst>
                        <a:ext uri="{28A0092B-C50C-407E-A947-70E740481C1C}">
                          <a14:useLocalDpi xmlns:a14="http://schemas.microsoft.com/office/drawing/2010/main" val="0"/>
                        </a:ext>
                      </a:extLst>
                    </a:blip>
                    <a:stretch>
                      <a:fillRect/>
                    </a:stretch>
                  </pic:blipFill>
                  <pic:spPr>
                    <a:xfrm>
                      <a:off x="0" y="0"/>
                      <a:ext cx="4601387" cy="3590319"/>
                    </a:xfrm>
                    <a:prstGeom prst="rect">
                      <a:avLst/>
                    </a:prstGeom>
                  </pic:spPr>
                </pic:pic>
              </a:graphicData>
            </a:graphic>
          </wp:inline>
        </w:drawing>
      </w:r>
    </w:p>
    <w:p w14:paraId="443A785E" w14:textId="2953C28F" w:rsidR="00400FFA" w:rsidRDefault="002628D8" w:rsidP="002628D8">
      <w:pPr>
        <w:pStyle w:val="Napis"/>
        <w:jc w:val="left"/>
        <w:rPr>
          <w:lang w:eastAsia="sl-SI"/>
        </w:rPr>
      </w:pPr>
      <w:bookmarkStart w:id="550" w:name="_Toc97026929"/>
      <w:r>
        <w:t xml:space="preserve">Slika </w:t>
      </w:r>
      <w:r w:rsidR="008334B2">
        <w:fldChar w:fldCharType="begin"/>
      </w:r>
      <w:r w:rsidR="008334B2">
        <w:instrText xml:space="preserve"> STYLEREF 1 \s </w:instrText>
      </w:r>
      <w:r w:rsidR="008334B2">
        <w:fldChar w:fldCharType="separate"/>
      </w:r>
      <w:r w:rsidR="008334B2">
        <w:rPr>
          <w:noProof/>
        </w:rPr>
        <w:t>6</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77</w:t>
      </w:r>
      <w:r w:rsidR="008334B2">
        <w:fldChar w:fldCharType="end"/>
      </w:r>
      <w:r w:rsidRPr="008637EA">
        <w:t>: Shematski prikaz ocene ranljivosti posameznih segmentov sektorja poplavne ogroženosti v referenčnem obdobju in v prihodnosti</w:t>
      </w:r>
      <w:bookmarkEnd w:id="550"/>
    </w:p>
    <w:p w14:paraId="47A13164" w14:textId="5DEEA6B1" w:rsidR="00400FFA" w:rsidRDefault="00400FFA" w:rsidP="00400FFA">
      <w:pPr>
        <w:pStyle w:val="Napis"/>
        <w:keepNext/>
        <w:jc w:val="left"/>
      </w:pPr>
      <w:bookmarkStart w:id="551" w:name="_Toc97027000"/>
      <w:r>
        <w:lastRenderedPageBreak/>
        <w:t xml:space="preserve">Preglednica </w:t>
      </w:r>
      <w:r w:rsidR="00976D80">
        <w:fldChar w:fldCharType="begin"/>
      </w:r>
      <w:r w:rsidR="00976D80">
        <w:instrText xml:space="preserve"> STYLEREF 1 \s </w:instrText>
      </w:r>
      <w:r w:rsidR="00976D80">
        <w:fldChar w:fldCharType="separate"/>
      </w:r>
      <w:r w:rsidR="00976D80">
        <w:rPr>
          <w:noProof/>
        </w:rPr>
        <w:t>6</w:t>
      </w:r>
      <w:r w:rsidR="00976D80">
        <w:fldChar w:fldCharType="end"/>
      </w:r>
      <w:r w:rsidR="00976D80">
        <w:t>.</w:t>
      </w:r>
      <w:r w:rsidR="00976D80">
        <w:fldChar w:fldCharType="begin"/>
      </w:r>
      <w:r w:rsidR="00976D80">
        <w:instrText xml:space="preserve"> SEQ Preglednica \* ARABIC \s 1 </w:instrText>
      </w:r>
      <w:r w:rsidR="00976D80">
        <w:fldChar w:fldCharType="separate"/>
      </w:r>
      <w:r w:rsidR="00976D80">
        <w:rPr>
          <w:noProof/>
        </w:rPr>
        <w:t>47</w:t>
      </w:r>
      <w:r w:rsidR="00976D80">
        <w:fldChar w:fldCharType="end"/>
      </w:r>
      <w:r>
        <w:t xml:space="preserve">: </w:t>
      </w:r>
      <w:r w:rsidRPr="007C04F0">
        <w:t>Kazalniki ranljivosti in sposobnost prilagajanja na podnebne spremembe</w:t>
      </w:r>
      <w:r>
        <w:t xml:space="preserve"> v prihodnosti</w:t>
      </w:r>
      <w:r w:rsidRPr="007C04F0">
        <w:t xml:space="preserve"> (področje poplave)</w:t>
      </w:r>
      <w:r>
        <w:t>.</w:t>
      </w:r>
      <w:bookmarkEnd w:id="551"/>
    </w:p>
    <w:p w14:paraId="25EC12DF" w14:textId="40B6D9BB" w:rsidR="00400FFA" w:rsidRDefault="00400FFA" w:rsidP="00400FFA">
      <w:pPr>
        <w:jc w:val="left"/>
        <w:rPr>
          <w:lang w:eastAsia="sl-SI"/>
        </w:rPr>
      </w:pPr>
      <w:r>
        <w:rPr>
          <w:noProof/>
          <w:lang w:eastAsia="sl-SI"/>
        </w:rPr>
        <w:drawing>
          <wp:inline distT="0" distB="0" distL="0" distR="0" wp14:anchorId="56F668FD" wp14:editId="67519B11">
            <wp:extent cx="7390656" cy="4029383"/>
            <wp:effectExtent l="4127" t="0" r="5398" b="5397"/>
            <wp:docPr id="69954" name="Slika 69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54" name="Slika 69954"/>
                    <pic:cNvPicPr/>
                  </pic:nvPicPr>
                  <pic:blipFill>
                    <a:blip r:embed="rId39">
                      <a:extLst>
                        <a:ext uri="{28A0092B-C50C-407E-A947-70E740481C1C}">
                          <a14:useLocalDpi xmlns:a14="http://schemas.microsoft.com/office/drawing/2010/main" val="0"/>
                        </a:ext>
                      </a:extLst>
                    </a:blip>
                    <a:stretch>
                      <a:fillRect/>
                    </a:stretch>
                  </pic:blipFill>
                  <pic:spPr>
                    <a:xfrm rot="16200000">
                      <a:off x="0" y="0"/>
                      <a:ext cx="7390656" cy="4029383"/>
                    </a:xfrm>
                    <a:prstGeom prst="rect">
                      <a:avLst/>
                    </a:prstGeom>
                  </pic:spPr>
                </pic:pic>
              </a:graphicData>
            </a:graphic>
          </wp:inline>
        </w:drawing>
      </w:r>
    </w:p>
    <w:p w14:paraId="41CBACC1" w14:textId="77777777" w:rsidR="00976D80" w:rsidRDefault="00976D80" w:rsidP="00400FFA">
      <w:pPr>
        <w:jc w:val="left"/>
        <w:rPr>
          <w:lang w:eastAsia="sl-SI"/>
        </w:rPr>
      </w:pPr>
    </w:p>
    <w:p w14:paraId="2840E284" w14:textId="77777777" w:rsidR="00827D8A" w:rsidRDefault="00827D8A" w:rsidP="00827D8A">
      <w:pPr>
        <w:pStyle w:val="Naslov3"/>
      </w:pPr>
      <w:bookmarkStart w:id="552" w:name="_Toc65052909"/>
      <w:bookmarkStart w:id="553" w:name="_Toc97026817"/>
      <w:r>
        <w:lastRenderedPageBreak/>
        <w:t>K</w:t>
      </w:r>
      <w:r w:rsidRPr="00B14994">
        <w:t>ljučna sporočila</w:t>
      </w:r>
      <w:r>
        <w:t xml:space="preserve"> sektorja poplavna ogroženost</w:t>
      </w:r>
      <w:bookmarkEnd w:id="552"/>
      <w:bookmarkEnd w:id="553"/>
    </w:p>
    <w:p w14:paraId="55E1D4E0" w14:textId="77777777" w:rsidR="00976D80" w:rsidRDefault="00976D80" w:rsidP="00976D80">
      <w:pPr>
        <w:rPr>
          <w:lang w:eastAsia="sl-SI"/>
        </w:rPr>
      </w:pPr>
      <w:r>
        <w:rPr>
          <w:lang w:eastAsia="sl-SI"/>
        </w:rPr>
        <w:t>Ocena stanja poplavne ogroženosti na območju Mestne občine Nova Gorica je bila opravljena na podlagi razvitega modela spremljanja poplavnih dogodkov in ukrepov zmanjševanja poplavne ogroženosti, ki sloni na razvojnem delu na področju modeliranja poplavne ogroženosti in razvoju ukrepov za zmanjšanje poplavne ogroženosti.</w:t>
      </w:r>
    </w:p>
    <w:p w14:paraId="53B07894" w14:textId="77777777" w:rsidR="00976D80" w:rsidRDefault="00976D80" w:rsidP="00976D80">
      <w:pPr>
        <w:rPr>
          <w:lang w:eastAsia="sl-SI"/>
        </w:rPr>
      </w:pPr>
      <w:r>
        <w:rPr>
          <w:lang w:eastAsia="sl-SI"/>
        </w:rPr>
        <w:t xml:space="preserve">Preko teh mehanizmov se je oblikovala potrebna opredelitev do različnih virov poplavne ogroženosti, med katerimi je slabše (postopkovno in zakonodajno) naslovljeno področje pluvialnih poplav. Na področju fluvialnih poplav je trenutno v teku priprava kart poplavne nevarnosti, ki bo uporabljena tako za potrebe priprave OPN, za podrobnejšo analizo pričakovanih podnebnih sprememb, kakor tudi kot izhodišče za oblikovanje omilitvenih ukrepov za zmanjšanje poplavne ogroženosti (trenutne in prihodnje). </w:t>
      </w:r>
    </w:p>
    <w:p w14:paraId="340EB27D" w14:textId="77777777" w:rsidR="00976D80" w:rsidRDefault="00976D80" w:rsidP="00976D80">
      <w:pPr>
        <w:rPr>
          <w:lang w:eastAsia="sl-SI"/>
        </w:rPr>
      </w:pPr>
      <w:r>
        <w:rPr>
          <w:lang w:eastAsia="sl-SI"/>
        </w:rPr>
        <w:t xml:space="preserve">Poplavna ogroženost je z vidika vpliva podnebnih sprememb izrazito izpostavljena, saj se že v okviru obstoječih podnebnih pogojev izkazuje za precej neurejen sistem s pomanjkljivimi evidencami in postopkovnimi okviri. S pričakovanimi scenarij podnebnih sprememb je mogoče predvidevati širok razpon možnih stanj za različne časovne horizonte, vsi pa podajajo enotno usmeritev, da bodo zaradi podnebnih sprememb padavinskih dogodki v prihodnosti glede na povratno dobo intenzivnejši. </w:t>
      </w:r>
    </w:p>
    <w:p w14:paraId="32E22E64" w14:textId="77777777" w:rsidR="00976D80" w:rsidRDefault="00976D80" w:rsidP="00976D80">
      <w:pPr>
        <w:rPr>
          <w:lang w:eastAsia="sl-SI"/>
        </w:rPr>
      </w:pPr>
      <w:r>
        <w:rPr>
          <w:lang w:eastAsia="sl-SI"/>
        </w:rPr>
        <w:t>Pri procesih prilagajanja na podnebne spremembe je v mestni občini Nova Gorica prioritetno območje</w:t>
      </w:r>
      <w:r w:rsidRPr="00BF1D41">
        <w:rPr>
          <w:lang w:eastAsia="sl-SI"/>
        </w:rPr>
        <w:t>,</w:t>
      </w:r>
      <w:r>
        <w:rPr>
          <w:lang w:eastAsia="sl-SI"/>
        </w:rPr>
        <w:t xml:space="preserve"> pri čemer že obstoječa poplavna nevarnost na določenih območjih prepoznana kot visoka (npr. Prvačina, Potok, Koren). Sama občina je zadolžena za realizacijo nalog na področju zmanjševanja pričakovanih negativnih učinkov pluvialnih poplav.  </w:t>
      </w:r>
    </w:p>
    <w:p w14:paraId="2A1A8906" w14:textId="77777777" w:rsidR="00976D80" w:rsidRDefault="00976D80" w:rsidP="00976D80">
      <w:pPr>
        <w:rPr>
          <w:lang w:eastAsia="sl-SI"/>
        </w:rPr>
      </w:pPr>
      <w:r>
        <w:rPr>
          <w:lang w:eastAsia="sl-SI"/>
        </w:rPr>
        <w:t xml:space="preserve">Posebno področje poplavne ogroženosti predstavlja vodna infrastruktura, še posebej posebni objekti, kot sta predvsem regulirane struge reke Vipave, Lijaka, </w:t>
      </w:r>
      <w:proofErr w:type="spellStart"/>
      <w:r>
        <w:rPr>
          <w:lang w:eastAsia="sl-SI"/>
        </w:rPr>
        <w:t>Korna</w:t>
      </w:r>
      <w:proofErr w:type="spellEnd"/>
      <w:r>
        <w:rPr>
          <w:lang w:eastAsia="sl-SI"/>
        </w:rPr>
        <w:t>, Branice, Potoka, ki jih je potrebno poudarjeno vzdrževati tudi z vidika dodatnih obremenitev, ki jih bo morala vodna infrastruktura prenašati zaradi samih podnebnih sprememb.</w:t>
      </w:r>
    </w:p>
    <w:p w14:paraId="570764B9" w14:textId="77777777" w:rsidR="00976D80" w:rsidRDefault="00976D80" w:rsidP="00976D80">
      <w:pPr>
        <w:rPr>
          <w:lang w:eastAsia="sl-SI"/>
        </w:rPr>
      </w:pPr>
      <w:r>
        <w:rPr>
          <w:lang w:eastAsia="sl-SI"/>
        </w:rPr>
        <w:t xml:space="preserve">Področje zmanjševanja poplavne ogroženosti, tako za obstoječe stanje, kakor tudi za stanje predvidenih podnebnih sprememb je za Mestno občino Nova Gorica prioriteta, srednjeročno za področje pluvialnih poplav (trenutno stanje in stanje čez 20 let), ki so v pristojnosti lokalnih skupnosti. </w:t>
      </w:r>
    </w:p>
    <w:p w14:paraId="6A8B983E" w14:textId="5B6F7DBE" w:rsidR="00400FFA" w:rsidRDefault="00400FFA" w:rsidP="00827D8A">
      <w:pPr>
        <w:tabs>
          <w:tab w:val="left" w:pos="1311"/>
        </w:tabs>
        <w:rPr>
          <w:lang w:eastAsia="sl-SI"/>
        </w:rPr>
      </w:pPr>
    </w:p>
    <w:p w14:paraId="085C7B63" w14:textId="0809C38B" w:rsidR="00400FFA" w:rsidRDefault="00400FFA" w:rsidP="00400FFA">
      <w:pPr>
        <w:pStyle w:val="Naslov3"/>
      </w:pPr>
      <w:bookmarkStart w:id="554" w:name="_Toc65052910"/>
      <w:bookmarkStart w:id="555" w:name="_Toc97026818"/>
      <w:r>
        <w:t>Viri</w:t>
      </w:r>
      <w:bookmarkEnd w:id="554"/>
      <w:bookmarkEnd w:id="555"/>
    </w:p>
    <w:p w14:paraId="665C9691" w14:textId="77777777" w:rsidR="00976D80" w:rsidRDefault="00976D80" w:rsidP="00976D80">
      <w:pPr>
        <w:jc w:val="left"/>
        <w:rPr>
          <w:lang w:eastAsia="sl-SI"/>
        </w:rPr>
      </w:pPr>
      <w:r>
        <w:rPr>
          <w:lang w:eastAsia="sl-SI"/>
        </w:rPr>
        <w:t xml:space="preserve">CIRIA – </w:t>
      </w:r>
      <w:proofErr w:type="spellStart"/>
      <w:r>
        <w:rPr>
          <w:lang w:eastAsia="sl-SI"/>
        </w:rPr>
        <w:t>The</w:t>
      </w:r>
      <w:proofErr w:type="spellEnd"/>
      <w:r>
        <w:rPr>
          <w:lang w:eastAsia="sl-SI"/>
        </w:rPr>
        <w:t xml:space="preserve"> </w:t>
      </w:r>
      <w:proofErr w:type="spellStart"/>
      <w:r>
        <w:rPr>
          <w:lang w:eastAsia="sl-SI"/>
        </w:rPr>
        <w:t>SuDS</w:t>
      </w:r>
      <w:proofErr w:type="spellEnd"/>
      <w:r>
        <w:rPr>
          <w:lang w:eastAsia="sl-SI"/>
        </w:rPr>
        <w:t xml:space="preserve"> Manual (C753) (2015) - </w:t>
      </w:r>
      <w:hyperlink r:id="rId260" w:history="1">
        <w:r w:rsidRPr="00096D5D">
          <w:rPr>
            <w:rStyle w:val="Hiperpovezava"/>
            <w:lang w:eastAsia="sl-SI"/>
          </w:rPr>
          <w:t>https://www.ciria.org/Memberships/The_SuDs_Manual_C753_Chapters.aspx</w:t>
        </w:r>
      </w:hyperlink>
    </w:p>
    <w:p w14:paraId="090924CD" w14:textId="77777777" w:rsidR="00976D80" w:rsidRDefault="00976D80" w:rsidP="00976D80">
      <w:pPr>
        <w:rPr>
          <w:lang w:eastAsia="sl-SI"/>
        </w:rPr>
      </w:pPr>
      <w:r>
        <w:rPr>
          <w:lang w:eastAsia="sl-SI"/>
        </w:rPr>
        <w:t>HH študija za potrebe gradnje 110 kV kablovoda od RTP 110/20 kV Vrtojba do slovensko-italijanske meje pri MMP Vrtojba, Inštitut za vodarstvo d.o.o., 2016.</w:t>
      </w:r>
    </w:p>
    <w:p w14:paraId="3ED58412" w14:textId="77777777" w:rsidR="00976D80" w:rsidRDefault="00976D80" w:rsidP="00976D80">
      <w:pPr>
        <w:rPr>
          <w:lang w:eastAsia="sl-SI"/>
        </w:rPr>
      </w:pPr>
      <w:r>
        <w:rPr>
          <w:lang w:eastAsia="sl-SI"/>
        </w:rPr>
        <w:t xml:space="preserve">Hidravlična  študija  in  ukrepi  projekta  </w:t>
      </w:r>
      <w:proofErr w:type="spellStart"/>
      <w:r>
        <w:rPr>
          <w:lang w:eastAsia="sl-SI"/>
        </w:rPr>
        <w:t>VIPava</w:t>
      </w:r>
      <w:proofErr w:type="spellEnd"/>
      <w:r>
        <w:rPr>
          <w:lang w:eastAsia="sl-SI"/>
        </w:rPr>
        <w:t xml:space="preserve">  -  ukrepi  za  ohranjanje  in  izboljšanje  stanja ogroženih živalskih vrst in habitatov v Vipavski dolini, 2020.</w:t>
      </w:r>
    </w:p>
    <w:p w14:paraId="203877D7" w14:textId="77777777" w:rsidR="00976D80" w:rsidRDefault="00976D80" w:rsidP="003E6900">
      <w:proofErr w:type="spellStart"/>
      <w:r w:rsidRPr="00976D80">
        <w:t>Hidrolab</w:t>
      </w:r>
      <w:proofErr w:type="spellEnd"/>
      <w:r w:rsidRPr="00976D80">
        <w:t xml:space="preserve"> (2009) Sanacija razbremenilnih in zadrževalnih objektov na kanalizacijskem omrežju občine Nova Gorica. Izvedba sofinancirana s kohezijskimi sredstvi (vloga potrjena januarja 2013).</w:t>
      </w:r>
    </w:p>
    <w:p w14:paraId="315A29A8" w14:textId="77777777" w:rsidR="00976D80" w:rsidRDefault="00976D80" w:rsidP="00976D80">
      <w:pPr>
        <w:rPr>
          <w:lang w:eastAsia="sl-SI"/>
        </w:rPr>
      </w:pPr>
      <w:r>
        <w:rPr>
          <w:lang w:eastAsia="sl-SI"/>
        </w:rPr>
        <w:lastRenderedPageBreak/>
        <w:t>Hidrološka študija Vipave, DRSV, 2020.</w:t>
      </w:r>
    </w:p>
    <w:p w14:paraId="6AFCCE7F" w14:textId="77777777" w:rsidR="00976D80" w:rsidRDefault="00976D80" w:rsidP="00976D80">
      <w:pPr>
        <w:rPr>
          <w:lang w:eastAsia="sl-SI"/>
        </w:rPr>
      </w:pPr>
      <w:r>
        <w:rPr>
          <w:lang w:eastAsia="sl-SI"/>
        </w:rPr>
        <w:t xml:space="preserve">Hidrološko  -  hidravlična  analiza  in  poplavne  karte  za  izbrana  območja  občine  Vipava, </w:t>
      </w:r>
      <w:proofErr w:type="spellStart"/>
      <w:r>
        <w:rPr>
          <w:lang w:eastAsia="sl-SI"/>
        </w:rPr>
        <w:t>št.projekta</w:t>
      </w:r>
      <w:proofErr w:type="spellEnd"/>
      <w:r>
        <w:rPr>
          <w:lang w:eastAsia="sl-SI"/>
        </w:rPr>
        <w:t xml:space="preserve"> E45-FR, IZVO-R, projektiranje in inženiring d.o.o., avgust 2012.</w:t>
      </w:r>
    </w:p>
    <w:p w14:paraId="7F8ACE60" w14:textId="77777777" w:rsidR="00976D80" w:rsidRDefault="00976D80" w:rsidP="00976D80">
      <w:pPr>
        <w:rPr>
          <w:lang w:eastAsia="sl-SI"/>
        </w:rPr>
      </w:pPr>
      <w:r>
        <w:rPr>
          <w:lang w:eastAsia="sl-SI"/>
        </w:rPr>
        <w:t xml:space="preserve">Hidrološko hidravlična presoja in karte poplavne nevarnosti za določitev poplavnih območij vodotoka  Branica  v  območju  Mestne  občine  Nova  Gorica,  </w:t>
      </w:r>
      <w:proofErr w:type="spellStart"/>
      <w:r>
        <w:rPr>
          <w:lang w:eastAsia="sl-SI"/>
        </w:rPr>
        <w:t>št.projekta</w:t>
      </w:r>
      <w:proofErr w:type="spellEnd"/>
      <w:r>
        <w:rPr>
          <w:lang w:eastAsia="sl-SI"/>
        </w:rPr>
        <w:t xml:space="preserve">  P159/12,  Inštitut  za vodarstvo d.o.o., junij 2012.</w:t>
      </w:r>
    </w:p>
    <w:p w14:paraId="0B1C3CFA" w14:textId="77777777" w:rsidR="00976D80" w:rsidRDefault="00976D80" w:rsidP="00976D80">
      <w:pPr>
        <w:rPr>
          <w:lang w:eastAsia="sl-SI"/>
        </w:rPr>
      </w:pPr>
      <w:r>
        <w:rPr>
          <w:lang w:eastAsia="sl-SI"/>
        </w:rPr>
        <w:t xml:space="preserve">Hidrološko-hidravlična  analiza  območja  regionalnega  prostorskega  načrta  Čistilne  naprave ob </w:t>
      </w:r>
      <w:proofErr w:type="spellStart"/>
      <w:r>
        <w:rPr>
          <w:lang w:eastAsia="sl-SI"/>
        </w:rPr>
        <w:t>Vrtojbici</w:t>
      </w:r>
      <w:proofErr w:type="spellEnd"/>
      <w:r>
        <w:rPr>
          <w:lang w:eastAsia="sl-SI"/>
        </w:rPr>
        <w:t>, št. P68/09, Inštitut za vodarstvo d.o.o., avgust 2009, dopolnitev november 2010.</w:t>
      </w:r>
    </w:p>
    <w:p w14:paraId="555BFF49" w14:textId="77777777" w:rsidR="00976D80" w:rsidRDefault="00976D80" w:rsidP="00976D80">
      <w:pPr>
        <w:rPr>
          <w:lang w:eastAsia="sl-SI"/>
        </w:rPr>
      </w:pPr>
      <w:r>
        <w:rPr>
          <w:lang w:eastAsia="sl-SI"/>
        </w:rPr>
        <w:t xml:space="preserve">Hidrološko-hidravlična presoja in karte poplavne nevarnosti za določitev poplavnih območij </w:t>
      </w:r>
      <w:proofErr w:type="spellStart"/>
      <w:r>
        <w:rPr>
          <w:lang w:eastAsia="sl-SI"/>
        </w:rPr>
        <w:t>Vrtojbice</w:t>
      </w:r>
      <w:proofErr w:type="spellEnd"/>
      <w:r>
        <w:rPr>
          <w:lang w:eastAsia="sl-SI"/>
        </w:rPr>
        <w:t xml:space="preserve">  na  območju  občin  Nova  Gorica,  Šempeter-Vrtojba  in  Miren-Kostanjevica  (2010-2011), </w:t>
      </w:r>
      <w:proofErr w:type="spellStart"/>
      <w:r>
        <w:rPr>
          <w:lang w:eastAsia="sl-SI"/>
        </w:rPr>
        <w:t>št.proj</w:t>
      </w:r>
      <w:proofErr w:type="spellEnd"/>
      <w:r>
        <w:rPr>
          <w:lang w:eastAsia="sl-SI"/>
        </w:rPr>
        <w:t>. P84, Inštitut za vodarstvo d.o.o., marec 2012.</w:t>
      </w:r>
    </w:p>
    <w:p w14:paraId="455D83C3" w14:textId="77777777" w:rsidR="00976D80" w:rsidRDefault="00976D80" w:rsidP="00976D80">
      <w:pPr>
        <w:rPr>
          <w:lang w:eastAsia="sl-SI"/>
        </w:rPr>
      </w:pPr>
      <w:r>
        <w:rPr>
          <w:lang w:eastAsia="sl-SI"/>
        </w:rPr>
        <w:t xml:space="preserve">Hidrološko-hidravlična presoja in karte poplavne nevarnosti za določitev poplavnih območij </w:t>
      </w:r>
      <w:proofErr w:type="spellStart"/>
      <w:r>
        <w:rPr>
          <w:lang w:eastAsia="sl-SI"/>
        </w:rPr>
        <w:t>Vrtojbice</w:t>
      </w:r>
      <w:proofErr w:type="spellEnd"/>
      <w:r>
        <w:rPr>
          <w:lang w:eastAsia="sl-SI"/>
        </w:rPr>
        <w:t xml:space="preserve">  za  potrebe  posodobitve  kanalizacijskega  omrežja  na  območju občine  Šempeter-Vrtojba ter presoja vpliva predvidene infrastrukture na poplavno ogroženost, </w:t>
      </w:r>
      <w:proofErr w:type="spellStart"/>
      <w:r>
        <w:rPr>
          <w:lang w:eastAsia="sl-SI"/>
        </w:rPr>
        <w:t>št.dok</w:t>
      </w:r>
      <w:proofErr w:type="spellEnd"/>
      <w:r>
        <w:rPr>
          <w:lang w:eastAsia="sl-SI"/>
        </w:rPr>
        <w:t>. P84/1 , izdelal:  Inštitut za vodarstvo d.o.o., september 2012.</w:t>
      </w:r>
    </w:p>
    <w:p w14:paraId="2F94AD6D" w14:textId="77777777" w:rsidR="00976D80" w:rsidRDefault="00976D80" w:rsidP="00976D80">
      <w:pPr>
        <w:rPr>
          <w:lang w:eastAsia="sl-SI"/>
        </w:rPr>
      </w:pPr>
      <w:r>
        <w:rPr>
          <w:lang w:eastAsia="sl-SI"/>
        </w:rPr>
        <w:t>Hidrološko-hidravlična študija z določitvijo razredov poplavne nevarnosti za vodotok Vipava na območju poslovne cone Prvačina, Inštitut za vodarstvo d.o.o., november 2010.</w:t>
      </w:r>
    </w:p>
    <w:p w14:paraId="75CE036A" w14:textId="77777777" w:rsidR="00976D80" w:rsidRDefault="00976D80" w:rsidP="00976D80">
      <w:pPr>
        <w:rPr>
          <w:lang w:eastAsia="sl-SI"/>
        </w:rPr>
      </w:pPr>
      <w:r>
        <w:rPr>
          <w:lang w:eastAsia="sl-SI"/>
        </w:rPr>
        <w:t>Hidrološko-hidravlična študija z določitvijo razredov poplavne nevarnosti za vodotok Vipava na območju OPPN industrijske cone Prvačina, Inštitut za vodarstvo d.o.o., december 2011.</w:t>
      </w:r>
    </w:p>
    <w:p w14:paraId="7B65EB05" w14:textId="77777777" w:rsidR="00976D80" w:rsidRDefault="00976D80" w:rsidP="00976D80">
      <w:pPr>
        <w:rPr>
          <w:lang w:eastAsia="sl-SI"/>
        </w:rPr>
      </w:pPr>
      <w:r>
        <w:rPr>
          <w:lang w:eastAsia="sl-SI"/>
        </w:rPr>
        <w:t>Izboljšanje  stanja  ohranjenosti  ciljnih  vrst  na  reki  Vipavi:  Ureditev  rokava  Brje,  PZI,  št. 3874/18-B-PZI, izdelal: VGB Maribor, oktober 2019.</w:t>
      </w:r>
    </w:p>
    <w:p w14:paraId="0FF62637" w14:textId="77777777" w:rsidR="00976D80" w:rsidRDefault="00976D80" w:rsidP="00976D80">
      <w:pPr>
        <w:rPr>
          <w:lang w:eastAsia="sl-SI"/>
        </w:rPr>
      </w:pPr>
      <w:r>
        <w:rPr>
          <w:lang w:eastAsia="sl-SI"/>
        </w:rPr>
        <w:t>Izboljšanje stanja ohranjenosti ciljnih vrst na reki Vipavi: Ureditev pregrad, rokava Dolenje in vtoka  v  Novakovo  mlinščico,  DGD,  št.  3874/18-P-DGD,  izdelal:  VGB  Maribor,  november 2019.</w:t>
      </w:r>
    </w:p>
    <w:p w14:paraId="7124C825" w14:textId="77777777" w:rsidR="00976D80" w:rsidRDefault="00976D80" w:rsidP="00976D80">
      <w:pPr>
        <w:rPr>
          <w:lang w:eastAsia="sl-SI"/>
        </w:rPr>
      </w:pPr>
      <w:r w:rsidRPr="00450182">
        <w:rPr>
          <w:lang w:eastAsia="sl-SI"/>
        </w:rPr>
        <w:t>IZVRS (2012) - Poročilo o določitvi območij pomembnega vpliva poplav v Republiki Sloveniji in spremljanju aktivnosti obvladovanja poplavne ogroženosti na območjih pomembnega vpliva poplav</w:t>
      </w:r>
    </w:p>
    <w:p w14:paraId="2B1F2E2D" w14:textId="77777777" w:rsidR="00976D80" w:rsidRDefault="00976D80" w:rsidP="003E6900">
      <w:proofErr w:type="spellStart"/>
      <w:r w:rsidRPr="009A7AFC">
        <w:t>Magjar</w:t>
      </w:r>
      <w:proofErr w:type="spellEnd"/>
      <w:r w:rsidRPr="009A7AFC">
        <w:t xml:space="preserve"> M. et </w:t>
      </w:r>
      <w:proofErr w:type="spellStart"/>
      <w:r w:rsidRPr="009A7AFC">
        <w:t>all</w:t>
      </w:r>
      <w:proofErr w:type="spellEnd"/>
      <w:r w:rsidRPr="009A7AFC">
        <w:t xml:space="preserve">, (2016) Vipava </w:t>
      </w:r>
      <w:proofErr w:type="spellStart"/>
      <w:r w:rsidRPr="009A7AFC">
        <w:t>River</w:t>
      </w:r>
      <w:proofErr w:type="spellEnd"/>
      <w:r w:rsidRPr="009A7AFC">
        <w:t xml:space="preserve"> </w:t>
      </w:r>
      <w:proofErr w:type="spellStart"/>
      <w:r w:rsidRPr="009A7AFC">
        <w:t>Basin</w:t>
      </w:r>
      <w:proofErr w:type="spellEnd"/>
      <w:r w:rsidRPr="009A7AFC">
        <w:t xml:space="preserve"> </w:t>
      </w:r>
      <w:proofErr w:type="spellStart"/>
      <w:r w:rsidRPr="009A7AFC">
        <w:t>Adaptation</w:t>
      </w:r>
      <w:proofErr w:type="spellEnd"/>
      <w:r w:rsidRPr="009A7AFC">
        <w:t xml:space="preserve"> Plan Part I </w:t>
      </w:r>
      <w:proofErr w:type="spellStart"/>
      <w:r w:rsidRPr="009A7AFC">
        <w:t>and</w:t>
      </w:r>
      <w:proofErr w:type="spellEnd"/>
      <w:r w:rsidRPr="009A7AFC">
        <w:t xml:space="preserve"> II, Inštitut za vode Republike Slovenije, projekt </w:t>
      </w:r>
      <w:proofErr w:type="spellStart"/>
      <w:r w:rsidRPr="009A7AFC">
        <w:t>BeWater</w:t>
      </w:r>
      <w:proofErr w:type="spellEnd"/>
      <w:r w:rsidRPr="009A7AFC">
        <w:t xml:space="preserve"> – GWP Med (</w:t>
      </w:r>
      <w:hyperlink r:id="rId261" w:history="1">
        <w:r w:rsidRPr="00B248EA">
          <w:rPr>
            <w:rStyle w:val="Hiperpovezava"/>
          </w:rPr>
          <w:t>http://www.bewaterproject.eu/images/results/adaptations-plans/RBAP_Vipava_FINAL.pdf</w:t>
        </w:r>
      </w:hyperlink>
      <w:r w:rsidRPr="009A7AFC">
        <w:t>)</w:t>
      </w:r>
    </w:p>
    <w:p w14:paraId="663B3C34" w14:textId="77777777" w:rsidR="00976D80" w:rsidRDefault="00976D80" w:rsidP="00976D80">
      <w:pPr>
        <w:rPr>
          <w:lang w:eastAsia="sl-SI"/>
        </w:rPr>
      </w:pPr>
      <w:r>
        <w:rPr>
          <w:lang w:eastAsia="sl-SI"/>
        </w:rPr>
        <w:t xml:space="preserve">MOP (2020) Navodilo izdelovalcem poročila o vplivih na okolje za obravnavo vidika podnebnih sprememb - </w:t>
      </w:r>
      <w:hyperlink r:id="rId262" w:history="1">
        <w:r w:rsidRPr="00096D5D">
          <w:rPr>
            <w:rStyle w:val="Hiperpovezava"/>
            <w:lang w:eastAsia="sl-SI"/>
          </w:rPr>
          <w:t>https://www.gov.si/assets/organi-v-sestavi/ARSO/PVO/Navodila-izdelovalcem-porocil-o-vplivih-na-okolje-podnebne-spremembe.pdf</w:t>
        </w:r>
      </w:hyperlink>
      <w:r>
        <w:rPr>
          <w:lang w:eastAsia="sl-SI"/>
        </w:rPr>
        <w:t xml:space="preserve"> (marec 2020).</w:t>
      </w:r>
    </w:p>
    <w:p w14:paraId="09817827" w14:textId="128D5B00" w:rsidR="00976D80" w:rsidRDefault="00976D80" w:rsidP="003E6900">
      <w:r>
        <w:t xml:space="preserve">Občina Nova Gorica (2011), </w:t>
      </w:r>
      <w:r w:rsidRPr="006036C6">
        <w:t>Operativni program odvajanja</w:t>
      </w:r>
      <w:r>
        <w:t xml:space="preserve"> in čiščenja komunalne odpadne vode v mestni občini Nova Gorica, oktober 2011</w:t>
      </w:r>
    </w:p>
    <w:p w14:paraId="46EB1ACD" w14:textId="77777777" w:rsidR="00976D80" w:rsidRDefault="00976D80" w:rsidP="00976D80">
      <w:pPr>
        <w:rPr>
          <w:lang w:eastAsia="sl-SI"/>
        </w:rPr>
      </w:pPr>
      <w:r>
        <w:rPr>
          <w:lang w:eastAsia="sl-SI"/>
        </w:rPr>
        <w:t>OPVP Miren, HH elaborat, št. IV-72/17, IZVO-VODAR d.o.o., januar 2018.</w:t>
      </w:r>
    </w:p>
    <w:p w14:paraId="447011E0" w14:textId="77777777" w:rsidR="00976D80" w:rsidRDefault="00976D80" w:rsidP="00976D80">
      <w:pPr>
        <w:rPr>
          <w:lang w:eastAsia="sl-SI"/>
        </w:rPr>
      </w:pPr>
      <w:r>
        <w:rPr>
          <w:lang w:eastAsia="sl-SI"/>
        </w:rPr>
        <w:t xml:space="preserve">Program hidravličnega obratovanja za suhi zadrževalnik </w:t>
      </w:r>
      <w:proofErr w:type="spellStart"/>
      <w:r>
        <w:rPr>
          <w:lang w:eastAsia="sl-SI"/>
        </w:rPr>
        <w:t>Pikol</w:t>
      </w:r>
      <w:proofErr w:type="spellEnd"/>
      <w:r>
        <w:rPr>
          <w:lang w:eastAsia="sl-SI"/>
        </w:rPr>
        <w:t>, št.P132/2011, izdelal: Inštitut za vodarstvo, 2012.</w:t>
      </w:r>
    </w:p>
    <w:p w14:paraId="1A6A8B54" w14:textId="77777777" w:rsidR="00976D80" w:rsidRDefault="00976D80" w:rsidP="00976D80">
      <w:pPr>
        <w:rPr>
          <w:lang w:eastAsia="sl-SI"/>
        </w:rPr>
      </w:pPr>
      <w:r>
        <w:rPr>
          <w:lang w:eastAsia="sl-SI"/>
        </w:rPr>
        <w:lastRenderedPageBreak/>
        <w:t xml:space="preserve">Prvačina  ukrepi  za  zagotovitev  poplavne  varnosti,  št.  S-760/14,  izdelal:  </w:t>
      </w:r>
      <w:proofErr w:type="spellStart"/>
      <w:r>
        <w:rPr>
          <w:lang w:eastAsia="sl-SI"/>
        </w:rPr>
        <w:t>Hydrotech</w:t>
      </w:r>
      <w:proofErr w:type="spellEnd"/>
      <w:r>
        <w:rPr>
          <w:lang w:eastAsia="sl-SI"/>
        </w:rPr>
        <w:t xml:space="preserve">  d.o.o., april 2014.</w:t>
      </w:r>
    </w:p>
    <w:p w14:paraId="046FDDE6" w14:textId="77777777" w:rsidR="00976D80" w:rsidRPr="00450182" w:rsidRDefault="00976D80" w:rsidP="00976D80">
      <w:pPr>
        <w:rPr>
          <w:lang w:eastAsia="sl-SI"/>
        </w:rPr>
      </w:pPr>
      <w:r>
        <w:rPr>
          <w:lang w:eastAsia="sl-SI"/>
        </w:rPr>
        <w:t xml:space="preserve">Ukrepi  projekta  Upravljanje  poplavne  ogroženosti  na  porečju  reke  Vipave  in  na  ostalih čezmejnih porečjih – VISFRIM – </w:t>
      </w:r>
      <w:proofErr w:type="spellStart"/>
      <w:r>
        <w:rPr>
          <w:lang w:eastAsia="sl-SI"/>
        </w:rPr>
        <w:t>Interreg</w:t>
      </w:r>
      <w:proofErr w:type="spellEnd"/>
      <w:r>
        <w:rPr>
          <w:lang w:eastAsia="sl-SI"/>
        </w:rPr>
        <w:t xml:space="preserve"> Italija-Slovenija, 2020.</w:t>
      </w:r>
    </w:p>
    <w:p w14:paraId="52A085DD" w14:textId="77777777" w:rsidR="00976D80" w:rsidRDefault="00976D80" w:rsidP="00976D80">
      <w:pPr>
        <w:rPr>
          <w:lang w:eastAsia="sl-SI"/>
        </w:rPr>
      </w:pPr>
      <w:r>
        <w:rPr>
          <w:lang w:eastAsia="sl-SI"/>
        </w:rPr>
        <w:t xml:space="preserve">Ukrepi projekta Zelena infrastruktura, ohranjanje in izboljšanje stanja ogroženih vrst in tipov habitatov ob rekah – GREVISLIN – </w:t>
      </w:r>
      <w:proofErr w:type="spellStart"/>
      <w:r>
        <w:rPr>
          <w:lang w:eastAsia="sl-SI"/>
        </w:rPr>
        <w:t>Interreg</w:t>
      </w:r>
      <w:proofErr w:type="spellEnd"/>
      <w:r>
        <w:rPr>
          <w:lang w:eastAsia="sl-SI"/>
        </w:rPr>
        <w:t xml:space="preserve"> Italija-Slovenija, 2020.</w:t>
      </w:r>
    </w:p>
    <w:p w14:paraId="733C49CC" w14:textId="77777777" w:rsidR="00976D80" w:rsidRDefault="00976D80" w:rsidP="00976D80">
      <w:pPr>
        <w:rPr>
          <w:lang w:eastAsia="sl-SI"/>
        </w:rPr>
      </w:pPr>
      <w:r>
        <w:rPr>
          <w:lang w:eastAsia="sl-SI"/>
        </w:rPr>
        <w:t xml:space="preserve">Ureditev  potoka  Potok  v  naseljih  Potok  in  Draga  pri  Dornberku  (I.  in  II.  faza),  </w:t>
      </w:r>
      <w:proofErr w:type="spellStart"/>
      <w:r>
        <w:rPr>
          <w:lang w:eastAsia="sl-SI"/>
        </w:rPr>
        <w:t>Hydrotech</w:t>
      </w:r>
      <w:proofErr w:type="spellEnd"/>
      <w:r>
        <w:rPr>
          <w:lang w:eastAsia="sl-SI"/>
        </w:rPr>
        <w:t xml:space="preserve"> d.o.o., november 2015.     </w:t>
      </w:r>
    </w:p>
    <w:p w14:paraId="6AE80121" w14:textId="77777777" w:rsidR="00976D80" w:rsidRDefault="00976D80" w:rsidP="009A7AFC">
      <w:pPr>
        <w:rPr>
          <w:lang w:eastAsia="sl-SI"/>
        </w:rPr>
      </w:pPr>
      <w:r>
        <w:rPr>
          <w:lang w:eastAsia="sl-SI"/>
        </w:rPr>
        <w:t xml:space="preserve">Za povodje potoka Potok je pripravljena projektna dokumentacija za ureditev vodotoka s ciljem zmanjšanja poplavne ogroženosti objektov ob njem. Povodje je relativno </w:t>
      </w:r>
    </w:p>
    <w:p w14:paraId="26B86CC6" w14:textId="03600BAB" w:rsidR="00400FFA" w:rsidRDefault="00400FFA" w:rsidP="00493B77">
      <w:pPr>
        <w:rPr>
          <w:sz w:val="32"/>
          <w:szCs w:val="32"/>
          <w:lang w:eastAsia="sl-SI"/>
        </w:rPr>
      </w:pPr>
      <w:r>
        <w:rPr>
          <w:lang w:eastAsia="sl-SI"/>
        </w:rPr>
        <w:br w:type="page"/>
      </w:r>
    </w:p>
    <w:p w14:paraId="61D01C3E" w14:textId="6BAB1D3F" w:rsidR="00AF1F51" w:rsidRPr="001B742A" w:rsidRDefault="00AF1F51" w:rsidP="008924F4">
      <w:pPr>
        <w:pStyle w:val="Naslov1"/>
        <w:jc w:val="left"/>
        <w:rPr>
          <w:sz w:val="28"/>
          <w:szCs w:val="28"/>
        </w:rPr>
      </w:pPr>
      <w:bookmarkStart w:id="556" w:name="_Toc37325921"/>
      <w:bookmarkStart w:id="557" w:name="_Hlk37326252"/>
      <w:bookmarkStart w:id="558" w:name="_Toc97026819"/>
      <w:r>
        <w:rPr>
          <w:lang w:eastAsia="sl-SI"/>
        </w:rPr>
        <w:lastRenderedPageBreak/>
        <w:t>Priloge</w:t>
      </w:r>
      <w:bookmarkEnd w:id="556"/>
      <w:bookmarkEnd w:id="558"/>
    </w:p>
    <w:p w14:paraId="266B19DE" w14:textId="322945AA" w:rsidR="00AF1F51" w:rsidRDefault="00AF1F51" w:rsidP="00CE43D7">
      <w:pPr>
        <w:pStyle w:val="Naslov2"/>
      </w:pPr>
      <w:bookmarkStart w:id="559" w:name="_Toc37325924"/>
      <w:bookmarkStart w:id="560" w:name="_Toc97026820"/>
      <w:r>
        <w:t xml:space="preserve">Priloga </w:t>
      </w:r>
      <w:r w:rsidR="001B742A">
        <w:t>1</w:t>
      </w:r>
      <w:r>
        <w:t>: Kmetijstvo</w:t>
      </w:r>
      <w:bookmarkEnd w:id="559"/>
      <w:bookmarkEnd w:id="560"/>
    </w:p>
    <w:p w14:paraId="33173E85" w14:textId="77777777" w:rsidR="00FE0868" w:rsidRDefault="00FE0868" w:rsidP="006D4262">
      <w:pPr>
        <w:pStyle w:val="Naslov3"/>
      </w:pPr>
      <w:bookmarkStart w:id="561" w:name="_Toc39744534"/>
      <w:bookmarkStart w:id="562" w:name="_Toc48724568"/>
      <w:bookmarkStart w:id="563" w:name="_Ref74576705"/>
      <w:bookmarkStart w:id="564" w:name="_Toc97026821"/>
      <w:r>
        <w:t>Priloga: občutljivost, indeksi</w:t>
      </w:r>
      <w:bookmarkEnd w:id="561"/>
      <w:bookmarkEnd w:id="562"/>
      <w:bookmarkEnd w:id="563"/>
      <w:bookmarkEnd w:id="564"/>
    </w:p>
    <w:p w14:paraId="1FB8D9DD" w14:textId="720CC747" w:rsidR="000132E4" w:rsidRPr="006271A0" w:rsidRDefault="000132E4" w:rsidP="000132E4">
      <w:r>
        <w:t xml:space="preserve">Grafično so predstavljene vrednosti standardiziranih kazalnikov občutljivosti za vse občine. Višja vrednost predstavlja večjo občutljivost (kar je slabše), več je razloženo v poglavju </w:t>
      </w:r>
      <w:r>
        <w:fldChar w:fldCharType="begin"/>
      </w:r>
      <w:r>
        <w:instrText xml:space="preserve"> REF _Ref74578796 \r \h </w:instrText>
      </w:r>
      <w:r>
        <w:fldChar w:fldCharType="separate"/>
      </w:r>
      <w:r w:rsidR="004700D5">
        <w:t>6.1.4</w:t>
      </w:r>
      <w:r>
        <w:fldChar w:fldCharType="end"/>
      </w:r>
      <w:r>
        <w:t>.</w:t>
      </w:r>
    </w:p>
    <w:p w14:paraId="118AA4AB" w14:textId="77777777" w:rsidR="000132E4" w:rsidRDefault="000132E4" w:rsidP="000132E4">
      <w:pPr>
        <w:jc w:val="center"/>
      </w:pPr>
      <w:r>
        <w:rPr>
          <w:noProof/>
          <w:lang w:eastAsia="sl-SI"/>
        </w:rPr>
        <w:drawing>
          <wp:inline distT="0" distB="0" distL="0" distR="0" wp14:anchorId="33539414" wp14:editId="28649790">
            <wp:extent cx="3945484" cy="2861945"/>
            <wp:effectExtent l="0" t="0" r="0" b="0"/>
            <wp:docPr id="898580707" name="Picture 898580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968947" cy="2878965"/>
                    </a:xfrm>
                    <a:prstGeom prst="rect">
                      <a:avLst/>
                    </a:prstGeom>
                    <a:noFill/>
                  </pic:spPr>
                </pic:pic>
              </a:graphicData>
            </a:graphic>
          </wp:inline>
        </w:drawing>
      </w:r>
    </w:p>
    <w:p w14:paraId="0EDBDC23" w14:textId="3D530624" w:rsidR="000132E4" w:rsidRDefault="000132E4" w:rsidP="000132E4">
      <w:pPr>
        <w:pStyle w:val="Napis"/>
        <w:jc w:val="left"/>
        <w:rPr>
          <w:i w:val="0"/>
          <w:color w:val="44546A"/>
        </w:rPr>
      </w:pPr>
      <w:bookmarkStart w:id="565" w:name="_Toc97026930"/>
      <w:r>
        <w:t xml:space="preserve">Slika </w:t>
      </w:r>
      <w:r w:rsidR="008334B2">
        <w:fldChar w:fldCharType="begin"/>
      </w:r>
      <w:r w:rsidR="008334B2">
        <w:instrText xml:space="preserve"> STYLEREF 1 \s </w:instrText>
      </w:r>
      <w:r w:rsidR="008334B2">
        <w:fldChar w:fldCharType="separate"/>
      </w:r>
      <w:r w:rsidR="008334B2">
        <w:rPr>
          <w:noProof/>
        </w:rPr>
        <w:t>8</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1</w:t>
      </w:r>
      <w:r w:rsidR="008334B2">
        <w:fldChar w:fldCharType="end"/>
      </w:r>
      <w:r>
        <w:t xml:space="preserve">: </w:t>
      </w:r>
      <w:r w:rsidRPr="005546FE">
        <w:t>Delež poplavno ogroženih kmetijskih zemljišč (%), 2017, občine, indeks</w:t>
      </w:r>
      <w:r>
        <w:t xml:space="preserve">. </w:t>
      </w:r>
      <w:r>
        <w:rPr>
          <w:i w:val="0"/>
          <w:color w:val="44546A"/>
        </w:rPr>
        <w:t>Vrednost indeksa za mestno občino Nova Gorica je označena z rdečo.</w:t>
      </w:r>
      <w:bookmarkEnd w:id="565"/>
    </w:p>
    <w:p w14:paraId="2398DE0B" w14:textId="77777777" w:rsidR="000132E4" w:rsidRDefault="000132E4" w:rsidP="000132E4">
      <w:pPr>
        <w:jc w:val="center"/>
      </w:pPr>
      <w:r>
        <w:rPr>
          <w:noProof/>
          <w:lang w:eastAsia="sl-SI"/>
        </w:rPr>
        <w:drawing>
          <wp:inline distT="0" distB="0" distL="0" distR="0" wp14:anchorId="3617300D" wp14:editId="329B3A2A">
            <wp:extent cx="3987148" cy="2895600"/>
            <wp:effectExtent l="0" t="0" r="0" b="0"/>
            <wp:docPr id="898580708" name="Picture 898580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4008073" cy="2910797"/>
                    </a:xfrm>
                    <a:prstGeom prst="rect">
                      <a:avLst/>
                    </a:prstGeom>
                    <a:noFill/>
                  </pic:spPr>
                </pic:pic>
              </a:graphicData>
            </a:graphic>
          </wp:inline>
        </w:drawing>
      </w:r>
    </w:p>
    <w:p w14:paraId="3A8B0FBB" w14:textId="3D47E062" w:rsidR="000132E4" w:rsidRDefault="000132E4" w:rsidP="000132E4">
      <w:pPr>
        <w:pStyle w:val="Napis"/>
        <w:jc w:val="left"/>
        <w:rPr>
          <w:i w:val="0"/>
          <w:color w:val="44546A"/>
        </w:rPr>
      </w:pPr>
      <w:bookmarkStart w:id="566" w:name="_Toc97026931"/>
      <w:r>
        <w:t xml:space="preserve">Slika </w:t>
      </w:r>
      <w:r w:rsidR="008334B2">
        <w:fldChar w:fldCharType="begin"/>
      </w:r>
      <w:r w:rsidR="008334B2">
        <w:instrText xml:space="preserve"> STYLEREF 1 \s </w:instrText>
      </w:r>
      <w:r w:rsidR="008334B2">
        <w:fldChar w:fldCharType="separate"/>
      </w:r>
      <w:r w:rsidR="008334B2">
        <w:rPr>
          <w:noProof/>
        </w:rPr>
        <w:t>8</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2</w:t>
      </w:r>
      <w:r w:rsidR="008334B2">
        <w:fldChar w:fldCharType="end"/>
      </w:r>
      <w:r>
        <w:rPr>
          <w:i w:val="0"/>
          <w:color w:val="44546A"/>
        </w:rPr>
        <w:t>: Delež kmetijskih zemljišč (%) z boniteto &lt;= 40, občine, indeks. Vrednost indeksa za mestno občino Nova Gorica je označena z rdečo.</w:t>
      </w:r>
      <w:bookmarkEnd w:id="566"/>
    </w:p>
    <w:p w14:paraId="03E75A92" w14:textId="77777777" w:rsidR="000132E4" w:rsidRDefault="000132E4" w:rsidP="000132E4">
      <w:pPr>
        <w:jc w:val="center"/>
      </w:pPr>
      <w:r>
        <w:rPr>
          <w:noProof/>
          <w:lang w:eastAsia="sl-SI"/>
        </w:rPr>
        <w:lastRenderedPageBreak/>
        <w:drawing>
          <wp:inline distT="0" distB="0" distL="0" distR="0" wp14:anchorId="08133620" wp14:editId="64102D6F">
            <wp:extent cx="3936911" cy="2856230"/>
            <wp:effectExtent l="0" t="0" r="6985" b="1270"/>
            <wp:docPr id="898580709" name="Picture 898580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3948876" cy="2864910"/>
                    </a:xfrm>
                    <a:prstGeom prst="rect">
                      <a:avLst/>
                    </a:prstGeom>
                    <a:noFill/>
                  </pic:spPr>
                </pic:pic>
              </a:graphicData>
            </a:graphic>
          </wp:inline>
        </w:drawing>
      </w:r>
    </w:p>
    <w:p w14:paraId="5D8A3A26" w14:textId="0C219C2F" w:rsidR="000132E4" w:rsidRDefault="000132E4" w:rsidP="000132E4">
      <w:pPr>
        <w:pStyle w:val="Napis"/>
        <w:jc w:val="left"/>
        <w:rPr>
          <w:i w:val="0"/>
          <w:color w:val="44546A"/>
        </w:rPr>
      </w:pPr>
      <w:bookmarkStart w:id="567" w:name="_Toc97026932"/>
      <w:r>
        <w:t xml:space="preserve">Slika </w:t>
      </w:r>
      <w:r w:rsidR="008334B2">
        <w:fldChar w:fldCharType="begin"/>
      </w:r>
      <w:r w:rsidR="008334B2">
        <w:instrText xml:space="preserve"> STYLEREF 1 \s </w:instrText>
      </w:r>
      <w:r w:rsidR="008334B2">
        <w:fldChar w:fldCharType="separate"/>
      </w:r>
      <w:r w:rsidR="008334B2">
        <w:rPr>
          <w:noProof/>
        </w:rPr>
        <w:t>8</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3</w:t>
      </w:r>
      <w:r w:rsidR="008334B2">
        <w:fldChar w:fldCharType="end"/>
      </w:r>
      <w:r>
        <w:rPr>
          <w:i w:val="0"/>
          <w:color w:val="44546A"/>
        </w:rPr>
        <w:t>: Delež kmetijskih zemljišč v uporabi v območjih z omejenimi možnostmi za kmetijsko dejavnost (%), 2016, občine, indeks. Vrednost indeksa za mestno občino Nova Gorica je označena z rdečo.</w:t>
      </w:r>
      <w:bookmarkEnd w:id="567"/>
    </w:p>
    <w:p w14:paraId="1AE5BCF7" w14:textId="77777777" w:rsidR="000132E4" w:rsidRPr="00000D6C" w:rsidRDefault="000132E4" w:rsidP="000132E4">
      <w:pPr>
        <w:rPr>
          <w:lang w:eastAsia="sl-SI"/>
        </w:rPr>
      </w:pPr>
    </w:p>
    <w:p w14:paraId="7A8F1E8D" w14:textId="77777777" w:rsidR="000132E4" w:rsidRDefault="000132E4" w:rsidP="000132E4">
      <w:pPr>
        <w:pStyle w:val="Napis"/>
        <w:jc w:val="center"/>
      </w:pPr>
      <w:r>
        <w:rPr>
          <w:noProof/>
          <w:lang w:eastAsia="sl-SI"/>
        </w:rPr>
        <w:drawing>
          <wp:inline distT="0" distB="0" distL="0" distR="0" wp14:anchorId="5BABE3EC" wp14:editId="6C53C473">
            <wp:extent cx="3982720" cy="2893394"/>
            <wp:effectExtent l="0" t="0" r="0" b="2540"/>
            <wp:docPr id="898580710" name="Picture 898580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985908" cy="2895710"/>
                    </a:xfrm>
                    <a:prstGeom prst="rect">
                      <a:avLst/>
                    </a:prstGeom>
                    <a:noFill/>
                  </pic:spPr>
                </pic:pic>
              </a:graphicData>
            </a:graphic>
          </wp:inline>
        </w:drawing>
      </w:r>
    </w:p>
    <w:p w14:paraId="5F940AB8" w14:textId="1CFA6258" w:rsidR="000132E4" w:rsidRDefault="000132E4" w:rsidP="000132E4">
      <w:pPr>
        <w:pStyle w:val="Napis"/>
        <w:jc w:val="left"/>
        <w:rPr>
          <w:i w:val="0"/>
          <w:color w:val="44546A"/>
        </w:rPr>
      </w:pPr>
      <w:bookmarkStart w:id="568" w:name="_Toc97026933"/>
      <w:r>
        <w:t xml:space="preserve">Slika </w:t>
      </w:r>
      <w:r w:rsidR="008334B2">
        <w:fldChar w:fldCharType="begin"/>
      </w:r>
      <w:r w:rsidR="008334B2">
        <w:instrText xml:space="preserve"> STYLEREF 1 \s </w:instrText>
      </w:r>
      <w:r w:rsidR="008334B2">
        <w:fldChar w:fldCharType="separate"/>
      </w:r>
      <w:r w:rsidR="008334B2">
        <w:rPr>
          <w:noProof/>
        </w:rPr>
        <w:t>8</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4</w:t>
      </w:r>
      <w:r w:rsidR="008334B2">
        <w:fldChar w:fldCharType="end"/>
      </w:r>
      <w:r>
        <w:t>:</w:t>
      </w:r>
      <w:r>
        <w:rPr>
          <w:i w:val="0"/>
          <w:color w:val="44546A"/>
        </w:rPr>
        <w:t xml:space="preserve"> Indeks rasti kmetijskih zemljišč v uporabi, 2019/2007, občine, indeks. Vrednost indeksa za mestno občino Nova Gorica je označena z rdečo.</w:t>
      </w:r>
      <w:bookmarkEnd w:id="568"/>
    </w:p>
    <w:p w14:paraId="4D6C2CA7" w14:textId="77777777" w:rsidR="000132E4" w:rsidRPr="00941118" w:rsidRDefault="000132E4" w:rsidP="000132E4">
      <w:pPr>
        <w:jc w:val="center"/>
      </w:pPr>
    </w:p>
    <w:p w14:paraId="49F9ED84" w14:textId="77777777" w:rsidR="000132E4" w:rsidRDefault="000132E4" w:rsidP="000132E4">
      <w:pPr>
        <w:pStyle w:val="Napis"/>
        <w:jc w:val="center"/>
      </w:pPr>
    </w:p>
    <w:p w14:paraId="1419BB8B" w14:textId="77777777" w:rsidR="000132E4" w:rsidRDefault="000132E4" w:rsidP="000132E4">
      <w:pPr>
        <w:pStyle w:val="Napis"/>
        <w:jc w:val="center"/>
      </w:pPr>
      <w:r>
        <w:rPr>
          <w:noProof/>
          <w:lang w:eastAsia="sl-SI"/>
        </w:rPr>
        <w:lastRenderedPageBreak/>
        <w:drawing>
          <wp:inline distT="0" distB="0" distL="0" distR="0" wp14:anchorId="64A4694F" wp14:editId="1268ED85">
            <wp:extent cx="3946653" cy="286279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963009" cy="2874656"/>
                    </a:xfrm>
                    <a:prstGeom prst="rect">
                      <a:avLst/>
                    </a:prstGeom>
                    <a:noFill/>
                  </pic:spPr>
                </pic:pic>
              </a:graphicData>
            </a:graphic>
          </wp:inline>
        </w:drawing>
      </w:r>
    </w:p>
    <w:p w14:paraId="3A3C8E20" w14:textId="60CB97D1" w:rsidR="000132E4" w:rsidRDefault="000132E4" w:rsidP="000132E4">
      <w:pPr>
        <w:pStyle w:val="Napis"/>
        <w:jc w:val="left"/>
        <w:rPr>
          <w:i w:val="0"/>
          <w:color w:val="44546A"/>
        </w:rPr>
      </w:pPr>
      <w:bookmarkStart w:id="569" w:name="_Toc97026934"/>
      <w:r>
        <w:t xml:space="preserve">Slika </w:t>
      </w:r>
      <w:r w:rsidR="008334B2">
        <w:fldChar w:fldCharType="begin"/>
      </w:r>
      <w:r w:rsidR="008334B2">
        <w:instrText xml:space="preserve"> STYLEREF 1 \s </w:instrText>
      </w:r>
      <w:r w:rsidR="008334B2">
        <w:fldChar w:fldCharType="separate"/>
      </w:r>
      <w:r w:rsidR="008334B2">
        <w:rPr>
          <w:noProof/>
        </w:rPr>
        <w:t>8</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5</w:t>
      </w:r>
      <w:r w:rsidR="008334B2">
        <w:fldChar w:fldCharType="end"/>
      </w:r>
      <w:r>
        <w:rPr>
          <w:i w:val="0"/>
          <w:color w:val="44546A"/>
        </w:rPr>
        <w:t xml:space="preserve">: </w:t>
      </w:r>
      <w:r w:rsidRPr="009D0CB0">
        <w:rPr>
          <w:i w:val="0"/>
          <w:color w:val="44546A"/>
        </w:rPr>
        <w:t>Povprečna starost nosilca kmetijskega gospodarstva, 2016</w:t>
      </w:r>
      <w:r>
        <w:rPr>
          <w:i w:val="0"/>
          <w:color w:val="44546A"/>
        </w:rPr>
        <w:t>, občine, indeks. Vrednost indeksa za mestno občino Nova Gorica je označena z rdečo.</w:t>
      </w:r>
      <w:bookmarkEnd w:id="569"/>
    </w:p>
    <w:p w14:paraId="4025382B" w14:textId="77777777" w:rsidR="000132E4" w:rsidRDefault="000132E4" w:rsidP="000132E4">
      <w:pPr>
        <w:pBdr>
          <w:top w:val="nil"/>
          <w:left w:val="nil"/>
          <w:bottom w:val="nil"/>
          <w:right w:val="nil"/>
          <w:between w:val="nil"/>
        </w:pBdr>
        <w:spacing w:after="200" w:line="240" w:lineRule="auto"/>
        <w:jc w:val="center"/>
        <w:rPr>
          <w:i/>
          <w:color w:val="44546A"/>
          <w:sz w:val="18"/>
          <w:szCs w:val="18"/>
        </w:rPr>
      </w:pPr>
    </w:p>
    <w:p w14:paraId="6EE89B97" w14:textId="77777777" w:rsidR="000132E4" w:rsidRDefault="000132E4" w:rsidP="000132E4">
      <w:pPr>
        <w:pBdr>
          <w:top w:val="nil"/>
          <w:left w:val="nil"/>
          <w:bottom w:val="nil"/>
          <w:right w:val="nil"/>
          <w:between w:val="nil"/>
        </w:pBdr>
        <w:spacing w:after="200" w:line="240" w:lineRule="auto"/>
        <w:jc w:val="center"/>
        <w:rPr>
          <w:i/>
          <w:color w:val="44546A"/>
          <w:sz w:val="18"/>
          <w:szCs w:val="18"/>
        </w:rPr>
      </w:pPr>
      <w:r>
        <w:rPr>
          <w:i/>
          <w:noProof/>
          <w:color w:val="44546A"/>
          <w:sz w:val="18"/>
          <w:szCs w:val="18"/>
          <w:lang w:eastAsia="sl-SI"/>
        </w:rPr>
        <w:drawing>
          <wp:inline distT="0" distB="0" distL="0" distR="0" wp14:anchorId="5E6CB76B" wp14:editId="0BC5753E">
            <wp:extent cx="3966210" cy="2879291"/>
            <wp:effectExtent l="0" t="0" r="0" b="0"/>
            <wp:docPr id="898580711" name="Picture 898580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3982647" cy="2891224"/>
                    </a:xfrm>
                    <a:prstGeom prst="rect">
                      <a:avLst/>
                    </a:prstGeom>
                    <a:noFill/>
                  </pic:spPr>
                </pic:pic>
              </a:graphicData>
            </a:graphic>
          </wp:inline>
        </w:drawing>
      </w:r>
    </w:p>
    <w:p w14:paraId="6CA5E51E" w14:textId="025F5B99" w:rsidR="000132E4" w:rsidRDefault="000132E4" w:rsidP="000132E4">
      <w:pPr>
        <w:pStyle w:val="Napis"/>
        <w:jc w:val="left"/>
        <w:rPr>
          <w:i w:val="0"/>
          <w:color w:val="44546A"/>
        </w:rPr>
      </w:pPr>
      <w:bookmarkStart w:id="570" w:name="_Toc97026935"/>
      <w:r>
        <w:t xml:space="preserve">Slika </w:t>
      </w:r>
      <w:r w:rsidR="008334B2">
        <w:fldChar w:fldCharType="begin"/>
      </w:r>
      <w:r w:rsidR="008334B2">
        <w:instrText xml:space="preserve"> STYLEREF 1 \s </w:instrText>
      </w:r>
      <w:r w:rsidR="008334B2">
        <w:fldChar w:fldCharType="separate"/>
      </w:r>
      <w:r w:rsidR="008334B2">
        <w:rPr>
          <w:noProof/>
        </w:rPr>
        <w:t>8</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6</w:t>
      </w:r>
      <w:r w:rsidR="008334B2">
        <w:fldChar w:fldCharType="end"/>
      </w:r>
      <w:r>
        <w:t xml:space="preserve">: </w:t>
      </w:r>
      <w:r w:rsidRPr="009D0CB0">
        <w:t>Povprečna starost članov kmetijskega gospodarstva, 2016</w:t>
      </w:r>
      <w:r>
        <w:t xml:space="preserve">, </w:t>
      </w:r>
      <w:r>
        <w:rPr>
          <w:i w:val="0"/>
          <w:color w:val="44546A"/>
        </w:rPr>
        <w:t>občine, indeks. Vrednost indeksa za mestno občino Nova Gorica je označena z rdečo.</w:t>
      </w:r>
      <w:bookmarkEnd w:id="570"/>
    </w:p>
    <w:p w14:paraId="37AF156C" w14:textId="77777777" w:rsidR="00FE0868" w:rsidRDefault="00FE0868" w:rsidP="00FE0868">
      <w:pPr>
        <w:jc w:val="center"/>
      </w:pPr>
      <w:r>
        <w:br w:type="page"/>
      </w:r>
    </w:p>
    <w:p w14:paraId="52D59B29" w14:textId="2FD5C8C9" w:rsidR="00FE0868" w:rsidRDefault="00FE0868" w:rsidP="006D4262">
      <w:pPr>
        <w:pStyle w:val="Naslov3"/>
      </w:pPr>
      <w:bookmarkStart w:id="571" w:name="_Toc39744535"/>
      <w:bookmarkStart w:id="572" w:name="_Toc48724569"/>
      <w:bookmarkStart w:id="573" w:name="_Toc97026822"/>
      <w:r>
        <w:lastRenderedPageBreak/>
        <w:t xml:space="preserve">Priloga: </w:t>
      </w:r>
      <w:r w:rsidRPr="006D4262">
        <w:t>sposobnost</w:t>
      </w:r>
      <w:r>
        <w:t xml:space="preserve"> prilagajanja, indeksi</w:t>
      </w:r>
      <w:bookmarkEnd w:id="571"/>
      <w:bookmarkEnd w:id="572"/>
      <w:bookmarkEnd w:id="573"/>
    </w:p>
    <w:p w14:paraId="52D25889" w14:textId="0454CD67" w:rsidR="000132E4" w:rsidRPr="006271A0" w:rsidRDefault="000132E4" w:rsidP="000132E4">
      <w:r>
        <w:t xml:space="preserve">Grafično so predstavljene vrednosti standardiziranih kazalnikov sposobnosti prilagajanja za vse občine. Višja vrednost predstavlja boljšo sposobnost prilagajanja (kar je dobro), več je razloženo v poglavju </w:t>
      </w:r>
      <w:r>
        <w:fldChar w:fldCharType="begin"/>
      </w:r>
      <w:r>
        <w:instrText xml:space="preserve"> REF _Ref74577416 \r \h </w:instrText>
      </w:r>
      <w:r>
        <w:fldChar w:fldCharType="separate"/>
      </w:r>
      <w:r w:rsidR="004700D5">
        <w:t>6.1.5</w:t>
      </w:r>
      <w:r>
        <w:fldChar w:fldCharType="end"/>
      </w:r>
      <w:r>
        <w:t>.</w:t>
      </w:r>
    </w:p>
    <w:p w14:paraId="6A9B557C" w14:textId="77777777" w:rsidR="000132E4" w:rsidRDefault="000132E4" w:rsidP="000132E4">
      <w:pPr>
        <w:jc w:val="center"/>
      </w:pPr>
      <w:r>
        <w:rPr>
          <w:noProof/>
          <w:lang w:eastAsia="sl-SI"/>
        </w:rPr>
        <w:drawing>
          <wp:inline distT="0" distB="0" distL="0" distR="0" wp14:anchorId="28AAA9E1" wp14:editId="3643D4A3">
            <wp:extent cx="3949700" cy="286500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3962945" cy="2874610"/>
                    </a:xfrm>
                    <a:prstGeom prst="rect">
                      <a:avLst/>
                    </a:prstGeom>
                    <a:noFill/>
                  </pic:spPr>
                </pic:pic>
              </a:graphicData>
            </a:graphic>
          </wp:inline>
        </w:drawing>
      </w:r>
    </w:p>
    <w:p w14:paraId="642B6E74" w14:textId="120F564B" w:rsidR="000132E4" w:rsidRDefault="000132E4" w:rsidP="000132E4">
      <w:pPr>
        <w:pStyle w:val="Napis"/>
        <w:jc w:val="left"/>
        <w:rPr>
          <w:i w:val="0"/>
          <w:color w:val="44546A"/>
        </w:rPr>
      </w:pPr>
      <w:bookmarkStart w:id="574" w:name="_Toc97026936"/>
      <w:r>
        <w:t xml:space="preserve">Slika </w:t>
      </w:r>
      <w:r w:rsidR="008334B2">
        <w:fldChar w:fldCharType="begin"/>
      </w:r>
      <w:r w:rsidR="008334B2">
        <w:instrText xml:space="preserve"> STYLEREF 1 \s </w:instrText>
      </w:r>
      <w:r w:rsidR="008334B2">
        <w:fldChar w:fldCharType="separate"/>
      </w:r>
      <w:r w:rsidR="008334B2">
        <w:rPr>
          <w:noProof/>
        </w:rPr>
        <w:t>8</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7</w:t>
      </w:r>
      <w:r w:rsidR="008334B2">
        <w:fldChar w:fldCharType="end"/>
      </w:r>
      <w:r>
        <w:rPr>
          <w:i w:val="0"/>
          <w:color w:val="44546A"/>
        </w:rPr>
        <w:t>: Delež kmetijskih gospodarstev z dopolnilnimi dejavnostmi (%), 2016, občine, indeks. Vrednost indeksa za mestno občino Nova Gorica je označena z rdečo.</w:t>
      </w:r>
      <w:bookmarkEnd w:id="574"/>
    </w:p>
    <w:p w14:paraId="7139545E" w14:textId="77777777" w:rsidR="000132E4" w:rsidRDefault="000132E4" w:rsidP="000132E4">
      <w:pPr>
        <w:jc w:val="center"/>
      </w:pPr>
      <w:r>
        <w:rPr>
          <w:noProof/>
          <w:lang w:eastAsia="sl-SI"/>
        </w:rPr>
        <w:drawing>
          <wp:inline distT="0" distB="0" distL="0" distR="0" wp14:anchorId="63413805" wp14:editId="580F0A9B">
            <wp:extent cx="3999230" cy="2904373"/>
            <wp:effectExtent l="0" t="0" r="1270" b="0"/>
            <wp:docPr id="898580713" name="Picture 898580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4015857" cy="2916448"/>
                    </a:xfrm>
                    <a:prstGeom prst="rect">
                      <a:avLst/>
                    </a:prstGeom>
                    <a:noFill/>
                  </pic:spPr>
                </pic:pic>
              </a:graphicData>
            </a:graphic>
          </wp:inline>
        </w:drawing>
      </w:r>
    </w:p>
    <w:p w14:paraId="3F66A07F" w14:textId="359A1B8A" w:rsidR="000132E4" w:rsidRDefault="000132E4" w:rsidP="000132E4">
      <w:pPr>
        <w:pStyle w:val="Napis"/>
        <w:jc w:val="left"/>
        <w:rPr>
          <w:i w:val="0"/>
          <w:color w:val="44546A"/>
        </w:rPr>
      </w:pPr>
      <w:bookmarkStart w:id="575" w:name="_Toc97026937"/>
      <w:r>
        <w:t xml:space="preserve">Slika </w:t>
      </w:r>
      <w:r w:rsidR="008334B2">
        <w:fldChar w:fldCharType="begin"/>
      </w:r>
      <w:r w:rsidR="008334B2">
        <w:instrText xml:space="preserve"> STYLEREF 1 \s </w:instrText>
      </w:r>
      <w:r w:rsidR="008334B2">
        <w:fldChar w:fldCharType="separate"/>
      </w:r>
      <w:r w:rsidR="008334B2">
        <w:rPr>
          <w:noProof/>
        </w:rPr>
        <w:t>8</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8</w:t>
      </w:r>
      <w:r w:rsidR="008334B2">
        <w:fldChar w:fldCharType="end"/>
      </w:r>
      <w:r>
        <w:rPr>
          <w:i w:val="0"/>
          <w:color w:val="44546A"/>
        </w:rPr>
        <w:t>: Delež kmetijskih gospodarstev z ekološkim kmetovanjem ali v preusmeritvi (%), 2016, občine (indeks). Vrednost indeksa za mestno občino Nova Gorica je označena z rdečo.</w:t>
      </w:r>
      <w:bookmarkEnd w:id="575"/>
    </w:p>
    <w:p w14:paraId="5F27F5D6" w14:textId="77777777" w:rsidR="000132E4" w:rsidRDefault="000132E4" w:rsidP="000132E4">
      <w:pPr>
        <w:jc w:val="center"/>
      </w:pPr>
      <w:r>
        <w:rPr>
          <w:noProof/>
          <w:lang w:eastAsia="sl-SI"/>
        </w:rPr>
        <w:lastRenderedPageBreak/>
        <w:drawing>
          <wp:inline distT="0" distB="0" distL="0" distR="0" wp14:anchorId="5416C0A3" wp14:editId="07E90F60">
            <wp:extent cx="3959860" cy="2876787"/>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3977110" cy="2889319"/>
                    </a:xfrm>
                    <a:prstGeom prst="rect">
                      <a:avLst/>
                    </a:prstGeom>
                    <a:noFill/>
                  </pic:spPr>
                </pic:pic>
              </a:graphicData>
            </a:graphic>
          </wp:inline>
        </w:drawing>
      </w:r>
    </w:p>
    <w:p w14:paraId="1B0EFA72" w14:textId="4602F6A6" w:rsidR="000132E4" w:rsidRPr="00B111E6" w:rsidRDefault="000132E4" w:rsidP="000132E4">
      <w:pPr>
        <w:pStyle w:val="Napis"/>
        <w:jc w:val="left"/>
        <w:rPr>
          <w:i w:val="0"/>
          <w:color w:val="44546A"/>
        </w:rPr>
      </w:pPr>
      <w:bookmarkStart w:id="576" w:name="_Toc97026938"/>
      <w:r>
        <w:t xml:space="preserve">Slika </w:t>
      </w:r>
      <w:r w:rsidR="008334B2">
        <w:fldChar w:fldCharType="begin"/>
      </w:r>
      <w:r w:rsidR="008334B2">
        <w:instrText xml:space="preserve"> STYLEREF 1 \s </w:instrText>
      </w:r>
      <w:r w:rsidR="008334B2">
        <w:fldChar w:fldCharType="separate"/>
      </w:r>
      <w:r w:rsidR="008334B2">
        <w:rPr>
          <w:noProof/>
        </w:rPr>
        <w:t>8</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9</w:t>
      </w:r>
      <w:r w:rsidR="008334B2">
        <w:fldChar w:fldCharType="end"/>
      </w:r>
      <w:r>
        <w:rPr>
          <w:i w:val="0"/>
          <w:color w:val="44546A"/>
        </w:rPr>
        <w:t>: Delež kmetijskih zemljišč z namakalnimi sistemi (%), 2017, občine (indeks). Vrednost indeksa za mestno občino Nova Gorica je označena z rdečo.</w:t>
      </w:r>
      <w:bookmarkEnd w:id="576"/>
    </w:p>
    <w:p w14:paraId="2BBB27C2" w14:textId="12F2AEE8" w:rsidR="004F43A0" w:rsidRDefault="004F43A0">
      <w:pPr>
        <w:jc w:val="left"/>
      </w:pPr>
      <w:r>
        <w:br w:type="page"/>
      </w:r>
    </w:p>
    <w:p w14:paraId="75CC15F6" w14:textId="4810927B" w:rsidR="00AF1F51" w:rsidRDefault="00AF1F51" w:rsidP="00CE43D7">
      <w:pPr>
        <w:pStyle w:val="Naslov2"/>
      </w:pPr>
      <w:bookmarkStart w:id="577" w:name="_Toc37325925"/>
      <w:bookmarkStart w:id="578" w:name="_Ref57121150"/>
      <w:bookmarkStart w:id="579" w:name="_Toc97026823"/>
      <w:r>
        <w:lastRenderedPageBreak/>
        <w:t xml:space="preserve">Priloga </w:t>
      </w:r>
      <w:r w:rsidR="001B742A">
        <w:t>2</w:t>
      </w:r>
      <w:r>
        <w:t>: Gozdarstvo</w:t>
      </w:r>
      <w:bookmarkEnd w:id="577"/>
      <w:bookmarkEnd w:id="578"/>
      <w:bookmarkEnd w:id="579"/>
    </w:p>
    <w:p w14:paraId="739DB1C8" w14:textId="77777777" w:rsidR="0060620B" w:rsidRPr="00557FFB" w:rsidRDefault="007514BD" w:rsidP="0060620B">
      <w:pPr>
        <w:pStyle w:val="Naslov3"/>
      </w:pPr>
      <w:bookmarkStart w:id="580" w:name="_Ref57121418"/>
      <w:bookmarkStart w:id="581" w:name="_Toc97026824"/>
      <w:r>
        <w:t xml:space="preserve">Priloga: </w:t>
      </w:r>
      <w:r w:rsidR="0060620B">
        <w:t>Zakonodajni okvir izvajanja del v gozdovih</w:t>
      </w:r>
      <w:bookmarkEnd w:id="580"/>
      <w:bookmarkEnd w:id="581"/>
      <w:r w:rsidR="0060620B">
        <w:t xml:space="preserve"> </w:t>
      </w:r>
    </w:p>
    <w:p w14:paraId="261601C2" w14:textId="77777777" w:rsidR="00A71050" w:rsidRPr="00E82552" w:rsidRDefault="00A71050" w:rsidP="00A71050">
      <w:pPr>
        <w:rPr>
          <w:lang w:eastAsia="sl-SI"/>
        </w:rPr>
      </w:pPr>
      <w:bookmarkStart w:id="582" w:name="_Ref74576925"/>
      <w:bookmarkEnd w:id="557"/>
      <w:r w:rsidRPr="00E82552">
        <w:rPr>
          <w:lang w:eastAsia="sl-SI"/>
        </w:rPr>
        <w:t>Pogoji in pravila izvajanja del v gozdovih določajo naslednje zakonske podlage (Škrk in Triplat, 2019):</w:t>
      </w:r>
    </w:p>
    <w:p w14:paraId="354E3CF4" w14:textId="77777777" w:rsidR="00A71050" w:rsidRPr="008822E0" w:rsidRDefault="00A71050" w:rsidP="00900691">
      <w:pPr>
        <w:pStyle w:val="Odstavekseznama"/>
        <w:numPr>
          <w:ilvl w:val="0"/>
          <w:numId w:val="38"/>
        </w:numPr>
        <w:rPr>
          <w:rFonts w:ascii="Trebuchet MS" w:hAnsi="Trebuchet MS"/>
          <w:i/>
          <w:lang w:eastAsia="sl-SI"/>
        </w:rPr>
      </w:pPr>
      <w:r w:rsidRPr="008822E0">
        <w:rPr>
          <w:rFonts w:ascii="Trebuchet MS" w:hAnsi="Trebuchet MS"/>
          <w:i/>
          <w:lang w:eastAsia="sl-SI"/>
        </w:rPr>
        <w:t xml:space="preserve">Zakon o gozdovih (ZG, </w:t>
      </w:r>
      <w:r w:rsidRPr="008822E0">
        <w:rPr>
          <w:rFonts w:ascii="Trebuchet MS" w:hAnsi="Trebuchet MS"/>
          <w:i/>
          <w:u w:val="single"/>
          <w:lang w:eastAsia="sl-SI"/>
        </w:rPr>
        <w:t xml:space="preserve">Uradni list RS, št. 30/93, 56/99 – ZON, 67/02, 110/02 – ZGO-1, 115/06 – ORZG40, 110/07, 106/10, 63/13, 101/13 – </w:t>
      </w:r>
      <w:proofErr w:type="spellStart"/>
      <w:r w:rsidRPr="008822E0">
        <w:rPr>
          <w:rFonts w:ascii="Trebuchet MS" w:hAnsi="Trebuchet MS"/>
          <w:i/>
          <w:u w:val="single"/>
          <w:lang w:eastAsia="sl-SI"/>
        </w:rPr>
        <w:t>ZDavNepr</w:t>
      </w:r>
      <w:proofErr w:type="spellEnd"/>
      <w:r w:rsidRPr="008822E0">
        <w:rPr>
          <w:rFonts w:ascii="Trebuchet MS" w:hAnsi="Trebuchet MS"/>
          <w:i/>
          <w:u w:val="single"/>
          <w:lang w:eastAsia="sl-SI"/>
        </w:rPr>
        <w:t xml:space="preserve">, 17/14, 22/14 – </w:t>
      </w:r>
      <w:proofErr w:type="spellStart"/>
      <w:r w:rsidRPr="008822E0">
        <w:rPr>
          <w:rFonts w:ascii="Trebuchet MS" w:hAnsi="Trebuchet MS"/>
          <w:i/>
          <w:u w:val="single"/>
          <w:lang w:eastAsia="sl-SI"/>
        </w:rPr>
        <w:t>odl</w:t>
      </w:r>
      <w:proofErr w:type="spellEnd"/>
      <w:r w:rsidRPr="008822E0">
        <w:rPr>
          <w:rFonts w:ascii="Trebuchet MS" w:hAnsi="Trebuchet MS"/>
          <w:i/>
          <w:u w:val="single"/>
          <w:lang w:eastAsia="sl-SI"/>
        </w:rPr>
        <w:t>. US, 24/15, 9/16 – ZGGLRS in 77/16);</w:t>
      </w:r>
      <w:r w:rsidRPr="008822E0">
        <w:rPr>
          <w:rFonts w:ascii="Trebuchet MS" w:hAnsi="Trebuchet MS"/>
          <w:i/>
          <w:lang w:eastAsia="sl-SI"/>
        </w:rPr>
        <w:t xml:space="preserve"> </w:t>
      </w:r>
      <w:r w:rsidRPr="008822E0">
        <w:rPr>
          <w:rFonts w:ascii="Trebuchet MS" w:hAnsi="Trebuchet MS"/>
          <w:lang w:eastAsia="sl-SI"/>
        </w:rPr>
        <w:t>ureja varstvo, gojenje, izkoriščanje in rabo gozdov ter razpolaganje z gozdovi kot naravnim bogastvom s ciljem, da se zagotovijo trajnostno sonaravno ter večnamensko gospodarjenje v skladu z načeli varstva okolja in naravnih vrednot, trajno in optimalno delovanje gozdov kot ekosistema ter uresničevanje njihovih funkcij. Ureja tudi pogoje gospodarjenja z gozdom in za nadzor nad gospodarjenjem imenuje gozdarske inšpektorje. V 19. členu definira fizične osebe in pravne subjekte, ki lahko opravljajo dela v gozdu. V 21. členu ureja področje graditev objektov, posegov v gozdni prostor ter gradnje in vzdrževanje gozdne infrastrukture. V 74.a členu opredeljuje načine združevanja in se v drugem odstavku opredeljuje do ustanovitve strojnih krožkov</w:t>
      </w:r>
      <w:r w:rsidRPr="008822E0">
        <w:rPr>
          <w:rFonts w:ascii="Trebuchet MS" w:hAnsi="Trebuchet MS"/>
          <w:i/>
          <w:lang w:eastAsia="sl-SI"/>
        </w:rPr>
        <w:t>.</w:t>
      </w:r>
    </w:p>
    <w:p w14:paraId="15852F70" w14:textId="7A869720" w:rsidR="00A71050" w:rsidRPr="008822E0" w:rsidRDefault="007A0276" w:rsidP="00900691">
      <w:pPr>
        <w:pStyle w:val="Odstavekseznama"/>
        <w:numPr>
          <w:ilvl w:val="0"/>
          <w:numId w:val="38"/>
        </w:numPr>
        <w:rPr>
          <w:rFonts w:ascii="Trebuchet MS" w:hAnsi="Trebuchet MS"/>
          <w:i/>
          <w:lang w:eastAsia="sl-SI"/>
        </w:rPr>
      </w:pPr>
      <w:hyperlink r:id="rId272" w:history="1">
        <w:r w:rsidR="00A71050" w:rsidRPr="008822E0">
          <w:rPr>
            <w:rStyle w:val="Hiperpovezava"/>
            <w:rFonts w:ascii="Trebuchet MS" w:hAnsi="Trebuchet MS"/>
            <w:i/>
            <w:lang w:eastAsia="sl-SI"/>
          </w:rPr>
          <w:t>Zakon o varnosti in zdravju pri delu (ZVZD-1, Uradni list RS, št. 43/11)</w:t>
        </w:r>
      </w:hyperlink>
      <w:r w:rsidR="00A71050" w:rsidRPr="008822E0">
        <w:rPr>
          <w:rFonts w:ascii="Trebuchet MS" w:hAnsi="Trebuchet MS"/>
          <w:lang w:eastAsia="sl-SI"/>
        </w:rPr>
        <w:t xml:space="preserve">; zakon določa dolžnosti tako delodajalcem kot samozaposlenim osebam (55. in 56.člen ZVZD-1). 56. člen zakona določa, da mora samozaposlena oseba oceniti tveganje. Če ugotovi, da obstajajo nevarnosti za nezgode, poklicne bolezni in bolezni, povezane z delom, mora izdelati pisno izjavo o varnosti z oceno tveganja ter določiti ukrepe za zagotovitev varnosti in zdravja pri delu. </w:t>
      </w:r>
    </w:p>
    <w:p w14:paraId="3179AA83" w14:textId="1860A2C9" w:rsidR="00A71050" w:rsidRPr="008822E0" w:rsidRDefault="007A0276" w:rsidP="00900691">
      <w:pPr>
        <w:pStyle w:val="Odstavekseznama"/>
        <w:numPr>
          <w:ilvl w:val="0"/>
          <w:numId w:val="38"/>
        </w:numPr>
        <w:rPr>
          <w:rFonts w:ascii="Trebuchet MS" w:hAnsi="Trebuchet MS"/>
          <w:lang w:eastAsia="sl-SI"/>
        </w:rPr>
      </w:pPr>
      <w:hyperlink r:id="rId273" w:history="1">
        <w:r w:rsidR="00A71050" w:rsidRPr="008822E0">
          <w:rPr>
            <w:rStyle w:val="Hiperpovezava"/>
            <w:rFonts w:ascii="Trebuchet MS" w:hAnsi="Trebuchet MS"/>
            <w:i/>
            <w:lang w:eastAsia="sl-SI"/>
          </w:rPr>
          <w:t>Zakon o nacionalnih poklicnih kvalifikacijah (ZNPK, Uradni list RS, št. 1/07 – uradno prečiščeno besedilo in 85/09)</w:t>
        </w:r>
      </w:hyperlink>
      <w:r w:rsidR="00A71050" w:rsidRPr="008822E0">
        <w:rPr>
          <w:rFonts w:ascii="Trebuchet MS" w:hAnsi="Trebuchet MS"/>
          <w:i/>
          <w:lang w:eastAsia="sl-SI"/>
        </w:rPr>
        <w:t xml:space="preserve">; </w:t>
      </w:r>
      <w:r w:rsidR="00A71050" w:rsidRPr="008822E0">
        <w:rPr>
          <w:rFonts w:ascii="Trebuchet MS" w:hAnsi="Trebuchet MS"/>
          <w:lang w:eastAsia="sl-SI"/>
        </w:rPr>
        <w:t>ureja postopek in telesa oziroma organe in organizacije, pristojne za pripravo in sprejemanje poklicnih standardov in katalogov standardov strokovnih znanj in spretnosti (v nadaljnjem besedilu: katalog), ter pogoje in postopek pridobivanja nacionalnih poklicnih kvalifikacij.</w:t>
      </w:r>
    </w:p>
    <w:p w14:paraId="238F40BA" w14:textId="4E51ABBF" w:rsidR="00A71050" w:rsidRPr="008822E0" w:rsidRDefault="007A0276" w:rsidP="00900691">
      <w:pPr>
        <w:pStyle w:val="Odstavekseznama"/>
        <w:numPr>
          <w:ilvl w:val="0"/>
          <w:numId w:val="38"/>
        </w:numPr>
        <w:rPr>
          <w:rFonts w:ascii="Trebuchet MS" w:hAnsi="Trebuchet MS"/>
          <w:i/>
          <w:lang w:eastAsia="sl-SI"/>
        </w:rPr>
      </w:pPr>
      <w:hyperlink r:id="rId274" w:history="1">
        <w:r w:rsidR="00A71050" w:rsidRPr="008822E0">
          <w:rPr>
            <w:rStyle w:val="Hiperpovezava"/>
            <w:rFonts w:ascii="Trebuchet MS" w:hAnsi="Trebuchet MS"/>
            <w:lang w:eastAsia="sl-SI"/>
          </w:rPr>
          <w:t>Zakon o postopku priznavanja poklicnih kvalifikacij za opravljanje reguliranih poklicev (ZPPPK, Uradni list RS, št. 39/16)</w:t>
        </w:r>
      </w:hyperlink>
      <w:r w:rsidR="00A71050" w:rsidRPr="008822E0">
        <w:rPr>
          <w:rFonts w:ascii="Trebuchet MS" w:hAnsi="Trebuchet MS"/>
          <w:lang w:eastAsia="sl-SI"/>
        </w:rPr>
        <w:t>; ureja postopek priznavanja poklicnih kvalifikacij, pridobljenih v državah članicah Evropske unije, Evropskega gospodarskega prostora ali Švicarski konfederaciji (v nadaljnjem besedilu: države pogodbenice), za opravljanje reguliranih poklicev v Republiki Sloveniji, za delni dostop do reguliranih poklicev in za priznavanje poklicnega usposabljanja, opravljenega v drugi državi pogodbenici, ter določa organe, ki vodijo ta postopek, v skladu z direktivami EU.</w:t>
      </w:r>
    </w:p>
    <w:p w14:paraId="49B2F0F1" w14:textId="2E36971A" w:rsidR="00A71050" w:rsidRPr="008822E0" w:rsidRDefault="007A0276" w:rsidP="00900691">
      <w:pPr>
        <w:pStyle w:val="Odstavekseznama"/>
        <w:numPr>
          <w:ilvl w:val="0"/>
          <w:numId w:val="38"/>
        </w:numPr>
        <w:rPr>
          <w:rFonts w:ascii="Trebuchet MS" w:hAnsi="Trebuchet MS"/>
          <w:i/>
          <w:lang w:eastAsia="sl-SI"/>
        </w:rPr>
      </w:pPr>
      <w:hyperlink r:id="rId275" w:history="1">
        <w:r w:rsidR="00A71050" w:rsidRPr="008822E0">
          <w:rPr>
            <w:rStyle w:val="Hiperpovezava"/>
            <w:rFonts w:ascii="Trebuchet MS" w:hAnsi="Trebuchet MS"/>
            <w:i/>
            <w:lang w:eastAsia="sl-SI"/>
          </w:rPr>
          <w:t xml:space="preserve">Zakon o gospodarskih družbah (ZGS-1, Uradni list RS, št. 65/09 – uradno prečiščeno besedilo, 33/11, 91/11, 32/12, 57/12, 44/13 – </w:t>
        </w:r>
        <w:proofErr w:type="spellStart"/>
        <w:r w:rsidR="00A71050" w:rsidRPr="008822E0">
          <w:rPr>
            <w:rStyle w:val="Hiperpovezava"/>
            <w:rFonts w:ascii="Trebuchet MS" w:hAnsi="Trebuchet MS"/>
            <w:i/>
            <w:lang w:eastAsia="sl-SI"/>
          </w:rPr>
          <w:t>odl</w:t>
        </w:r>
        <w:proofErr w:type="spellEnd"/>
        <w:r w:rsidR="00A71050" w:rsidRPr="008822E0">
          <w:rPr>
            <w:rStyle w:val="Hiperpovezava"/>
            <w:rFonts w:ascii="Trebuchet MS" w:hAnsi="Trebuchet MS"/>
            <w:i/>
            <w:lang w:eastAsia="sl-SI"/>
          </w:rPr>
          <w:t>. US, 82/13, 55/15 in 15/17)</w:t>
        </w:r>
      </w:hyperlink>
      <w:r w:rsidR="00A71050" w:rsidRPr="008822E0">
        <w:rPr>
          <w:rFonts w:ascii="Trebuchet MS" w:hAnsi="Trebuchet MS"/>
          <w:i/>
          <w:lang w:eastAsia="sl-SI"/>
        </w:rPr>
        <w:t>;</w:t>
      </w:r>
      <w:r w:rsidR="00A71050" w:rsidRPr="008822E0">
        <w:rPr>
          <w:rFonts w:ascii="Trebuchet MS" w:hAnsi="Trebuchet MS"/>
          <w:lang w:eastAsia="sl-SI"/>
        </w:rPr>
        <w:t xml:space="preserve"> določa temeljna statusna korporacijska pravila ustanovitve in poslovanja gospodarskih družb, samostojnih podjetnikov posameznikov in samostojnih podjetnic posameznic (v nadaljnjem besedilu: podjetnik), povezanih oseb, gospodarskih interesnih združenj, podružnic tujih podjetij in njihovega statusnega preoblikovanja.</w:t>
      </w:r>
    </w:p>
    <w:p w14:paraId="70D2316D" w14:textId="7F4F9CAE" w:rsidR="00A71050" w:rsidRPr="008822E0" w:rsidRDefault="007A0276" w:rsidP="00900691">
      <w:pPr>
        <w:pStyle w:val="Odstavekseznama"/>
        <w:numPr>
          <w:ilvl w:val="0"/>
          <w:numId w:val="38"/>
        </w:numPr>
        <w:rPr>
          <w:rFonts w:ascii="Trebuchet MS" w:hAnsi="Trebuchet MS"/>
          <w:lang w:eastAsia="sl-SI"/>
        </w:rPr>
      </w:pPr>
      <w:hyperlink r:id="rId276" w:history="1">
        <w:r w:rsidR="00A71050" w:rsidRPr="008822E0">
          <w:rPr>
            <w:rStyle w:val="Hiperpovezava"/>
            <w:rFonts w:ascii="Trebuchet MS" w:hAnsi="Trebuchet MS"/>
            <w:i/>
            <w:lang w:eastAsia="sl-SI"/>
          </w:rPr>
          <w:t>Zakon o preprečevanju dela in zaposlovanja na črno (ZPDZC-1, Uradni list RS, št. 32/14 in 47/15 – ZZSDT)</w:t>
        </w:r>
      </w:hyperlink>
      <w:r w:rsidR="00A71050" w:rsidRPr="008822E0">
        <w:rPr>
          <w:rFonts w:ascii="Trebuchet MS" w:hAnsi="Trebuchet MS"/>
          <w:lang w:eastAsia="sl-SI"/>
        </w:rPr>
        <w:t>; določa, da kdor, med drugim, nima z zakonom predpisanih listin o izpolnjevanju pogojev za opravljanje dejavnosti, dela na črno. Prepovedano je omogočanje dela in zaposlovanje na črno. Oba imata kazensko sankcijo. V 7. členu zakona se med delo na črno ne šteje sosedske pomoči. Za sosedsko pomoč se štejejo opravljanje dela med sosedi posamezniki, kadar med njimi obstaja določena bližina v smislu prebivanja, če med njimi ni sklenjene pogodbe in je delo opravljeno brez plačila, kakor tudi druge oblike sosedske pomoči, določene v drugem zakonu.</w:t>
      </w:r>
    </w:p>
    <w:p w14:paraId="4ABF27AC" w14:textId="2C3AB00E" w:rsidR="00A71050" w:rsidRPr="008822E0" w:rsidRDefault="007A0276" w:rsidP="00900691">
      <w:pPr>
        <w:pStyle w:val="Odstavekseznama"/>
        <w:numPr>
          <w:ilvl w:val="0"/>
          <w:numId w:val="39"/>
        </w:numPr>
        <w:rPr>
          <w:rFonts w:ascii="Trebuchet MS" w:hAnsi="Trebuchet MS"/>
          <w:lang w:eastAsia="sl-SI"/>
        </w:rPr>
      </w:pPr>
      <w:hyperlink r:id="rId277" w:history="1">
        <w:r w:rsidR="00A71050" w:rsidRPr="008822E0">
          <w:rPr>
            <w:rStyle w:val="Hiperpovezava"/>
            <w:rFonts w:ascii="Trebuchet MS" w:hAnsi="Trebuchet MS"/>
            <w:i/>
            <w:lang w:eastAsia="sl-SI"/>
          </w:rPr>
          <w:t xml:space="preserve">Zakon o kmetijstvu (ZKme-1, Uradni list RS, št. 45/08, 57/12, 90/12 – </w:t>
        </w:r>
        <w:proofErr w:type="spellStart"/>
        <w:r w:rsidR="00A71050" w:rsidRPr="008822E0">
          <w:rPr>
            <w:rStyle w:val="Hiperpovezava"/>
            <w:rFonts w:ascii="Trebuchet MS" w:hAnsi="Trebuchet MS"/>
            <w:i/>
            <w:lang w:eastAsia="sl-SI"/>
          </w:rPr>
          <w:t>ZdZPVHVVR</w:t>
        </w:r>
        <w:proofErr w:type="spellEnd"/>
        <w:r w:rsidR="00A71050" w:rsidRPr="008822E0">
          <w:rPr>
            <w:rStyle w:val="Hiperpovezava"/>
            <w:rFonts w:ascii="Trebuchet MS" w:hAnsi="Trebuchet MS"/>
            <w:i/>
            <w:lang w:eastAsia="sl-SI"/>
          </w:rPr>
          <w:t>, 26/14, 32/15, 27/17 in 22/18)</w:t>
        </w:r>
      </w:hyperlink>
      <w:r w:rsidR="00A71050" w:rsidRPr="008822E0">
        <w:rPr>
          <w:rFonts w:ascii="Trebuchet MS" w:hAnsi="Trebuchet MS"/>
          <w:lang w:eastAsia="sl-SI"/>
        </w:rPr>
        <w:t xml:space="preserve"> navaja, da: </w:t>
      </w:r>
    </w:p>
    <w:p w14:paraId="2261BBBE" w14:textId="77777777" w:rsidR="00A71050" w:rsidRPr="008822E0" w:rsidRDefault="00A71050" w:rsidP="00A71050">
      <w:pPr>
        <w:numPr>
          <w:ilvl w:val="1"/>
          <w:numId w:val="9"/>
        </w:numPr>
        <w:rPr>
          <w:lang w:eastAsia="sl-SI"/>
        </w:rPr>
      </w:pPr>
      <w:r w:rsidRPr="008822E0">
        <w:rPr>
          <w:lang w:eastAsia="sl-SI"/>
        </w:rPr>
        <w:t>je dopolnilna dejavnost na kmetiji dejavnost, ki omogoča boljšo rabo proizvodnih zmogljivosti in delovnih moči kmetije ter pridobivanje dodatnega dohodka na kmetiji;</w:t>
      </w:r>
    </w:p>
    <w:p w14:paraId="1A6C1BBA" w14:textId="77777777" w:rsidR="00A71050" w:rsidRPr="008822E0" w:rsidRDefault="00A71050" w:rsidP="00A71050">
      <w:pPr>
        <w:numPr>
          <w:ilvl w:val="1"/>
          <w:numId w:val="9"/>
        </w:numPr>
        <w:rPr>
          <w:lang w:eastAsia="sl-SI"/>
        </w:rPr>
      </w:pPr>
      <w:r w:rsidRPr="008822E0">
        <w:rPr>
          <w:lang w:eastAsia="sl-SI"/>
        </w:rPr>
        <w:t>letni dohodek iz dopolnilnih dejavnosti na kmetiji ne sme presegati treh povprečnih letnih plač na zaposlenega v Republiki Sloveniji v preteklem letu, na območjih z omejenimi možnostmi za kmetijsko dejavnost pa ne sme presegati petih povprečnih letnih plač na zaposlenega v Republiki Sloveniji v preteklem letu;</w:t>
      </w:r>
    </w:p>
    <w:p w14:paraId="40706EC9" w14:textId="77777777" w:rsidR="00A71050" w:rsidRPr="008822E0" w:rsidRDefault="00A71050" w:rsidP="00A71050">
      <w:pPr>
        <w:numPr>
          <w:ilvl w:val="1"/>
          <w:numId w:val="9"/>
        </w:numPr>
        <w:rPr>
          <w:lang w:eastAsia="sl-SI"/>
        </w:rPr>
      </w:pPr>
      <w:r w:rsidRPr="008822E0">
        <w:rPr>
          <w:lang w:eastAsia="sl-SI"/>
        </w:rPr>
        <w:t>se mora voditi ločena evidenca prihodkov iz dopolnilne dejavnosti na kmetiji.</w:t>
      </w:r>
    </w:p>
    <w:p w14:paraId="3456E20C" w14:textId="6280D1D7" w:rsidR="00A71050" w:rsidRPr="008822E0" w:rsidRDefault="007A0276" w:rsidP="00900691">
      <w:pPr>
        <w:pStyle w:val="Odstavekseznama"/>
        <w:numPr>
          <w:ilvl w:val="0"/>
          <w:numId w:val="40"/>
        </w:numPr>
        <w:rPr>
          <w:rFonts w:ascii="Trebuchet MS" w:hAnsi="Trebuchet MS"/>
          <w:lang w:eastAsia="sl-SI"/>
        </w:rPr>
      </w:pPr>
      <w:hyperlink r:id="rId278" w:history="1">
        <w:r w:rsidR="00A71050" w:rsidRPr="008822E0">
          <w:rPr>
            <w:rStyle w:val="Hiperpovezava"/>
            <w:rFonts w:ascii="Trebuchet MS" w:hAnsi="Trebuchet MS"/>
            <w:i/>
            <w:lang w:eastAsia="sl-SI"/>
          </w:rPr>
          <w:t>Zakon o spremembah in dopolnitvah Zakona o kmetijstvu (ZKme-1B, Uradni list RS, št. 26/14)</w:t>
        </w:r>
      </w:hyperlink>
      <w:r w:rsidR="00A71050" w:rsidRPr="008822E0">
        <w:rPr>
          <w:rFonts w:ascii="Trebuchet MS" w:hAnsi="Trebuchet MS"/>
          <w:i/>
          <w:lang w:eastAsia="sl-SI"/>
        </w:rPr>
        <w:t>;</w:t>
      </w:r>
      <w:r w:rsidR="00A71050" w:rsidRPr="008822E0">
        <w:rPr>
          <w:rFonts w:ascii="Trebuchet MS" w:hAnsi="Trebuchet MS"/>
          <w:lang w:eastAsia="sl-SI"/>
        </w:rPr>
        <w:t xml:space="preserve"> Zakon o kmetijstvu (Uradni list RS, št. 45/08) je strojne krožke v 110. členu </w:t>
      </w:r>
      <w:proofErr w:type="spellStart"/>
      <w:r w:rsidR="00A71050" w:rsidRPr="008822E0">
        <w:rPr>
          <w:rFonts w:ascii="Trebuchet MS" w:hAnsi="Trebuchet MS"/>
          <w:lang w:eastAsia="sl-SI"/>
        </w:rPr>
        <w:t>opredeljaval</w:t>
      </w:r>
      <w:proofErr w:type="spellEnd"/>
      <w:r w:rsidR="00A71050" w:rsidRPr="008822E0">
        <w:rPr>
          <w:rFonts w:ascii="Trebuchet MS" w:hAnsi="Trebuchet MS"/>
          <w:lang w:eastAsia="sl-SI"/>
        </w:rPr>
        <w:t xml:space="preserve"> kot združenje za </w:t>
      </w:r>
      <w:proofErr w:type="spellStart"/>
      <w:r w:rsidR="00A71050" w:rsidRPr="008822E0">
        <w:rPr>
          <w:rFonts w:ascii="Trebuchet MS" w:hAnsi="Trebuchet MS"/>
          <w:lang w:eastAsia="sl-SI"/>
        </w:rPr>
        <w:t>medsosedsko</w:t>
      </w:r>
      <w:proofErr w:type="spellEnd"/>
      <w:r w:rsidR="00A71050" w:rsidRPr="008822E0">
        <w:rPr>
          <w:rFonts w:ascii="Trebuchet MS" w:hAnsi="Trebuchet MS"/>
          <w:lang w:eastAsia="sl-SI"/>
        </w:rPr>
        <w:t xml:space="preserve"> pomoč. Z zakonom o spremembah in dopolnitvah Zakona o kmetijstvu (ZKme-1B) se iz 110. člena odpravi pojma </w:t>
      </w:r>
      <w:proofErr w:type="spellStart"/>
      <w:r w:rsidR="00A71050" w:rsidRPr="008822E0">
        <w:rPr>
          <w:rFonts w:ascii="Trebuchet MS" w:hAnsi="Trebuchet MS"/>
          <w:lang w:eastAsia="sl-SI"/>
        </w:rPr>
        <w:t>medsosedske</w:t>
      </w:r>
      <w:proofErr w:type="spellEnd"/>
      <w:r w:rsidR="00A71050" w:rsidRPr="008822E0">
        <w:rPr>
          <w:rFonts w:ascii="Trebuchet MS" w:hAnsi="Trebuchet MS"/>
          <w:lang w:eastAsia="sl-SI"/>
        </w:rPr>
        <w:t xml:space="preserve"> pomoči. Na podlagi te spremembe morajo tudi člani strojnih krožkov izpolnjevati zahteve iz Pravilnika o minimalnih pogojih, ki jih morajo izpolnjevati izvajalci del v gozdovih (Uradni list RS, št. 35/94, 50/06, 74/11 in 80/12). </w:t>
      </w:r>
      <w:r w:rsidR="00A71050" w:rsidRPr="008822E0">
        <w:rPr>
          <w:rFonts w:ascii="Trebuchet MS" w:hAnsi="Trebuchet MS"/>
        </w:rPr>
        <w:br/>
      </w:r>
      <w:r w:rsidR="00A71050" w:rsidRPr="008822E0">
        <w:rPr>
          <w:rFonts w:ascii="Trebuchet MS" w:hAnsi="Trebuchet MS"/>
          <w:lang w:eastAsia="sl-SI"/>
        </w:rPr>
        <w:t>Zakon v 172. člen v 10. odstavku govori o nadzoru. Nadzor nad dopolnilnimi dejavnostmi na kmetiji, ki se nanašajo na gozdarske dejavnosti (glej številko SKD: 02.100, 02.200, 02.300, 02.400), in izvajanjem storitev z gozdarsko mehanizacijo v okviru strojnih krožkov nalaga gozdarski inšpekciji, kar pomeni tudi nadzor po obsegu dopolnilne dejavnosti.</w:t>
      </w:r>
    </w:p>
    <w:p w14:paraId="042AB5B6" w14:textId="02FF0D43" w:rsidR="00A71050" w:rsidRPr="008822E0" w:rsidRDefault="007A0276" w:rsidP="00900691">
      <w:pPr>
        <w:pStyle w:val="Odstavekseznama"/>
        <w:numPr>
          <w:ilvl w:val="0"/>
          <w:numId w:val="40"/>
        </w:numPr>
        <w:rPr>
          <w:rFonts w:ascii="Trebuchet MS" w:hAnsi="Trebuchet MS"/>
          <w:lang w:eastAsia="sl-SI"/>
        </w:rPr>
      </w:pPr>
      <w:hyperlink r:id="rId279" w:history="1">
        <w:r w:rsidR="00A71050" w:rsidRPr="008822E0">
          <w:rPr>
            <w:rStyle w:val="Hiperpovezava"/>
            <w:rFonts w:ascii="Trebuchet MS" w:hAnsi="Trebuchet MS"/>
            <w:i/>
            <w:lang w:eastAsia="sl-SI"/>
          </w:rPr>
          <w:t>Uredba o dopolnilnih dejavnostih na kmetiji</w:t>
        </w:r>
      </w:hyperlink>
      <w:r w:rsidR="00A71050" w:rsidRPr="008822E0">
        <w:rPr>
          <w:rFonts w:ascii="Trebuchet MS" w:hAnsi="Trebuchet MS"/>
          <w:i/>
          <w:u w:val="single"/>
          <w:lang w:eastAsia="sl-SI"/>
        </w:rPr>
        <w:t xml:space="preserve"> (Uradni list RS, št. 57/15 in 36/18)</w:t>
      </w:r>
      <w:r w:rsidR="00A71050" w:rsidRPr="008822E0">
        <w:rPr>
          <w:rFonts w:ascii="Trebuchet MS" w:hAnsi="Trebuchet MS"/>
          <w:i/>
          <w:lang w:eastAsia="sl-SI"/>
        </w:rPr>
        <w:t>;</w:t>
      </w:r>
      <w:r w:rsidR="00A71050" w:rsidRPr="008822E0">
        <w:rPr>
          <w:rFonts w:ascii="Trebuchet MS" w:hAnsi="Trebuchet MS"/>
          <w:lang w:eastAsia="sl-SI"/>
        </w:rPr>
        <w:t xml:space="preserve"> določa skupine in vrste dopolnilnih dejavnosti na kmetiji (v nadaljnjem besedilu: dopolnilna dejavnost), njihove značilnosti in obseg, vsebino vloge za pridobitev dovoljenja za opravljanje dopolnilne dejavnosti, vpis v register kmetijskih gospodarstev, podrobnejše pogoje za opravljanje dopolnilnih dejavnostih, nadzor in sankcije za kršitve.</w:t>
      </w:r>
    </w:p>
    <w:p w14:paraId="7589C84D" w14:textId="0DAC62E3" w:rsidR="00A71050" w:rsidRPr="008822E0" w:rsidRDefault="007A0276" w:rsidP="00900691">
      <w:pPr>
        <w:pStyle w:val="Odstavekseznama"/>
        <w:numPr>
          <w:ilvl w:val="0"/>
          <w:numId w:val="40"/>
        </w:numPr>
        <w:rPr>
          <w:rFonts w:ascii="Trebuchet MS" w:hAnsi="Trebuchet MS"/>
          <w:lang w:eastAsia="sl-SI"/>
        </w:rPr>
      </w:pPr>
      <w:hyperlink r:id="rId280" w:history="1">
        <w:r w:rsidR="00A71050" w:rsidRPr="008822E0">
          <w:rPr>
            <w:rStyle w:val="Hiperpovezava"/>
            <w:rFonts w:ascii="Trebuchet MS" w:hAnsi="Trebuchet MS"/>
            <w:i/>
            <w:lang w:eastAsia="sl-SI"/>
          </w:rPr>
          <w:t>Pravilnik o minimalnih pogojih, ki jih morajo izpolnjevati izvajalci del v gozdovih</w:t>
        </w:r>
      </w:hyperlink>
      <w:r w:rsidR="00A71050" w:rsidRPr="008822E0">
        <w:rPr>
          <w:rFonts w:ascii="Trebuchet MS" w:hAnsi="Trebuchet MS"/>
          <w:i/>
          <w:u w:val="single"/>
          <w:lang w:eastAsia="sl-SI"/>
        </w:rPr>
        <w:t xml:space="preserve"> (Uradni list RS, št. 35 /94, 50/07, 74/11, 80/12)</w:t>
      </w:r>
      <w:r w:rsidR="00A71050" w:rsidRPr="008822E0">
        <w:rPr>
          <w:rFonts w:ascii="Trebuchet MS" w:hAnsi="Trebuchet MS"/>
          <w:lang w:eastAsia="sl-SI"/>
        </w:rPr>
        <w:t>; določa pogoje, ki jih morajo izpolnjevati osebe, registrirane za izvajanje del v gozdovih. Opredeljuje pogoje o strokovni usposobljenosti in pogoje za varno delo, ki so določeni s predpisi, ki urejajo varnost in zdravje pri delu.</w:t>
      </w:r>
    </w:p>
    <w:p w14:paraId="41D63339" w14:textId="295A6401" w:rsidR="00A71050" w:rsidRPr="008822E0" w:rsidRDefault="007A0276" w:rsidP="00900691">
      <w:pPr>
        <w:pStyle w:val="Odstavekseznama"/>
        <w:numPr>
          <w:ilvl w:val="0"/>
          <w:numId w:val="40"/>
        </w:numPr>
        <w:rPr>
          <w:rFonts w:ascii="Trebuchet MS" w:hAnsi="Trebuchet MS"/>
          <w:lang w:eastAsia="sl-SI"/>
        </w:rPr>
      </w:pPr>
      <w:hyperlink r:id="rId281" w:history="1">
        <w:r w:rsidR="00A71050" w:rsidRPr="008822E0">
          <w:rPr>
            <w:rStyle w:val="Hiperpovezava"/>
            <w:rFonts w:ascii="Trebuchet MS" w:hAnsi="Trebuchet MS"/>
            <w:i/>
            <w:lang w:eastAsia="sl-SI"/>
          </w:rPr>
          <w:t>Pravilnik o gozdnih prometnicah</w:t>
        </w:r>
      </w:hyperlink>
      <w:r w:rsidR="00A71050" w:rsidRPr="008822E0">
        <w:rPr>
          <w:rFonts w:ascii="Trebuchet MS" w:hAnsi="Trebuchet MS"/>
          <w:i/>
          <w:u w:val="single"/>
          <w:lang w:eastAsia="sl-SI"/>
        </w:rPr>
        <w:t xml:space="preserve"> (Uradni list RS, št. 4/09)</w:t>
      </w:r>
      <w:r w:rsidR="00A71050" w:rsidRPr="008822E0">
        <w:rPr>
          <w:rFonts w:ascii="Trebuchet MS" w:hAnsi="Trebuchet MS"/>
          <w:lang w:eastAsia="sl-SI"/>
        </w:rPr>
        <w:t xml:space="preserve">; določa pogoje za načrtovanje, projektiranje, gradnjo, vzdrževanje, način uporabe in evidentiranje grajenih gozdnih prometnic, načrtovanje, pripravo, uporabo in vzdrževanje </w:t>
      </w:r>
      <w:proofErr w:type="spellStart"/>
      <w:r w:rsidR="00A71050" w:rsidRPr="008822E0">
        <w:rPr>
          <w:rFonts w:ascii="Trebuchet MS" w:hAnsi="Trebuchet MS"/>
          <w:lang w:eastAsia="sl-SI"/>
        </w:rPr>
        <w:t>negrajenih</w:t>
      </w:r>
      <w:proofErr w:type="spellEnd"/>
      <w:r w:rsidR="00A71050" w:rsidRPr="008822E0">
        <w:rPr>
          <w:rFonts w:ascii="Trebuchet MS" w:hAnsi="Trebuchet MS"/>
          <w:lang w:eastAsia="sl-SI"/>
        </w:rPr>
        <w:t xml:space="preserve"> gozdnih prometnic ter izvajanje gozdarskih investicijskih vzdrževalnih del z vidika gospodarjenja z gozdovi ter izvajanja posegov v prostor. Z vidika pogojev za delo v gozdu zakon predpisuje, da sme gozdno cesto projektirati samo odgovorni projektant, ki izpolnjuje pogoje za projektiranje po predpisih o graditvi objektov.</w:t>
      </w:r>
    </w:p>
    <w:p w14:paraId="5177F848" w14:textId="0BBB3410" w:rsidR="00A71050" w:rsidRPr="008822E0" w:rsidRDefault="007A0276" w:rsidP="00900691">
      <w:pPr>
        <w:pStyle w:val="Odstavekseznama"/>
        <w:numPr>
          <w:ilvl w:val="0"/>
          <w:numId w:val="40"/>
        </w:numPr>
        <w:rPr>
          <w:rFonts w:ascii="Trebuchet MS" w:hAnsi="Trebuchet MS"/>
          <w:lang w:eastAsia="sl-SI"/>
        </w:rPr>
      </w:pPr>
      <w:hyperlink r:id="rId282" w:history="1">
        <w:r w:rsidR="00A71050" w:rsidRPr="008822E0">
          <w:rPr>
            <w:rStyle w:val="Hiperpovezava"/>
            <w:rFonts w:ascii="Trebuchet MS" w:hAnsi="Trebuchet MS"/>
            <w:i/>
            <w:lang w:eastAsia="sl-SI"/>
          </w:rPr>
          <w:t>Pravilnik o varstvu pri delu v gozdarstvu</w:t>
        </w:r>
      </w:hyperlink>
      <w:r w:rsidR="00A71050" w:rsidRPr="008822E0">
        <w:rPr>
          <w:rFonts w:ascii="Trebuchet MS" w:hAnsi="Trebuchet MS"/>
          <w:i/>
          <w:u w:val="single"/>
          <w:lang w:eastAsia="sl-SI"/>
        </w:rPr>
        <w:t xml:space="preserve"> (Uradni list SRS, št. 15/79, Uradni list RS, št. 56/99 – ZVZD in 43/11 – ZVZD-1)</w:t>
      </w:r>
      <w:r w:rsidR="00A71050" w:rsidRPr="008822E0">
        <w:rPr>
          <w:rFonts w:ascii="Trebuchet MS" w:hAnsi="Trebuchet MS"/>
          <w:lang w:eastAsia="sl-SI"/>
        </w:rPr>
        <w:t>; v 3. členu našteva dela v gozdu, ki se štejejo za dela z večjo nevarnostjo za poškodbe in zdravstvene okvare.</w:t>
      </w:r>
    </w:p>
    <w:p w14:paraId="027CD58D" w14:textId="27C8F80C" w:rsidR="00A71050" w:rsidRPr="008822E0" w:rsidRDefault="007A0276" w:rsidP="00900691">
      <w:pPr>
        <w:pStyle w:val="Odstavekseznama"/>
        <w:numPr>
          <w:ilvl w:val="0"/>
          <w:numId w:val="40"/>
        </w:numPr>
        <w:rPr>
          <w:rFonts w:ascii="Trebuchet MS" w:hAnsi="Trebuchet MS"/>
          <w:i/>
          <w:lang w:eastAsia="sl-SI"/>
        </w:rPr>
      </w:pPr>
      <w:hyperlink r:id="rId283" w:history="1">
        <w:r w:rsidR="00A71050" w:rsidRPr="008822E0">
          <w:rPr>
            <w:rStyle w:val="Hiperpovezava"/>
            <w:rFonts w:ascii="Trebuchet MS" w:hAnsi="Trebuchet MS"/>
            <w:i/>
            <w:lang w:eastAsia="sl-SI"/>
          </w:rPr>
          <w:t xml:space="preserve">Pravilnik o pogojih za oprostitev plačila dohodnine od prejemkov iz </w:t>
        </w:r>
        <w:proofErr w:type="spellStart"/>
        <w:r w:rsidR="00A71050" w:rsidRPr="008822E0">
          <w:rPr>
            <w:rStyle w:val="Hiperpovezava"/>
            <w:rFonts w:ascii="Trebuchet MS" w:hAnsi="Trebuchet MS"/>
            <w:i/>
            <w:lang w:eastAsia="sl-SI"/>
          </w:rPr>
          <w:t>medsosedske</w:t>
        </w:r>
        <w:proofErr w:type="spellEnd"/>
        <w:r w:rsidR="00A71050" w:rsidRPr="008822E0">
          <w:rPr>
            <w:rStyle w:val="Hiperpovezava"/>
            <w:rFonts w:ascii="Trebuchet MS" w:hAnsi="Trebuchet MS"/>
            <w:i/>
            <w:lang w:eastAsia="sl-SI"/>
          </w:rPr>
          <w:t xml:space="preserve"> pomoči med kmetijskimi gospodarstvi v okviru strojnih krožkov (Uradni list RS, št. 141/06)</w:t>
        </w:r>
      </w:hyperlink>
    </w:p>
    <w:p w14:paraId="0A192B36" w14:textId="63E09A9B" w:rsidR="00A71050" w:rsidRDefault="007A0276" w:rsidP="00900691">
      <w:pPr>
        <w:pStyle w:val="Odstavekseznama"/>
        <w:numPr>
          <w:ilvl w:val="0"/>
          <w:numId w:val="40"/>
        </w:numPr>
        <w:rPr>
          <w:rFonts w:ascii="Trebuchet MS" w:hAnsi="Trebuchet MS"/>
          <w:lang w:eastAsia="sl-SI"/>
        </w:rPr>
      </w:pPr>
      <w:hyperlink r:id="rId284" w:history="1">
        <w:r w:rsidR="00A71050" w:rsidRPr="008822E0">
          <w:rPr>
            <w:rStyle w:val="Hiperpovezava"/>
            <w:rFonts w:ascii="Trebuchet MS" w:hAnsi="Trebuchet MS"/>
            <w:i/>
            <w:lang w:eastAsia="sl-SI"/>
          </w:rPr>
          <w:t>Splošni akt o strokovnem izpitu za pooblaščenega inženirja</w:t>
        </w:r>
      </w:hyperlink>
      <w:r w:rsidR="00A71050" w:rsidRPr="008822E0">
        <w:rPr>
          <w:rFonts w:ascii="Trebuchet MS" w:hAnsi="Trebuchet MS"/>
          <w:i/>
          <w:u w:val="single"/>
          <w:lang w:eastAsia="sl-SI"/>
        </w:rPr>
        <w:t xml:space="preserve"> (Uradni list RS, št. 37/18)</w:t>
      </w:r>
      <w:r w:rsidR="00A71050" w:rsidRPr="008822E0">
        <w:rPr>
          <w:rFonts w:ascii="Trebuchet MS" w:hAnsi="Trebuchet MS"/>
          <w:lang w:eastAsia="sl-SI"/>
        </w:rPr>
        <w:t>; določa obseg izpitnih vsebin za pooblaščenega inženirja, podrobnejše pogoje ter način in postopek opravljanja strokovnega izpita za pooblaščenega inženirja</w:t>
      </w:r>
    </w:p>
    <w:p w14:paraId="289728E6" w14:textId="77777777" w:rsidR="00A71050" w:rsidRPr="00A71050" w:rsidRDefault="00A71050" w:rsidP="00A71050">
      <w:pPr>
        <w:rPr>
          <w:lang w:eastAsia="sl-SI"/>
        </w:rPr>
      </w:pPr>
    </w:p>
    <w:p w14:paraId="7CC3B43D" w14:textId="77D52F64" w:rsidR="00EB25A5" w:rsidRDefault="00EB25A5" w:rsidP="00F86FED">
      <w:pPr>
        <w:pStyle w:val="Naslov3"/>
      </w:pPr>
      <w:bookmarkStart w:id="583" w:name="_Ref75844328"/>
      <w:bookmarkStart w:id="584" w:name="_Toc97026825"/>
      <w:r w:rsidRPr="00F86FED">
        <w:t>Priloga</w:t>
      </w:r>
      <w:r w:rsidR="00F86FED">
        <w:t xml:space="preserve">: </w:t>
      </w:r>
      <w:r w:rsidRPr="00CF55C1">
        <w:t>Napoved sanitarne sečnje v gozdovih, prizadetih zaradi žleda</w:t>
      </w:r>
      <w:r>
        <w:t xml:space="preserve"> </w:t>
      </w:r>
      <w:r w:rsidRPr="00CF55C1">
        <w:t>v obdobju 2031–2040</w:t>
      </w:r>
      <w:r>
        <w:t xml:space="preserve"> </w:t>
      </w:r>
      <w:r w:rsidRPr="00CF55C1">
        <w:t xml:space="preserve">za </w:t>
      </w:r>
      <w:r>
        <w:t>Mestno občino</w:t>
      </w:r>
      <w:r w:rsidRPr="00CF55C1">
        <w:t xml:space="preserve"> </w:t>
      </w:r>
      <w:bookmarkEnd w:id="582"/>
      <w:r w:rsidR="00A71050">
        <w:t>Nova Gorica</w:t>
      </w:r>
      <w:bookmarkEnd w:id="583"/>
      <w:bookmarkEnd w:id="584"/>
    </w:p>
    <w:p w14:paraId="65A71D66" w14:textId="77777777" w:rsidR="00A71050" w:rsidRPr="008822E0" w:rsidRDefault="00A71050" w:rsidP="00A71050">
      <w:r w:rsidRPr="008822E0">
        <w:t xml:space="preserve">Ogris (2007) je izdelal projekcije pojavljanja sanitarnih sečenj zaradi žleda do konca 21. stoletja za tri različne scenarije podnebnih sprememb, ki jih je izdelal Bergant (2006, 2007). Pripravljene so napovedi za temperaturo, padavine in </w:t>
      </w:r>
      <w:proofErr w:type="spellStart"/>
      <w:r w:rsidRPr="008822E0">
        <w:t>evapotranspiracijo</w:t>
      </w:r>
      <w:proofErr w:type="spellEnd"/>
      <w:r w:rsidRPr="008822E0">
        <w:t xml:space="preserve">. Scenariji so sestavljeni kot mesečna povprečja 30-letnih obdobij z razmikom 10 let v obdobju 1961–2100 za devet krajev v Sloveniji: Ljubljana, Novo mesto, Maribor, Murska Sobota, Rateče-Planica, Postojna, Slap pri Vipavi, Bilje in Portorož. Temperature so v °C, </w:t>
      </w:r>
      <w:proofErr w:type="spellStart"/>
      <w:r w:rsidRPr="008822E0">
        <w:t>evapotranspiracija</w:t>
      </w:r>
      <w:proofErr w:type="spellEnd"/>
      <w:r w:rsidRPr="008822E0">
        <w:t xml:space="preserve"> in padavine pa v mm dan</w:t>
      </w:r>
      <w:r w:rsidRPr="008822E0">
        <w:rPr>
          <w:vertAlign w:val="superscript"/>
        </w:rPr>
        <w:t>–1</w:t>
      </w:r>
      <w:r w:rsidRPr="008822E0">
        <w:t>. Scenariji posameznih podnebnih spremenljivk nosijo oznake MIN, AVG in MAX. Scenarij AVG pomeni mediano vseh napovedi vseh modelov in scenarijev emisij, MAX pa maksimum in MIN minimum. Z drugimi besedami: AVG pomeni srednjo vrednost vseh scenarijev, MIN in MAX pa naj bi bila maksimalen razpon glede na vse scenarije (Ogris, 2007a).</w:t>
      </w:r>
    </w:p>
    <w:p w14:paraId="571FAE97" w14:textId="77777777" w:rsidR="00A71050" w:rsidRPr="008822E0" w:rsidRDefault="00A71050" w:rsidP="00A71050">
      <w:r w:rsidRPr="008822E0">
        <w:t xml:space="preserve">V raziskavi uporabljamo tri scenarije podnebnih sprememb z oznakami A, B in C. Scenarij A je optimistični scenarij in upošteva kombinacijo MIN temperature, MIN </w:t>
      </w:r>
      <w:proofErr w:type="spellStart"/>
      <w:r w:rsidRPr="008822E0">
        <w:t>evapotranspiracije</w:t>
      </w:r>
      <w:proofErr w:type="spellEnd"/>
      <w:r w:rsidRPr="008822E0">
        <w:t xml:space="preserve"> in MAX padavin. Scenarij B je srednji scenarij, pri katerem smo upoštevali kombinacijo AVG temperature, AVG padavin in AVG </w:t>
      </w:r>
      <w:proofErr w:type="spellStart"/>
      <w:r w:rsidRPr="008822E0">
        <w:t>evapotranspiracije</w:t>
      </w:r>
      <w:proofErr w:type="spellEnd"/>
      <w:r w:rsidRPr="008822E0">
        <w:t xml:space="preserve">. Scenarij C je pesimistični scenarij, ki je sestavljen iz kombinacije MAX temperature, MAX </w:t>
      </w:r>
      <w:proofErr w:type="spellStart"/>
      <w:r w:rsidRPr="008822E0">
        <w:t>evapotranspiracije</w:t>
      </w:r>
      <w:proofErr w:type="spellEnd"/>
      <w:r w:rsidRPr="008822E0">
        <w:t xml:space="preserve"> in MIN padavin. V optimističnem scenariju je indeks sušnosti izražen kot kvocient med MIN </w:t>
      </w:r>
      <w:proofErr w:type="spellStart"/>
      <w:r w:rsidRPr="008822E0">
        <w:t>evapotranspiracije</w:t>
      </w:r>
      <w:proofErr w:type="spellEnd"/>
      <w:r w:rsidRPr="008822E0">
        <w:t xml:space="preserve"> in MAX padavin, v srednjem scenariju kot AVG </w:t>
      </w:r>
      <w:proofErr w:type="spellStart"/>
      <w:r w:rsidRPr="008822E0">
        <w:t>evapotranspiracije</w:t>
      </w:r>
      <w:proofErr w:type="spellEnd"/>
      <w:r w:rsidRPr="008822E0">
        <w:t xml:space="preserve"> in AVG padavin, v pesimističnem scenariju pa kot MAX </w:t>
      </w:r>
      <w:proofErr w:type="spellStart"/>
      <w:r w:rsidRPr="008822E0">
        <w:t>evapotranspiracije</w:t>
      </w:r>
      <w:proofErr w:type="spellEnd"/>
      <w:r w:rsidRPr="008822E0">
        <w:t xml:space="preserve"> in MIN padavin. Scenariji so navedeni kot 30-letna povprečja s korakom po 10 let (1961–1990, 1971–2000, ..., 2071–2100) (Ogris, 2007a).</w:t>
      </w:r>
    </w:p>
    <w:p w14:paraId="7579BD34" w14:textId="77777777" w:rsidR="00A71050" w:rsidRPr="008822E0" w:rsidRDefault="00A71050" w:rsidP="00A71050">
      <w:r w:rsidRPr="008822E0">
        <w:t xml:space="preserve">Scenariji podnebnih sprememb so bili izdelani s pomočjo metode glavnih komponent in s pomočjo regresije delnih najmanjših kvadratov. Izdelani so bili ločeno za posamezne letne čase. Pri projekcijah so bili uporabljeni rezultati štirih modelov splošnega kroženja: HadCM3 (Anglija), ECHAM4-OPYC3 (Nemčija), CSIRO (Avstralija), DOE-NCAR (ZDA). Simulacije so bile narejene na </w:t>
      </w:r>
      <w:r w:rsidRPr="008822E0">
        <w:lastRenderedPageBreak/>
        <w:t>temelju scenarijev emisij (SRES) mednarodnega panela za podnebne spremembe (IPCC). Bergant (2006, 2007) je v simulacijah uporabil IPCC SRES A2 in B2 scenarij, naknadno pa je z metodo prirejanja vzorcev priredil še za IPCC SRES A1T, A1Fl, A1B, in B1 scenarije emisij (</w:t>
      </w:r>
      <w:proofErr w:type="spellStart"/>
      <w:r w:rsidRPr="008822E0">
        <w:t>Emissions</w:t>
      </w:r>
      <w:proofErr w:type="spellEnd"/>
      <w:r w:rsidRPr="008822E0">
        <w:t xml:space="preserve"> </w:t>
      </w:r>
      <w:proofErr w:type="spellStart"/>
      <w:r w:rsidRPr="008822E0">
        <w:t>scenarios</w:t>
      </w:r>
      <w:proofErr w:type="spellEnd"/>
      <w:r w:rsidRPr="008822E0">
        <w:t xml:space="preserve"> ..., 2000).</w:t>
      </w:r>
    </w:p>
    <w:p w14:paraId="5A5C78BD" w14:textId="77777777" w:rsidR="00A71050" w:rsidRPr="008822E0" w:rsidRDefault="00A71050" w:rsidP="00A71050">
      <w:r w:rsidRPr="008822E0">
        <w:t xml:space="preserve">Zanesljivost regresijskih dreves merimo s korelacijskim koeficientom, klasifikacijskih dreves pa s koeficientom kapa. Korelacijski koeficient za model ocenjevanja sanitarnih sečenj zaradi žleda r = 0,64 (Ogris, 2007a). </w:t>
      </w:r>
    </w:p>
    <w:p w14:paraId="2890C673" w14:textId="77777777" w:rsidR="00A71050" w:rsidRPr="008822E0" w:rsidRDefault="00A71050" w:rsidP="00A71050">
      <w:r w:rsidRPr="008822E0">
        <w:t xml:space="preserve">Pri modelu za ocenjevanje sanitarne sečnje zaradi žledu je najodločilnejša spremenljivka referenčna </w:t>
      </w:r>
      <w:proofErr w:type="spellStart"/>
      <w:r w:rsidRPr="008822E0">
        <w:t>evapotranspiracija</w:t>
      </w:r>
      <w:proofErr w:type="spellEnd"/>
      <w:r w:rsidRPr="008822E0">
        <w:t xml:space="preserve"> v maju (ETP5), kar je razvidno iz porezanega regresijskega drevesa. Na drugem nivoju odločanja v regresijskem drevesu se nahajata spremenljivki: najmanjša nadmorska višina (</w:t>
      </w:r>
      <w:proofErr w:type="spellStart"/>
      <w:r w:rsidRPr="008822E0">
        <w:t>min_z</w:t>
      </w:r>
      <w:proofErr w:type="spellEnd"/>
      <w:r w:rsidRPr="008822E0">
        <w:t xml:space="preserve">) in količina padavine v mesecu avgustu (PAD8). Pri poškodbah gozdnega drevja zaradi žledu so odločilne še naslednje spremenljivke: količina padavin v decembru (PAD12), skupna višina novozapadlega snega in povprečno trajanje snežne odeje (SNEG_VISINA0, SNEG_TRAJ0), povprečna temperatura zraka med novembrom in januarjem (TMP11_12_1), </w:t>
      </w:r>
      <w:proofErr w:type="spellStart"/>
      <w:r w:rsidRPr="008822E0">
        <w:t>kvaziglobalno</w:t>
      </w:r>
      <w:proofErr w:type="spellEnd"/>
      <w:r w:rsidRPr="008822E0">
        <w:t xml:space="preserve"> obsevanje v januarju (KVG1) in vrsta matične podlage (MAT_PODLAGA). Na nižjih nivojih v regresijskem drevesu so pomembne naslednje spremenljivke: </w:t>
      </w:r>
      <w:proofErr w:type="spellStart"/>
      <w:r w:rsidRPr="008822E0">
        <w:t>kvaziglobalno</w:t>
      </w:r>
      <w:proofErr w:type="spellEnd"/>
      <w:r w:rsidRPr="008822E0">
        <w:t xml:space="preserve"> obsevanje v juliju (KVG7), količina kostanja (DV55), količina črnega gabra (DV76), količina gradna (DV51), količina smreke (DV11), količina izmenljivega kalija v tleh (KALIJ) (Ogris, 2007a). </w:t>
      </w:r>
    </w:p>
    <w:p w14:paraId="5519F0CF" w14:textId="77777777" w:rsidR="00A71050" w:rsidRPr="008822E0" w:rsidRDefault="00A71050" w:rsidP="00A71050">
      <w:r w:rsidRPr="008822E0">
        <w:t xml:space="preserve">Pri modelu za ocenjevanje sanitarne sečnje, ki nastane zaradi delovanja žledu, je najodločilnejša spremenljivka vrsta matične podlage. To je razumljivo, saj je žledolom neposredno povezan z mehansko stabilnostjo drevesa, pri kateri je pogostokrat najodločilnejša prav vrsta matične podlage, ki določa, kako se drevo </w:t>
      </w:r>
      <w:proofErr w:type="spellStart"/>
      <w:r w:rsidRPr="008822E0">
        <w:t>zakoreninja</w:t>
      </w:r>
      <w:proofErr w:type="spellEnd"/>
      <w:r w:rsidRPr="008822E0">
        <w:t xml:space="preserve"> v tla. Med pomembnejše spremenljivke so se uvrstile spremenljivke, ki opisujejo drevesno sestavo v modelu. Predvsem je pomemben delež smreke, jelke, bukve, gorskega javorja in domačega kostanja v celici modela. To se približno ujema z deležem sanitarnega poseka zaradi žledu po drevesnih vrstah, t. j. zaradi žledu se največ poseka bukve, smreke in rdečega bora (</w:t>
      </w:r>
      <w:proofErr w:type="spellStart"/>
      <w:r w:rsidRPr="008822E0">
        <w:t>Timber</w:t>
      </w:r>
      <w:proofErr w:type="spellEnd"/>
      <w:r w:rsidRPr="008822E0">
        <w:t xml:space="preserve">, 1995–2005). Na tretjem mestu ranžirne vrste je stopnja ogroženosti zaradi pojava žledu. V skupini prvih 20 najpomembnejših spremenljivk se nahajajo tudi nekatere kemijske lastnosti tal, npr. CN, S, T, OGLJ in V. Visoko na ranžirni lestvici se nahaja delež melja, ki je eden od treh spremenljivk, ki določajo teksturo tal, ki pomembno prispeva k opisu mehanskih lastnosti tal. Zdi se, da je za nastanek žledoloma pomemben tudi krajinski vidik. Zato se v lestvici 20 najpomembnejših spremenljivk nahaja ODD_GOZD (povprečna oddaljenost do najbližjega gozda) in ZAPLATA (površina največje zaplate v celici). Pomembno je tudi, kakšna je pestrost gozdnih združb; iz zgradbe modela za žled je razvidno, da se žledolomi pogosteje pojavljajo tam, kjer je manjša pestrost gozdnih združb oz. kjer se pojavljajo </w:t>
      </w:r>
      <w:proofErr w:type="spellStart"/>
      <w:r w:rsidRPr="008822E0">
        <w:t>enoličnejši</w:t>
      </w:r>
      <w:proofErr w:type="spellEnd"/>
      <w:r w:rsidRPr="008822E0">
        <w:t xml:space="preserve"> sestoji (Ogris, 2007a).</w:t>
      </w:r>
    </w:p>
    <w:p w14:paraId="5F381688" w14:textId="4365A2F0" w:rsidR="00A71050" w:rsidRPr="008822E0" w:rsidRDefault="00A71050" w:rsidP="00A71050">
      <w:r w:rsidRPr="008822E0">
        <w:t>Po scenariju A in B podnebnih sprememb je predvideno, da bi ostala ogrožena približno enaka površina gozdov v MONG zaradi žleda vse do leta 2040 (</w:t>
      </w:r>
      <w:r>
        <w:fldChar w:fldCharType="begin"/>
      </w:r>
      <w:r>
        <w:instrText xml:space="preserve"> REF _Ref74908417 \h </w:instrText>
      </w:r>
      <w:r>
        <w:fldChar w:fldCharType="separate"/>
      </w:r>
      <w:r w:rsidR="004700D5">
        <w:t xml:space="preserve">Slika </w:t>
      </w:r>
      <w:r w:rsidR="004700D5">
        <w:rPr>
          <w:noProof/>
        </w:rPr>
        <w:t>8</w:t>
      </w:r>
      <w:r w:rsidR="004700D5">
        <w:t>.</w:t>
      </w:r>
      <w:r w:rsidR="004700D5">
        <w:rPr>
          <w:noProof/>
        </w:rPr>
        <w:t>10</w:t>
      </w:r>
      <w:r>
        <w:fldChar w:fldCharType="end"/>
      </w:r>
      <w:r>
        <w:fldChar w:fldCharType="begin"/>
      </w:r>
      <w:r>
        <w:instrText xml:space="preserve"> REF _Ref74296176 \h </w:instrText>
      </w:r>
      <w:r>
        <w:fldChar w:fldCharType="separate"/>
      </w:r>
      <w:r w:rsidR="004700D5">
        <w:t xml:space="preserve">Slika </w:t>
      </w:r>
      <w:r w:rsidR="004700D5">
        <w:rPr>
          <w:noProof/>
        </w:rPr>
        <w:t>8</w:t>
      </w:r>
      <w:r w:rsidR="004700D5">
        <w:t>.</w:t>
      </w:r>
      <w:r w:rsidR="004700D5">
        <w:rPr>
          <w:noProof/>
        </w:rPr>
        <w:t>13</w:t>
      </w:r>
      <w:r w:rsidR="004700D5">
        <w:t xml:space="preserve">: </w:t>
      </w:r>
      <w:r w:rsidR="004700D5" w:rsidRPr="00DB517A">
        <w:t>Projekcije gibanja potencialnih površin za sanitarno sečnjo zaradi podlubnikov v Mestni občini Nova Gorica za tri scenarije podnebnih sprememb za obdobje 1981–2100</w:t>
      </w:r>
      <w:r w:rsidR="004700D5">
        <w:t>.</w:t>
      </w:r>
      <w:r>
        <w:fldChar w:fldCharType="end"/>
      </w:r>
      <w:r w:rsidRPr="008822E0">
        <w:t xml:space="preserve">). Po letu 2050 pa bi po scenariju B pričela upadati površina gozdov, kjer se bi lahko pojavila sanitarna sečnja zaradi žleda, po scenariju A pa bi ostala ogrožena površina skoraj nespremenjena vse do 2100. Po scenariju C pa bi bilo površinsko gledano manj ogroženih gozdov že po letu 2020, ko je napovedan pričetek strmega upadanja ogroženosti gozdov zaradi žleda. Primer napovedi za obdobje 2031–2040 po scenariju B kaže na </w:t>
      </w:r>
      <w:r w:rsidRPr="008822E0">
        <w:lastRenderedPageBreak/>
        <w:t xml:space="preserve">večje nevarnost pojava žledoloma v Čepovanskem dolu, severnem in zahodnem obrobju Trnovskega gozda ter v nekaterih predelih </w:t>
      </w:r>
      <w:proofErr w:type="spellStart"/>
      <w:r w:rsidRPr="008822E0">
        <w:t>Banjščic</w:t>
      </w:r>
      <w:proofErr w:type="spellEnd"/>
      <w:r w:rsidRPr="008822E0">
        <w:t>.</w:t>
      </w:r>
    </w:p>
    <w:p w14:paraId="03AFA7B9" w14:textId="77777777" w:rsidR="00A71050" w:rsidRDefault="00A71050" w:rsidP="00A71050">
      <w:pPr>
        <w:keepNext/>
        <w:ind w:left="450"/>
        <w:jc w:val="center"/>
      </w:pPr>
      <w:r w:rsidRPr="008822E0">
        <w:rPr>
          <w:noProof/>
          <w:lang w:eastAsia="sl-SI"/>
        </w:rPr>
        <w:drawing>
          <wp:inline distT="0" distB="0" distL="0" distR="0" wp14:anchorId="3A0B5BE8" wp14:editId="60D1AFAB">
            <wp:extent cx="4320000" cy="3162091"/>
            <wp:effectExtent l="0" t="0" r="4445" b="635"/>
            <wp:docPr id="29" name="Picture 2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285">
                      <a:extLst>
                        <a:ext uri="{28A0092B-C50C-407E-A947-70E740481C1C}">
                          <a14:useLocalDpi xmlns:a14="http://schemas.microsoft.com/office/drawing/2010/main" val="0"/>
                        </a:ext>
                      </a:extLst>
                    </a:blip>
                    <a:stretch>
                      <a:fillRect/>
                    </a:stretch>
                  </pic:blipFill>
                  <pic:spPr>
                    <a:xfrm>
                      <a:off x="0" y="0"/>
                      <a:ext cx="4320000" cy="3162091"/>
                    </a:xfrm>
                    <a:prstGeom prst="rect">
                      <a:avLst/>
                    </a:prstGeom>
                  </pic:spPr>
                </pic:pic>
              </a:graphicData>
            </a:graphic>
          </wp:inline>
        </w:drawing>
      </w:r>
    </w:p>
    <w:p w14:paraId="05C53760" w14:textId="7B31AAF5" w:rsidR="00A71050" w:rsidRDefault="00A71050" w:rsidP="00A71050">
      <w:pPr>
        <w:pStyle w:val="Napis"/>
        <w:jc w:val="left"/>
      </w:pPr>
      <w:bookmarkStart w:id="585" w:name="_Ref74908417"/>
      <w:bookmarkStart w:id="586" w:name="_Toc97026939"/>
      <w:r>
        <w:t xml:space="preserve">Slika </w:t>
      </w:r>
      <w:r w:rsidR="008334B2">
        <w:fldChar w:fldCharType="begin"/>
      </w:r>
      <w:r w:rsidR="008334B2">
        <w:instrText xml:space="preserve"> STYLEREF 1 \s </w:instrText>
      </w:r>
      <w:r w:rsidR="008334B2">
        <w:fldChar w:fldCharType="separate"/>
      </w:r>
      <w:r w:rsidR="008334B2">
        <w:rPr>
          <w:noProof/>
        </w:rPr>
        <w:t>8</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10</w:t>
      </w:r>
      <w:r w:rsidR="008334B2">
        <w:fldChar w:fldCharType="end"/>
      </w:r>
      <w:bookmarkEnd w:id="585"/>
      <w:r w:rsidRPr="00F4366F">
        <w:t>: Napoved sanitarne sečnje v gozdovih, prizadetih zaradi žleda za srednji scenarij B podnebnih sprememb v obdobju 2031–2040 za Mestno občino Nova Gorica (Ogris 2007).</w:t>
      </w:r>
      <w:bookmarkEnd w:id="586"/>
    </w:p>
    <w:p w14:paraId="2512AB13" w14:textId="77777777" w:rsidR="00A71050" w:rsidRDefault="00A71050" w:rsidP="00A71050">
      <w:pPr>
        <w:keepNext/>
        <w:ind w:left="360"/>
        <w:jc w:val="center"/>
      </w:pPr>
      <w:r w:rsidRPr="008822E0">
        <w:rPr>
          <w:noProof/>
          <w:lang w:eastAsia="sl-SI"/>
        </w:rPr>
        <w:drawing>
          <wp:inline distT="0" distB="0" distL="0" distR="0" wp14:anchorId="674D0B89" wp14:editId="11C06D80">
            <wp:extent cx="3584575" cy="25165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584575" cy="2516505"/>
                    </a:xfrm>
                    <a:prstGeom prst="rect">
                      <a:avLst/>
                    </a:prstGeom>
                    <a:noFill/>
                    <a:ln>
                      <a:noFill/>
                    </a:ln>
                  </pic:spPr>
                </pic:pic>
              </a:graphicData>
            </a:graphic>
          </wp:inline>
        </w:drawing>
      </w:r>
    </w:p>
    <w:p w14:paraId="5D344291" w14:textId="5DC6DD63" w:rsidR="00EB25A5" w:rsidRDefault="00A71050" w:rsidP="00A71050">
      <w:pPr>
        <w:pStyle w:val="Napis"/>
        <w:jc w:val="left"/>
        <w:rPr>
          <w:b/>
          <w:color w:val="203B88"/>
          <w:sz w:val="32"/>
          <w:szCs w:val="32"/>
        </w:rPr>
      </w:pPr>
      <w:bookmarkStart w:id="587" w:name="_Toc97026940"/>
      <w:r>
        <w:t xml:space="preserve">Slika </w:t>
      </w:r>
      <w:r w:rsidR="008334B2">
        <w:fldChar w:fldCharType="begin"/>
      </w:r>
      <w:r w:rsidR="008334B2">
        <w:instrText xml:space="preserve"> STYLEREF 1 \s </w:instrText>
      </w:r>
      <w:r w:rsidR="008334B2">
        <w:fldChar w:fldCharType="separate"/>
      </w:r>
      <w:r w:rsidR="008334B2">
        <w:rPr>
          <w:noProof/>
        </w:rPr>
        <w:t>8</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11</w:t>
      </w:r>
      <w:r w:rsidR="008334B2">
        <w:fldChar w:fldCharType="end"/>
      </w:r>
      <w:r>
        <w:t xml:space="preserve">: </w:t>
      </w:r>
      <w:r w:rsidRPr="00F90617">
        <w:t>Projekcije gibanja potencialnih površin gozdov za sanitarno sečnjo zaradi žleda v Mestni občini Nova Gorica za tri scenarije podnebnih sprememb za obdobje 1981–2100 (Ogris 2007)</w:t>
      </w:r>
      <w:r>
        <w:t>.</w:t>
      </w:r>
      <w:bookmarkEnd w:id="587"/>
      <w:r w:rsidR="00EB25A5">
        <w:rPr>
          <w:b/>
          <w:color w:val="203B88"/>
          <w:sz w:val="32"/>
          <w:szCs w:val="32"/>
        </w:rPr>
        <w:br w:type="page"/>
      </w:r>
    </w:p>
    <w:p w14:paraId="1B1C3C19" w14:textId="49DBD76E" w:rsidR="00EB25A5" w:rsidRPr="000F501D" w:rsidRDefault="00EB25A5" w:rsidP="000F501D">
      <w:pPr>
        <w:pStyle w:val="Naslov3"/>
      </w:pPr>
      <w:bookmarkStart w:id="588" w:name="_Ref75844362"/>
      <w:bookmarkStart w:id="589" w:name="_Toc97026826"/>
      <w:r w:rsidRPr="000F501D">
        <w:lastRenderedPageBreak/>
        <w:t>Priloga</w:t>
      </w:r>
      <w:r w:rsidR="000F501D" w:rsidRPr="000F501D">
        <w:t xml:space="preserve">: </w:t>
      </w:r>
      <w:r w:rsidRPr="000F501D">
        <w:t xml:space="preserve">Napoved sanitarne sečnje zaradi podlubnikov v obdobju 2091–2100 za Mestno občino </w:t>
      </w:r>
      <w:r w:rsidR="00A71050">
        <w:t>Nova Gorica</w:t>
      </w:r>
      <w:bookmarkEnd w:id="588"/>
      <w:bookmarkEnd w:id="589"/>
    </w:p>
    <w:p w14:paraId="77667CCD" w14:textId="77777777" w:rsidR="00A71050" w:rsidRPr="008822E0" w:rsidRDefault="00A71050" w:rsidP="00A71050">
      <w:r w:rsidRPr="008822E0">
        <w:t xml:space="preserve">Ogris (2007) je izdelal projekcije pojavljanja sanitarnih sečenj zaradi podlubnikov do konca 21. stoletja za tri različne scenarije podnebnih sprememb, ki jih je izdelal Bergant (2006, 2007). Pripravljene so napovedi za temperaturo, padavine in </w:t>
      </w:r>
      <w:proofErr w:type="spellStart"/>
      <w:r w:rsidRPr="008822E0">
        <w:t>evapotranspiracijo</w:t>
      </w:r>
      <w:proofErr w:type="spellEnd"/>
      <w:r w:rsidRPr="008822E0">
        <w:t xml:space="preserve">. Scenariji so sestavljeni kot mesečna povprečja 30-letnih obdobij z razmikom 10 let v obdobju 1961–2100 za devet krajev v Sloveniji: Ljubljana, Novo mesto, Maribor, Murska Sobota, Rateče-Planica, Postojna, Slap pri Vipavi, Bilje in Portorož. Temperature so v °C, </w:t>
      </w:r>
      <w:proofErr w:type="spellStart"/>
      <w:r w:rsidRPr="008822E0">
        <w:t>evapotranspiracija</w:t>
      </w:r>
      <w:proofErr w:type="spellEnd"/>
      <w:r w:rsidRPr="008822E0">
        <w:t xml:space="preserve"> in padavine pa v mm dan</w:t>
      </w:r>
      <w:r w:rsidRPr="008822E0">
        <w:rPr>
          <w:vertAlign w:val="superscript"/>
        </w:rPr>
        <w:t>–1</w:t>
      </w:r>
      <w:r w:rsidRPr="008822E0">
        <w:t>. Scenariji posameznih podnebnih spremenljivk nosijo oznake MIN, AVG in MAX. Scenarij AVG pomeni mediano vseh napovedi vseh modelov in scenarijev emisij, MAX pa maksimum in MIN minimum. Z drugimi besedami: AVG pomeni srednjo vrednost vseh scenarijev, MIN in MAX pa naj bi bila maksimalen razpon glede na vse scenarije (Ogris, 2007a).</w:t>
      </w:r>
    </w:p>
    <w:p w14:paraId="31CEBED5" w14:textId="77777777" w:rsidR="00A71050" w:rsidRPr="008822E0" w:rsidRDefault="00A71050" w:rsidP="00A71050">
      <w:r w:rsidRPr="008822E0">
        <w:t xml:space="preserve">V raziskavi uporabljamo tri scenarije podnebnih sprememb z oznakami A, B in C. Scenarij A je optimistični scenarij in upošteva kombinacijo MIN temperature, MIN </w:t>
      </w:r>
      <w:proofErr w:type="spellStart"/>
      <w:r w:rsidRPr="008822E0">
        <w:t>evapotranspiracije</w:t>
      </w:r>
      <w:proofErr w:type="spellEnd"/>
      <w:r w:rsidRPr="008822E0">
        <w:t xml:space="preserve"> in MAX padavin. Scenarij B je srednji scenarij, pri katerem smo upoštevali kombinacijo AVG temperature, AVG padavin in AVG </w:t>
      </w:r>
      <w:proofErr w:type="spellStart"/>
      <w:r w:rsidRPr="008822E0">
        <w:t>evapotranspiracije</w:t>
      </w:r>
      <w:proofErr w:type="spellEnd"/>
      <w:r w:rsidRPr="008822E0">
        <w:t xml:space="preserve">. Scenarij C je pesimistični scenarij, ki je sestavljen iz kombinacije MAX temperature, MAX </w:t>
      </w:r>
      <w:proofErr w:type="spellStart"/>
      <w:r w:rsidRPr="008822E0">
        <w:t>evapotranspiracije</w:t>
      </w:r>
      <w:proofErr w:type="spellEnd"/>
      <w:r w:rsidRPr="008822E0">
        <w:t xml:space="preserve"> in MIN padavin. V optimističnem scenariju je indeks sušnosti izražen kot kvocient med MIN </w:t>
      </w:r>
      <w:proofErr w:type="spellStart"/>
      <w:r w:rsidRPr="008822E0">
        <w:t>evapotranspiracije</w:t>
      </w:r>
      <w:proofErr w:type="spellEnd"/>
      <w:r w:rsidRPr="008822E0">
        <w:t xml:space="preserve"> in MAX padavin, v srednjem scenariju kot AVG </w:t>
      </w:r>
      <w:proofErr w:type="spellStart"/>
      <w:r w:rsidRPr="008822E0">
        <w:t>evapotranspiracije</w:t>
      </w:r>
      <w:proofErr w:type="spellEnd"/>
      <w:r w:rsidRPr="008822E0">
        <w:t xml:space="preserve"> in AVG padavin, v pesimističnem scenariju pa kot MAX </w:t>
      </w:r>
      <w:proofErr w:type="spellStart"/>
      <w:r w:rsidRPr="008822E0">
        <w:t>evapotranspiracije</w:t>
      </w:r>
      <w:proofErr w:type="spellEnd"/>
      <w:r w:rsidRPr="008822E0">
        <w:t xml:space="preserve"> in MIN padavin. Scenariji so navedeni kot 30-letna povprečja s korakom po 10 let (1961–1990, 1971–2000, ..., 2071–2100) (Ogris, 2007a).</w:t>
      </w:r>
    </w:p>
    <w:p w14:paraId="637BBCAE" w14:textId="77777777" w:rsidR="00A71050" w:rsidRPr="008822E0" w:rsidRDefault="00A71050" w:rsidP="00A71050">
      <w:r w:rsidRPr="008822E0">
        <w:t>Zanesljivost regresijskih dreves merimo s korelacijskim koeficientom, klasifikacijskih dreves pa s koeficientom kapa. Korelacijski koeficient za model ocenjevanja sanitarnih sečenj zaradi žuželk r = 0,67 (Ogris, 2007a).</w:t>
      </w:r>
    </w:p>
    <w:p w14:paraId="1D024E1B" w14:textId="77777777" w:rsidR="00A71050" w:rsidRPr="008822E0" w:rsidRDefault="00A71050" w:rsidP="00A71050">
      <w:r w:rsidRPr="008822E0">
        <w:t xml:space="preserve">Iz porezanega regresijskega drevesa za sanitarno sečnjo zaradi žuželk lahko ugotovimo, da je najodločilnejša spremenljivka s2_11, ki podaja količino sanitarne sečnje zaradi vseh vzrokov razen žuželk izraženo v deležu lesne zaloge celice modela. V isto kategorijo spadata še spremenljivki s306 in s305, ki izražata sanitarni posek zaradi žledu in snega; nahajata se v tretjem in četrtem nivoju regresijskega drevesa. Vse tri spremenljivke posredno opisujejo trofično kapaciteto gozda za žuželke. Na drugem mestu pomembnosti sta spremenljivki DV11 in ETP0, ki podajata delež smreke v celici modela in letno referenčno </w:t>
      </w:r>
      <w:proofErr w:type="spellStart"/>
      <w:r w:rsidRPr="008822E0">
        <w:t>evapotranspiracijo</w:t>
      </w:r>
      <w:proofErr w:type="spellEnd"/>
      <w:r w:rsidRPr="008822E0">
        <w:t xml:space="preserve">. Znano je, da med žuželkami največ škode povzročajo podlubniki na smreki. Zato je verjetno odločilno, koliko je smreke v določenem območju, da nastanejo poškodbe zaradi podlubnikov. Poleg spremenljivke ETP0 se v porezanem regresijskem drevesu nahajajo še druge spremenljivke, ki so povezane s sušnim stresom, t. j. sušnost v juliju in avgustu (SUS78), količina padavin v juliju (PAD7), </w:t>
      </w:r>
      <w:proofErr w:type="spellStart"/>
      <w:r w:rsidRPr="008822E0">
        <w:t>evapotranspiracija</w:t>
      </w:r>
      <w:proofErr w:type="spellEnd"/>
      <w:r w:rsidRPr="008822E0">
        <w:t xml:space="preserve"> v juniju (ETP6), </w:t>
      </w:r>
      <w:proofErr w:type="spellStart"/>
      <w:r w:rsidRPr="008822E0">
        <w:t>kvaziglobalno</w:t>
      </w:r>
      <w:proofErr w:type="spellEnd"/>
      <w:r w:rsidRPr="008822E0">
        <w:t xml:space="preserve"> obsevanje v maju in juniju (KVG5, KVG6). Močna zasedenost spremenljivk v regresijskem drevesu, ki so povezane s sušnim stresom, nakazujejo, kako pomemben je sušni stres kot predpogoj za napad podlubnikov. V nižjih nivojih regresijskega drevesa se nahajajo spremenljivke: povprečni delež organske snovi v tleh (OS), delež kostanja (DV55), delež trepetlike (DV81), delež gozda v celici modela (GOZD). Vse slednje spremenljivke podrobneje odločajo, kateri linearni model se uporabi pri izračunu sanitarne sečnje zaradi žuželk (Ogris, 2007a).</w:t>
      </w:r>
    </w:p>
    <w:p w14:paraId="7C7B350D" w14:textId="77777777" w:rsidR="00A71050" w:rsidRPr="008822E0" w:rsidRDefault="00A71050" w:rsidP="00A71050">
      <w:r w:rsidRPr="008822E0">
        <w:t xml:space="preserve">V modelu za ocenjevanje sanitarne sečnje zaradi žuželk so zelo pomembne spremenljivke, ki podajajo drevesno sestavo. Kar 11 spremenljivk od najpomembnejših 20 je vezano na delež </w:t>
      </w:r>
      <w:r w:rsidRPr="008822E0">
        <w:lastRenderedPageBreak/>
        <w:t xml:space="preserve">drevesne vrste v celici modela. Od teh je najpomembnejši delež smreke. To je razumljivo, saj je znano, da večino poškodb v sanitarni sečnji zaradi žuželk povzročajo smrekovi in jelovi podlubniki. Na drugem mestu pomembnosti so spremenljivke, ki opisujejo talne tipe. To lahko razložimo z zgodovinskim dejstvom, da je smreka bila pospeševana po celem območju Slovenije – tudi na neavtohtonih rastiščih. Eden najpomembnejših rastiščnih dejavnikov so talni tip. To dejstvo, da je </w:t>
      </w:r>
      <w:proofErr w:type="spellStart"/>
      <w:r w:rsidRPr="008822E0">
        <w:t>ReliefF</w:t>
      </w:r>
      <w:proofErr w:type="spellEnd"/>
      <w:r w:rsidRPr="008822E0">
        <w:t xml:space="preserve"> postavil talne tipe tako visoko v ranžirni vrsti, morda dokazuje, da je predpogoj za izločanje smreke in jelke zaradi podlubnikov na nekem območju prav talni tip, t. j. neustrezno rastišče. Med najpomembnejšimi 20. spremenljivkami v modelu za žuželke sta še količina dušika in fosforja v tleh (Ogris, 2007a).</w:t>
      </w:r>
    </w:p>
    <w:p w14:paraId="1DAF2C5C" w14:textId="77777777" w:rsidR="00A71050" w:rsidRPr="008822E0" w:rsidRDefault="00A71050" w:rsidP="00A71050">
      <w:pPr>
        <w:rPr>
          <w:b/>
          <w:bCs/>
        </w:rPr>
      </w:pPr>
      <w:r w:rsidRPr="008822E0">
        <w:rPr>
          <w:b/>
          <w:bCs/>
        </w:rPr>
        <w:t>Raven celotne Slovenije (povzeto po Ogris, 2007)</w:t>
      </w:r>
    </w:p>
    <w:p w14:paraId="644589FB" w14:textId="77777777" w:rsidR="00A71050" w:rsidRPr="008822E0" w:rsidRDefault="00A71050" w:rsidP="00A71050">
      <w:r w:rsidRPr="008822E0">
        <w:t>Rezultati modela za ocenjevanje potencialnih sanitarnih sečenj zaradi žuželk nakazujejo na to, da se bo intenzivnost poškodb zaradi žuželk najbolj povečala v scenariju C, manj v scenariju B in najmanj v scenariju A podnebnih sprememb. V scenariju A je projekcija povečanje povprečnih potencialnih poškodb zaradi žuželk, in sicer za 0,025 % v lesni zalogi na 10 let oz. 3,2 % več poškodb na 10 let glede na povprečni podatek iz referenčnega obdobja 1995–2005. Po scenariju B se bo potencialni sanitarni posek zaradi žuželk povprečno povečeval za 4,1 %, po scenariju C pa za 7,9 % na 10 let glede na referenčno obdobje (Ogris, 2007a).</w:t>
      </w:r>
    </w:p>
    <w:p w14:paraId="5ACB43BD" w14:textId="12EBC2FF" w:rsidR="00A71050" w:rsidRPr="008822E0" w:rsidRDefault="00A71050" w:rsidP="00A71050">
      <w:r w:rsidRPr="008822E0">
        <w:t>Zagon modela za ocenjevanje poškodb zaradi žuželk v scenariju A kaže zmanjševanje, pri scenarijih B in C pa večanje potencialno dovzetnih površin za poškodbe zaradi žuželk. Po scenariju C je trend večanja povprečno 150 km</w:t>
      </w:r>
      <w:r w:rsidRPr="008822E0">
        <w:rPr>
          <w:vertAlign w:val="superscript"/>
        </w:rPr>
        <w:t>2</w:t>
      </w:r>
      <w:r w:rsidRPr="008822E0">
        <w:t xml:space="preserve"> na 10 let, izraženo v indeksu povprečnih sprememb potencialnih površin je to 3,1 % na 10 let glede na površino, ki so jo žuželke prizadele v obdobju 1995–2005 (</w:t>
      </w:r>
      <w:r w:rsidR="006B79A0">
        <w:fldChar w:fldCharType="begin"/>
      </w:r>
      <w:r w:rsidR="006B79A0">
        <w:instrText xml:space="preserve"> REF _Ref74908502 \h </w:instrText>
      </w:r>
      <w:r w:rsidR="006B79A0">
        <w:fldChar w:fldCharType="separate"/>
      </w:r>
      <w:r w:rsidR="004700D5">
        <w:t xml:space="preserve">Slika </w:t>
      </w:r>
      <w:r w:rsidR="004700D5">
        <w:rPr>
          <w:noProof/>
        </w:rPr>
        <w:t>8</w:t>
      </w:r>
      <w:r w:rsidR="004700D5">
        <w:t>.</w:t>
      </w:r>
      <w:r w:rsidR="004700D5">
        <w:rPr>
          <w:noProof/>
        </w:rPr>
        <w:t>12</w:t>
      </w:r>
      <w:r w:rsidR="006B79A0">
        <w:fldChar w:fldCharType="end"/>
      </w:r>
      <w:r w:rsidRPr="008822E0">
        <w:t>) (Ogris, 2007a).</w:t>
      </w:r>
    </w:p>
    <w:p w14:paraId="42F29688" w14:textId="77777777" w:rsidR="00A71050" w:rsidRPr="008822E0" w:rsidRDefault="00A71050" w:rsidP="00A71050">
      <w:r w:rsidRPr="008822E0">
        <w:t>Površina potencialnih sanitarnih sečenj zaradi žuželk se bo predvidoma najbolj povečala v GGO Slovenj Gradec, Tolmin, Nazarje in Postojna. V dveh GGO se bo površina s potencialno sanitarno sečnjo zaradi žuželk verjetno precej zmanjšala, t. j. v GGO Murska Sobota in Sežana. Iz prostorskega prikaza projekcij je mogoče ugotoviti, da se bodo potencialne poškodbe zaradi žuželk povečale na severu države in na splošno se bo verjetno intenzivnost potencialnih poškodb zaradi žuželk premaknila v smeri proti severu (Ogris, 2007a).</w:t>
      </w:r>
    </w:p>
    <w:p w14:paraId="6F85B652" w14:textId="77777777" w:rsidR="00A71050" w:rsidRPr="008822E0" w:rsidRDefault="00A71050" w:rsidP="00A71050">
      <w:r w:rsidRPr="008822E0">
        <w:t>Opomba: Izkušnje iz zadnjega obdobje 2012–2018, ko se je zgodilo veliko neravnih nesreč (žledolom 2014, vetrolom 2017, 2018, snegolom), kažejo na drastično povečanje sanitarne sečnje zaradi podlubnikov po teh naravnih nesrečah. Ob predpostavki, da se bo frekvenca naravnih nesreč v obliki žledolomov, vetrolomov in snegolomov povečala, je zgornja ocena ogroženosti gozdov zaradi podlubnikov močno podcenjena, vsaj za 10</w:t>
      </w:r>
      <w:r>
        <w:t>-</w:t>
      </w:r>
      <w:r w:rsidRPr="008822E0">
        <w:t xml:space="preserve">krat. Ranljivost in tveganje zaradi podlubnikov se v slednjem primeru drastično poveča. </w:t>
      </w:r>
    </w:p>
    <w:p w14:paraId="43DD60AE" w14:textId="77777777" w:rsidR="00A71050" w:rsidRPr="008822E0" w:rsidRDefault="00A71050" w:rsidP="00A71050">
      <w:pPr>
        <w:rPr>
          <w:b/>
          <w:bCs/>
        </w:rPr>
      </w:pPr>
      <w:r w:rsidRPr="008822E0">
        <w:rPr>
          <w:b/>
          <w:bCs/>
        </w:rPr>
        <w:t>Mestna občina Nova Gorica</w:t>
      </w:r>
    </w:p>
    <w:p w14:paraId="1ED2B9DF" w14:textId="40844B60" w:rsidR="00A71050" w:rsidRPr="008822E0" w:rsidRDefault="00A71050" w:rsidP="00A71050">
      <w:r w:rsidRPr="008822E0">
        <w:t>V scenarij B podnebnih sprememb je modelski izračun za Mestno občino Nova Gorica predvidel približno enako potencialno ogroženo površino gozdov, kjer bi lahko prišlo do sanitarne sečnje dreves zaradi podlubnikov v vsem obravnavanem obdobju do leta 2100 (</w:t>
      </w:r>
      <w:r>
        <w:fldChar w:fldCharType="begin"/>
      </w:r>
      <w:r>
        <w:instrText xml:space="preserve"> REF _Ref74296376 \h </w:instrText>
      </w:r>
      <w:r>
        <w:fldChar w:fldCharType="separate"/>
      </w:r>
      <w:r w:rsidR="004700D5">
        <w:t xml:space="preserve">Slika </w:t>
      </w:r>
      <w:r w:rsidR="004700D5">
        <w:rPr>
          <w:noProof/>
        </w:rPr>
        <w:t>8</w:t>
      </w:r>
      <w:r w:rsidR="004700D5">
        <w:t>.</w:t>
      </w:r>
      <w:r w:rsidR="004700D5">
        <w:rPr>
          <w:noProof/>
        </w:rPr>
        <w:t>13</w:t>
      </w:r>
      <w:r>
        <w:fldChar w:fldCharType="end"/>
      </w:r>
      <w:r w:rsidRPr="008822E0">
        <w:t>). Rezultati modela po scenariju C so predvideli do leta 2010 6 % dvig površin, kjer se bi lahko zgodila sanitarna sečnja zaradi podlubnikov. Po scenariju A je model napovedal nekoliko zmanjšanje ogroženih površin, vendar po letu 2070 se bi raven ogroženih površin izenačila s scenarijem C. Ranljivi so predvsem gozdovi na južnih obronkih Trnovskega gozda.</w:t>
      </w:r>
    </w:p>
    <w:p w14:paraId="08536D67" w14:textId="77777777" w:rsidR="006B79A0" w:rsidRDefault="00A71050" w:rsidP="006B79A0">
      <w:pPr>
        <w:keepNext/>
        <w:ind w:left="426"/>
        <w:jc w:val="center"/>
      </w:pPr>
      <w:r w:rsidRPr="008822E0">
        <w:rPr>
          <w:noProof/>
          <w:lang w:eastAsia="sl-SI"/>
        </w:rPr>
        <w:lastRenderedPageBreak/>
        <w:drawing>
          <wp:inline distT="0" distB="0" distL="0" distR="0" wp14:anchorId="7AAC6E10" wp14:editId="440756D8">
            <wp:extent cx="3953543" cy="2848505"/>
            <wp:effectExtent l="0" t="0" r="0" b="9525"/>
            <wp:docPr id="30" name="Picture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287">
                      <a:extLst>
                        <a:ext uri="{28A0092B-C50C-407E-A947-70E740481C1C}">
                          <a14:useLocalDpi xmlns:a14="http://schemas.microsoft.com/office/drawing/2010/main" val="0"/>
                        </a:ext>
                      </a:extLst>
                    </a:blip>
                    <a:stretch>
                      <a:fillRect/>
                    </a:stretch>
                  </pic:blipFill>
                  <pic:spPr>
                    <a:xfrm>
                      <a:off x="0" y="0"/>
                      <a:ext cx="3953543" cy="2848505"/>
                    </a:xfrm>
                    <a:prstGeom prst="rect">
                      <a:avLst/>
                    </a:prstGeom>
                  </pic:spPr>
                </pic:pic>
              </a:graphicData>
            </a:graphic>
          </wp:inline>
        </w:drawing>
      </w:r>
    </w:p>
    <w:p w14:paraId="15315E81" w14:textId="42742286" w:rsidR="00A71050" w:rsidRPr="008822E0" w:rsidRDefault="006B79A0" w:rsidP="006B79A0">
      <w:pPr>
        <w:pStyle w:val="Napis"/>
        <w:jc w:val="center"/>
      </w:pPr>
      <w:bookmarkStart w:id="590" w:name="_Ref74908502"/>
      <w:bookmarkStart w:id="591" w:name="_Toc97026941"/>
      <w:r>
        <w:t xml:space="preserve">Slika </w:t>
      </w:r>
      <w:r w:rsidR="008334B2">
        <w:fldChar w:fldCharType="begin"/>
      </w:r>
      <w:r w:rsidR="008334B2">
        <w:instrText xml:space="preserve"> STYLEREF 1 \s </w:instrText>
      </w:r>
      <w:r w:rsidR="008334B2">
        <w:fldChar w:fldCharType="separate"/>
      </w:r>
      <w:r w:rsidR="008334B2">
        <w:rPr>
          <w:noProof/>
        </w:rPr>
        <w:t>8</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12</w:t>
      </w:r>
      <w:r w:rsidR="008334B2">
        <w:fldChar w:fldCharType="end"/>
      </w:r>
      <w:bookmarkEnd w:id="590"/>
      <w:r w:rsidRPr="0026626B">
        <w:t>. Napoved sanitarne sečnje zaradi podlubnikov za scenarij B podnebnih sprememb v obdobju 2091–2100 za Mestno občino Nova Gorica</w:t>
      </w:r>
      <w:bookmarkEnd w:id="591"/>
    </w:p>
    <w:p w14:paraId="71E430F1" w14:textId="77777777" w:rsidR="00A71050" w:rsidRDefault="00A71050" w:rsidP="00A71050">
      <w:pPr>
        <w:keepNext/>
        <w:ind w:left="426"/>
        <w:jc w:val="center"/>
      </w:pPr>
      <w:r w:rsidRPr="008822E0">
        <w:rPr>
          <w:noProof/>
          <w:lang w:eastAsia="sl-SI"/>
        </w:rPr>
        <w:drawing>
          <wp:inline distT="0" distB="0" distL="0" distR="0" wp14:anchorId="689B8032" wp14:editId="3091F54D">
            <wp:extent cx="3584575" cy="251650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584575" cy="2516505"/>
                    </a:xfrm>
                    <a:prstGeom prst="rect">
                      <a:avLst/>
                    </a:prstGeom>
                    <a:noFill/>
                    <a:ln>
                      <a:noFill/>
                    </a:ln>
                  </pic:spPr>
                </pic:pic>
              </a:graphicData>
            </a:graphic>
          </wp:inline>
        </w:drawing>
      </w:r>
    </w:p>
    <w:p w14:paraId="5A3692D9" w14:textId="5DCE2F90" w:rsidR="00A71050" w:rsidRPr="008822E0" w:rsidRDefault="00A71050" w:rsidP="00A71050">
      <w:pPr>
        <w:pStyle w:val="Napis"/>
        <w:jc w:val="left"/>
        <w:rPr>
          <w:rFonts w:ascii="Trebuchet MS" w:hAnsi="Trebuchet MS"/>
        </w:rPr>
      </w:pPr>
      <w:bookmarkStart w:id="592" w:name="_Ref74296376"/>
      <w:bookmarkStart w:id="593" w:name="_Ref74296176"/>
      <w:bookmarkStart w:id="594" w:name="_Toc97026942"/>
      <w:r>
        <w:t xml:space="preserve">Slika </w:t>
      </w:r>
      <w:r w:rsidR="008334B2">
        <w:fldChar w:fldCharType="begin"/>
      </w:r>
      <w:r w:rsidR="008334B2">
        <w:instrText xml:space="preserve"> STYLEREF 1 \s </w:instrText>
      </w:r>
      <w:r w:rsidR="008334B2">
        <w:fldChar w:fldCharType="separate"/>
      </w:r>
      <w:r w:rsidR="008334B2">
        <w:rPr>
          <w:noProof/>
        </w:rPr>
        <w:t>8</w:t>
      </w:r>
      <w:r w:rsidR="008334B2">
        <w:fldChar w:fldCharType="end"/>
      </w:r>
      <w:r w:rsidR="008334B2">
        <w:t>.</w:t>
      </w:r>
      <w:r w:rsidR="008334B2">
        <w:fldChar w:fldCharType="begin"/>
      </w:r>
      <w:r w:rsidR="008334B2">
        <w:instrText xml:space="preserve"> SEQ Slika \* ARABIC \s 1 </w:instrText>
      </w:r>
      <w:r w:rsidR="008334B2">
        <w:fldChar w:fldCharType="separate"/>
      </w:r>
      <w:r w:rsidR="008334B2">
        <w:rPr>
          <w:noProof/>
        </w:rPr>
        <w:t>13</w:t>
      </w:r>
      <w:r w:rsidR="008334B2">
        <w:fldChar w:fldCharType="end"/>
      </w:r>
      <w:bookmarkEnd w:id="592"/>
      <w:r>
        <w:t xml:space="preserve">: </w:t>
      </w:r>
      <w:r w:rsidRPr="00DB517A">
        <w:t>Projekcije gibanja potencialnih površin za sanitarno sečnjo zaradi podlubnikov v Mestni občini Nova Gorica za tri scenarije podnebnih sprememb za obdobje 1981–2100</w:t>
      </w:r>
      <w:r>
        <w:t>.</w:t>
      </w:r>
      <w:bookmarkEnd w:id="593"/>
      <w:bookmarkEnd w:id="594"/>
    </w:p>
    <w:p w14:paraId="461502E5" w14:textId="0EC6CC00" w:rsidR="00746F5D" w:rsidRDefault="00746F5D">
      <w:pPr>
        <w:jc w:val="left"/>
      </w:pPr>
      <w:r>
        <w:br w:type="page"/>
      </w:r>
    </w:p>
    <w:p w14:paraId="246457BE" w14:textId="3A583332" w:rsidR="00746F5D" w:rsidRDefault="00746F5D" w:rsidP="00746F5D">
      <w:pPr>
        <w:pStyle w:val="Naslov2"/>
      </w:pPr>
      <w:bookmarkStart w:id="595" w:name="_Toc97026827"/>
      <w:r>
        <w:lastRenderedPageBreak/>
        <w:t>Priloga 3: Zdravstvo</w:t>
      </w:r>
      <w:bookmarkEnd w:id="595"/>
    </w:p>
    <w:p w14:paraId="54FE4BCB" w14:textId="0167861B" w:rsidR="00746F5D" w:rsidRDefault="00746F5D" w:rsidP="00746F5D">
      <w:pPr>
        <w:pStyle w:val="Naslov3"/>
      </w:pPr>
      <w:bookmarkStart w:id="596" w:name="_Ref74911472"/>
      <w:bookmarkStart w:id="597" w:name="_Toc97026828"/>
      <w:r>
        <w:t>Nekateri vir podatkov</w:t>
      </w:r>
      <w:bookmarkEnd w:id="596"/>
      <w:bookmarkEnd w:id="597"/>
    </w:p>
    <w:tbl>
      <w:tblPr>
        <w:tblStyle w:val="Tabelamrea"/>
        <w:tblW w:w="0" w:type="auto"/>
        <w:tblLook w:val="04A0" w:firstRow="1" w:lastRow="0" w:firstColumn="1" w:lastColumn="0" w:noHBand="0" w:noVBand="1"/>
      </w:tblPr>
      <w:tblGrid>
        <w:gridCol w:w="1595"/>
        <w:gridCol w:w="3505"/>
        <w:gridCol w:w="4528"/>
      </w:tblGrid>
      <w:tr w:rsidR="00746F5D" w14:paraId="7C2051EF" w14:textId="77777777" w:rsidTr="00FF0031">
        <w:trPr>
          <w:trHeight w:val="300"/>
        </w:trPr>
        <w:tc>
          <w:tcPr>
            <w:tcW w:w="5680" w:type="dxa"/>
            <w:noWrap/>
          </w:tcPr>
          <w:p w14:paraId="6C4EF031" w14:textId="77777777" w:rsidR="00746F5D" w:rsidRDefault="00746F5D" w:rsidP="00FF0031">
            <w:pPr>
              <w:rPr>
                <w:b/>
                <w:bCs/>
                <w:lang w:val="en-US"/>
              </w:rPr>
            </w:pPr>
            <w:r>
              <w:rPr>
                <w:b/>
                <w:bCs/>
              </w:rPr>
              <w:t>Kazalnik</w:t>
            </w:r>
          </w:p>
        </w:tc>
        <w:tc>
          <w:tcPr>
            <w:tcW w:w="13240" w:type="dxa"/>
            <w:noWrap/>
          </w:tcPr>
          <w:p w14:paraId="2B618B27" w14:textId="77777777" w:rsidR="00746F5D" w:rsidRDefault="00746F5D" w:rsidP="00FF0031">
            <w:pPr>
              <w:rPr>
                <w:b/>
                <w:bCs/>
              </w:rPr>
            </w:pPr>
            <w:r>
              <w:rPr>
                <w:b/>
                <w:bCs/>
              </w:rPr>
              <w:t>Opis, enota, leto</w:t>
            </w:r>
          </w:p>
        </w:tc>
        <w:tc>
          <w:tcPr>
            <w:tcW w:w="4960" w:type="dxa"/>
            <w:noWrap/>
          </w:tcPr>
          <w:p w14:paraId="58241AAD" w14:textId="77777777" w:rsidR="00746F5D" w:rsidRDefault="00746F5D" w:rsidP="00FF0031">
            <w:pPr>
              <w:rPr>
                <w:b/>
                <w:bCs/>
              </w:rPr>
            </w:pPr>
            <w:r>
              <w:rPr>
                <w:b/>
                <w:bCs/>
              </w:rPr>
              <w:t>Vir podatkov</w:t>
            </w:r>
          </w:p>
        </w:tc>
      </w:tr>
      <w:tr w:rsidR="00746F5D" w14:paraId="03763394" w14:textId="77777777" w:rsidTr="00FF0031">
        <w:trPr>
          <w:trHeight w:val="300"/>
        </w:trPr>
        <w:tc>
          <w:tcPr>
            <w:tcW w:w="5680" w:type="dxa"/>
            <w:noWrap/>
          </w:tcPr>
          <w:p w14:paraId="7EF43E06" w14:textId="77777777" w:rsidR="00746F5D" w:rsidRDefault="00746F5D" w:rsidP="00FF0031">
            <w:r>
              <w:t>Povprečna starost</w:t>
            </w:r>
          </w:p>
        </w:tc>
        <w:tc>
          <w:tcPr>
            <w:tcW w:w="13240" w:type="dxa"/>
            <w:noWrap/>
          </w:tcPr>
          <w:p w14:paraId="7AFC6449" w14:textId="77777777" w:rsidR="00746F5D" w:rsidRDefault="00746F5D" w:rsidP="00FF0031">
            <w:r>
              <w:t>SURS, 2019</w:t>
            </w:r>
          </w:p>
        </w:tc>
        <w:tc>
          <w:tcPr>
            <w:tcW w:w="4960" w:type="dxa"/>
            <w:noWrap/>
          </w:tcPr>
          <w:p w14:paraId="3FA04B51" w14:textId="77777777" w:rsidR="00746F5D" w:rsidRDefault="00746F5D" w:rsidP="00FF0031">
            <w:r>
              <w:t>https://gis.stat.si/#</w:t>
            </w:r>
          </w:p>
        </w:tc>
      </w:tr>
      <w:tr w:rsidR="00746F5D" w14:paraId="0FB9476A" w14:textId="77777777" w:rsidTr="00FF0031">
        <w:trPr>
          <w:trHeight w:val="300"/>
        </w:trPr>
        <w:tc>
          <w:tcPr>
            <w:tcW w:w="5680" w:type="dxa"/>
            <w:noWrap/>
          </w:tcPr>
          <w:p w14:paraId="68A55D60" w14:textId="77777777" w:rsidR="00746F5D" w:rsidRDefault="00746F5D" w:rsidP="00FF0031">
            <w:r>
              <w:t>Vrednost indeksa staranja</w:t>
            </w:r>
          </w:p>
        </w:tc>
        <w:tc>
          <w:tcPr>
            <w:tcW w:w="13240" w:type="dxa"/>
            <w:noWrap/>
          </w:tcPr>
          <w:p w14:paraId="2AFC16F3" w14:textId="77777777" w:rsidR="00746F5D" w:rsidRDefault="00746F5D" w:rsidP="00FF0031">
            <w:r>
              <w:t>SURS, 2019</w:t>
            </w:r>
          </w:p>
        </w:tc>
        <w:tc>
          <w:tcPr>
            <w:tcW w:w="4960" w:type="dxa"/>
            <w:noWrap/>
          </w:tcPr>
          <w:p w14:paraId="24093169" w14:textId="77777777" w:rsidR="00746F5D" w:rsidRDefault="00746F5D" w:rsidP="00FF0031">
            <w:r>
              <w:t>https://gis.stat.si/#</w:t>
            </w:r>
          </w:p>
        </w:tc>
      </w:tr>
      <w:tr w:rsidR="00746F5D" w14:paraId="03CBEAA5" w14:textId="77777777" w:rsidTr="00FF0031">
        <w:trPr>
          <w:trHeight w:val="300"/>
        </w:trPr>
        <w:tc>
          <w:tcPr>
            <w:tcW w:w="5680" w:type="dxa"/>
            <w:noWrap/>
          </w:tcPr>
          <w:p w14:paraId="51F55ECF" w14:textId="77777777" w:rsidR="00746F5D" w:rsidRDefault="00746F5D" w:rsidP="00FF0031">
            <w:r>
              <w:t>Delež prebivalcev starih 65 let in več</w:t>
            </w:r>
          </w:p>
        </w:tc>
        <w:tc>
          <w:tcPr>
            <w:tcW w:w="13240" w:type="dxa"/>
            <w:noWrap/>
          </w:tcPr>
          <w:p w14:paraId="4D4318F8" w14:textId="77777777" w:rsidR="00746F5D" w:rsidRDefault="00746F5D" w:rsidP="00FF0031">
            <w:r>
              <w:t>SURS, 2019</w:t>
            </w:r>
          </w:p>
        </w:tc>
        <w:tc>
          <w:tcPr>
            <w:tcW w:w="4960" w:type="dxa"/>
            <w:noWrap/>
          </w:tcPr>
          <w:p w14:paraId="2221BFE8" w14:textId="77777777" w:rsidR="00746F5D" w:rsidRDefault="00746F5D" w:rsidP="00FF0031">
            <w:r>
              <w:t>https://gis.stat.si/#</w:t>
            </w:r>
          </w:p>
        </w:tc>
      </w:tr>
      <w:tr w:rsidR="00746F5D" w14:paraId="25384F4F" w14:textId="77777777" w:rsidTr="00FF0031">
        <w:trPr>
          <w:trHeight w:val="300"/>
        </w:trPr>
        <w:tc>
          <w:tcPr>
            <w:tcW w:w="5680" w:type="dxa"/>
            <w:noWrap/>
          </w:tcPr>
          <w:p w14:paraId="40F57ABB" w14:textId="77777777" w:rsidR="00746F5D" w:rsidRDefault="00746F5D" w:rsidP="00FF0031">
            <w:r>
              <w:t>Sosedska povezanost</w:t>
            </w:r>
          </w:p>
        </w:tc>
        <w:tc>
          <w:tcPr>
            <w:tcW w:w="13240" w:type="dxa"/>
            <w:noWrap/>
          </w:tcPr>
          <w:p w14:paraId="24723A04" w14:textId="77777777" w:rsidR="00746F5D" w:rsidRDefault="00746F5D" w:rsidP="00FF0031">
            <w:r>
              <w:t>Delež oseb, ki enostavno dobivajo sosedsko pomoč, kadar jo potrebujejo (NIJZ, 2014)</w:t>
            </w:r>
          </w:p>
        </w:tc>
        <w:tc>
          <w:tcPr>
            <w:tcW w:w="4960" w:type="dxa"/>
            <w:noWrap/>
          </w:tcPr>
          <w:p w14:paraId="4D287C60" w14:textId="3B78E367" w:rsidR="00746F5D" w:rsidRDefault="007A0276" w:rsidP="00FF0031">
            <w:pPr>
              <w:rPr>
                <w:u w:val="single"/>
              </w:rPr>
            </w:pPr>
            <w:hyperlink r:id="rId289" w:history="1">
              <w:r w:rsidR="00746F5D">
                <w:rPr>
                  <w:rStyle w:val="Hiperpovezava"/>
                </w:rPr>
                <w:t>http://obcine.nijz.si/</w:t>
              </w:r>
            </w:hyperlink>
          </w:p>
        </w:tc>
      </w:tr>
      <w:tr w:rsidR="00746F5D" w14:paraId="0A363572" w14:textId="77777777" w:rsidTr="00FF0031">
        <w:trPr>
          <w:trHeight w:val="300"/>
        </w:trPr>
        <w:tc>
          <w:tcPr>
            <w:tcW w:w="5680" w:type="dxa"/>
            <w:noWrap/>
          </w:tcPr>
          <w:p w14:paraId="7C475AC5" w14:textId="77777777" w:rsidR="00746F5D" w:rsidRDefault="00746F5D" w:rsidP="00FF0031">
            <w:r>
              <w:t xml:space="preserve">Telesni </w:t>
            </w:r>
            <w:proofErr w:type="spellStart"/>
            <w:r>
              <w:t>fitness</w:t>
            </w:r>
            <w:proofErr w:type="spellEnd"/>
            <w:r>
              <w:t xml:space="preserve"> otrok</w:t>
            </w:r>
          </w:p>
        </w:tc>
        <w:tc>
          <w:tcPr>
            <w:tcW w:w="13240" w:type="dxa"/>
            <w:noWrap/>
          </w:tcPr>
          <w:p w14:paraId="587225EF" w14:textId="77777777" w:rsidR="00746F5D" w:rsidRDefault="00746F5D" w:rsidP="00FF0031">
            <w:r>
              <w:t>Delež otrok med 6. in 15. letom starosti v posamezni slovenski občini, ki dosega ustrezno raven gibalne učinkovitosti (NIJZ, 2018)</w:t>
            </w:r>
          </w:p>
        </w:tc>
        <w:tc>
          <w:tcPr>
            <w:tcW w:w="4960" w:type="dxa"/>
            <w:noWrap/>
          </w:tcPr>
          <w:p w14:paraId="2E263118" w14:textId="27B8C6B4" w:rsidR="00746F5D" w:rsidRDefault="007A0276" w:rsidP="00FF0031">
            <w:pPr>
              <w:rPr>
                <w:u w:val="single"/>
              </w:rPr>
            </w:pPr>
            <w:hyperlink r:id="rId290" w:history="1">
              <w:r w:rsidR="00746F5D">
                <w:rPr>
                  <w:rStyle w:val="Hiperpovezava"/>
                </w:rPr>
                <w:t>http://obcine.nijz.si/</w:t>
              </w:r>
            </w:hyperlink>
          </w:p>
        </w:tc>
      </w:tr>
      <w:tr w:rsidR="00746F5D" w14:paraId="6CBF28B4" w14:textId="77777777" w:rsidTr="00FF0031">
        <w:trPr>
          <w:trHeight w:val="300"/>
        </w:trPr>
        <w:tc>
          <w:tcPr>
            <w:tcW w:w="5680" w:type="dxa"/>
            <w:noWrap/>
          </w:tcPr>
          <w:p w14:paraId="5CAD1414" w14:textId="77777777" w:rsidR="00746F5D" w:rsidRDefault="00746F5D" w:rsidP="00FF0031">
            <w:r>
              <w:t>Prekomerna prehranjenost otrok</w:t>
            </w:r>
          </w:p>
        </w:tc>
        <w:tc>
          <w:tcPr>
            <w:tcW w:w="13240" w:type="dxa"/>
            <w:noWrap/>
          </w:tcPr>
          <w:p w14:paraId="76E82FE9" w14:textId="77777777" w:rsidR="00746F5D" w:rsidRDefault="00746F5D" w:rsidP="00FF0031">
            <w:r>
              <w:t xml:space="preserve">Delež otrok in mladostnikov, ki ima indeks telesne mase nad mejno vrednostjo prekomerne prehranjenosti za ustrezno starost in torej zajame vse </w:t>
            </w:r>
            <w:proofErr w:type="spellStart"/>
            <w:r>
              <w:t>preddebele</w:t>
            </w:r>
            <w:proofErr w:type="spellEnd"/>
            <w:r>
              <w:t xml:space="preserve"> in debele (NIJZ, 2018)</w:t>
            </w:r>
          </w:p>
        </w:tc>
        <w:tc>
          <w:tcPr>
            <w:tcW w:w="4960" w:type="dxa"/>
            <w:noWrap/>
          </w:tcPr>
          <w:p w14:paraId="4482E605" w14:textId="76ABAA86" w:rsidR="00746F5D" w:rsidRDefault="007A0276" w:rsidP="00FF0031">
            <w:pPr>
              <w:rPr>
                <w:u w:val="single"/>
              </w:rPr>
            </w:pPr>
            <w:hyperlink r:id="rId291" w:history="1">
              <w:r w:rsidR="00746F5D">
                <w:rPr>
                  <w:rStyle w:val="Hiperpovezava"/>
                </w:rPr>
                <w:t>http://obcine.nijz.si/</w:t>
              </w:r>
            </w:hyperlink>
          </w:p>
        </w:tc>
      </w:tr>
      <w:tr w:rsidR="00746F5D" w14:paraId="3726EDE4" w14:textId="77777777" w:rsidTr="00FF0031">
        <w:trPr>
          <w:trHeight w:val="300"/>
        </w:trPr>
        <w:tc>
          <w:tcPr>
            <w:tcW w:w="5680" w:type="dxa"/>
            <w:noWrap/>
          </w:tcPr>
          <w:p w14:paraId="7C8967E4" w14:textId="77777777" w:rsidR="00746F5D" w:rsidRDefault="00746F5D" w:rsidP="00FF0031">
            <w:r>
              <w:t>MKB kakovost pitne vode</w:t>
            </w:r>
          </w:p>
        </w:tc>
        <w:tc>
          <w:tcPr>
            <w:tcW w:w="13240" w:type="dxa"/>
            <w:noWrap/>
          </w:tcPr>
          <w:p w14:paraId="3E638240" w14:textId="77777777" w:rsidR="00746F5D" w:rsidRDefault="00746F5D" w:rsidP="00FF0031">
            <w:r>
              <w:t>Delež prebivalcev, ki imajo dostop do pitne vode dobre mikrobiološke kakovosti (NIJZ, povprečje 2013-2017)</w:t>
            </w:r>
          </w:p>
        </w:tc>
        <w:tc>
          <w:tcPr>
            <w:tcW w:w="4960" w:type="dxa"/>
            <w:noWrap/>
          </w:tcPr>
          <w:p w14:paraId="0A88A4CC" w14:textId="32B9CD4B" w:rsidR="00746F5D" w:rsidRDefault="007A0276" w:rsidP="00FF0031">
            <w:pPr>
              <w:rPr>
                <w:u w:val="single"/>
              </w:rPr>
            </w:pPr>
            <w:hyperlink r:id="rId292" w:history="1">
              <w:r w:rsidR="00746F5D">
                <w:rPr>
                  <w:rStyle w:val="Hiperpovezava"/>
                </w:rPr>
                <w:t>http://obcine.nijz.si/</w:t>
              </w:r>
            </w:hyperlink>
          </w:p>
        </w:tc>
      </w:tr>
      <w:tr w:rsidR="00746F5D" w14:paraId="5A9B4928" w14:textId="77777777" w:rsidTr="00FF0031">
        <w:trPr>
          <w:trHeight w:val="300"/>
        </w:trPr>
        <w:tc>
          <w:tcPr>
            <w:tcW w:w="5680" w:type="dxa"/>
            <w:noWrap/>
          </w:tcPr>
          <w:p w14:paraId="6B811E1D" w14:textId="77777777" w:rsidR="00746F5D" w:rsidRDefault="00746F5D" w:rsidP="00FF0031">
            <w:r>
              <w:t>Astma pri otrocih in mladostnikih, starih 0 - 19 let</w:t>
            </w:r>
          </w:p>
        </w:tc>
        <w:tc>
          <w:tcPr>
            <w:tcW w:w="13240" w:type="dxa"/>
            <w:noWrap/>
          </w:tcPr>
          <w:p w14:paraId="536D3A04" w14:textId="77777777" w:rsidR="00746F5D" w:rsidRDefault="00746F5D" w:rsidP="00FF0031">
            <w:r>
              <w:t xml:space="preserve">Standardizirana stopnja bolnišničnih obravnav zaradi </w:t>
            </w:r>
            <w:proofErr w:type="spellStart"/>
            <w:r>
              <w:t>astnme</w:t>
            </w:r>
            <w:proofErr w:type="spellEnd"/>
            <w:r>
              <w:t xml:space="preserve"> pri otrocih in mladostnikih 0-19 let/1000 prebivalcev (NIJZ, povprečje 2014 - 2018)</w:t>
            </w:r>
          </w:p>
        </w:tc>
        <w:tc>
          <w:tcPr>
            <w:tcW w:w="4960" w:type="dxa"/>
            <w:noWrap/>
          </w:tcPr>
          <w:p w14:paraId="2057927B" w14:textId="1D057E68" w:rsidR="00746F5D" w:rsidRDefault="007A0276" w:rsidP="00FF0031">
            <w:pPr>
              <w:rPr>
                <w:u w:val="single"/>
              </w:rPr>
            </w:pPr>
            <w:hyperlink r:id="rId293" w:history="1">
              <w:r w:rsidR="00746F5D">
                <w:rPr>
                  <w:rStyle w:val="Hiperpovezava"/>
                </w:rPr>
                <w:t>http://obcine.nijz.si/</w:t>
              </w:r>
            </w:hyperlink>
          </w:p>
        </w:tc>
      </w:tr>
      <w:tr w:rsidR="00746F5D" w14:paraId="7E8D6F0B" w14:textId="77777777" w:rsidTr="00FF0031">
        <w:trPr>
          <w:trHeight w:val="300"/>
        </w:trPr>
        <w:tc>
          <w:tcPr>
            <w:tcW w:w="5680" w:type="dxa"/>
            <w:noWrap/>
          </w:tcPr>
          <w:p w14:paraId="12526085" w14:textId="77777777" w:rsidR="00746F5D" w:rsidRDefault="00746F5D" w:rsidP="00FF0031">
            <w:r>
              <w:t>Prejemniki zdravil zaradi sladkorne bolezni</w:t>
            </w:r>
          </w:p>
        </w:tc>
        <w:tc>
          <w:tcPr>
            <w:tcW w:w="13240" w:type="dxa"/>
            <w:noWrap/>
          </w:tcPr>
          <w:p w14:paraId="7D4D91C0" w14:textId="77777777" w:rsidR="00746F5D" w:rsidRDefault="00746F5D" w:rsidP="00FF0031">
            <w:r>
              <w:t>Delež oseb, ki so v enem letu prejeli vsaj en recept za zdravila za zniževanje sladkorja v krvi, standardizirano na starost (NIJZ, 2018)</w:t>
            </w:r>
          </w:p>
        </w:tc>
        <w:tc>
          <w:tcPr>
            <w:tcW w:w="4960" w:type="dxa"/>
            <w:noWrap/>
          </w:tcPr>
          <w:p w14:paraId="23DD5EE0" w14:textId="76CF0C2F" w:rsidR="00746F5D" w:rsidRDefault="007A0276" w:rsidP="00FF0031">
            <w:pPr>
              <w:rPr>
                <w:u w:val="single"/>
              </w:rPr>
            </w:pPr>
            <w:hyperlink r:id="rId294" w:history="1">
              <w:r w:rsidR="00746F5D">
                <w:rPr>
                  <w:rStyle w:val="Hiperpovezava"/>
                </w:rPr>
                <w:t>http://obcine.nijz.si/</w:t>
              </w:r>
            </w:hyperlink>
          </w:p>
        </w:tc>
      </w:tr>
      <w:tr w:rsidR="00746F5D" w14:paraId="5FC2311E" w14:textId="77777777" w:rsidTr="00FF0031">
        <w:trPr>
          <w:trHeight w:val="300"/>
        </w:trPr>
        <w:tc>
          <w:tcPr>
            <w:tcW w:w="5680" w:type="dxa"/>
            <w:noWrap/>
          </w:tcPr>
          <w:p w14:paraId="12E9F7A1" w14:textId="77777777" w:rsidR="00746F5D" w:rsidRDefault="00746F5D" w:rsidP="00FF0031">
            <w:r>
              <w:t xml:space="preserve">Prejemniki zdravil zaradi povišanega krvnega tlaka </w:t>
            </w:r>
          </w:p>
        </w:tc>
        <w:tc>
          <w:tcPr>
            <w:tcW w:w="13240" w:type="dxa"/>
            <w:noWrap/>
          </w:tcPr>
          <w:p w14:paraId="34CD8E11" w14:textId="77777777" w:rsidR="00746F5D" w:rsidRDefault="00746F5D" w:rsidP="00FF0031">
            <w:r>
              <w:t>Delež oseb, ki so v enem letu prejeli vsaj en recept za zdravila za zniževanje krvnega tlaka, standardizirano na starost (NIJZ, 2018)</w:t>
            </w:r>
          </w:p>
        </w:tc>
        <w:tc>
          <w:tcPr>
            <w:tcW w:w="4960" w:type="dxa"/>
            <w:noWrap/>
          </w:tcPr>
          <w:p w14:paraId="4CCFECF4" w14:textId="00134DF4" w:rsidR="00746F5D" w:rsidRDefault="007A0276" w:rsidP="00FF0031">
            <w:pPr>
              <w:rPr>
                <w:u w:val="single"/>
              </w:rPr>
            </w:pPr>
            <w:hyperlink r:id="rId295" w:history="1">
              <w:r w:rsidR="00746F5D">
                <w:rPr>
                  <w:rStyle w:val="Hiperpovezava"/>
                </w:rPr>
                <w:t>http://obcine.nijz.si/</w:t>
              </w:r>
            </w:hyperlink>
          </w:p>
        </w:tc>
      </w:tr>
      <w:tr w:rsidR="00746F5D" w14:paraId="2D68AC84" w14:textId="77777777" w:rsidTr="00FF0031">
        <w:trPr>
          <w:trHeight w:val="300"/>
        </w:trPr>
        <w:tc>
          <w:tcPr>
            <w:tcW w:w="5680" w:type="dxa"/>
            <w:noWrap/>
          </w:tcPr>
          <w:p w14:paraId="37E33BFE" w14:textId="77777777" w:rsidR="00746F5D" w:rsidRDefault="00746F5D" w:rsidP="00FF0031">
            <w:r>
              <w:t>Srčna kap 35-74 let</w:t>
            </w:r>
          </w:p>
        </w:tc>
        <w:tc>
          <w:tcPr>
            <w:tcW w:w="13240" w:type="dxa"/>
            <w:noWrap/>
          </w:tcPr>
          <w:p w14:paraId="23814EED" w14:textId="77777777" w:rsidR="00746F5D" w:rsidRDefault="00746F5D" w:rsidP="00FF0031">
            <w:r>
              <w:t xml:space="preserve">Število bolnišničnih obravnav zaradi srčne kapi pri osebah med </w:t>
            </w:r>
            <w:r>
              <w:lastRenderedPageBreak/>
              <w:t>35. in 74. letom starosti, standardizirano na starost. V kazalniku niso upoštevane osebe, ki so zaradi srčne kapi umrle pred sprejemom v bolnišnico (NIJZ, povprečje 2014 - 2018).</w:t>
            </w:r>
          </w:p>
        </w:tc>
        <w:tc>
          <w:tcPr>
            <w:tcW w:w="4960" w:type="dxa"/>
            <w:noWrap/>
          </w:tcPr>
          <w:p w14:paraId="32BD90CC" w14:textId="7FA24C40" w:rsidR="00746F5D" w:rsidRDefault="007A0276" w:rsidP="00FF0031">
            <w:pPr>
              <w:rPr>
                <w:u w:val="single"/>
              </w:rPr>
            </w:pPr>
            <w:hyperlink r:id="rId296" w:history="1">
              <w:r w:rsidR="00746F5D">
                <w:rPr>
                  <w:rStyle w:val="Hiperpovezava"/>
                </w:rPr>
                <w:t>http://obcine.nijz.si/</w:t>
              </w:r>
            </w:hyperlink>
          </w:p>
        </w:tc>
      </w:tr>
      <w:tr w:rsidR="00746F5D" w14:paraId="40E73712" w14:textId="77777777" w:rsidTr="00FF0031">
        <w:trPr>
          <w:trHeight w:val="300"/>
        </w:trPr>
        <w:tc>
          <w:tcPr>
            <w:tcW w:w="5680" w:type="dxa"/>
            <w:noWrap/>
          </w:tcPr>
          <w:p w14:paraId="23AF0598" w14:textId="77777777" w:rsidR="00746F5D" w:rsidRDefault="00746F5D" w:rsidP="00FF0031">
            <w:r>
              <w:t>Možganska kap 35-84 let</w:t>
            </w:r>
          </w:p>
        </w:tc>
        <w:tc>
          <w:tcPr>
            <w:tcW w:w="13240" w:type="dxa"/>
            <w:noWrap/>
          </w:tcPr>
          <w:p w14:paraId="0C765032" w14:textId="77777777" w:rsidR="00746F5D" w:rsidRDefault="00746F5D" w:rsidP="00FF0031">
            <w:r>
              <w:t>Število bolnišničnih obravnav zaradi možganske kapi, brez smrtnega izida ali s smrtnim izidom, pri osebah med 35. in 84. letom starosti, standardizirano na starost (NIJZ, povprečje 2014 - 2018).</w:t>
            </w:r>
          </w:p>
        </w:tc>
        <w:tc>
          <w:tcPr>
            <w:tcW w:w="4960" w:type="dxa"/>
            <w:noWrap/>
          </w:tcPr>
          <w:p w14:paraId="31EF3594" w14:textId="10541F73" w:rsidR="00746F5D" w:rsidRDefault="007A0276" w:rsidP="00FF0031">
            <w:pPr>
              <w:rPr>
                <w:u w:val="single"/>
              </w:rPr>
            </w:pPr>
            <w:hyperlink r:id="rId297" w:history="1">
              <w:r w:rsidR="00746F5D">
                <w:rPr>
                  <w:rStyle w:val="Hiperpovezava"/>
                </w:rPr>
                <w:t>http://obcine.nijz.si/</w:t>
              </w:r>
            </w:hyperlink>
          </w:p>
        </w:tc>
      </w:tr>
      <w:tr w:rsidR="00746F5D" w14:paraId="05382170" w14:textId="77777777" w:rsidTr="00FF0031">
        <w:trPr>
          <w:trHeight w:val="300"/>
        </w:trPr>
        <w:tc>
          <w:tcPr>
            <w:tcW w:w="5680" w:type="dxa"/>
            <w:noWrap/>
          </w:tcPr>
          <w:p w14:paraId="0138923F" w14:textId="77777777" w:rsidR="00746F5D" w:rsidRDefault="00746F5D" w:rsidP="00FF0031">
            <w:r>
              <w:t>Prejemniki zdravil zaradi duševnih motenj</w:t>
            </w:r>
          </w:p>
        </w:tc>
        <w:tc>
          <w:tcPr>
            <w:tcW w:w="13240" w:type="dxa"/>
            <w:noWrap/>
          </w:tcPr>
          <w:p w14:paraId="724F3328" w14:textId="77777777" w:rsidR="00746F5D" w:rsidRDefault="00746F5D" w:rsidP="00FF0031">
            <w:r>
              <w:t>Število oseb, ki so znotraj opazovanega koledarskega leta prejele vsaj en recept za zdravilo za zdravljenje duševnih motenj, standardizirano na starost (NIJZ, 2018).</w:t>
            </w:r>
          </w:p>
        </w:tc>
        <w:tc>
          <w:tcPr>
            <w:tcW w:w="4960" w:type="dxa"/>
            <w:noWrap/>
          </w:tcPr>
          <w:p w14:paraId="636A6F2E" w14:textId="06474B22" w:rsidR="00746F5D" w:rsidRDefault="007A0276" w:rsidP="00FF0031">
            <w:pPr>
              <w:rPr>
                <w:u w:val="single"/>
              </w:rPr>
            </w:pPr>
            <w:hyperlink r:id="rId298" w:history="1">
              <w:r w:rsidR="00746F5D">
                <w:rPr>
                  <w:rStyle w:val="Hiperpovezava"/>
                </w:rPr>
                <w:t>http://obcine.nijz.si/</w:t>
              </w:r>
            </w:hyperlink>
          </w:p>
        </w:tc>
      </w:tr>
      <w:tr w:rsidR="00746F5D" w14:paraId="1F7CB80A" w14:textId="77777777" w:rsidTr="00FF0031">
        <w:trPr>
          <w:trHeight w:val="300"/>
        </w:trPr>
        <w:tc>
          <w:tcPr>
            <w:tcW w:w="5680" w:type="dxa"/>
            <w:noWrap/>
          </w:tcPr>
          <w:p w14:paraId="5567847A" w14:textId="77777777" w:rsidR="00746F5D" w:rsidRDefault="00746F5D" w:rsidP="00FF0031">
            <w:r>
              <w:t>Pomoč na domu</w:t>
            </w:r>
          </w:p>
        </w:tc>
        <w:tc>
          <w:tcPr>
            <w:tcW w:w="13240" w:type="dxa"/>
            <w:noWrap/>
          </w:tcPr>
          <w:p w14:paraId="7F521E66" w14:textId="77777777" w:rsidR="00746F5D" w:rsidRDefault="00746F5D" w:rsidP="00FF0031">
            <w:r>
              <w:t>Kazalnik prikazuje delež uporabnikov pomoči na domu med osebami starimi 65 let in več (NIJZ, 2018).</w:t>
            </w:r>
          </w:p>
        </w:tc>
        <w:tc>
          <w:tcPr>
            <w:tcW w:w="4960" w:type="dxa"/>
            <w:noWrap/>
          </w:tcPr>
          <w:p w14:paraId="0C652658" w14:textId="781A0E59" w:rsidR="00746F5D" w:rsidRDefault="007A0276" w:rsidP="00FF0031">
            <w:pPr>
              <w:rPr>
                <w:u w:val="single"/>
              </w:rPr>
            </w:pPr>
            <w:hyperlink r:id="rId299" w:history="1">
              <w:r w:rsidR="00746F5D">
                <w:rPr>
                  <w:rStyle w:val="Hiperpovezava"/>
                </w:rPr>
                <w:t>http://obcine.nijz.si/</w:t>
              </w:r>
            </w:hyperlink>
          </w:p>
        </w:tc>
      </w:tr>
      <w:tr w:rsidR="00746F5D" w14:paraId="5F10133D" w14:textId="77777777" w:rsidTr="00FF0031">
        <w:trPr>
          <w:trHeight w:val="300"/>
        </w:trPr>
        <w:tc>
          <w:tcPr>
            <w:tcW w:w="5680" w:type="dxa"/>
            <w:noWrap/>
          </w:tcPr>
          <w:p w14:paraId="0EAD28B5" w14:textId="77777777" w:rsidR="00746F5D" w:rsidRDefault="00746F5D" w:rsidP="00FF0031">
            <w:r>
              <w:t>Splošna umrljivost</w:t>
            </w:r>
          </w:p>
        </w:tc>
        <w:tc>
          <w:tcPr>
            <w:tcW w:w="13240" w:type="dxa"/>
            <w:noWrap/>
          </w:tcPr>
          <w:p w14:paraId="23FF6FC3" w14:textId="77777777" w:rsidR="00746F5D" w:rsidRDefault="00746F5D" w:rsidP="00FF0031">
            <w:r>
              <w:t>Starostno standardizirana stopnja umrljivosti nas 100 000 prebivalcev, po stalnem bivališču (NIJZ, povprečje 2014 - 2018)</w:t>
            </w:r>
          </w:p>
        </w:tc>
        <w:tc>
          <w:tcPr>
            <w:tcW w:w="4960" w:type="dxa"/>
            <w:noWrap/>
          </w:tcPr>
          <w:p w14:paraId="196F54AC" w14:textId="1AA5529D" w:rsidR="00746F5D" w:rsidRDefault="007A0276" w:rsidP="00FF0031">
            <w:pPr>
              <w:rPr>
                <w:u w:val="single"/>
              </w:rPr>
            </w:pPr>
            <w:hyperlink r:id="rId300" w:history="1">
              <w:r w:rsidR="00746F5D">
                <w:rPr>
                  <w:rStyle w:val="Hiperpovezava"/>
                </w:rPr>
                <w:t>http://obcine.nijz.si/</w:t>
              </w:r>
            </w:hyperlink>
          </w:p>
        </w:tc>
      </w:tr>
      <w:tr w:rsidR="00746F5D" w14:paraId="4FBF8B54" w14:textId="77777777" w:rsidTr="00FF0031">
        <w:trPr>
          <w:trHeight w:val="300"/>
        </w:trPr>
        <w:tc>
          <w:tcPr>
            <w:tcW w:w="5680" w:type="dxa"/>
            <w:noWrap/>
          </w:tcPr>
          <w:p w14:paraId="06BEF350" w14:textId="77777777" w:rsidR="00746F5D" w:rsidRDefault="00746F5D" w:rsidP="00FF0031">
            <w:r>
              <w:t>Umrljivost zaradi bolezni srca in ožilja</w:t>
            </w:r>
          </w:p>
        </w:tc>
        <w:tc>
          <w:tcPr>
            <w:tcW w:w="13240" w:type="dxa"/>
            <w:noWrap/>
          </w:tcPr>
          <w:p w14:paraId="668909F8" w14:textId="77777777" w:rsidR="00746F5D" w:rsidRDefault="00746F5D" w:rsidP="00FF0031">
            <w:r>
              <w:t>Starostno standardizirana stopnja za prebivalce v starosti do 75 let na 100 000 prebivalcev 0-74 let (NIJZ, povprečje 2014 - 2018).</w:t>
            </w:r>
          </w:p>
        </w:tc>
        <w:tc>
          <w:tcPr>
            <w:tcW w:w="4960" w:type="dxa"/>
            <w:noWrap/>
          </w:tcPr>
          <w:p w14:paraId="32505AFE" w14:textId="535F0243" w:rsidR="00746F5D" w:rsidRDefault="007A0276" w:rsidP="00FF0031">
            <w:pPr>
              <w:rPr>
                <w:u w:val="single"/>
              </w:rPr>
            </w:pPr>
            <w:hyperlink r:id="rId301" w:history="1">
              <w:r w:rsidR="00746F5D">
                <w:rPr>
                  <w:rStyle w:val="Hiperpovezava"/>
                </w:rPr>
                <w:t>http://obcine.nijz.si/</w:t>
              </w:r>
            </w:hyperlink>
          </w:p>
        </w:tc>
      </w:tr>
      <w:tr w:rsidR="00746F5D" w14:paraId="50F611CC" w14:textId="77777777" w:rsidTr="00FF0031">
        <w:trPr>
          <w:trHeight w:val="300"/>
        </w:trPr>
        <w:tc>
          <w:tcPr>
            <w:tcW w:w="5680" w:type="dxa"/>
            <w:noWrap/>
          </w:tcPr>
          <w:p w14:paraId="0250F32E" w14:textId="77777777" w:rsidR="00746F5D" w:rsidRDefault="00746F5D" w:rsidP="00FF0031">
            <w:r>
              <w:t>Stopnja tveganja socialne izključenosti (pod. Za stat regije)</w:t>
            </w:r>
          </w:p>
        </w:tc>
        <w:tc>
          <w:tcPr>
            <w:tcW w:w="13240" w:type="dxa"/>
            <w:noWrap/>
          </w:tcPr>
          <w:p w14:paraId="768DE122" w14:textId="77777777" w:rsidR="00746F5D" w:rsidRDefault="00746F5D" w:rsidP="00FF0031">
            <w:r>
              <w:t>SURS, 2018</w:t>
            </w:r>
          </w:p>
        </w:tc>
        <w:tc>
          <w:tcPr>
            <w:tcW w:w="4960" w:type="dxa"/>
            <w:noWrap/>
          </w:tcPr>
          <w:p w14:paraId="3C02C2C0" w14:textId="77777777" w:rsidR="00746F5D" w:rsidRDefault="00746F5D" w:rsidP="00FF0031">
            <w:r>
              <w:t>https://pxweb.stat.si/SiStatDb/pxweb/sl/10_Dem_soc/10_Dem_soc__08_zivljenjska_raven__08_silc_kazalniki_revsc__30_08676_kazaln_podp_strat_EU_2020/0867631S.px/</w:t>
            </w:r>
          </w:p>
        </w:tc>
      </w:tr>
      <w:tr w:rsidR="00746F5D" w14:paraId="3293759A" w14:textId="77777777" w:rsidTr="00FF0031">
        <w:trPr>
          <w:trHeight w:val="300"/>
        </w:trPr>
        <w:tc>
          <w:tcPr>
            <w:tcW w:w="5680" w:type="dxa"/>
            <w:noWrap/>
          </w:tcPr>
          <w:p w14:paraId="0B1594FB" w14:textId="77777777" w:rsidR="00746F5D" w:rsidRDefault="00746F5D" w:rsidP="00FF0031">
            <w:r>
              <w:t>Stopnja tveganja revščine (pod. Za stat. Regije)</w:t>
            </w:r>
          </w:p>
        </w:tc>
        <w:tc>
          <w:tcPr>
            <w:tcW w:w="13240" w:type="dxa"/>
            <w:noWrap/>
          </w:tcPr>
          <w:p w14:paraId="56011ACD" w14:textId="77777777" w:rsidR="00746F5D" w:rsidRDefault="00746F5D" w:rsidP="00FF0031">
            <w:r>
              <w:t>SURS, 2018</w:t>
            </w:r>
          </w:p>
        </w:tc>
        <w:tc>
          <w:tcPr>
            <w:tcW w:w="4960" w:type="dxa"/>
            <w:noWrap/>
          </w:tcPr>
          <w:p w14:paraId="036E1E77" w14:textId="77777777" w:rsidR="00746F5D" w:rsidRDefault="00746F5D" w:rsidP="00FF0031">
            <w:r>
              <w:t>https://pxweb.stat.si/SiStatDb/pxweb/sl/10_Dem_soc/10_Dem_soc__08_zivljenjska_raven__08_silc_kazalniki_revsc__30_08676_kazaln_podp_strat_EU_2020/0867636S.px/</w:t>
            </w:r>
          </w:p>
        </w:tc>
      </w:tr>
      <w:tr w:rsidR="00746F5D" w14:paraId="4729E96A" w14:textId="77777777" w:rsidTr="00FF0031">
        <w:trPr>
          <w:trHeight w:val="300"/>
        </w:trPr>
        <w:tc>
          <w:tcPr>
            <w:tcW w:w="5680" w:type="dxa"/>
            <w:noWrap/>
          </w:tcPr>
          <w:p w14:paraId="5E135B87" w14:textId="77777777" w:rsidR="00746F5D" w:rsidRDefault="00746F5D" w:rsidP="00FF0031">
            <w:r>
              <w:t>Stopnja kriminalitete</w:t>
            </w:r>
          </w:p>
        </w:tc>
        <w:tc>
          <w:tcPr>
            <w:tcW w:w="13240" w:type="dxa"/>
            <w:noWrap/>
          </w:tcPr>
          <w:p w14:paraId="27AB27EE" w14:textId="77777777" w:rsidR="00746F5D" w:rsidRDefault="00746F5D" w:rsidP="00FF0031">
            <w:r>
              <w:t xml:space="preserve">št. obsojenih oseb na 1000 prebivalcev (SURS, 2018) </w:t>
            </w:r>
          </w:p>
        </w:tc>
        <w:tc>
          <w:tcPr>
            <w:tcW w:w="4960" w:type="dxa"/>
            <w:noWrap/>
          </w:tcPr>
          <w:p w14:paraId="6C279FCA" w14:textId="77777777" w:rsidR="00746F5D" w:rsidRDefault="00746F5D" w:rsidP="00FF0031">
            <w:r>
              <w:t>https://pxweb.stat.si/SiStatDb/pxweb/sl/10_Dem_soc/10_Dem_soc__13_kriminaliteta__01_statistika_toz_sodisc__10_13722_obsojene_kazalniki/1372201s.px/</w:t>
            </w:r>
          </w:p>
        </w:tc>
      </w:tr>
      <w:tr w:rsidR="00746F5D" w14:paraId="4EC801DC" w14:textId="77777777" w:rsidTr="00FF0031">
        <w:trPr>
          <w:trHeight w:val="300"/>
        </w:trPr>
        <w:tc>
          <w:tcPr>
            <w:tcW w:w="5680" w:type="dxa"/>
            <w:noWrap/>
          </w:tcPr>
          <w:p w14:paraId="2DEC6A0A" w14:textId="77777777" w:rsidR="00746F5D" w:rsidRDefault="00746F5D" w:rsidP="00FF0031">
            <w:r>
              <w:t xml:space="preserve">Klopni </w:t>
            </w:r>
            <w:proofErr w:type="spellStart"/>
            <w:r>
              <w:t>meningoencefalitis</w:t>
            </w:r>
            <w:proofErr w:type="spellEnd"/>
            <w:r>
              <w:t xml:space="preserve"> (KME)</w:t>
            </w:r>
          </w:p>
        </w:tc>
        <w:tc>
          <w:tcPr>
            <w:tcW w:w="13240" w:type="dxa"/>
            <w:noWrap/>
          </w:tcPr>
          <w:p w14:paraId="61ACD600" w14:textId="77777777" w:rsidR="00746F5D" w:rsidRDefault="00746F5D" w:rsidP="00FF0031">
            <w:r>
              <w:t xml:space="preserve">št primerov/100 000 prebivalcev za obdobje 2015-2019 (povprečno </w:t>
            </w:r>
            <w:r>
              <w:lastRenderedPageBreak/>
              <w:t>št. prebivalcev v 5 letih), NIJZ, CNB, 2015-2019</w:t>
            </w:r>
          </w:p>
        </w:tc>
        <w:tc>
          <w:tcPr>
            <w:tcW w:w="4960" w:type="dxa"/>
            <w:noWrap/>
          </w:tcPr>
          <w:p w14:paraId="3E9AAC12" w14:textId="77777777" w:rsidR="00746F5D" w:rsidRDefault="00746F5D" w:rsidP="00FF0031">
            <w:r>
              <w:lastRenderedPageBreak/>
              <w:t>NIJZ</w:t>
            </w:r>
          </w:p>
        </w:tc>
      </w:tr>
      <w:tr w:rsidR="00746F5D" w14:paraId="00F8FBCA" w14:textId="77777777" w:rsidTr="00FF0031">
        <w:trPr>
          <w:trHeight w:val="300"/>
        </w:trPr>
        <w:tc>
          <w:tcPr>
            <w:tcW w:w="5680" w:type="dxa"/>
            <w:noWrap/>
          </w:tcPr>
          <w:p w14:paraId="69FC2E29" w14:textId="77777777" w:rsidR="00746F5D" w:rsidRDefault="00746F5D" w:rsidP="00FF0031">
            <w:proofErr w:type="spellStart"/>
            <w:r>
              <w:t>Lymska</w:t>
            </w:r>
            <w:proofErr w:type="spellEnd"/>
            <w:r>
              <w:t xml:space="preserve"> borelioza</w:t>
            </w:r>
          </w:p>
        </w:tc>
        <w:tc>
          <w:tcPr>
            <w:tcW w:w="13240" w:type="dxa"/>
            <w:noWrap/>
          </w:tcPr>
          <w:p w14:paraId="0A83C18D" w14:textId="77777777" w:rsidR="00746F5D" w:rsidRDefault="00746F5D" w:rsidP="00FF0031">
            <w:r>
              <w:t>št primerov/100 000 prebivalcev za obdobje 2015-2019 (povprečno št. prebivalcev v 5 letih), NIJZ, CNB, 2015-2019</w:t>
            </w:r>
          </w:p>
        </w:tc>
        <w:tc>
          <w:tcPr>
            <w:tcW w:w="4960" w:type="dxa"/>
            <w:noWrap/>
          </w:tcPr>
          <w:p w14:paraId="7BA4EBDA" w14:textId="77777777" w:rsidR="00746F5D" w:rsidRDefault="00746F5D" w:rsidP="00FF0031">
            <w:r>
              <w:t>NIJZ</w:t>
            </w:r>
          </w:p>
        </w:tc>
      </w:tr>
      <w:tr w:rsidR="00746F5D" w14:paraId="23CB751A" w14:textId="77777777" w:rsidTr="00FF0031">
        <w:trPr>
          <w:trHeight w:val="300"/>
        </w:trPr>
        <w:tc>
          <w:tcPr>
            <w:tcW w:w="5680" w:type="dxa"/>
            <w:noWrap/>
          </w:tcPr>
          <w:p w14:paraId="6AE035F1" w14:textId="77777777" w:rsidR="00746F5D" w:rsidRDefault="00746F5D" w:rsidP="00FF0031">
            <w:r>
              <w:t>Stopnja delovne aktivnosti (%)</w:t>
            </w:r>
          </w:p>
        </w:tc>
        <w:tc>
          <w:tcPr>
            <w:tcW w:w="13240" w:type="dxa"/>
            <w:noWrap/>
          </w:tcPr>
          <w:p w14:paraId="36825C48" w14:textId="77777777" w:rsidR="00746F5D" w:rsidRDefault="00746F5D" w:rsidP="00FF0031">
            <w:r>
              <w:t>Delež delovno aktivnih prebivalcev (tj. zaposlenih ali samozaposlenih) od delovno sposobnih prebivalcev  (tj. prebivalci, starimi 15–64 let), SURS, 2018</w:t>
            </w:r>
          </w:p>
        </w:tc>
        <w:tc>
          <w:tcPr>
            <w:tcW w:w="4960" w:type="dxa"/>
            <w:noWrap/>
          </w:tcPr>
          <w:p w14:paraId="421B1398" w14:textId="77777777" w:rsidR="00746F5D" w:rsidRDefault="00746F5D" w:rsidP="00FF0031">
            <w:r>
              <w:t>https://gis.stat.si/#</w:t>
            </w:r>
          </w:p>
        </w:tc>
      </w:tr>
      <w:tr w:rsidR="00746F5D" w14:paraId="21A79397" w14:textId="77777777" w:rsidTr="00FF0031">
        <w:trPr>
          <w:trHeight w:val="300"/>
        </w:trPr>
        <w:tc>
          <w:tcPr>
            <w:tcW w:w="5680" w:type="dxa"/>
            <w:noWrap/>
          </w:tcPr>
          <w:p w14:paraId="4F5839D7" w14:textId="77777777" w:rsidR="00746F5D" w:rsidRDefault="00746F5D" w:rsidP="00FF0031">
            <w:r>
              <w:t>Povprečna mesečna plača</w:t>
            </w:r>
          </w:p>
        </w:tc>
        <w:tc>
          <w:tcPr>
            <w:tcW w:w="13240" w:type="dxa"/>
            <w:noWrap/>
          </w:tcPr>
          <w:p w14:paraId="06AFCD51" w14:textId="77777777" w:rsidR="00746F5D" w:rsidRDefault="00746F5D" w:rsidP="00FF0031">
            <w:r>
              <w:t>Povprečna mesečna neto plača na zaposleno osebo (EUR), SURS, 2018</w:t>
            </w:r>
          </w:p>
        </w:tc>
        <w:tc>
          <w:tcPr>
            <w:tcW w:w="4960" w:type="dxa"/>
            <w:noWrap/>
          </w:tcPr>
          <w:p w14:paraId="21645898" w14:textId="77777777" w:rsidR="00746F5D" w:rsidRDefault="00746F5D" w:rsidP="00FF0031">
            <w:r>
              <w:t>https://gis.stat.si/#</w:t>
            </w:r>
          </w:p>
        </w:tc>
      </w:tr>
    </w:tbl>
    <w:p w14:paraId="36F175B3" w14:textId="2EBF430B" w:rsidR="004176AF" w:rsidRDefault="004176AF" w:rsidP="00746F5D"/>
    <w:p w14:paraId="7A7BDB67" w14:textId="77777777" w:rsidR="004176AF" w:rsidRDefault="004176AF">
      <w:pPr>
        <w:jc w:val="left"/>
      </w:pPr>
      <w:r>
        <w:br w:type="page"/>
      </w:r>
    </w:p>
    <w:p w14:paraId="412BAC82" w14:textId="5D7C9305" w:rsidR="004176AF" w:rsidRPr="00636C12" w:rsidRDefault="004176AF" w:rsidP="004176AF">
      <w:pPr>
        <w:pStyle w:val="Naslov3"/>
      </w:pPr>
      <w:r>
        <w:lastRenderedPageBreak/>
        <w:t xml:space="preserve"> </w:t>
      </w:r>
      <w:bookmarkStart w:id="598" w:name="_Toc97026829"/>
      <w:r w:rsidRPr="00636C12">
        <w:t>Pomembn</w:t>
      </w:r>
      <w:r>
        <w:t xml:space="preserve">i javni objekti v MONG, </w:t>
      </w:r>
      <w:r w:rsidRPr="00636C12">
        <w:t>ki so energetsko sanirani in/ali klimatizirani</w:t>
      </w:r>
      <w:bookmarkEnd w:id="598"/>
      <w:r>
        <w:t xml:space="preserve"> </w:t>
      </w:r>
    </w:p>
    <w:p w14:paraId="4385D423" w14:textId="77777777" w:rsidR="004176AF" w:rsidRDefault="004176AF" w:rsidP="00642FD9">
      <w:pPr>
        <w:jc w:val="center"/>
      </w:pPr>
      <w:r w:rsidRPr="00636C12">
        <w:rPr>
          <w:noProof/>
          <w:lang w:eastAsia="sl-SI"/>
        </w:rPr>
        <w:drawing>
          <wp:inline distT="0" distB="0" distL="0" distR="0" wp14:anchorId="6A146117" wp14:editId="7965D178">
            <wp:extent cx="5787713" cy="5543550"/>
            <wp:effectExtent l="0" t="0" r="3810" b="0"/>
            <wp:docPr id="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803426" cy="5558600"/>
                    </a:xfrm>
                    <a:prstGeom prst="rect">
                      <a:avLst/>
                    </a:prstGeom>
                    <a:noFill/>
                    <a:ln>
                      <a:noFill/>
                    </a:ln>
                  </pic:spPr>
                </pic:pic>
              </a:graphicData>
            </a:graphic>
          </wp:inline>
        </w:drawing>
      </w:r>
    </w:p>
    <w:p w14:paraId="0028258D" w14:textId="77777777" w:rsidR="004176AF" w:rsidRDefault="004176AF" w:rsidP="004176AF">
      <w:r>
        <w:t>Mestna občina Nova Gorica podatke obdeluje in varuje skladno z Zakonom o varstvu osebnih podatkov (Uradni list RS 94/2007) in Uredbo (EU) 2016/679 Evropskega parlamenta in Sveta z dne 27. aprila 2016 o varstvu posameznikov pri obdelavi osebnih podatkov in o prostem pretoku takih podatkov ter o razveljavitvi Direktive 95/46/ES (Splošna uredba o varstvu podatkov) (UL. L. 119, 4. 5. 2016, str. 1</w:t>
      </w:r>
      <w:r>
        <w:noBreakHyphen/>
        <w:t>88).</w:t>
      </w:r>
    </w:p>
    <w:sectPr w:rsidR="004176AF" w:rsidSect="00B53485">
      <w:headerReference w:type="default" r:id="rId303"/>
      <w:footerReference w:type="default" r:id="rId304"/>
      <w:pgSz w:w="11906" w:h="16838"/>
      <w:pgMar w:top="2410" w:right="1134" w:bottom="1418"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CED790" w14:textId="77777777" w:rsidR="00AE5980" w:rsidRDefault="00AE5980" w:rsidP="006B7E34">
      <w:r>
        <w:separator/>
      </w:r>
    </w:p>
  </w:endnote>
  <w:endnote w:type="continuationSeparator" w:id="0">
    <w:p w14:paraId="14219951" w14:textId="77777777" w:rsidR="00AE5980" w:rsidRDefault="00AE5980" w:rsidP="006B7E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ource Sans Pro Light">
    <w:charset w:val="00"/>
    <w:family w:val="swiss"/>
    <w:pitch w:val="variable"/>
    <w:sig w:usb0="600002F7" w:usb1="02000001" w:usb2="00000000" w:usb3="00000000" w:csb0="0000019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Calibri Light">
    <w:panose1 w:val="020F0302020204030204"/>
    <w:charset w:val="EE"/>
    <w:family w:val="swiss"/>
    <w:pitch w:val="variable"/>
    <w:sig w:usb0="E4002EFF" w:usb1="C000247B" w:usb2="00000009" w:usb3="00000000" w:csb0="000001FF" w:csb1="00000000"/>
  </w:font>
  <w:font w:name="SSFranklinGothic-BookOblique">
    <w:altName w:val="Times New Roman"/>
    <w:panose1 w:val="00000000000000000000"/>
    <w:charset w:val="EE"/>
    <w:family w:val="auto"/>
    <w:notTrueType/>
    <w:pitch w:val="default"/>
    <w:sig w:usb0="00000005" w:usb1="00000000" w:usb2="00000000" w:usb3="00000000" w:csb0="00000002"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Franklin Gothic Demi">
    <w:charset w:val="00"/>
    <w:family w:val="swiss"/>
    <w:pitch w:val="variable"/>
    <w:sig w:usb0="00000287" w:usb1="00000000" w:usb2="00000000" w:usb3="00000000" w:csb0="0000009F" w:csb1="00000000"/>
  </w:font>
  <w:font w:name="Raleway-Regular">
    <w:altName w:val="Times New Roman"/>
    <w:panose1 w:val="00000000000000000000"/>
    <w:charset w:val="00"/>
    <w:family w:val="roman"/>
    <w:notTrueType/>
    <w:pitch w:val="default"/>
  </w:font>
  <w:font w:name="Cambria Math">
    <w:panose1 w:val="02040503050406030204"/>
    <w:charset w:val="EE"/>
    <w:family w:val="roman"/>
    <w:pitch w:val="variable"/>
    <w:sig w:usb0="E00006FF" w:usb1="420024FF" w:usb2="02000000" w:usb3="00000000" w:csb0="0000019F" w:csb1="00000000"/>
  </w:font>
  <w:font w:name="SourceSansPro-Light">
    <w:altName w:val="Calibri"/>
    <w:panose1 w:val="00000000000000000000"/>
    <w:charset w:val="00"/>
    <w:family w:val="swiss"/>
    <w:notTrueType/>
    <w:pitch w:val="default"/>
    <w:sig w:usb0="00000007" w:usb1="00000000" w:usb2="00000000" w:usb3="00000000" w:csb0="00000003" w:csb1="00000000"/>
  </w:font>
  <w:font w:name="AGaramond-SemiboldItalic">
    <w:charset w:val="00"/>
    <w:family w:val="roman"/>
    <w:pitch w:val="default"/>
    <w:sig w:usb0="00000000" w:usb1="00000000" w:usb2="00000000" w:usb3="00000000" w:csb0="00000001" w:csb1="00000000"/>
  </w:font>
  <w:font w:name="UniversLTStd-BoldObl">
    <w:charset w:val="00"/>
    <w:family w:val="auto"/>
    <w:pitch w:val="default"/>
    <w:sig w:usb0="00000000" w:usb1="00000000" w:usb2="00000000" w:usb3="00000000" w:csb0="00000001" w:csb1="00000000"/>
  </w:font>
  <w:font w:name="UniversLTStd-Bold">
    <w:charset w:val="00"/>
    <w:family w:val="auto"/>
    <w:pitch w:val="default"/>
    <w:sig w:usb0="00000000" w:usb1="00000000" w:usb2="00000000" w:usb3="00000000" w:csb0="00000001" w:csb1="00000000"/>
  </w:font>
  <w:font w:name="AGaramond-Semibold">
    <w:charset w:val="00"/>
    <w:family w:val="roman"/>
    <w:pitch w:val="default"/>
    <w:sig w:usb0="00000000" w:usb1="00000000" w:usb2="00000000" w:usb3="00000000" w:csb0="00000001" w:csb1="00000000"/>
  </w:font>
  <w:font w:name="MinionPro-Regular">
    <w:altName w:val="Calibri"/>
    <w:charset w:val="80"/>
    <w:family w:val="auto"/>
    <w:pitch w:val="default"/>
    <w:sig w:usb0="00000000" w:usb1="00000000" w:usb2="00000010" w:usb3="00000000" w:csb0="00020000" w:csb1="00000000"/>
  </w:font>
  <w:font w:name="MyriadPro-Regular">
    <w:altName w:val="Calibri"/>
    <w:panose1 w:val="00000000000000000000"/>
    <w:charset w:val="00"/>
    <w:family w:val="swiss"/>
    <w:notTrueType/>
    <w:pitch w:val="default"/>
    <w:sig w:usb0="00000007" w:usb1="00000000" w:usb2="00000000" w:usb3="00000000" w:csb0="00000003" w:csb1="00000000"/>
  </w:font>
  <w:font w:name="Cambria">
    <w:panose1 w:val="02040503050406030204"/>
    <w:charset w:val="EE"/>
    <w:family w:val="roman"/>
    <w:pitch w:val="variable"/>
    <w:sig w:usb0="E00006FF" w:usb1="420024FF" w:usb2="02000000" w:usb3="00000000" w:csb0="0000019F" w:csb1="00000000"/>
  </w:font>
  <w:font w:name="OpenSansR">
    <w:altName w:val="Cambria"/>
    <w:panose1 w:val="00000000000000000000"/>
    <w:charset w:val="00"/>
    <w:family w:val="roman"/>
    <w:notTrueType/>
    <w:pitch w:val="default"/>
  </w:font>
  <w:font w:name="UniversalMath1 BT">
    <w:altName w:val="Symbol"/>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95A3D" w14:textId="30D5C1D7" w:rsidR="00996D54" w:rsidRDefault="00996D54" w:rsidP="006B7E34">
    <w:pPr>
      <w:pStyle w:val="Noga"/>
    </w:pPr>
    <w:r w:rsidRPr="00B872C1">
      <w:rPr>
        <w:noProof/>
        <w:lang w:eastAsia="sl-SI"/>
      </w:rPr>
      <mc:AlternateContent>
        <mc:Choice Requires="wps">
          <w:drawing>
            <wp:anchor distT="0" distB="0" distL="114300" distR="114300" simplePos="0" relativeHeight="251673600" behindDoc="0" locked="0" layoutInCell="1" allowOverlap="1" wp14:anchorId="2A3B046D" wp14:editId="4B0A1581">
              <wp:simplePos x="0" y="0"/>
              <wp:positionH relativeFrom="page">
                <wp:posOffset>-3810</wp:posOffset>
              </wp:positionH>
              <wp:positionV relativeFrom="paragraph">
                <wp:posOffset>-866775</wp:posOffset>
              </wp:positionV>
              <wp:extent cx="7734300" cy="53975"/>
              <wp:effectExtent l="0" t="0" r="0" b="3175"/>
              <wp:wrapNone/>
              <wp:docPr id="2" name="Rettangolo 2"/>
              <wp:cNvGraphicFramePr/>
              <a:graphic xmlns:a="http://schemas.openxmlformats.org/drawingml/2006/main">
                <a:graphicData uri="http://schemas.microsoft.com/office/word/2010/wordprocessingShape">
                  <wps:wsp>
                    <wps:cNvSpPr/>
                    <wps:spPr>
                      <a:xfrm>
                        <a:off x="0" y="0"/>
                        <a:ext cx="7734300" cy="53975"/>
                      </a:xfrm>
                      <a:prstGeom prst="rect">
                        <a:avLst/>
                      </a:prstGeom>
                      <a:solidFill>
                        <a:srgbClr val="15996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F29FDC" id="Rettangolo 2" o:spid="_x0000_s1026" style="position:absolute;margin-left:-.3pt;margin-top:-68.25pt;width:609pt;height:4.2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" fillcolor="#159961" stroked="f" strokeweight="1pt">
              <w10:wrap anchorx="page"/>
            </v:rect>
          </w:pict>
        </mc:Fallback>
      </mc:AlternateContent>
    </w:r>
    <w:r w:rsidRPr="00B872C1">
      <w:rPr>
        <w:noProof/>
        <w:lang w:eastAsia="sl-SI"/>
      </w:rPr>
      <w:drawing>
        <wp:anchor distT="0" distB="0" distL="114300" distR="114300" simplePos="0" relativeHeight="251674624" behindDoc="0" locked="0" layoutInCell="1" allowOverlap="1" wp14:anchorId="7D38B12C" wp14:editId="53B8797A">
          <wp:simplePos x="0" y="0"/>
          <wp:positionH relativeFrom="column">
            <wp:posOffset>558165</wp:posOffset>
          </wp:positionH>
          <wp:positionV relativeFrom="paragraph">
            <wp:posOffset>-666115</wp:posOffset>
          </wp:positionV>
          <wp:extent cx="4933950" cy="1236980"/>
          <wp:effectExtent l="0" t="0" r="0" b="0"/>
          <wp:wrapNone/>
          <wp:docPr id="214" name="Immagine 12" descr="C:\Users\ict02\Desktop\SECAP\BANNER LOGHI PART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ct02\Desktop\SECAP\BANNER LOGHI PARTNE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33950" cy="123698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49659" w14:textId="77777777" w:rsidR="00996D54" w:rsidRPr="000819EA" w:rsidRDefault="00996D54" w:rsidP="001E5767">
    <w:pPr>
      <w:pStyle w:val="Noga"/>
      <w:rPr>
        <w:color w:val="808080" w:themeColor="background1" w:themeShade="80"/>
        <w:lang w:val="de-AT"/>
      </w:rPr>
    </w:pPr>
  </w:p>
  <w:p w14:paraId="51A474C3" w14:textId="4D79E8F8" w:rsidR="00996D54" w:rsidRPr="000819EA" w:rsidRDefault="00996D54" w:rsidP="004E06CD">
    <w:pPr>
      <w:pStyle w:val="Noga"/>
      <w:rPr>
        <w:color w:val="808080" w:themeColor="background1" w:themeShade="80"/>
        <w:shd w:val="clear" w:color="auto" w:fill="FFFFFF"/>
      </w:rPr>
    </w:pPr>
    <w:r w:rsidRPr="006315B0">
      <w:rPr>
        <w:color w:val="808080" w:themeColor="background1" w:themeShade="80"/>
        <w:lang w:val="it-IT"/>
      </w:rPr>
      <w:t>SECAP – 2.DEL / ANALIZA RANLJIVOSTI IN TVEGANJA ZARADI PODNEBNIH SPREMEMB ZA MESTNO OBČINO NOVA GORICA</w:t>
    </w:r>
    <w:r w:rsidRPr="006315B0">
      <w:rPr>
        <w:color w:val="808080" w:themeColor="background1" w:themeShade="80"/>
        <w:lang w:val="it-IT"/>
      </w:rPr>
      <w:tab/>
    </w:r>
    <w:r w:rsidRPr="006315B0">
      <w:rPr>
        <w:color w:val="808080" w:themeColor="background1" w:themeShade="80"/>
        <w:lang w:val="it-IT"/>
      </w:rPr>
      <w:tab/>
    </w:r>
    <w:r w:rsidRPr="000819EA">
      <w:rPr>
        <w:color w:val="808080" w:themeColor="background1" w:themeShade="80"/>
        <w:shd w:val="clear" w:color="auto" w:fill="FFFFFF"/>
      </w:rPr>
      <w:t>Verzija: 1.</w:t>
    </w:r>
    <w:r>
      <w:rPr>
        <w:color w:val="808080" w:themeColor="background1" w:themeShade="80"/>
        <w:shd w:val="clear" w:color="auto" w:fill="FFFFFF"/>
      </w:rPr>
      <w:t>1/2020</w:t>
    </w:r>
  </w:p>
  <w:p w14:paraId="79A9808E" w14:textId="2D204E0F" w:rsidR="00996D54" w:rsidRPr="006315B0" w:rsidRDefault="00996D54" w:rsidP="001E5767">
    <w:pPr>
      <w:pStyle w:val="Noga"/>
      <w:rPr>
        <w:color w:val="808080" w:themeColor="background1" w:themeShade="80"/>
        <w:lang w:val="it-IT"/>
      </w:rPr>
    </w:pPr>
  </w:p>
  <w:p w14:paraId="6FD0DFC8" w14:textId="5B41D1CE" w:rsidR="00996D54" w:rsidRPr="000819EA" w:rsidRDefault="00996D54" w:rsidP="001E5767">
    <w:pPr>
      <w:pStyle w:val="Noga"/>
      <w:jc w:val="center"/>
      <w:rPr>
        <w:color w:val="808080" w:themeColor="background1" w:themeShade="80"/>
      </w:rPr>
    </w:pPr>
    <w:r w:rsidRPr="000819EA">
      <w:rPr>
        <w:color w:val="808080" w:themeColor="background1" w:themeShade="80"/>
      </w:rPr>
      <w:fldChar w:fldCharType="begin"/>
    </w:r>
    <w:r w:rsidRPr="000819EA">
      <w:rPr>
        <w:color w:val="808080" w:themeColor="background1" w:themeShade="80"/>
      </w:rPr>
      <w:instrText>PAGE   \* MERGEFORMAT</w:instrText>
    </w:r>
    <w:r w:rsidRPr="000819EA">
      <w:rPr>
        <w:color w:val="808080" w:themeColor="background1" w:themeShade="80"/>
      </w:rPr>
      <w:fldChar w:fldCharType="separate"/>
    </w:r>
    <w:r w:rsidR="00B8745C">
      <w:rPr>
        <w:noProof/>
        <w:color w:val="808080" w:themeColor="background1" w:themeShade="80"/>
      </w:rPr>
      <w:t>XVI</w:t>
    </w:r>
    <w:r w:rsidRPr="000819EA">
      <w:rPr>
        <w:color w:val="808080" w:themeColor="background1" w:themeShade="8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78F43" w14:textId="77777777" w:rsidR="00996D54" w:rsidRDefault="00996D54" w:rsidP="006B7E34">
    <w:pPr>
      <w:pStyle w:val="Noga"/>
      <w:rPr>
        <w:lang w:val="de-AT"/>
      </w:rPr>
    </w:pPr>
  </w:p>
  <w:p w14:paraId="785D17D6" w14:textId="2BF1B73D" w:rsidR="00996D54" w:rsidRPr="00694971" w:rsidRDefault="00996D54" w:rsidP="004E06CD">
    <w:pPr>
      <w:pStyle w:val="Noga"/>
      <w:rPr>
        <w:color w:val="808080" w:themeColor="background1" w:themeShade="80"/>
        <w:shd w:val="clear" w:color="auto" w:fill="FFFFFF"/>
      </w:rPr>
    </w:pPr>
    <w:bookmarkStart w:id="599" w:name="_Hlk47073791"/>
    <w:r>
      <w:rPr>
        <w:color w:val="808080" w:themeColor="background1" w:themeShade="80"/>
        <w:shd w:val="clear" w:color="auto" w:fill="FFFFFF"/>
      </w:rPr>
      <w:t xml:space="preserve">SECAP – 2.DEL / </w:t>
    </w:r>
    <w:r w:rsidRPr="00694971">
      <w:rPr>
        <w:color w:val="808080" w:themeColor="background1" w:themeShade="80"/>
        <w:shd w:val="clear" w:color="auto" w:fill="FFFFFF"/>
      </w:rPr>
      <w:t>ANALIZA RANLJIVOSTI IN</w:t>
    </w:r>
    <w:r>
      <w:rPr>
        <w:color w:val="808080" w:themeColor="background1" w:themeShade="80"/>
        <w:shd w:val="clear" w:color="auto" w:fill="FFFFFF"/>
      </w:rPr>
      <w:t xml:space="preserve"> </w:t>
    </w:r>
    <w:r w:rsidRPr="00694971">
      <w:rPr>
        <w:color w:val="808080" w:themeColor="background1" w:themeShade="80"/>
        <w:shd w:val="clear" w:color="auto" w:fill="FFFFFF"/>
      </w:rPr>
      <w:t xml:space="preserve">TVEGANJA ZARADI PODNEBNIH SPREMEMB ZA </w:t>
    </w:r>
    <w:r>
      <w:rPr>
        <w:color w:val="808080" w:themeColor="background1" w:themeShade="80"/>
        <w:shd w:val="clear" w:color="auto" w:fill="FFFFFF"/>
      </w:rPr>
      <w:t xml:space="preserve">MESTNO </w:t>
    </w:r>
    <w:r w:rsidRPr="00694971">
      <w:rPr>
        <w:color w:val="808080" w:themeColor="background1" w:themeShade="80"/>
        <w:shd w:val="clear" w:color="auto" w:fill="FFFFFF"/>
      </w:rPr>
      <w:t>OBČINO</w:t>
    </w:r>
    <w:bookmarkEnd w:id="599"/>
    <w:r>
      <w:rPr>
        <w:color w:val="808080" w:themeColor="background1" w:themeShade="80"/>
        <w:shd w:val="clear" w:color="auto" w:fill="FFFFFF"/>
      </w:rPr>
      <w:t xml:space="preserve"> NOVA GORICA</w:t>
    </w:r>
    <w:r>
      <w:rPr>
        <w:color w:val="808080" w:themeColor="background1" w:themeShade="80"/>
        <w:shd w:val="clear" w:color="auto" w:fill="FFFFFF"/>
      </w:rPr>
      <w:tab/>
    </w:r>
    <w:r>
      <w:rPr>
        <w:color w:val="808080" w:themeColor="background1" w:themeShade="80"/>
        <w:shd w:val="clear" w:color="auto" w:fill="FFFFFF"/>
      </w:rPr>
      <w:tab/>
    </w:r>
    <w:r w:rsidRPr="00694971">
      <w:rPr>
        <w:color w:val="808080" w:themeColor="background1" w:themeShade="80"/>
        <w:shd w:val="clear" w:color="auto" w:fill="FFFFFF"/>
      </w:rPr>
      <w:t>Verzija: 1.</w:t>
    </w:r>
    <w:r>
      <w:rPr>
        <w:color w:val="808080" w:themeColor="background1" w:themeShade="80"/>
        <w:shd w:val="clear" w:color="auto" w:fill="FFFFFF"/>
      </w:rPr>
      <w:t>1</w:t>
    </w:r>
    <w:r w:rsidRPr="00694971">
      <w:rPr>
        <w:color w:val="808080" w:themeColor="background1" w:themeShade="80"/>
        <w:shd w:val="clear" w:color="auto" w:fill="FFFFFF"/>
      </w:rPr>
      <w:t>/202</w:t>
    </w:r>
    <w:r>
      <w:rPr>
        <w:color w:val="808080" w:themeColor="background1" w:themeShade="80"/>
        <w:shd w:val="clear" w:color="auto" w:fill="FFFFFF"/>
      </w:rPr>
      <w:t>1</w:t>
    </w:r>
  </w:p>
  <w:p w14:paraId="5ECBB007" w14:textId="43C0F77D" w:rsidR="00996D54" w:rsidRPr="00694971" w:rsidRDefault="00996D54" w:rsidP="006D5793">
    <w:pPr>
      <w:pStyle w:val="Noga"/>
      <w:jc w:val="center"/>
      <w:rPr>
        <w:color w:val="808080" w:themeColor="background1" w:themeShade="80"/>
      </w:rPr>
    </w:pPr>
    <w:r w:rsidRPr="00694971">
      <w:rPr>
        <w:color w:val="808080" w:themeColor="background1" w:themeShade="80"/>
      </w:rPr>
      <w:fldChar w:fldCharType="begin"/>
    </w:r>
    <w:r w:rsidRPr="00694971">
      <w:rPr>
        <w:color w:val="808080" w:themeColor="background1" w:themeShade="80"/>
      </w:rPr>
      <w:instrText>PAGE   \* MERGEFORMAT</w:instrText>
    </w:r>
    <w:r w:rsidRPr="00694971">
      <w:rPr>
        <w:color w:val="808080" w:themeColor="background1" w:themeShade="80"/>
      </w:rPr>
      <w:fldChar w:fldCharType="separate"/>
    </w:r>
    <w:r w:rsidR="00A97A74">
      <w:rPr>
        <w:noProof/>
        <w:color w:val="808080" w:themeColor="background1" w:themeShade="80"/>
      </w:rPr>
      <w:t>305</w:t>
    </w:r>
    <w:r w:rsidRPr="00694971">
      <w:rPr>
        <w:color w:val="808080" w:themeColor="background1" w:themeShade="8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9FAAE8" w14:textId="77777777" w:rsidR="00AE5980" w:rsidRDefault="00AE5980" w:rsidP="006B7E34">
      <w:r>
        <w:separator/>
      </w:r>
    </w:p>
  </w:footnote>
  <w:footnote w:type="continuationSeparator" w:id="0">
    <w:p w14:paraId="7EA4806D" w14:textId="77777777" w:rsidR="00AE5980" w:rsidRDefault="00AE5980" w:rsidP="006B7E34">
      <w:r>
        <w:continuationSeparator/>
      </w:r>
    </w:p>
  </w:footnote>
  <w:footnote w:id="1">
    <w:p w14:paraId="3FAE7C87" w14:textId="77777777" w:rsidR="00996D54" w:rsidRDefault="00996D54" w:rsidP="00CF78FD">
      <w:pPr>
        <w:pStyle w:val="Sprotnaopomba-besedilo"/>
      </w:pPr>
      <w:r>
        <w:rPr>
          <w:rStyle w:val="Sprotnaopomba-sklic"/>
        </w:rPr>
        <w:footnoteRef/>
      </w:r>
      <w:r>
        <w:t xml:space="preserve"> </w:t>
      </w:r>
      <w:r w:rsidRPr="00661043">
        <w:t>Uredba o enotni metodologiji za pripravo in obravnavo investicijske dokumentacije na področju javnih financ (Uradni list RS, št. 60/06, 54/10 in 27/16)</w:t>
      </w:r>
    </w:p>
  </w:footnote>
  <w:footnote w:id="2">
    <w:p w14:paraId="23EC2276" w14:textId="77777777" w:rsidR="00996D54" w:rsidRDefault="00996D54" w:rsidP="00CF78FD">
      <w:pPr>
        <w:pStyle w:val="Sprotnaopomba-besedilo"/>
      </w:pPr>
      <w:r>
        <w:rPr>
          <w:rStyle w:val="Sprotnaopomba-sklic"/>
        </w:rPr>
        <w:footnoteRef/>
      </w:r>
      <w:r>
        <w:t xml:space="preserve"> Guide to Cost-Benefit Analysis of Investment Projects Economic appraisal tool for Cohesion Policy 2014-2020 </w:t>
      </w:r>
    </w:p>
  </w:footnote>
  <w:footnote w:id="3">
    <w:p w14:paraId="03F1B0BB" w14:textId="77777777" w:rsidR="00996D54" w:rsidRDefault="00996D54" w:rsidP="00EB37F9">
      <w:pPr>
        <w:pStyle w:val="Sprotnaopomba-besedilo"/>
      </w:pPr>
      <w:r>
        <w:rPr>
          <w:rStyle w:val="Sprotnaopomba-sklic"/>
        </w:rPr>
        <w:footnoteRef/>
      </w:r>
      <w:r>
        <w:t xml:space="preserve"> </w:t>
      </w:r>
      <w:r w:rsidRPr="00EF5C73">
        <w:rPr>
          <w:rFonts w:ascii="Trebuchet MS" w:hAnsi="Trebuchet MS"/>
          <w:color w:val="auto"/>
          <w:sz w:val="18"/>
          <w:szCs w:val="18"/>
        </w:rPr>
        <w:t xml:space="preserve">Če ni drugače navedeno, se v nadaljevanju beseda destinacija nanaša na občino Nova Gorica. Mestna občina Nova Gorica se </w:t>
      </w:r>
      <w:r>
        <w:rPr>
          <w:rFonts w:ascii="Trebuchet MS" w:hAnsi="Trebuchet MS"/>
          <w:color w:val="auto"/>
          <w:sz w:val="18"/>
          <w:szCs w:val="18"/>
        </w:rPr>
        <w:t xml:space="preserve">sicer </w:t>
      </w:r>
      <w:r w:rsidRPr="00EF5C73">
        <w:rPr>
          <w:rFonts w:ascii="Trebuchet MS" w:hAnsi="Trebuchet MS"/>
          <w:color w:val="auto"/>
          <w:sz w:val="18"/>
          <w:szCs w:val="18"/>
        </w:rPr>
        <w:t>povezuje skupaj s petimi drugimi občinami v turistično destinacijo Nova Gorica in Vipavska dolina.</w:t>
      </w:r>
    </w:p>
  </w:footnote>
  <w:footnote w:id="4">
    <w:p w14:paraId="0EC63F17" w14:textId="77777777" w:rsidR="00996D54" w:rsidRPr="00EF5C73" w:rsidRDefault="00996D54" w:rsidP="00EB37F9">
      <w:pPr>
        <w:pStyle w:val="Sprotnaopomba-besedilo"/>
        <w:spacing w:after="60"/>
        <w:rPr>
          <w:rFonts w:ascii="Trebuchet MS" w:hAnsi="Trebuchet MS"/>
          <w:sz w:val="18"/>
          <w:szCs w:val="18"/>
        </w:rPr>
      </w:pPr>
      <w:r w:rsidRPr="00EF5C73">
        <w:rPr>
          <w:rStyle w:val="Sprotnaopomba-sklic"/>
          <w:rFonts w:ascii="Trebuchet MS" w:hAnsi="Trebuchet MS"/>
          <w:sz w:val="18"/>
          <w:szCs w:val="18"/>
        </w:rPr>
        <w:footnoteRef/>
      </w:r>
      <w:r w:rsidRPr="00EF5C73">
        <w:rPr>
          <w:rFonts w:ascii="Trebuchet MS" w:hAnsi="Trebuchet MS"/>
          <w:sz w:val="18"/>
          <w:szCs w:val="18"/>
        </w:rPr>
        <w:t xml:space="preserve"> geološke, hidrološke, botanične, zoološke, drevesne, ekosistemske, oblikovane, krajinske ter geomorfološke površinske in podzemne naravne vrednote</w:t>
      </w:r>
    </w:p>
  </w:footnote>
  <w:footnote w:id="5">
    <w:p w14:paraId="666F1378" w14:textId="77777777" w:rsidR="00996D54" w:rsidRPr="00EF5C73" w:rsidRDefault="00996D54" w:rsidP="00EB37F9">
      <w:pPr>
        <w:pStyle w:val="Sprotnaopomba-besedilo"/>
        <w:spacing w:after="60"/>
        <w:rPr>
          <w:rFonts w:ascii="Trebuchet MS" w:hAnsi="Trebuchet MS"/>
          <w:sz w:val="18"/>
          <w:szCs w:val="18"/>
        </w:rPr>
      </w:pPr>
      <w:r w:rsidRPr="00EF5C73">
        <w:rPr>
          <w:rStyle w:val="Sprotnaopomba-sklic"/>
          <w:rFonts w:ascii="Trebuchet MS" w:hAnsi="Trebuchet MS"/>
          <w:sz w:val="18"/>
          <w:szCs w:val="18"/>
        </w:rPr>
        <w:footnoteRef/>
      </w:r>
      <w:r w:rsidRPr="00EF5C73">
        <w:rPr>
          <w:rFonts w:ascii="Trebuchet MS" w:hAnsi="Trebuchet MS"/>
          <w:sz w:val="18"/>
          <w:szCs w:val="18"/>
        </w:rPr>
        <w:t xml:space="preserve"> območja habitatnih tipov ali večje ekosistemske enote, ki pomembno prispevajo k ohranjanju biotske raznovrstnosti</w:t>
      </w:r>
    </w:p>
  </w:footnote>
  <w:footnote w:id="6">
    <w:p w14:paraId="4E4AD2B0" w14:textId="77777777" w:rsidR="00996D54" w:rsidRPr="00EF5C73" w:rsidRDefault="00996D54" w:rsidP="00EB37F9">
      <w:pPr>
        <w:pStyle w:val="Sprotnaopomba-besedilo"/>
        <w:rPr>
          <w:rFonts w:ascii="Trebuchet MS" w:hAnsi="Trebuchet MS"/>
          <w:sz w:val="18"/>
          <w:szCs w:val="18"/>
        </w:rPr>
      </w:pPr>
      <w:r w:rsidRPr="00EF5C73">
        <w:rPr>
          <w:rStyle w:val="Sprotnaopomba-sklic"/>
          <w:rFonts w:ascii="Trebuchet MS" w:hAnsi="Trebuchet MS"/>
          <w:sz w:val="18"/>
          <w:szCs w:val="18"/>
        </w:rPr>
        <w:footnoteRef/>
      </w:r>
      <w:r w:rsidRPr="00EF5C73">
        <w:rPr>
          <w:rFonts w:ascii="Trebuchet MS" w:hAnsi="Trebuchet MS"/>
          <w:sz w:val="18"/>
          <w:szCs w:val="18"/>
        </w:rPr>
        <w:t xml:space="preserve"> parki, naravni rezervati in naravni spomeniki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A0F8CF" w14:textId="5B6B5FB6" w:rsidR="00996D54" w:rsidRDefault="00996D54" w:rsidP="006B7E34">
    <w:pPr>
      <w:pStyle w:val="Glava"/>
    </w:pPr>
    <w:r>
      <w:rPr>
        <w:noProof/>
        <w:lang w:eastAsia="sl-SI"/>
      </w:rPr>
      <w:drawing>
        <wp:anchor distT="0" distB="0" distL="114300" distR="114300" simplePos="0" relativeHeight="251676672" behindDoc="0" locked="0" layoutInCell="1" allowOverlap="1" wp14:anchorId="4143B64A" wp14:editId="74DFF4AB">
          <wp:simplePos x="0" y="0"/>
          <wp:positionH relativeFrom="column">
            <wp:posOffset>4262755</wp:posOffset>
          </wp:positionH>
          <wp:positionV relativeFrom="paragraph">
            <wp:posOffset>22860</wp:posOffset>
          </wp:positionV>
          <wp:extent cx="1600913" cy="408940"/>
          <wp:effectExtent l="0" t="0" r="0" b="0"/>
          <wp:wrapNone/>
          <wp:docPr id="21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0913" cy="408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658240" behindDoc="0" locked="0" layoutInCell="1" allowOverlap="1" wp14:anchorId="670CC407" wp14:editId="213539FC">
          <wp:simplePos x="0" y="0"/>
          <wp:positionH relativeFrom="column">
            <wp:posOffset>-167640</wp:posOffset>
          </wp:positionH>
          <wp:positionV relativeFrom="paragraph">
            <wp:posOffset>-1905</wp:posOffset>
          </wp:positionV>
          <wp:extent cx="2857500" cy="1362126"/>
          <wp:effectExtent l="0" t="0" r="0" b="9525"/>
          <wp:wrapNone/>
          <wp:docPr id="212" name="Immagine 20" descr="C:\Users\ict02\Desktop\SECAP\SECAP_FORMAT\SECAP_FORMAT\SECAP_ASSE_2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ct02\Desktop\SECAP\SECAP_FORMAT\SECAP_FORMAT\SECAP_ASSE_2_RGB.jpg"/>
                  <pic:cNvPicPr>
                    <a:picLocks noChangeAspect="1" noChangeArrowheads="1"/>
                  </pic:cNvPicPr>
                </pic:nvPicPr>
                <pic:blipFill rotWithShape="1">
                  <a:blip r:embed="rId2">
                    <a:extLst>
                      <a:ext uri="{28A0092B-C50C-407E-A947-70E740481C1C}">
                        <a14:useLocalDpi xmlns:a14="http://schemas.microsoft.com/office/drawing/2010/main" val="0"/>
                      </a:ext>
                    </a:extLst>
                  </a:blip>
                  <a:srcRect l="20592" t="34802" r="19189" b="24670"/>
                  <a:stretch/>
                </pic:blipFill>
                <pic:spPr bwMode="auto">
                  <a:xfrm>
                    <a:off x="0" y="0"/>
                    <a:ext cx="2899552" cy="13821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59BA4A" w14:textId="77777777" w:rsidR="00996D54" w:rsidRDefault="00996D54" w:rsidP="006B7E34">
    <w:pPr>
      <w:pStyle w:val="Glava"/>
    </w:pPr>
    <w:r>
      <w:rPr>
        <w:noProof/>
        <w:lang w:eastAsia="sl-SI"/>
      </w:rPr>
      <w:drawing>
        <wp:anchor distT="0" distB="0" distL="114300" distR="114300" simplePos="0" relativeHeight="251684864" behindDoc="0" locked="0" layoutInCell="1" allowOverlap="1" wp14:anchorId="13B556F4" wp14:editId="6095BE80">
          <wp:simplePos x="0" y="0"/>
          <wp:positionH relativeFrom="margin">
            <wp:posOffset>0</wp:posOffset>
          </wp:positionH>
          <wp:positionV relativeFrom="paragraph">
            <wp:posOffset>-635</wp:posOffset>
          </wp:positionV>
          <wp:extent cx="1878286" cy="895350"/>
          <wp:effectExtent l="0" t="0" r="8255" b="0"/>
          <wp:wrapNone/>
          <wp:docPr id="48" name="Immagine 202" descr="C:\Users\ict02\Desktop\SECAP\SECAP_FORMAT\SECAP_FORMAT\SECAP_ASSE_2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ct02\Desktop\SECAP\SECAP_FORMAT\SECAP_FORMAT\SECAP_ASSE_2_RGB.jpg"/>
                  <pic:cNvPicPr>
                    <a:picLocks noChangeAspect="1" noChangeArrowheads="1"/>
                  </pic:cNvPicPr>
                </pic:nvPicPr>
                <pic:blipFill rotWithShape="1">
                  <a:blip r:embed="rId1">
                    <a:extLst>
                      <a:ext uri="{28A0092B-C50C-407E-A947-70E740481C1C}">
                        <a14:useLocalDpi xmlns:a14="http://schemas.microsoft.com/office/drawing/2010/main" val="0"/>
                      </a:ext>
                    </a:extLst>
                  </a:blip>
                  <a:srcRect l="20592" t="34802" r="19189" b="24670"/>
                  <a:stretch/>
                </pic:blipFill>
                <pic:spPr bwMode="auto">
                  <a:xfrm>
                    <a:off x="0" y="0"/>
                    <a:ext cx="1878286" cy="895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825549" w14:textId="7D4D01FF" w:rsidR="00996D54" w:rsidRDefault="00996D54" w:rsidP="006B7E34">
    <w:pPr>
      <w:pStyle w:val="Glava"/>
    </w:pPr>
    <w:r>
      <w:rPr>
        <w:noProof/>
        <w:lang w:eastAsia="sl-SI"/>
      </w:rPr>
      <w:drawing>
        <wp:anchor distT="0" distB="0" distL="114300" distR="114300" simplePos="0" relativeHeight="251671552" behindDoc="0" locked="0" layoutInCell="1" allowOverlap="1" wp14:anchorId="0E52938B" wp14:editId="47385A03">
          <wp:simplePos x="0" y="0"/>
          <wp:positionH relativeFrom="margin">
            <wp:align>left</wp:align>
          </wp:positionH>
          <wp:positionV relativeFrom="paragraph">
            <wp:posOffset>-1905</wp:posOffset>
          </wp:positionV>
          <wp:extent cx="1878286" cy="895350"/>
          <wp:effectExtent l="0" t="0" r="8255" b="0"/>
          <wp:wrapNone/>
          <wp:docPr id="50" name="Immagine 202" descr="C:\Users\ict02\Desktop\SECAP\SECAP_FORMAT\SECAP_FORMAT\SECAP_ASSE_2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ct02\Desktop\SECAP\SECAP_FORMAT\SECAP_FORMAT\SECAP_ASSE_2_RGB.jpg"/>
                  <pic:cNvPicPr>
                    <a:picLocks noChangeAspect="1" noChangeArrowheads="1"/>
                  </pic:cNvPicPr>
                </pic:nvPicPr>
                <pic:blipFill rotWithShape="1">
                  <a:blip r:embed="rId1">
                    <a:extLst>
                      <a:ext uri="{28A0092B-C50C-407E-A947-70E740481C1C}">
                        <a14:useLocalDpi xmlns:a14="http://schemas.microsoft.com/office/drawing/2010/main" val="0"/>
                      </a:ext>
                    </a:extLst>
                  </a:blip>
                  <a:srcRect l="20592" t="34802" r="19189" b="24670"/>
                  <a:stretch/>
                </pic:blipFill>
                <pic:spPr bwMode="auto">
                  <a:xfrm>
                    <a:off x="0" y="0"/>
                    <a:ext cx="1878286" cy="895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D5700"/>
    <w:multiLevelType w:val="hybridMultilevel"/>
    <w:tmpl w:val="EB70AE14"/>
    <w:lvl w:ilvl="0" w:tplc="0424000B">
      <w:start w:val="1"/>
      <w:numFmt w:val="bullet"/>
      <w:lvlText w:val=""/>
      <w:lvlJc w:val="left"/>
      <w:pPr>
        <w:ind w:left="720" w:hanging="360"/>
      </w:pPr>
      <w:rPr>
        <w:rFonts w:ascii="Wingdings" w:hAnsi="Wingdings"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6260954"/>
    <w:multiLevelType w:val="hybridMultilevel"/>
    <w:tmpl w:val="FEFCA158"/>
    <w:lvl w:ilvl="0" w:tplc="2000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08AA2170"/>
    <w:multiLevelType w:val="hybridMultilevel"/>
    <w:tmpl w:val="D9DC6550"/>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AAB7915"/>
    <w:multiLevelType w:val="hybridMultilevel"/>
    <w:tmpl w:val="B88A13B2"/>
    <w:lvl w:ilvl="0" w:tplc="2D1012C4">
      <w:start w:val="1"/>
      <w:numFmt w:val="decimal"/>
      <w:lvlText w:val="%1)"/>
      <w:lvlJc w:val="left"/>
      <w:pPr>
        <w:ind w:left="108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13A605C2"/>
    <w:multiLevelType w:val="hybridMultilevel"/>
    <w:tmpl w:val="0C74F9AC"/>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5" w15:restartNumberingAfterBreak="0">
    <w:nsid w:val="145705D4"/>
    <w:multiLevelType w:val="hybridMultilevel"/>
    <w:tmpl w:val="AA6C6126"/>
    <w:lvl w:ilvl="0" w:tplc="805235A4">
      <w:numFmt w:val="bullet"/>
      <w:lvlText w:val="-"/>
      <w:lvlJc w:val="left"/>
      <w:pPr>
        <w:ind w:left="720" w:hanging="360"/>
      </w:pPr>
      <w:rPr>
        <w:rFonts w:ascii="Source Sans Pro Light" w:eastAsiaTheme="minorHAnsi" w:hAnsi="Source Sans Pro Light"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15800C0C"/>
    <w:multiLevelType w:val="hybridMultilevel"/>
    <w:tmpl w:val="D82A62B2"/>
    <w:lvl w:ilvl="0" w:tplc="805235A4">
      <w:numFmt w:val="bullet"/>
      <w:lvlText w:val="-"/>
      <w:lvlJc w:val="left"/>
      <w:pPr>
        <w:ind w:left="720" w:hanging="360"/>
      </w:pPr>
      <w:rPr>
        <w:rFonts w:ascii="Source Sans Pro Light" w:eastAsiaTheme="minorHAnsi" w:hAnsi="Source Sans Pro Light"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74D20AB"/>
    <w:multiLevelType w:val="hybridMultilevel"/>
    <w:tmpl w:val="EAB234BA"/>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9F502EE"/>
    <w:multiLevelType w:val="hybridMultilevel"/>
    <w:tmpl w:val="07E2AF62"/>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1BD85A84"/>
    <w:multiLevelType w:val="hybridMultilevel"/>
    <w:tmpl w:val="A992F58E"/>
    <w:lvl w:ilvl="0" w:tplc="2000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1C2D2443"/>
    <w:multiLevelType w:val="hybridMultilevel"/>
    <w:tmpl w:val="4C748F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DAF711C"/>
    <w:multiLevelType w:val="hybridMultilevel"/>
    <w:tmpl w:val="8334EC10"/>
    <w:lvl w:ilvl="0" w:tplc="04240001">
      <w:start w:val="1"/>
      <w:numFmt w:val="bullet"/>
      <w:lvlText w:val=""/>
      <w:lvlJc w:val="left"/>
      <w:pPr>
        <w:tabs>
          <w:tab w:val="num" w:pos="720"/>
        </w:tabs>
        <w:ind w:left="720" w:hanging="360"/>
      </w:pPr>
      <w:rPr>
        <w:rFonts w:ascii="Symbol" w:hAnsi="Symbol" w:hint="default"/>
      </w:rPr>
    </w:lvl>
    <w:lvl w:ilvl="1" w:tplc="04240001">
      <w:start w:val="1"/>
      <w:numFmt w:val="bullet"/>
      <w:lvlText w:val=""/>
      <w:lvlJc w:val="left"/>
      <w:pPr>
        <w:tabs>
          <w:tab w:val="num" w:pos="1440"/>
        </w:tabs>
        <w:ind w:left="1440" w:hanging="360"/>
      </w:pPr>
      <w:rPr>
        <w:rFonts w:ascii="Symbol" w:hAnsi="Symbol" w:hint="default"/>
      </w:rPr>
    </w:lvl>
    <w:lvl w:ilvl="2" w:tplc="EBDE6B68" w:tentative="1">
      <w:start w:val="1"/>
      <w:numFmt w:val="bullet"/>
      <w:lvlText w:val="•"/>
      <w:lvlJc w:val="left"/>
      <w:pPr>
        <w:tabs>
          <w:tab w:val="num" w:pos="2160"/>
        </w:tabs>
        <w:ind w:left="2160" w:hanging="360"/>
      </w:pPr>
      <w:rPr>
        <w:rFonts w:ascii="Arial" w:hAnsi="Arial" w:hint="default"/>
      </w:rPr>
    </w:lvl>
    <w:lvl w:ilvl="3" w:tplc="D51652DE" w:tentative="1">
      <w:start w:val="1"/>
      <w:numFmt w:val="bullet"/>
      <w:lvlText w:val="•"/>
      <w:lvlJc w:val="left"/>
      <w:pPr>
        <w:tabs>
          <w:tab w:val="num" w:pos="2880"/>
        </w:tabs>
        <w:ind w:left="2880" w:hanging="360"/>
      </w:pPr>
      <w:rPr>
        <w:rFonts w:ascii="Arial" w:hAnsi="Arial" w:hint="default"/>
      </w:rPr>
    </w:lvl>
    <w:lvl w:ilvl="4" w:tplc="9320D4DE" w:tentative="1">
      <w:start w:val="1"/>
      <w:numFmt w:val="bullet"/>
      <w:lvlText w:val="•"/>
      <w:lvlJc w:val="left"/>
      <w:pPr>
        <w:tabs>
          <w:tab w:val="num" w:pos="3600"/>
        </w:tabs>
        <w:ind w:left="3600" w:hanging="360"/>
      </w:pPr>
      <w:rPr>
        <w:rFonts w:ascii="Arial" w:hAnsi="Arial" w:hint="default"/>
      </w:rPr>
    </w:lvl>
    <w:lvl w:ilvl="5" w:tplc="F1701FE6" w:tentative="1">
      <w:start w:val="1"/>
      <w:numFmt w:val="bullet"/>
      <w:lvlText w:val="•"/>
      <w:lvlJc w:val="left"/>
      <w:pPr>
        <w:tabs>
          <w:tab w:val="num" w:pos="4320"/>
        </w:tabs>
        <w:ind w:left="4320" w:hanging="360"/>
      </w:pPr>
      <w:rPr>
        <w:rFonts w:ascii="Arial" w:hAnsi="Arial" w:hint="default"/>
      </w:rPr>
    </w:lvl>
    <w:lvl w:ilvl="6" w:tplc="3738BA5C" w:tentative="1">
      <w:start w:val="1"/>
      <w:numFmt w:val="bullet"/>
      <w:lvlText w:val="•"/>
      <w:lvlJc w:val="left"/>
      <w:pPr>
        <w:tabs>
          <w:tab w:val="num" w:pos="5040"/>
        </w:tabs>
        <w:ind w:left="5040" w:hanging="360"/>
      </w:pPr>
      <w:rPr>
        <w:rFonts w:ascii="Arial" w:hAnsi="Arial" w:hint="default"/>
      </w:rPr>
    </w:lvl>
    <w:lvl w:ilvl="7" w:tplc="0BB68796" w:tentative="1">
      <w:start w:val="1"/>
      <w:numFmt w:val="bullet"/>
      <w:lvlText w:val="•"/>
      <w:lvlJc w:val="left"/>
      <w:pPr>
        <w:tabs>
          <w:tab w:val="num" w:pos="5760"/>
        </w:tabs>
        <w:ind w:left="5760" w:hanging="360"/>
      </w:pPr>
      <w:rPr>
        <w:rFonts w:ascii="Arial" w:hAnsi="Arial" w:hint="default"/>
      </w:rPr>
    </w:lvl>
    <w:lvl w:ilvl="8" w:tplc="30082EC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EB1356B"/>
    <w:multiLevelType w:val="hybridMultilevel"/>
    <w:tmpl w:val="2CB0D35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1FD451D3"/>
    <w:multiLevelType w:val="hybridMultilevel"/>
    <w:tmpl w:val="419ECE56"/>
    <w:lvl w:ilvl="0" w:tplc="805235A4">
      <w:numFmt w:val="bullet"/>
      <w:lvlText w:val="-"/>
      <w:lvlJc w:val="left"/>
      <w:pPr>
        <w:ind w:left="720" w:hanging="360"/>
      </w:pPr>
      <w:rPr>
        <w:rFonts w:ascii="Source Sans Pro Light" w:eastAsiaTheme="minorHAnsi" w:hAnsi="Source Sans Pro Light"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7F347C0"/>
    <w:multiLevelType w:val="hybridMultilevel"/>
    <w:tmpl w:val="B0AEA6A6"/>
    <w:lvl w:ilvl="0" w:tplc="9F8C4064">
      <w:start w:val="1"/>
      <w:numFmt w:val="bullet"/>
      <w:lvlText w:val="-"/>
      <w:lvlJc w:val="left"/>
      <w:pPr>
        <w:ind w:left="720" w:hanging="360"/>
      </w:pPr>
      <w:rPr>
        <w:rFonts w:ascii="Trebuchet MS" w:eastAsiaTheme="minorHAnsi" w:hAnsi="Trebuchet MS" w:cstheme="minorBidi"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28F579C5"/>
    <w:multiLevelType w:val="hybridMultilevel"/>
    <w:tmpl w:val="BFDAC3EA"/>
    <w:lvl w:ilvl="0" w:tplc="91CCDED4">
      <w:start w:val="1"/>
      <w:numFmt w:val="decimal"/>
      <w:lvlText w:val="%1"/>
      <w:lvlJc w:val="left"/>
      <w:pPr>
        <w:ind w:left="15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2CFC4146">
      <w:start w:val="1"/>
      <w:numFmt w:val="lowerLetter"/>
      <w:lvlText w:val="%2"/>
      <w:lvlJc w:val="left"/>
      <w:pPr>
        <w:ind w:left="118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66F89282">
      <w:start w:val="1"/>
      <w:numFmt w:val="lowerRoman"/>
      <w:lvlText w:val="%3"/>
      <w:lvlJc w:val="left"/>
      <w:pPr>
        <w:ind w:left="190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23D8787C">
      <w:start w:val="1"/>
      <w:numFmt w:val="decimal"/>
      <w:lvlText w:val="%4"/>
      <w:lvlJc w:val="left"/>
      <w:pPr>
        <w:ind w:left="262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921A8A00">
      <w:start w:val="1"/>
      <w:numFmt w:val="lowerLetter"/>
      <w:lvlText w:val="%5"/>
      <w:lvlJc w:val="left"/>
      <w:pPr>
        <w:ind w:left="334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B7B4ECCE">
      <w:start w:val="1"/>
      <w:numFmt w:val="lowerRoman"/>
      <w:lvlText w:val="%6"/>
      <w:lvlJc w:val="left"/>
      <w:pPr>
        <w:ind w:left="406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1CFEA484">
      <w:start w:val="1"/>
      <w:numFmt w:val="decimal"/>
      <w:lvlText w:val="%7"/>
      <w:lvlJc w:val="left"/>
      <w:pPr>
        <w:ind w:left="478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08A89860">
      <w:start w:val="1"/>
      <w:numFmt w:val="lowerLetter"/>
      <w:lvlText w:val="%8"/>
      <w:lvlJc w:val="left"/>
      <w:pPr>
        <w:ind w:left="550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040480D8">
      <w:start w:val="1"/>
      <w:numFmt w:val="lowerRoman"/>
      <w:lvlText w:val="%9"/>
      <w:lvlJc w:val="left"/>
      <w:pPr>
        <w:ind w:left="622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2F5D333E"/>
    <w:multiLevelType w:val="multilevel"/>
    <w:tmpl w:val="0EECDF70"/>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2192D71"/>
    <w:multiLevelType w:val="hybridMultilevel"/>
    <w:tmpl w:val="79E48428"/>
    <w:lvl w:ilvl="0" w:tplc="04240001">
      <w:start w:val="1"/>
      <w:numFmt w:val="bullet"/>
      <w:lvlText w:val=""/>
      <w:lvlJc w:val="left"/>
      <w:pPr>
        <w:ind w:left="360" w:hanging="360"/>
      </w:pPr>
      <w:rPr>
        <w:rFonts w:ascii="Symbol" w:hAnsi="Symbol" w:hint="default"/>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8" w15:restartNumberingAfterBreak="0">
    <w:nsid w:val="355007B8"/>
    <w:multiLevelType w:val="hybridMultilevel"/>
    <w:tmpl w:val="AE8CBEDE"/>
    <w:lvl w:ilvl="0" w:tplc="2000000B">
      <w:start w:val="1"/>
      <w:numFmt w:val="bullet"/>
      <w:lvlText w:val=""/>
      <w:lvlJc w:val="left"/>
      <w:pPr>
        <w:ind w:left="720" w:hanging="360"/>
      </w:pPr>
      <w:rPr>
        <w:rFonts w:ascii="Wingdings" w:hAnsi="Wingdings" w:hint="default"/>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 w15:restartNumberingAfterBreak="0">
    <w:nsid w:val="35A41E65"/>
    <w:multiLevelType w:val="hybridMultilevel"/>
    <w:tmpl w:val="5330DD44"/>
    <w:lvl w:ilvl="0" w:tplc="09DC7A58">
      <w:numFmt w:val="bullet"/>
      <w:lvlText w:val="-"/>
      <w:lvlJc w:val="left"/>
      <w:pPr>
        <w:ind w:left="720" w:hanging="360"/>
      </w:pPr>
      <w:rPr>
        <w:rFonts w:ascii="Calibri" w:eastAsia="Times New Roman"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0" w15:restartNumberingAfterBreak="0">
    <w:nsid w:val="35E432DA"/>
    <w:multiLevelType w:val="hybridMultilevel"/>
    <w:tmpl w:val="3CE4407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1" w15:restartNumberingAfterBreak="0">
    <w:nsid w:val="379E7307"/>
    <w:multiLevelType w:val="hybridMultilevel"/>
    <w:tmpl w:val="6BF04E54"/>
    <w:lvl w:ilvl="0" w:tplc="2D1012C4">
      <w:start w:val="1"/>
      <w:numFmt w:val="decimal"/>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22" w15:restartNumberingAfterBreak="0">
    <w:nsid w:val="3AB16795"/>
    <w:multiLevelType w:val="hybridMultilevel"/>
    <w:tmpl w:val="9828DC4C"/>
    <w:lvl w:ilvl="0" w:tplc="20000005">
      <w:start w:val="1"/>
      <w:numFmt w:val="bullet"/>
      <w:lvlText w:val=""/>
      <w:lvlJc w:val="left"/>
      <w:pPr>
        <w:ind w:left="720" w:hanging="360"/>
      </w:pPr>
      <w:rPr>
        <w:rFonts w:ascii="Wingdings" w:hAnsi="Wingdings"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15:restartNumberingAfterBreak="0">
    <w:nsid w:val="3BF97573"/>
    <w:multiLevelType w:val="hybridMultilevel"/>
    <w:tmpl w:val="FA90FE98"/>
    <w:lvl w:ilvl="0" w:tplc="5AE0AB16">
      <w:numFmt w:val="bullet"/>
      <w:lvlText w:val="-"/>
      <w:lvlJc w:val="left"/>
      <w:pPr>
        <w:ind w:left="720" w:hanging="360"/>
      </w:pPr>
      <w:rPr>
        <w:rFonts w:ascii="Trebuchet MS" w:eastAsia="Trebuchet MS" w:hAnsi="Trebuchet MS" w:cs="Trebuchet M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465F6D42"/>
    <w:multiLevelType w:val="hybridMultilevel"/>
    <w:tmpl w:val="4ADC41EE"/>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47C51C2D"/>
    <w:multiLevelType w:val="hybridMultilevel"/>
    <w:tmpl w:val="B1DCF5CE"/>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47E149B7"/>
    <w:multiLevelType w:val="hybridMultilevel"/>
    <w:tmpl w:val="6B8EB7F4"/>
    <w:lvl w:ilvl="0" w:tplc="CBBA3D44">
      <w:start w:val="1"/>
      <w:numFmt w:val="bullet"/>
      <w:lvlText w:val="-"/>
      <w:lvlJc w:val="left"/>
      <w:pPr>
        <w:ind w:left="720" w:hanging="360"/>
      </w:pPr>
      <w:rPr>
        <w:rFonts w:ascii="Arial" w:hAnsi="Arial" w:cs="Times New Roman"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7" w15:restartNumberingAfterBreak="0">
    <w:nsid w:val="48CB60FB"/>
    <w:multiLevelType w:val="hybridMultilevel"/>
    <w:tmpl w:val="915C1B7C"/>
    <w:lvl w:ilvl="0" w:tplc="651070D6">
      <w:numFmt w:val="bullet"/>
      <w:lvlText w:val="•"/>
      <w:lvlJc w:val="left"/>
      <w:pPr>
        <w:ind w:left="786" w:hanging="360"/>
      </w:pPr>
      <w:rPr>
        <w:rFonts w:ascii="Trebuchet MS" w:eastAsia="Times New Roman" w:hAnsi="Trebuchet MS"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4D922158"/>
    <w:multiLevelType w:val="hybridMultilevel"/>
    <w:tmpl w:val="CD248272"/>
    <w:lvl w:ilvl="0" w:tplc="805235A4">
      <w:numFmt w:val="bullet"/>
      <w:lvlText w:val="-"/>
      <w:lvlJc w:val="left"/>
      <w:pPr>
        <w:ind w:left="720" w:hanging="360"/>
      </w:pPr>
      <w:rPr>
        <w:rFonts w:ascii="Source Sans Pro Light" w:eastAsiaTheme="minorHAnsi" w:hAnsi="Source Sans Pro Light"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50174744"/>
    <w:multiLevelType w:val="hybridMultilevel"/>
    <w:tmpl w:val="9D40463A"/>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562923EF"/>
    <w:multiLevelType w:val="hybridMultilevel"/>
    <w:tmpl w:val="9ABC885E"/>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1" w15:restartNumberingAfterBreak="0">
    <w:nsid w:val="569E4272"/>
    <w:multiLevelType w:val="hybridMultilevel"/>
    <w:tmpl w:val="ED04550A"/>
    <w:lvl w:ilvl="0" w:tplc="09DC7A58">
      <w:numFmt w:val="bullet"/>
      <w:lvlText w:val="-"/>
      <w:lvlJc w:val="left"/>
      <w:pPr>
        <w:ind w:left="720" w:hanging="360"/>
      </w:pPr>
      <w:rPr>
        <w:rFonts w:ascii="Calibri" w:eastAsia="Times New Roman"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32" w15:restartNumberingAfterBreak="0">
    <w:nsid w:val="5907224E"/>
    <w:multiLevelType w:val="multilevel"/>
    <w:tmpl w:val="E196FAD6"/>
    <w:lvl w:ilvl="0">
      <w:start w:val="1"/>
      <w:numFmt w:val="decimal"/>
      <w:pStyle w:val="Naslov1"/>
      <w:lvlText w:val="%1."/>
      <w:lvlJc w:val="left"/>
      <w:pPr>
        <w:ind w:left="360" w:hanging="360"/>
      </w:pPr>
    </w:lvl>
    <w:lvl w:ilvl="1">
      <w:start w:val="1"/>
      <w:numFmt w:val="decimal"/>
      <w:pStyle w:val="Naslov2"/>
      <w:lvlText w:val="%1.%2."/>
      <w:lvlJc w:val="left"/>
      <w:pPr>
        <w:ind w:left="1850"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slov3"/>
      <w:lvlText w:val="%1.%2.%3."/>
      <w:lvlJc w:val="left"/>
      <w:pPr>
        <w:ind w:left="1224" w:hanging="50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slov4"/>
      <w:lvlText w:val="%1.%2.%3.%4."/>
      <w:lvlJc w:val="left"/>
      <w:pPr>
        <w:ind w:left="1728" w:hanging="648"/>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59130177"/>
    <w:multiLevelType w:val="hybridMultilevel"/>
    <w:tmpl w:val="C8482D5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4" w15:restartNumberingAfterBreak="0">
    <w:nsid w:val="5C211892"/>
    <w:multiLevelType w:val="hybridMultilevel"/>
    <w:tmpl w:val="21F62778"/>
    <w:lvl w:ilvl="0" w:tplc="99B43350">
      <w:numFmt w:val="bullet"/>
      <w:lvlText w:val="-"/>
      <w:lvlJc w:val="left"/>
      <w:pPr>
        <w:ind w:left="720" w:hanging="360"/>
      </w:pPr>
      <w:rPr>
        <w:rFonts w:ascii="Trebuchet MS" w:eastAsiaTheme="minorHAnsi" w:hAnsi="Trebuchet MS"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15:restartNumberingAfterBreak="0">
    <w:nsid w:val="5D711462"/>
    <w:multiLevelType w:val="hybridMultilevel"/>
    <w:tmpl w:val="2E1C6CFC"/>
    <w:lvl w:ilvl="0" w:tplc="2000000B">
      <w:start w:val="1"/>
      <w:numFmt w:val="bullet"/>
      <w:lvlText w:val=""/>
      <w:lvlJc w:val="left"/>
      <w:pPr>
        <w:ind w:left="720" w:hanging="360"/>
      </w:pPr>
      <w:rPr>
        <w:rFonts w:ascii="Wingdings" w:hAnsi="Wingdings" w:hint="default"/>
      </w:rPr>
    </w:lvl>
    <w:lvl w:ilvl="1" w:tplc="20000001">
      <w:start w:val="1"/>
      <w:numFmt w:val="bullet"/>
      <w:lvlText w:val=""/>
      <w:lvlJc w:val="left"/>
      <w:pPr>
        <w:ind w:left="1440" w:hanging="360"/>
      </w:pPr>
      <w:rPr>
        <w:rFonts w:ascii="Symbol" w:hAnsi="Symbol" w:hint="default"/>
      </w:rPr>
    </w:lvl>
    <w:lvl w:ilvl="2" w:tplc="20000005">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6" w15:restartNumberingAfterBreak="0">
    <w:nsid w:val="5E6812C6"/>
    <w:multiLevelType w:val="hybridMultilevel"/>
    <w:tmpl w:val="3CE4407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7" w15:restartNumberingAfterBreak="0">
    <w:nsid w:val="5EC627A0"/>
    <w:multiLevelType w:val="hybridMultilevel"/>
    <w:tmpl w:val="B3B8105C"/>
    <w:lvl w:ilvl="0" w:tplc="CBBA3D44">
      <w:start w:val="1"/>
      <w:numFmt w:val="bullet"/>
      <w:lvlText w:val="-"/>
      <w:lvlJc w:val="left"/>
      <w:pPr>
        <w:ind w:left="720" w:hanging="360"/>
      </w:pPr>
      <w:rPr>
        <w:rFonts w:ascii="Arial" w:hAnsi="Arial" w:cs="Times New Roman"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38" w15:restartNumberingAfterBreak="0">
    <w:nsid w:val="62C26BBD"/>
    <w:multiLevelType w:val="hybridMultilevel"/>
    <w:tmpl w:val="088073EA"/>
    <w:lvl w:ilvl="0" w:tplc="04240001">
      <w:start w:val="1"/>
      <w:numFmt w:val="bullet"/>
      <w:lvlText w:val=""/>
      <w:lvlJc w:val="left"/>
      <w:pPr>
        <w:ind w:left="720" w:hanging="360"/>
      </w:pPr>
      <w:rPr>
        <w:rFonts w:ascii="Symbol" w:hAnsi="Symbol" w:cs="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cs="Wingdings" w:hint="default"/>
      </w:rPr>
    </w:lvl>
    <w:lvl w:ilvl="3" w:tplc="04240001" w:tentative="1">
      <w:start w:val="1"/>
      <w:numFmt w:val="bullet"/>
      <w:lvlText w:val=""/>
      <w:lvlJc w:val="left"/>
      <w:pPr>
        <w:ind w:left="2880" w:hanging="360"/>
      </w:pPr>
      <w:rPr>
        <w:rFonts w:ascii="Symbol" w:hAnsi="Symbol" w:cs="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cs="Wingdings" w:hint="default"/>
      </w:rPr>
    </w:lvl>
    <w:lvl w:ilvl="6" w:tplc="04240001" w:tentative="1">
      <w:start w:val="1"/>
      <w:numFmt w:val="bullet"/>
      <w:lvlText w:val=""/>
      <w:lvlJc w:val="left"/>
      <w:pPr>
        <w:ind w:left="5040" w:hanging="360"/>
      </w:pPr>
      <w:rPr>
        <w:rFonts w:ascii="Symbol" w:hAnsi="Symbol" w:cs="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cs="Wingdings" w:hint="default"/>
      </w:rPr>
    </w:lvl>
  </w:abstractNum>
  <w:abstractNum w:abstractNumId="39" w15:restartNumberingAfterBreak="0">
    <w:nsid w:val="632E3747"/>
    <w:multiLevelType w:val="hybridMultilevel"/>
    <w:tmpl w:val="D7300F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5886BEE"/>
    <w:multiLevelType w:val="hybridMultilevel"/>
    <w:tmpl w:val="FD1EEB34"/>
    <w:lvl w:ilvl="0" w:tplc="04240011">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1" w15:restartNumberingAfterBreak="0">
    <w:nsid w:val="66B50B3B"/>
    <w:multiLevelType w:val="hybridMultilevel"/>
    <w:tmpl w:val="069277CC"/>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2" w15:restartNumberingAfterBreak="0">
    <w:nsid w:val="674B0565"/>
    <w:multiLevelType w:val="hybridMultilevel"/>
    <w:tmpl w:val="6BF04E54"/>
    <w:lvl w:ilvl="0" w:tplc="2D1012C4">
      <w:start w:val="1"/>
      <w:numFmt w:val="decimal"/>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43" w15:restartNumberingAfterBreak="0">
    <w:nsid w:val="69594DFD"/>
    <w:multiLevelType w:val="hybridMultilevel"/>
    <w:tmpl w:val="563C9192"/>
    <w:lvl w:ilvl="0" w:tplc="7F240EFE">
      <w:numFmt w:val="bullet"/>
      <w:lvlText w:val="-"/>
      <w:lvlJc w:val="left"/>
      <w:pPr>
        <w:ind w:left="720" w:hanging="360"/>
      </w:pPr>
      <w:rPr>
        <w:rFonts w:ascii="Trebuchet MS" w:eastAsiaTheme="minorHAnsi" w:hAnsi="Trebuchet MS"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4" w15:restartNumberingAfterBreak="0">
    <w:nsid w:val="6E8D76EF"/>
    <w:multiLevelType w:val="hybridMultilevel"/>
    <w:tmpl w:val="88CA39EA"/>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5" w15:restartNumberingAfterBreak="0">
    <w:nsid w:val="7404066C"/>
    <w:multiLevelType w:val="hybridMultilevel"/>
    <w:tmpl w:val="F83A8E5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6" w15:restartNumberingAfterBreak="0">
    <w:nsid w:val="74825F2A"/>
    <w:multiLevelType w:val="hybridMultilevel"/>
    <w:tmpl w:val="1D2EEF8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7" w15:restartNumberingAfterBreak="0">
    <w:nsid w:val="76C47F6F"/>
    <w:multiLevelType w:val="multilevel"/>
    <w:tmpl w:val="4544BCC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C1C1E9C"/>
    <w:multiLevelType w:val="hybridMultilevel"/>
    <w:tmpl w:val="0F3A84A2"/>
    <w:lvl w:ilvl="0" w:tplc="CBBA3D4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32"/>
  </w:num>
  <w:num w:numId="2">
    <w:abstractNumId w:val="7"/>
  </w:num>
  <w:num w:numId="3">
    <w:abstractNumId w:val="2"/>
  </w:num>
  <w:num w:numId="4">
    <w:abstractNumId w:val="8"/>
  </w:num>
  <w:num w:numId="5">
    <w:abstractNumId w:val="0"/>
  </w:num>
  <w:num w:numId="6">
    <w:abstractNumId w:val="29"/>
  </w:num>
  <w:num w:numId="7">
    <w:abstractNumId w:val="34"/>
  </w:num>
  <w:num w:numId="8">
    <w:abstractNumId w:val="23"/>
  </w:num>
  <w:num w:numId="9">
    <w:abstractNumId w:val="13"/>
  </w:num>
  <w:num w:numId="10">
    <w:abstractNumId w:val="16"/>
  </w:num>
  <w:num w:numId="11">
    <w:abstractNumId w:val="47"/>
  </w:num>
  <w:num w:numId="12">
    <w:abstractNumId w:val="27"/>
  </w:num>
  <w:num w:numId="13">
    <w:abstractNumId w:val="10"/>
  </w:num>
  <w:num w:numId="14">
    <w:abstractNumId w:val="39"/>
  </w:num>
  <w:num w:numId="15">
    <w:abstractNumId w:val="44"/>
  </w:num>
  <w:num w:numId="16">
    <w:abstractNumId w:val="30"/>
  </w:num>
  <w:num w:numId="17">
    <w:abstractNumId w:val="4"/>
  </w:num>
  <w:num w:numId="18">
    <w:abstractNumId w:val="17"/>
  </w:num>
  <w:num w:numId="19">
    <w:abstractNumId w:val="31"/>
  </w:num>
  <w:num w:numId="20">
    <w:abstractNumId w:val="37"/>
  </w:num>
  <w:num w:numId="21">
    <w:abstractNumId w:val="19"/>
  </w:num>
  <w:num w:numId="22">
    <w:abstractNumId w:val="26"/>
  </w:num>
  <w:num w:numId="23">
    <w:abstractNumId w:val="46"/>
  </w:num>
  <w:num w:numId="24">
    <w:abstractNumId w:val="41"/>
  </w:num>
  <w:num w:numId="25">
    <w:abstractNumId w:val="18"/>
  </w:num>
  <w:num w:numId="26">
    <w:abstractNumId w:val="24"/>
  </w:num>
  <w:num w:numId="27">
    <w:abstractNumId w:val="21"/>
  </w:num>
  <w:num w:numId="28">
    <w:abstractNumId w:val="14"/>
  </w:num>
  <w:num w:numId="29">
    <w:abstractNumId w:val="45"/>
  </w:num>
  <w:num w:numId="30">
    <w:abstractNumId w:val="40"/>
  </w:num>
  <w:num w:numId="31">
    <w:abstractNumId w:val="20"/>
  </w:num>
  <w:num w:numId="32">
    <w:abstractNumId w:val="36"/>
  </w:num>
  <w:num w:numId="33">
    <w:abstractNumId w:val="11"/>
  </w:num>
  <w:num w:numId="34">
    <w:abstractNumId w:val="3"/>
  </w:num>
  <w:num w:numId="3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8"/>
  </w:num>
  <w:num w:numId="3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
  </w:num>
  <w:num w:numId="39">
    <w:abstractNumId w:val="28"/>
  </w:num>
  <w:num w:numId="40">
    <w:abstractNumId w:val="6"/>
  </w:num>
  <w:num w:numId="41">
    <w:abstractNumId w:val="12"/>
  </w:num>
  <w:num w:numId="42">
    <w:abstractNumId w:val="48"/>
  </w:num>
  <w:num w:numId="43">
    <w:abstractNumId w:val="33"/>
  </w:num>
  <w:num w:numId="44">
    <w:abstractNumId w:val="25"/>
  </w:num>
  <w:num w:numId="45">
    <w:abstractNumId w:val="15"/>
  </w:num>
  <w:num w:numId="46">
    <w:abstractNumId w:val="35"/>
  </w:num>
  <w:num w:numId="47">
    <w:abstractNumId w:val="9"/>
  </w:num>
  <w:num w:numId="48">
    <w:abstractNumId w:val="1"/>
  </w:num>
  <w:num w:numId="49">
    <w:abstractNumId w:val="42"/>
  </w:num>
  <w:num w:numId="50">
    <w:abstractNumId w:val="22"/>
  </w:num>
  <w:num w:numId="51">
    <w:abstractNumId w:val="43"/>
  </w:num>
  <w:num w:numId="5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2"/>
  </w:num>
  <w:num w:numId="5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hyphenationZone w:val="283"/>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096B"/>
    <w:rsid w:val="00002BC8"/>
    <w:rsid w:val="000132E4"/>
    <w:rsid w:val="00013D7B"/>
    <w:rsid w:val="00017440"/>
    <w:rsid w:val="00022CC7"/>
    <w:rsid w:val="00023343"/>
    <w:rsid w:val="00023B48"/>
    <w:rsid w:val="000248B2"/>
    <w:rsid w:val="00024EDE"/>
    <w:rsid w:val="000259DD"/>
    <w:rsid w:val="000324D8"/>
    <w:rsid w:val="00032F7B"/>
    <w:rsid w:val="00036D00"/>
    <w:rsid w:val="000431BC"/>
    <w:rsid w:val="00045103"/>
    <w:rsid w:val="00045E21"/>
    <w:rsid w:val="00046C50"/>
    <w:rsid w:val="000528A0"/>
    <w:rsid w:val="00056568"/>
    <w:rsid w:val="00061F8C"/>
    <w:rsid w:val="000640F2"/>
    <w:rsid w:val="000642F6"/>
    <w:rsid w:val="0007593A"/>
    <w:rsid w:val="00077A6A"/>
    <w:rsid w:val="000819EA"/>
    <w:rsid w:val="00083059"/>
    <w:rsid w:val="0008409D"/>
    <w:rsid w:val="0008721A"/>
    <w:rsid w:val="00092D79"/>
    <w:rsid w:val="00097AA5"/>
    <w:rsid w:val="000A0548"/>
    <w:rsid w:val="000A53C8"/>
    <w:rsid w:val="000A6145"/>
    <w:rsid w:val="000A775C"/>
    <w:rsid w:val="000B1153"/>
    <w:rsid w:val="000B3AA4"/>
    <w:rsid w:val="000B76AA"/>
    <w:rsid w:val="000C3024"/>
    <w:rsid w:val="000C6132"/>
    <w:rsid w:val="000C75D9"/>
    <w:rsid w:val="000D0323"/>
    <w:rsid w:val="000D7729"/>
    <w:rsid w:val="000E3CB0"/>
    <w:rsid w:val="000E5B69"/>
    <w:rsid w:val="000E7465"/>
    <w:rsid w:val="000F00AE"/>
    <w:rsid w:val="000F3F4C"/>
    <w:rsid w:val="000F4F3B"/>
    <w:rsid w:val="000F501D"/>
    <w:rsid w:val="000F6548"/>
    <w:rsid w:val="000F74FF"/>
    <w:rsid w:val="00103AF8"/>
    <w:rsid w:val="00106DA0"/>
    <w:rsid w:val="00110A44"/>
    <w:rsid w:val="00113265"/>
    <w:rsid w:val="001167FE"/>
    <w:rsid w:val="00116FAD"/>
    <w:rsid w:val="001235A6"/>
    <w:rsid w:val="00124823"/>
    <w:rsid w:val="001308BB"/>
    <w:rsid w:val="00130A4E"/>
    <w:rsid w:val="00130D19"/>
    <w:rsid w:val="001314CF"/>
    <w:rsid w:val="0013327D"/>
    <w:rsid w:val="00133F89"/>
    <w:rsid w:val="00135F26"/>
    <w:rsid w:val="001360D0"/>
    <w:rsid w:val="00136D84"/>
    <w:rsid w:val="00142C6E"/>
    <w:rsid w:val="001438CF"/>
    <w:rsid w:val="00143AE3"/>
    <w:rsid w:val="00147A35"/>
    <w:rsid w:val="0015427D"/>
    <w:rsid w:val="00160658"/>
    <w:rsid w:val="00161CE5"/>
    <w:rsid w:val="001639B4"/>
    <w:rsid w:val="00163DD4"/>
    <w:rsid w:val="001652B7"/>
    <w:rsid w:val="001728E7"/>
    <w:rsid w:val="00181163"/>
    <w:rsid w:val="00186E1D"/>
    <w:rsid w:val="00187D58"/>
    <w:rsid w:val="00191237"/>
    <w:rsid w:val="001932E8"/>
    <w:rsid w:val="00195A73"/>
    <w:rsid w:val="001A1A27"/>
    <w:rsid w:val="001B175A"/>
    <w:rsid w:val="001B5B25"/>
    <w:rsid w:val="001B5F29"/>
    <w:rsid w:val="001B742A"/>
    <w:rsid w:val="001C6745"/>
    <w:rsid w:val="001D0638"/>
    <w:rsid w:val="001D13C4"/>
    <w:rsid w:val="001D1E7D"/>
    <w:rsid w:val="001D3DB6"/>
    <w:rsid w:val="001D427A"/>
    <w:rsid w:val="001D64AE"/>
    <w:rsid w:val="001E0AE4"/>
    <w:rsid w:val="001E1EA1"/>
    <w:rsid w:val="001E29F4"/>
    <w:rsid w:val="001E4E2D"/>
    <w:rsid w:val="001E5767"/>
    <w:rsid w:val="001F156C"/>
    <w:rsid w:val="001F3DFA"/>
    <w:rsid w:val="001F56F1"/>
    <w:rsid w:val="001F6A86"/>
    <w:rsid w:val="00201758"/>
    <w:rsid w:val="00210CFB"/>
    <w:rsid w:val="00211E3B"/>
    <w:rsid w:val="00212D31"/>
    <w:rsid w:val="002170E2"/>
    <w:rsid w:val="00220FA1"/>
    <w:rsid w:val="002213AE"/>
    <w:rsid w:val="00222BB0"/>
    <w:rsid w:val="002232DC"/>
    <w:rsid w:val="002240E3"/>
    <w:rsid w:val="002254E9"/>
    <w:rsid w:val="00225995"/>
    <w:rsid w:val="00231004"/>
    <w:rsid w:val="00232620"/>
    <w:rsid w:val="002357F7"/>
    <w:rsid w:val="0023654A"/>
    <w:rsid w:val="00236712"/>
    <w:rsid w:val="00237A89"/>
    <w:rsid w:val="00242AC3"/>
    <w:rsid w:val="002516FA"/>
    <w:rsid w:val="00253B31"/>
    <w:rsid w:val="002628D8"/>
    <w:rsid w:val="0026403D"/>
    <w:rsid w:val="00264D04"/>
    <w:rsid w:val="002669B5"/>
    <w:rsid w:val="00266D0E"/>
    <w:rsid w:val="0027163E"/>
    <w:rsid w:val="002738E6"/>
    <w:rsid w:val="002765E0"/>
    <w:rsid w:val="002805DC"/>
    <w:rsid w:val="00281CDD"/>
    <w:rsid w:val="002825C2"/>
    <w:rsid w:val="002876FE"/>
    <w:rsid w:val="002A0046"/>
    <w:rsid w:val="002A199F"/>
    <w:rsid w:val="002A28B8"/>
    <w:rsid w:val="002A7A6B"/>
    <w:rsid w:val="002A7EB1"/>
    <w:rsid w:val="002B0090"/>
    <w:rsid w:val="002B3309"/>
    <w:rsid w:val="002B3E87"/>
    <w:rsid w:val="002B5838"/>
    <w:rsid w:val="002B6584"/>
    <w:rsid w:val="002B70E9"/>
    <w:rsid w:val="002C0A94"/>
    <w:rsid w:val="002C6FCF"/>
    <w:rsid w:val="002E2271"/>
    <w:rsid w:val="002E4775"/>
    <w:rsid w:val="002E4DBD"/>
    <w:rsid w:val="002E6D2E"/>
    <w:rsid w:val="002E7A1E"/>
    <w:rsid w:val="002F0603"/>
    <w:rsid w:val="002F0D6E"/>
    <w:rsid w:val="0030111F"/>
    <w:rsid w:val="00301DAC"/>
    <w:rsid w:val="00302B03"/>
    <w:rsid w:val="00303C40"/>
    <w:rsid w:val="00305F30"/>
    <w:rsid w:val="00310CF4"/>
    <w:rsid w:val="00311AC2"/>
    <w:rsid w:val="0033012A"/>
    <w:rsid w:val="00331BB5"/>
    <w:rsid w:val="00332B76"/>
    <w:rsid w:val="00340A07"/>
    <w:rsid w:val="003430D6"/>
    <w:rsid w:val="00347007"/>
    <w:rsid w:val="003504A4"/>
    <w:rsid w:val="00351032"/>
    <w:rsid w:val="003548A1"/>
    <w:rsid w:val="00356727"/>
    <w:rsid w:val="00360741"/>
    <w:rsid w:val="00362E97"/>
    <w:rsid w:val="0036747C"/>
    <w:rsid w:val="00372680"/>
    <w:rsid w:val="00374E91"/>
    <w:rsid w:val="00377657"/>
    <w:rsid w:val="003777E2"/>
    <w:rsid w:val="00383217"/>
    <w:rsid w:val="003860DA"/>
    <w:rsid w:val="00387F72"/>
    <w:rsid w:val="003936BE"/>
    <w:rsid w:val="00393D32"/>
    <w:rsid w:val="003A3559"/>
    <w:rsid w:val="003A5629"/>
    <w:rsid w:val="003A7819"/>
    <w:rsid w:val="003C7CFE"/>
    <w:rsid w:val="003D0A4A"/>
    <w:rsid w:val="003D2D07"/>
    <w:rsid w:val="003D5279"/>
    <w:rsid w:val="003D61E1"/>
    <w:rsid w:val="003E3684"/>
    <w:rsid w:val="003E5B2E"/>
    <w:rsid w:val="003E6900"/>
    <w:rsid w:val="003F0302"/>
    <w:rsid w:val="003F2A77"/>
    <w:rsid w:val="003F617B"/>
    <w:rsid w:val="003F61BE"/>
    <w:rsid w:val="003F6B84"/>
    <w:rsid w:val="00400460"/>
    <w:rsid w:val="00400FFA"/>
    <w:rsid w:val="00401362"/>
    <w:rsid w:val="004017BA"/>
    <w:rsid w:val="00402442"/>
    <w:rsid w:val="00415D4F"/>
    <w:rsid w:val="004169B2"/>
    <w:rsid w:val="004176AF"/>
    <w:rsid w:val="00442ECA"/>
    <w:rsid w:val="0044504A"/>
    <w:rsid w:val="00452762"/>
    <w:rsid w:val="0046195C"/>
    <w:rsid w:val="00462A0D"/>
    <w:rsid w:val="00465486"/>
    <w:rsid w:val="004700D5"/>
    <w:rsid w:val="004717B1"/>
    <w:rsid w:val="00471FFF"/>
    <w:rsid w:val="004738AB"/>
    <w:rsid w:val="00473FD0"/>
    <w:rsid w:val="00476628"/>
    <w:rsid w:val="00477F28"/>
    <w:rsid w:val="0048276A"/>
    <w:rsid w:val="004851A2"/>
    <w:rsid w:val="004857A9"/>
    <w:rsid w:val="0049081F"/>
    <w:rsid w:val="00491391"/>
    <w:rsid w:val="00493B77"/>
    <w:rsid w:val="0049708B"/>
    <w:rsid w:val="004A0E18"/>
    <w:rsid w:val="004A2BF5"/>
    <w:rsid w:val="004A4840"/>
    <w:rsid w:val="004B6A0A"/>
    <w:rsid w:val="004B7E4D"/>
    <w:rsid w:val="004C3A65"/>
    <w:rsid w:val="004C44D5"/>
    <w:rsid w:val="004C5830"/>
    <w:rsid w:val="004C675B"/>
    <w:rsid w:val="004D2955"/>
    <w:rsid w:val="004D2D1D"/>
    <w:rsid w:val="004D373E"/>
    <w:rsid w:val="004D3D6F"/>
    <w:rsid w:val="004D7E35"/>
    <w:rsid w:val="004E06CD"/>
    <w:rsid w:val="004E0B80"/>
    <w:rsid w:val="004E1E5B"/>
    <w:rsid w:val="004E317D"/>
    <w:rsid w:val="004E4881"/>
    <w:rsid w:val="004F01FB"/>
    <w:rsid w:val="004F10F2"/>
    <w:rsid w:val="004F1ECE"/>
    <w:rsid w:val="004F43A0"/>
    <w:rsid w:val="004F4D57"/>
    <w:rsid w:val="004F61AB"/>
    <w:rsid w:val="0050048B"/>
    <w:rsid w:val="00504160"/>
    <w:rsid w:val="00504637"/>
    <w:rsid w:val="00517C45"/>
    <w:rsid w:val="00520747"/>
    <w:rsid w:val="00525F33"/>
    <w:rsid w:val="005260C2"/>
    <w:rsid w:val="005277AD"/>
    <w:rsid w:val="00530B1A"/>
    <w:rsid w:val="0053259D"/>
    <w:rsid w:val="0053398A"/>
    <w:rsid w:val="00535C80"/>
    <w:rsid w:val="00536211"/>
    <w:rsid w:val="0053657F"/>
    <w:rsid w:val="00536A2B"/>
    <w:rsid w:val="00542B68"/>
    <w:rsid w:val="00545A37"/>
    <w:rsid w:val="005461C0"/>
    <w:rsid w:val="0055754E"/>
    <w:rsid w:val="0056225D"/>
    <w:rsid w:val="005635BD"/>
    <w:rsid w:val="0056445D"/>
    <w:rsid w:val="00572A12"/>
    <w:rsid w:val="00572C12"/>
    <w:rsid w:val="00573319"/>
    <w:rsid w:val="00576DCF"/>
    <w:rsid w:val="0057775D"/>
    <w:rsid w:val="00583CB8"/>
    <w:rsid w:val="00583FDE"/>
    <w:rsid w:val="005842BF"/>
    <w:rsid w:val="00586154"/>
    <w:rsid w:val="0058615D"/>
    <w:rsid w:val="00587926"/>
    <w:rsid w:val="005913CE"/>
    <w:rsid w:val="00591DC5"/>
    <w:rsid w:val="0059499D"/>
    <w:rsid w:val="005A0522"/>
    <w:rsid w:val="005A0914"/>
    <w:rsid w:val="005A10A2"/>
    <w:rsid w:val="005B548B"/>
    <w:rsid w:val="005C074A"/>
    <w:rsid w:val="005C7BA0"/>
    <w:rsid w:val="005D097F"/>
    <w:rsid w:val="005D2875"/>
    <w:rsid w:val="005D7D14"/>
    <w:rsid w:val="005E1F99"/>
    <w:rsid w:val="005E29CF"/>
    <w:rsid w:val="005E7A42"/>
    <w:rsid w:val="005F43C6"/>
    <w:rsid w:val="005F730F"/>
    <w:rsid w:val="00600A93"/>
    <w:rsid w:val="00602FCB"/>
    <w:rsid w:val="0060558F"/>
    <w:rsid w:val="0060620B"/>
    <w:rsid w:val="006070FD"/>
    <w:rsid w:val="00610C34"/>
    <w:rsid w:val="00612713"/>
    <w:rsid w:val="00613EFA"/>
    <w:rsid w:val="006235CD"/>
    <w:rsid w:val="006315B0"/>
    <w:rsid w:val="006337D9"/>
    <w:rsid w:val="006347F6"/>
    <w:rsid w:val="00636653"/>
    <w:rsid w:val="00637AD7"/>
    <w:rsid w:val="00641A5C"/>
    <w:rsid w:val="00642FD9"/>
    <w:rsid w:val="006438CD"/>
    <w:rsid w:val="00666989"/>
    <w:rsid w:val="00673CB9"/>
    <w:rsid w:val="00675CD8"/>
    <w:rsid w:val="006764B3"/>
    <w:rsid w:val="00682D9C"/>
    <w:rsid w:val="00683A9D"/>
    <w:rsid w:val="0068519E"/>
    <w:rsid w:val="00691F8A"/>
    <w:rsid w:val="0069352B"/>
    <w:rsid w:val="00694971"/>
    <w:rsid w:val="006A1485"/>
    <w:rsid w:val="006A38A3"/>
    <w:rsid w:val="006A6F4F"/>
    <w:rsid w:val="006A774D"/>
    <w:rsid w:val="006B0067"/>
    <w:rsid w:val="006B1299"/>
    <w:rsid w:val="006B3239"/>
    <w:rsid w:val="006B3675"/>
    <w:rsid w:val="006B46A0"/>
    <w:rsid w:val="006B6E09"/>
    <w:rsid w:val="006B79A0"/>
    <w:rsid w:val="006B7C0E"/>
    <w:rsid w:val="006B7E34"/>
    <w:rsid w:val="006C0D6C"/>
    <w:rsid w:val="006C17F0"/>
    <w:rsid w:val="006C3B2F"/>
    <w:rsid w:val="006C4B53"/>
    <w:rsid w:val="006C7D72"/>
    <w:rsid w:val="006D4262"/>
    <w:rsid w:val="006D4604"/>
    <w:rsid w:val="006D5559"/>
    <w:rsid w:val="006D5793"/>
    <w:rsid w:val="006D72CF"/>
    <w:rsid w:val="006E01B2"/>
    <w:rsid w:val="006E171A"/>
    <w:rsid w:val="006E3904"/>
    <w:rsid w:val="006F070B"/>
    <w:rsid w:val="006F28F1"/>
    <w:rsid w:val="006F7861"/>
    <w:rsid w:val="006F7D82"/>
    <w:rsid w:val="0070096B"/>
    <w:rsid w:val="0070118A"/>
    <w:rsid w:val="007028C3"/>
    <w:rsid w:val="007056DF"/>
    <w:rsid w:val="0070627A"/>
    <w:rsid w:val="0071500D"/>
    <w:rsid w:val="00715E14"/>
    <w:rsid w:val="00720597"/>
    <w:rsid w:val="00720ACE"/>
    <w:rsid w:val="007238DE"/>
    <w:rsid w:val="007246D1"/>
    <w:rsid w:val="00725876"/>
    <w:rsid w:val="00725CF2"/>
    <w:rsid w:val="00730953"/>
    <w:rsid w:val="007361A6"/>
    <w:rsid w:val="00736525"/>
    <w:rsid w:val="00745783"/>
    <w:rsid w:val="00746F5D"/>
    <w:rsid w:val="00747809"/>
    <w:rsid w:val="0075024C"/>
    <w:rsid w:val="007514BD"/>
    <w:rsid w:val="007518FF"/>
    <w:rsid w:val="00752A0C"/>
    <w:rsid w:val="00753029"/>
    <w:rsid w:val="00763821"/>
    <w:rsid w:val="00766373"/>
    <w:rsid w:val="007663D1"/>
    <w:rsid w:val="00766F25"/>
    <w:rsid w:val="00784757"/>
    <w:rsid w:val="0079343B"/>
    <w:rsid w:val="007A0276"/>
    <w:rsid w:val="007A053B"/>
    <w:rsid w:val="007A088A"/>
    <w:rsid w:val="007A4526"/>
    <w:rsid w:val="007A4C46"/>
    <w:rsid w:val="007A5DD9"/>
    <w:rsid w:val="007B49D8"/>
    <w:rsid w:val="007B5B78"/>
    <w:rsid w:val="007B6062"/>
    <w:rsid w:val="007C240A"/>
    <w:rsid w:val="007C458E"/>
    <w:rsid w:val="007D0299"/>
    <w:rsid w:val="007D06E3"/>
    <w:rsid w:val="007D0D47"/>
    <w:rsid w:val="007D2249"/>
    <w:rsid w:val="007D25DA"/>
    <w:rsid w:val="007D62ED"/>
    <w:rsid w:val="007D7E26"/>
    <w:rsid w:val="007D7FCF"/>
    <w:rsid w:val="007E34E7"/>
    <w:rsid w:val="007E47E4"/>
    <w:rsid w:val="007E4E65"/>
    <w:rsid w:val="007E5028"/>
    <w:rsid w:val="007E6C2C"/>
    <w:rsid w:val="007F04FA"/>
    <w:rsid w:val="007F0A22"/>
    <w:rsid w:val="007F171F"/>
    <w:rsid w:val="007F4F77"/>
    <w:rsid w:val="008007C7"/>
    <w:rsid w:val="008229AB"/>
    <w:rsid w:val="00823CF2"/>
    <w:rsid w:val="00827D8A"/>
    <w:rsid w:val="00831E34"/>
    <w:rsid w:val="00832258"/>
    <w:rsid w:val="008334B2"/>
    <w:rsid w:val="00834374"/>
    <w:rsid w:val="00835AD5"/>
    <w:rsid w:val="008413BF"/>
    <w:rsid w:val="00847B59"/>
    <w:rsid w:val="00850CD9"/>
    <w:rsid w:val="00851E75"/>
    <w:rsid w:val="00852EA3"/>
    <w:rsid w:val="00853182"/>
    <w:rsid w:val="00853D8F"/>
    <w:rsid w:val="008545D5"/>
    <w:rsid w:val="0086297F"/>
    <w:rsid w:val="0086688F"/>
    <w:rsid w:val="00867820"/>
    <w:rsid w:val="008725FB"/>
    <w:rsid w:val="00873FAE"/>
    <w:rsid w:val="0087735C"/>
    <w:rsid w:val="008778CF"/>
    <w:rsid w:val="00877CB2"/>
    <w:rsid w:val="00881EAB"/>
    <w:rsid w:val="00881FF3"/>
    <w:rsid w:val="00881FF4"/>
    <w:rsid w:val="00882ADC"/>
    <w:rsid w:val="0088395F"/>
    <w:rsid w:val="00884D31"/>
    <w:rsid w:val="00885186"/>
    <w:rsid w:val="00885C8F"/>
    <w:rsid w:val="00886A06"/>
    <w:rsid w:val="008924F4"/>
    <w:rsid w:val="008928D7"/>
    <w:rsid w:val="008933DC"/>
    <w:rsid w:val="008A0B81"/>
    <w:rsid w:val="008A22D1"/>
    <w:rsid w:val="008A23EF"/>
    <w:rsid w:val="008A43E5"/>
    <w:rsid w:val="008A62ED"/>
    <w:rsid w:val="008B15B5"/>
    <w:rsid w:val="008B4A61"/>
    <w:rsid w:val="008C2253"/>
    <w:rsid w:val="008C4332"/>
    <w:rsid w:val="008C7095"/>
    <w:rsid w:val="008C7FB8"/>
    <w:rsid w:val="008D0183"/>
    <w:rsid w:val="008D4C89"/>
    <w:rsid w:val="008D5492"/>
    <w:rsid w:val="008E2B82"/>
    <w:rsid w:val="008E5594"/>
    <w:rsid w:val="008E7489"/>
    <w:rsid w:val="008F01C8"/>
    <w:rsid w:val="008F1E4D"/>
    <w:rsid w:val="008F3629"/>
    <w:rsid w:val="008F5E9F"/>
    <w:rsid w:val="00900691"/>
    <w:rsid w:val="0090151C"/>
    <w:rsid w:val="00903749"/>
    <w:rsid w:val="00910C88"/>
    <w:rsid w:val="00913BC2"/>
    <w:rsid w:val="00916223"/>
    <w:rsid w:val="00917BAD"/>
    <w:rsid w:val="00921FCD"/>
    <w:rsid w:val="0092572A"/>
    <w:rsid w:val="009260A9"/>
    <w:rsid w:val="00931A12"/>
    <w:rsid w:val="00931DBE"/>
    <w:rsid w:val="00932F5C"/>
    <w:rsid w:val="00934B06"/>
    <w:rsid w:val="0093515A"/>
    <w:rsid w:val="009410C8"/>
    <w:rsid w:val="00943245"/>
    <w:rsid w:val="00951760"/>
    <w:rsid w:val="00954793"/>
    <w:rsid w:val="00954B41"/>
    <w:rsid w:val="00957261"/>
    <w:rsid w:val="009611C0"/>
    <w:rsid w:val="00962114"/>
    <w:rsid w:val="00962E49"/>
    <w:rsid w:val="00963C0E"/>
    <w:rsid w:val="00967E6F"/>
    <w:rsid w:val="009720E0"/>
    <w:rsid w:val="0097317F"/>
    <w:rsid w:val="00976ACB"/>
    <w:rsid w:val="00976D80"/>
    <w:rsid w:val="00980293"/>
    <w:rsid w:val="00982F26"/>
    <w:rsid w:val="00990FFF"/>
    <w:rsid w:val="00994C25"/>
    <w:rsid w:val="00995D2C"/>
    <w:rsid w:val="009960ED"/>
    <w:rsid w:val="00996D54"/>
    <w:rsid w:val="009A4330"/>
    <w:rsid w:val="009A57F3"/>
    <w:rsid w:val="009A59E8"/>
    <w:rsid w:val="009A7AFC"/>
    <w:rsid w:val="009B03C1"/>
    <w:rsid w:val="009B41F5"/>
    <w:rsid w:val="009B4978"/>
    <w:rsid w:val="009B6624"/>
    <w:rsid w:val="009C1F88"/>
    <w:rsid w:val="009D2FF4"/>
    <w:rsid w:val="009D5F9B"/>
    <w:rsid w:val="009E0394"/>
    <w:rsid w:val="009E24E1"/>
    <w:rsid w:val="009E3BAC"/>
    <w:rsid w:val="009E4F44"/>
    <w:rsid w:val="009E6BD6"/>
    <w:rsid w:val="009F35C7"/>
    <w:rsid w:val="009F6DD1"/>
    <w:rsid w:val="00A03A76"/>
    <w:rsid w:val="00A05477"/>
    <w:rsid w:val="00A05BFD"/>
    <w:rsid w:val="00A07453"/>
    <w:rsid w:val="00A11551"/>
    <w:rsid w:val="00A150DE"/>
    <w:rsid w:val="00A239CF"/>
    <w:rsid w:val="00A312DA"/>
    <w:rsid w:val="00A320B6"/>
    <w:rsid w:val="00A323D5"/>
    <w:rsid w:val="00A43187"/>
    <w:rsid w:val="00A4439A"/>
    <w:rsid w:val="00A4452B"/>
    <w:rsid w:val="00A45BC3"/>
    <w:rsid w:val="00A465BF"/>
    <w:rsid w:val="00A466E7"/>
    <w:rsid w:val="00A47CD0"/>
    <w:rsid w:val="00A50573"/>
    <w:rsid w:val="00A508F9"/>
    <w:rsid w:val="00A51FDE"/>
    <w:rsid w:val="00A57A0E"/>
    <w:rsid w:val="00A6522E"/>
    <w:rsid w:val="00A70F5F"/>
    <w:rsid w:val="00A71050"/>
    <w:rsid w:val="00A73BEC"/>
    <w:rsid w:val="00A748A0"/>
    <w:rsid w:val="00A74AF4"/>
    <w:rsid w:val="00A7605F"/>
    <w:rsid w:val="00A8262B"/>
    <w:rsid w:val="00A86391"/>
    <w:rsid w:val="00A878C9"/>
    <w:rsid w:val="00A920F6"/>
    <w:rsid w:val="00A945C9"/>
    <w:rsid w:val="00A95905"/>
    <w:rsid w:val="00A96F31"/>
    <w:rsid w:val="00A97763"/>
    <w:rsid w:val="00A97A74"/>
    <w:rsid w:val="00AA057F"/>
    <w:rsid w:val="00AA1727"/>
    <w:rsid w:val="00AA6FB2"/>
    <w:rsid w:val="00AB1289"/>
    <w:rsid w:val="00AB1294"/>
    <w:rsid w:val="00AB1E28"/>
    <w:rsid w:val="00AB3E06"/>
    <w:rsid w:val="00AC7584"/>
    <w:rsid w:val="00AD073B"/>
    <w:rsid w:val="00AD0FC6"/>
    <w:rsid w:val="00AD104B"/>
    <w:rsid w:val="00AD296E"/>
    <w:rsid w:val="00AD3932"/>
    <w:rsid w:val="00AD44E9"/>
    <w:rsid w:val="00AE07F1"/>
    <w:rsid w:val="00AE5980"/>
    <w:rsid w:val="00AF1F51"/>
    <w:rsid w:val="00AF2F59"/>
    <w:rsid w:val="00AF4655"/>
    <w:rsid w:val="00B001AD"/>
    <w:rsid w:val="00B01032"/>
    <w:rsid w:val="00B01FD7"/>
    <w:rsid w:val="00B02CAA"/>
    <w:rsid w:val="00B03BB5"/>
    <w:rsid w:val="00B07641"/>
    <w:rsid w:val="00B14994"/>
    <w:rsid w:val="00B15B72"/>
    <w:rsid w:val="00B167A6"/>
    <w:rsid w:val="00B230DB"/>
    <w:rsid w:val="00B25584"/>
    <w:rsid w:val="00B30534"/>
    <w:rsid w:val="00B33291"/>
    <w:rsid w:val="00B33DE5"/>
    <w:rsid w:val="00B33F4D"/>
    <w:rsid w:val="00B36034"/>
    <w:rsid w:val="00B36DFA"/>
    <w:rsid w:val="00B374A7"/>
    <w:rsid w:val="00B4324A"/>
    <w:rsid w:val="00B43472"/>
    <w:rsid w:val="00B45C2B"/>
    <w:rsid w:val="00B47021"/>
    <w:rsid w:val="00B505AD"/>
    <w:rsid w:val="00B50D3F"/>
    <w:rsid w:val="00B523CE"/>
    <w:rsid w:val="00B53485"/>
    <w:rsid w:val="00B538C8"/>
    <w:rsid w:val="00B5445F"/>
    <w:rsid w:val="00B54D8F"/>
    <w:rsid w:val="00B54D9B"/>
    <w:rsid w:val="00B603CF"/>
    <w:rsid w:val="00B655DC"/>
    <w:rsid w:val="00B65704"/>
    <w:rsid w:val="00B665C4"/>
    <w:rsid w:val="00B724DD"/>
    <w:rsid w:val="00B74571"/>
    <w:rsid w:val="00B849B5"/>
    <w:rsid w:val="00B8520F"/>
    <w:rsid w:val="00B85270"/>
    <w:rsid w:val="00B86CB0"/>
    <w:rsid w:val="00B8707E"/>
    <w:rsid w:val="00B872C1"/>
    <w:rsid w:val="00B8745C"/>
    <w:rsid w:val="00B946F6"/>
    <w:rsid w:val="00BA20CF"/>
    <w:rsid w:val="00BA247B"/>
    <w:rsid w:val="00BA3D1F"/>
    <w:rsid w:val="00BB1C74"/>
    <w:rsid w:val="00BB2915"/>
    <w:rsid w:val="00BB57FA"/>
    <w:rsid w:val="00BC10AC"/>
    <w:rsid w:val="00BC28C9"/>
    <w:rsid w:val="00BD0D17"/>
    <w:rsid w:val="00BD4F96"/>
    <w:rsid w:val="00BE1302"/>
    <w:rsid w:val="00BE236F"/>
    <w:rsid w:val="00BE26EC"/>
    <w:rsid w:val="00BE303B"/>
    <w:rsid w:val="00BE4D70"/>
    <w:rsid w:val="00BE5BF9"/>
    <w:rsid w:val="00BE63D3"/>
    <w:rsid w:val="00BE6D4C"/>
    <w:rsid w:val="00BE774A"/>
    <w:rsid w:val="00BF292E"/>
    <w:rsid w:val="00BF3995"/>
    <w:rsid w:val="00BF5110"/>
    <w:rsid w:val="00BF5BB6"/>
    <w:rsid w:val="00C01A78"/>
    <w:rsid w:val="00C031CB"/>
    <w:rsid w:val="00C03522"/>
    <w:rsid w:val="00C11121"/>
    <w:rsid w:val="00C1213D"/>
    <w:rsid w:val="00C129DB"/>
    <w:rsid w:val="00C132E2"/>
    <w:rsid w:val="00C13A63"/>
    <w:rsid w:val="00C16282"/>
    <w:rsid w:val="00C174E2"/>
    <w:rsid w:val="00C22943"/>
    <w:rsid w:val="00C22D52"/>
    <w:rsid w:val="00C2305D"/>
    <w:rsid w:val="00C3001F"/>
    <w:rsid w:val="00C319B6"/>
    <w:rsid w:val="00C32FCE"/>
    <w:rsid w:val="00C3426F"/>
    <w:rsid w:val="00C354B3"/>
    <w:rsid w:val="00C36082"/>
    <w:rsid w:val="00C36F7B"/>
    <w:rsid w:val="00C37363"/>
    <w:rsid w:val="00C37715"/>
    <w:rsid w:val="00C37D37"/>
    <w:rsid w:val="00C46646"/>
    <w:rsid w:val="00C47A4B"/>
    <w:rsid w:val="00C47DF2"/>
    <w:rsid w:val="00C47E03"/>
    <w:rsid w:val="00C56A6B"/>
    <w:rsid w:val="00C57BB4"/>
    <w:rsid w:val="00C60FA5"/>
    <w:rsid w:val="00C621E4"/>
    <w:rsid w:val="00C62D1E"/>
    <w:rsid w:val="00C64457"/>
    <w:rsid w:val="00C64B82"/>
    <w:rsid w:val="00C81742"/>
    <w:rsid w:val="00C83925"/>
    <w:rsid w:val="00C878E2"/>
    <w:rsid w:val="00C87B9D"/>
    <w:rsid w:val="00C91C92"/>
    <w:rsid w:val="00C95F19"/>
    <w:rsid w:val="00CA5BFC"/>
    <w:rsid w:val="00CA6845"/>
    <w:rsid w:val="00CA7B20"/>
    <w:rsid w:val="00CB1400"/>
    <w:rsid w:val="00CB2FD4"/>
    <w:rsid w:val="00CB452A"/>
    <w:rsid w:val="00CB58F8"/>
    <w:rsid w:val="00CB6928"/>
    <w:rsid w:val="00CB6C35"/>
    <w:rsid w:val="00CD517E"/>
    <w:rsid w:val="00CE3291"/>
    <w:rsid w:val="00CE395E"/>
    <w:rsid w:val="00CE43D7"/>
    <w:rsid w:val="00CF13E3"/>
    <w:rsid w:val="00CF1550"/>
    <w:rsid w:val="00CF224F"/>
    <w:rsid w:val="00CF6F1F"/>
    <w:rsid w:val="00CF78FD"/>
    <w:rsid w:val="00D0084B"/>
    <w:rsid w:val="00D01333"/>
    <w:rsid w:val="00D0143E"/>
    <w:rsid w:val="00D01AFE"/>
    <w:rsid w:val="00D020E1"/>
    <w:rsid w:val="00D060DF"/>
    <w:rsid w:val="00D0726C"/>
    <w:rsid w:val="00D07314"/>
    <w:rsid w:val="00D11912"/>
    <w:rsid w:val="00D23775"/>
    <w:rsid w:val="00D24EAD"/>
    <w:rsid w:val="00D25234"/>
    <w:rsid w:val="00D267A2"/>
    <w:rsid w:val="00D27D68"/>
    <w:rsid w:val="00D34F47"/>
    <w:rsid w:val="00D34F7E"/>
    <w:rsid w:val="00D40A0C"/>
    <w:rsid w:val="00D4166D"/>
    <w:rsid w:val="00D42E5A"/>
    <w:rsid w:val="00D435CE"/>
    <w:rsid w:val="00D436CD"/>
    <w:rsid w:val="00D4591F"/>
    <w:rsid w:val="00D46322"/>
    <w:rsid w:val="00D463D0"/>
    <w:rsid w:val="00D479D6"/>
    <w:rsid w:val="00D47C32"/>
    <w:rsid w:val="00D554EE"/>
    <w:rsid w:val="00D56472"/>
    <w:rsid w:val="00D56917"/>
    <w:rsid w:val="00D622F5"/>
    <w:rsid w:val="00D63BEC"/>
    <w:rsid w:val="00D666E4"/>
    <w:rsid w:val="00D708EC"/>
    <w:rsid w:val="00D718BF"/>
    <w:rsid w:val="00D7446D"/>
    <w:rsid w:val="00D8043D"/>
    <w:rsid w:val="00D81CDF"/>
    <w:rsid w:val="00D900E0"/>
    <w:rsid w:val="00D971D7"/>
    <w:rsid w:val="00D9749C"/>
    <w:rsid w:val="00DA53C1"/>
    <w:rsid w:val="00DA70B4"/>
    <w:rsid w:val="00DB3725"/>
    <w:rsid w:val="00DB3D08"/>
    <w:rsid w:val="00DB5C58"/>
    <w:rsid w:val="00DB6C99"/>
    <w:rsid w:val="00DC2EEC"/>
    <w:rsid w:val="00DC3C8F"/>
    <w:rsid w:val="00DC61CA"/>
    <w:rsid w:val="00DC63A4"/>
    <w:rsid w:val="00DD0AB5"/>
    <w:rsid w:val="00DD497A"/>
    <w:rsid w:val="00DD4AB5"/>
    <w:rsid w:val="00DD58AC"/>
    <w:rsid w:val="00DE048E"/>
    <w:rsid w:val="00DE735C"/>
    <w:rsid w:val="00DF05CD"/>
    <w:rsid w:val="00DF0DB5"/>
    <w:rsid w:val="00DF3C6D"/>
    <w:rsid w:val="00DF5C47"/>
    <w:rsid w:val="00DF76AA"/>
    <w:rsid w:val="00E0090C"/>
    <w:rsid w:val="00E0356C"/>
    <w:rsid w:val="00E03960"/>
    <w:rsid w:val="00E127B0"/>
    <w:rsid w:val="00E16E79"/>
    <w:rsid w:val="00E2145C"/>
    <w:rsid w:val="00E23AAB"/>
    <w:rsid w:val="00E24AFD"/>
    <w:rsid w:val="00E27746"/>
    <w:rsid w:val="00E278F5"/>
    <w:rsid w:val="00E30D8E"/>
    <w:rsid w:val="00E348F1"/>
    <w:rsid w:val="00E41B4D"/>
    <w:rsid w:val="00E421AA"/>
    <w:rsid w:val="00E43D41"/>
    <w:rsid w:val="00E44C5F"/>
    <w:rsid w:val="00E451C8"/>
    <w:rsid w:val="00E475ED"/>
    <w:rsid w:val="00E60100"/>
    <w:rsid w:val="00E60164"/>
    <w:rsid w:val="00E6312B"/>
    <w:rsid w:val="00E64D52"/>
    <w:rsid w:val="00E64E97"/>
    <w:rsid w:val="00E65813"/>
    <w:rsid w:val="00E66C02"/>
    <w:rsid w:val="00E71BF3"/>
    <w:rsid w:val="00E73BA7"/>
    <w:rsid w:val="00E74F22"/>
    <w:rsid w:val="00E766CE"/>
    <w:rsid w:val="00E8276A"/>
    <w:rsid w:val="00E83795"/>
    <w:rsid w:val="00E862E4"/>
    <w:rsid w:val="00E9133E"/>
    <w:rsid w:val="00E943B4"/>
    <w:rsid w:val="00EA02EB"/>
    <w:rsid w:val="00EA5129"/>
    <w:rsid w:val="00EA7194"/>
    <w:rsid w:val="00EB219F"/>
    <w:rsid w:val="00EB25A5"/>
    <w:rsid w:val="00EB33A1"/>
    <w:rsid w:val="00EB37F9"/>
    <w:rsid w:val="00EB3823"/>
    <w:rsid w:val="00EB6952"/>
    <w:rsid w:val="00EC1B55"/>
    <w:rsid w:val="00EC4375"/>
    <w:rsid w:val="00EC4986"/>
    <w:rsid w:val="00EC64D2"/>
    <w:rsid w:val="00ED132D"/>
    <w:rsid w:val="00ED1B88"/>
    <w:rsid w:val="00ED6260"/>
    <w:rsid w:val="00EE2088"/>
    <w:rsid w:val="00EE24B2"/>
    <w:rsid w:val="00EE30E5"/>
    <w:rsid w:val="00EE56E4"/>
    <w:rsid w:val="00EE772E"/>
    <w:rsid w:val="00EE7C38"/>
    <w:rsid w:val="00EF0B8F"/>
    <w:rsid w:val="00EF28CA"/>
    <w:rsid w:val="00EF5423"/>
    <w:rsid w:val="00EF5E41"/>
    <w:rsid w:val="00F00511"/>
    <w:rsid w:val="00F02CED"/>
    <w:rsid w:val="00F06648"/>
    <w:rsid w:val="00F06A95"/>
    <w:rsid w:val="00F144FC"/>
    <w:rsid w:val="00F25B4F"/>
    <w:rsid w:val="00F3765B"/>
    <w:rsid w:val="00F41541"/>
    <w:rsid w:val="00F511D5"/>
    <w:rsid w:val="00F57803"/>
    <w:rsid w:val="00F60252"/>
    <w:rsid w:val="00F6103B"/>
    <w:rsid w:val="00F620C7"/>
    <w:rsid w:val="00F67067"/>
    <w:rsid w:val="00F706A5"/>
    <w:rsid w:val="00F70884"/>
    <w:rsid w:val="00F72C1B"/>
    <w:rsid w:val="00F74E50"/>
    <w:rsid w:val="00F8047A"/>
    <w:rsid w:val="00F8556B"/>
    <w:rsid w:val="00F862B4"/>
    <w:rsid w:val="00F86FED"/>
    <w:rsid w:val="00F90C17"/>
    <w:rsid w:val="00F91232"/>
    <w:rsid w:val="00F919DF"/>
    <w:rsid w:val="00F94667"/>
    <w:rsid w:val="00F95655"/>
    <w:rsid w:val="00F95F02"/>
    <w:rsid w:val="00F973DA"/>
    <w:rsid w:val="00FA42F1"/>
    <w:rsid w:val="00FA4E45"/>
    <w:rsid w:val="00FA530A"/>
    <w:rsid w:val="00FB0CCC"/>
    <w:rsid w:val="00FB3C5D"/>
    <w:rsid w:val="00FB4364"/>
    <w:rsid w:val="00FB5B68"/>
    <w:rsid w:val="00FB6DBA"/>
    <w:rsid w:val="00FC048A"/>
    <w:rsid w:val="00FC3CA1"/>
    <w:rsid w:val="00FC52AD"/>
    <w:rsid w:val="00FC5DBC"/>
    <w:rsid w:val="00FC7B8E"/>
    <w:rsid w:val="00FD0909"/>
    <w:rsid w:val="00FD0CC3"/>
    <w:rsid w:val="00FD380F"/>
    <w:rsid w:val="00FE0868"/>
    <w:rsid w:val="00FE2487"/>
    <w:rsid w:val="00FF0031"/>
    <w:rsid w:val="00FF0587"/>
    <w:rsid w:val="00FF11D4"/>
    <w:rsid w:val="00FF1E89"/>
    <w:rsid w:val="00FF2E41"/>
    <w:rsid w:val="00FF3158"/>
    <w:rsid w:val="00FF343A"/>
    <w:rsid w:val="00FF36BE"/>
    <w:rsid w:val="00FF6CAF"/>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5"/>
    <o:shapelayout v:ext="edit">
      <o:idmap v:ext="edit" data="1"/>
    </o:shapelayout>
  </w:shapeDefaults>
  <w:decimalSymbol w:val=","/>
  <w:listSeparator w:val=";"/>
  <w14:docId w14:val="3F5FCC57"/>
  <w15:chartTrackingRefBased/>
  <w15:docId w15:val="{C75E5FE3-0E34-44F0-B14C-AC69CFE827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264D04"/>
    <w:pPr>
      <w:jc w:val="both"/>
    </w:pPr>
    <w:rPr>
      <w:rFonts w:ascii="Trebuchet MS" w:hAnsi="Trebuchet MS"/>
      <w:lang w:val="sl-SI"/>
    </w:rPr>
  </w:style>
  <w:style w:type="paragraph" w:styleId="Naslov1">
    <w:name w:val="heading 1"/>
    <w:basedOn w:val="Odstavekseznama"/>
    <w:next w:val="Navaden"/>
    <w:link w:val="Naslov1Znak"/>
    <w:uiPriority w:val="9"/>
    <w:qFormat/>
    <w:rsid w:val="006B7E34"/>
    <w:pPr>
      <w:numPr>
        <w:numId w:val="1"/>
      </w:numPr>
      <w:outlineLvl w:val="0"/>
    </w:pPr>
    <w:rPr>
      <w:rFonts w:ascii="Trebuchet MS" w:eastAsiaTheme="majorEastAsia" w:hAnsi="Trebuchet MS" w:cstheme="majorBidi"/>
      <w:b/>
      <w:bCs/>
      <w:iCs w:val="0"/>
      <w:color w:val="2F5496" w:themeColor="accent1" w:themeShade="BF"/>
      <w:sz w:val="32"/>
      <w:szCs w:val="32"/>
    </w:rPr>
  </w:style>
  <w:style w:type="paragraph" w:styleId="Naslov2">
    <w:name w:val="heading 2"/>
    <w:basedOn w:val="Odstavekseznama"/>
    <w:next w:val="Navaden"/>
    <w:link w:val="Naslov2Znak"/>
    <w:uiPriority w:val="9"/>
    <w:unhideWhenUsed/>
    <w:qFormat/>
    <w:rsid w:val="00CE43D7"/>
    <w:pPr>
      <w:numPr>
        <w:ilvl w:val="1"/>
        <w:numId w:val="1"/>
      </w:numPr>
      <w:tabs>
        <w:tab w:val="left" w:pos="567"/>
        <w:tab w:val="left" w:pos="851"/>
      </w:tabs>
      <w:ind w:left="426" w:hanging="142"/>
      <w:outlineLvl w:val="1"/>
    </w:pPr>
    <w:rPr>
      <w:rFonts w:ascii="Trebuchet MS" w:eastAsiaTheme="majorEastAsia" w:hAnsi="Trebuchet MS" w:cstheme="majorBidi"/>
      <w:b/>
      <w:bCs/>
      <w:iCs w:val="0"/>
      <w:color w:val="2F5496" w:themeColor="accent1" w:themeShade="BF"/>
      <w:sz w:val="28"/>
      <w:szCs w:val="28"/>
    </w:rPr>
  </w:style>
  <w:style w:type="paragraph" w:styleId="Naslov3">
    <w:name w:val="heading 3"/>
    <w:basedOn w:val="Odstavekseznama"/>
    <w:next w:val="Navaden"/>
    <w:link w:val="Naslov3Znak"/>
    <w:uiPriority w:val="9"/>
    <w:unhideWhenUsed/>
    <w:qFormat/>
    <w:rsid w:val="006B7E34"/>
    <w:pPr>
      <w:numPr>
        <w:ilvl w:val="2"/>
        <w:numId w:val="1"/>
      </w:numPr>
      <w:outlineLvl w:val="2"/>
    </w:pPr>
    <w:rPr>
      <w:rFonts w:ascii="Trebuchet MS" w:eastAsiaTheme="majorEastAsia" w:hAnsi="Trebuchet MS" w:cstheme="majorBidi"/>
      <w:b/>
      <w:bCs/>
      <w:iCs w:val="0"/>
      <w:color w:val="2F5496" w:themeColor="accent1" w:themeShade="BF"/>
      <w:sz w:val="24"/>
    </w:rPr>
  </w:style>
  <w:style w:type="paragraph" w:styleId="Naslov4">
    <w:name w:val="heading 4"/>
    <w:basedOn w:val="Odstavekseznama"/>
    <w:next w:val="Navaden"/>
    <w:link w:val="Naslov4Znak"/>
    <w:uiPriority w:val="9"/>
    <w:unhideWhenUsed/>
    <w:qFormat/>
    <w:rsid w:val="00CE43D7"/>
    <w:pPr>
      <w:numPr>
        <w:ilvl w:val="3"/>
        <w:numId w:val="1"/>
      </w:numPr>
      <w:outlineLvl w:val="3"/>
    </w:pPr>
    <w:rPr>
      <w:rFonts w:ascii="Trebuchet MS" w:eastAsia="Calibri" w:hAnsi="Trebuchet MS" w:cstheme="majorBidi"/>
      <w:iCs w:val="0"/>
      <w:color w:val="2F5496" w:themeColor="accent1" w:themeShade="BF"/>
      <w:sz w:val="24"/>
      <w:lang w:eastAsia="sl-SI"/>
    </w:rPr>
  </w:style>
  <w:style w:type="paragraph" w:styleId="Naslov5">
    <w:name w:val="heading 5"/>
    <w:basedOn w:val="Brezrazmikov"/>
    <w:next w:val="Navaden"/>
    <w:link w:val="Naslov5Znak"/>
    <w:uiPriority w:val="9"/>
    <w:unhideWhenUsed/>
    <w:qFormat/>
    <w:rsid w:val="00B14994"/>
    <w:pPr>
      <w:spacing w:line="300" w:lineRule="auto"/>
      <w:ind w:left="1701" w:hanging="1701"/>
      <w:outlineLvl w:val="4"/>
    </w:pPr>
    <w:rPr>
      <w:rFonts w:ascii="Trebuchet MS" w:eastAsia="Calibri" w:hAnsi="Trebuchet MS" w:cstheme="majorBidi"/>
      <w:b/>
      <w:bCs/>
      <w:color w:val="2F5496" w:themeColor="accent1" w:themeShade="BF"/>
      <w:lang w:val="sl-SI" w:eastAsia="sl-SI"/>
    </w:rPr>
  </w:style>
  <w:style w:type="paragraph" w:styleId="Naslov6">
    <w:name w:val="heading 6"/>
    <w:basedOn w:val="Brezrazmikov"/>
    <w:next w:val="Navaden"/>
    <w:link w:val="Naslov6Znak"/>
    <w:uiPriority w:val="9"/>
    <w:unhideWhenUsed/>
    <w:qFormat/>
    <w:rsid w:val="00B14994"/>
    <w:pPr>
      <w:outlineLvl w:val="5"/>
    </w:pPr>
    <w:rPr>
      <w:rFonts w:ascii="Trebuchet MS" w:hAnsi="Trebuchet MS" w:cs="Arial"/>
      <w:b/>
      <w:bCs/>
      <w:i/>
      <w:iCs/>
      <w:color w:val="2F5496" w:themeColor="accent1" w:themeShade="BF"/>
      <w:lang w:val="sl-SI"/>
    </w:rPr>
  </w:style>
  <w:style w:type="paragraph" w:styleId="Naslov7">
    <w:name w:val="heading 7"/>
    <w:basedOn w:val="Navaden"/>
    <w:next w:val="Navaden"/>
    <w:link w:val="Naslov7Znak"/>
    <w:uiPriority w:val="9"/>
    <w:unhideWhenUsed/>
    <w:qFormat/>
    <w:rsid w:val="004A2BF5"/>
    <w:pPr>
      <w:keepNext/>
      <w:keepLines/>
      <w:spacing w:before="40" w:after="0"/>
      <w:jc w:val="left"/>
      <w:outlineLvl w:val="6"/>
    </w:pPr>
    <w:rPr>
      <w:rFonts w:asciiTheme="majorHAnsi" w:eastAsiaTheme="majorEastAsia" w:hAnsiTheme="majorHAnsi" w:cstheme="majorBidi"/>
      <w:i/>
      <w:iCs/>
      <w:color w:val="1F3763" w:themeColor="accent1" w:themeShade="7F"/>
    </w:rPr>
  </w:style>
  <w:style w:type="paragraph" w:styleId="Naslov8">
    <w:name w:val="heading 8"/>
    <w:basedOn w:val="Navaden"/>
    <w:next w:val="Navaden"/>
    <w:link w:val="Naslov8Znak"/>
    <w:uiPriority w:val="9"/>
    <w:unhideWhenUsed/>
    <w:qFormat/>
    <w:rsid w:val="004A2BF5"/>
    <w:pPr>
      <w:keepNext/>
      <w:keepLines/>
      <w:spacing w:before="40" w:after="0"/>
      <w:jc w:val="left"/>
      <w:outlineLvl w:val="7"/>
    </w:pPr>
    <w:rPr>
      <w:rFonts w:asciiTheme="majorHAnsi" w:eastAsiaTheme="majorEastAsia" w:hAnsiTheme="majorHAnsi" w:cstheme="majorBidi"/>
      <w:color w:val="272727" w:themeColor="text1" w:themeTint="D8"/>
      <w:sz w:val="21"/>
      <w:szCs w:val="21"/>
    </w:rPr>
  </w:style>
  <w:style w:type="paragraph" w:styleId="Naslov9">
    <w:name w:val="heading 9"/>
    <w:basedOn w:val="Navaden"/>
    <w:next w:val="Navaden"/>
    <w:link w:val="Naslov9Znak"/>
    <w:uiPriority w:val="9"/>
    <w:unhideWhenUsed/>
    <w:qFormat/>
    <w:rsid w:val="004A2BF5"/>
    <w:pPr>
      <w:keepNext/>
      <w:keepLines/>
      <w:spacing w:before="40" w:after="0"/>
      <w:jc w:val="left"/>
      <w:outlineLvl w:val="8"/>
    </w:pPr>
    <w:rPr>
      <w:rFonts w:asciiTheme="majorHAnsi" w:eastAsiaTheme="majorEastAsia" w:hAnsiTheme="majorHAnsi" w:cstheme="majorBidi"/>
      <w:i/>
      <w:iCs/>
      <w:color w:val="272727" w:themeColor="text1" w:themeTint="D8"/>
      <w:sz w:val="21"/>
      <w:szCs w:val="2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FC7B8E"/>
    <w:pPr>
      <w:spacing w:after="0" w:line="300" w:lineRule="auto"/>
      <w:ind w:left="720"/>
      <w:contextualSpacing/>
    </w:pPr>
    <w:rPr>
      <w:rFonts w:ascii="Arial" w:eastAsia="Times New Roman" w:hAnsi="Arial" w:cs="SSFranklinGothic-BookOblique"/>
      <w:iCs/>
      <w:color w:val="000000"/>
      <w:szCs w:val="24"/>
    </w:rPr>
  </w:style>
  <w:style w:type="character" w:customStyle="1" w:styleId="Naslov1Znak">
    <w:name w:val="Naslov 1 Znak"/>
    <w:basedOn w:val="Privzetapisavaodstavka"/>
    <w:link w:val="Naslov1"/>
    <w:uiPriority w:val="9"/>
    <w:rsid w:val="006B7E34"/>
    <w:rPr>
      <w:rFonts w:ascii="Trebuchet MS" w:eastAsiaTheme="majorEastAsia" w:hAnsi="Trebuchet MS" w:cstheme="majorBidi"/>
      <w:b/>
      <w:bCs/>
      <w:color w:val="2F5496" w:themeColor="accent1" w:themeShade="BF"/>
      <w:sz w:val="32"/>
      <w:szCs w:val="32"/>
      <w:lang w:val="sl-SI"/>
    </w:rPr>
  </w:style>
  <w:style w:type="character" w:customStyle="1" w:styleId="Naslov2Znak">
    <w:name w:val="Naslov 2 Znak"/>
    <w:basedOn w:val="Privzetapisavaodstavka"/>
    <w:link w:val="Naslov2"/>
    <w:uiPriority w:val="9"/>
    <w:rsid w:val="00CE43D7"/>
    <w:rPr>
      <w:rFonts w:ascii="Trebuchet MS" w:eastAsiaTheme="majorEastAsia" w:hAnsi="Trebuchet MS" w:cstheme="majorBidi"/>
      <w:b/>
      <w:bCs/>
      <w:color w:val="2F5496" w:themeColor="accent1" w:themeShade="BF"/>
      <w:sz w:val="28"/>
      <w:szCs w:val="28"/>
      <w:lang w:val="sl-SI"/>
    </w:rPr>
  </w:style>
  <w:style w:type="character" w:customStyle="1" w:styleId="Naslov3Znak">
    <w:name w:val="Naslov 3 Znak"/>
    <w:basedOn w:val="Privzetapisavaodstavka"/>
    <w:link w:val="Naslov3"/>
    <w:uiPriority w:val="9"/>
    <w:rsid w:val="006B7E34"/>
    <w:rPr>
      <w:rFonts w:ascii="Trebuchet MS" w:eastAsiaTheme="majorEastAsia" w:hAnsi="Trebuchet MS" w:cstheme="majorBidi"/>
      <w:b/>
      <w:bCs/>
      <w:color w:val="2F5496" w:themeColor="accent1" w:themeShade="BF"/>
      <w:sz w:val="24"/>
      <w:szCs w:val="24"/>
      <w:lang w:val="sl-SI"/>
    </w:rPr>
  </w:style>
  <w:style w:type="character" w:customStyle="1" w:styleId="Naslov4Znak">
    <w:name w:val="Naslov 4 Znak"/>
    <w:basedOn w:val="Privzetapisavaodstavka"/>
    <w:link w:val="Naslov4"/>
    <w:uiPriority w:val="9"/>
    <w:rsid w:val="00CE43D7"/>
    <w:rPr>
      <w:rFonts w:ascii="Trebuchet MS" w:eastAsia="Calibri" w:hAnsi="Trebuchet MS" w:cstheme="majorBidi"/>
      <w:color w:val="2F5496" w:themeColor="accent1" w:themeShade="BF"/>
      <w:sz w:val="24"/>
      <w:szCs w:val="24"/>
      <w:lang w:val="sl-SI" w:eastAsia="sl-SI"/>
    </w:rPr>
  </w:style>
  <w:style w:type="paragraph" w:styleId="Brezrazmikov">
    <w:name w:val="No Spacing"/>
    <w:aliases w:val="sklici"/>
    <w:uiPriority w:val="1"/>
    <w:qFormat/>
    <w:rsid w:val="006F7861"/>
    <w:pPr>
      <w:tabs>
        <w:tab w:val="left" w:pos="8365"/>
      </w:tabs>
      <w:spacing w:after="0" w:line="240" w:lineRule="auto"/>
    </w:pPr>
    <w:rPr>
      <w:rFonts w:ascii="Calibri" w:hAnsi="Calibri" w:cs="Tahoma"/>
      <w:lang w:val="en-US"/>
    </w:rPr>
  </w:style>
  <w:style w:type="character" w:customStyle="1" w:styleId="Naslov5Znak">
    <w:name w:val="Naslov 5 Znak"/>
    <w:basedOn w:val="Privzetapisavaodstavka"/>
    <w:link w:val="Naslov5"/>
    <w:uiPriority w:val="9"/>
    <w:rsid w:val="00B14994"/>
    <w:rPr>
      <w:rFonts w:ascii="Trebuchet MS" w:eastAsia="Calibri" w:hAnsi="Trebuchet MS" w:cstheme="majorBidi"/>
      <w:b/>
      <w:bCs/>
      <w:color w:val="2F5496" w:themeColor="accent1" w:themeShade="BF"/>
      <w:lang w:val="sl-SI" w:eastAsia="sl-SI"/>
    </w:rPr>
  </w:style>
  <w:style w:type="character" w:customStyle="1" w:styleId="Naslov6Znak">
    <w:name w:val="Naslov 6 Znak"/>
    <w:basedOn w:val="Privzetapisavaodstavka"/>
    <w:link w:val="Naslov6"/>
    <w:uiPriority w:val="9"/>
    <w:rsid w:val="00B14994"/>
    <w:rPr>
      <w:rFonts w:ascii="Trebuchet MS" w:hAnsi="Trebuchet MS" w:cs="Arial"/>
      <w:b/>
      <w:bCs/>
      <w:i/>
      <w:iCs/>
      <w:color w:val="2F5496" w:themeColor="accent1" w:themeShade="BF"/>
      <w:lang w:val="sl-SI"/>
    </w:rPr>
  </w:style>
  <w:style w:type="character" w:customStyle="1" w:styleId="Naslov7Znak">
    <w:name w:val="Naslov 7 Znak"/>
    <w:basedOn w:val="Privzetapisavaodstavka"/>
    <w:link w:val="Naslov7"/>
    <w:uiPriority w:val="9"/>
    <w:rsid w:val="004A2BF5"/>
    <w:rPr>
      <w:rFonts w:asciiTheme="majorHAnsi" w:eastAsiaTheme="majorEastAsia" w:hAnsiTheme="majorHAnsi" w:cstheme="majorBidi"/>
      <w:i/>
      <w:iCs/>
      <w:color w:val="1F3763" w:themeColor="accent1" w:themeShade="7F"/>
      <w:lang w:val="sl-SI"/>
    </w:rPr>
  </w:style>
  <w:style w:type="character" w:customStyle="1" w:styleId="Naslov8Znak">
    <w:name w:val="Naslov 8 Znak"/>
    <w:basedOn w:val="Privzetapisavaodstavka"/>
    <w:link w:val="Naslov8"/>
    <w:uiPriority w:val="9"/>
    <w:rsid w:val="004A2BF5"/>
    <w:rPr>
      <w:rFonts w:asciiTheme="majorHAnsi" w:eastAsiaTheme="majorEastAsia" w:hAnsiTheme="majorHAnsi" w:cstheme="majorBidi"/>
      <w:color w:val="272727" w:themeColor="text1" w:themeTint="D8"/>
      <w:sz w:val="21"/>
      <w:szCs w:val="21"/>
      <w:lang w:val="sl-SI"/>
    </w:rPr>
  </w:style>
  <w:style w:type="character" w:customStyle="1" w:styleId="Naslov9Znak">
    <w:name w:val="Naslov 9 Znak"/>
    <w:basedOn w:val="Privzetapisavaodstavka"/>
    <w:link w:val="Naslov9"/>
    <w:uiPriority w:val="9"/>
    <w:rsid w:val="004A2BF5"/>
    <w:rPr>
      <w:rFonts w:asciiTheme="majorHAnsi" w:eastAsiaTheme="majorEastAsia" w:hAnsiTheme="majorHAnsi" w:cstheme="majorBidi"/>
      <w:i/>
      <w:iCs/>
      <w:color w:val="272727" w:themeColor="text1" w:themeTint="D8"/>
      <w:sz w:val="21"/>
      <w:szCs w:val="21"/>
      <w:lang w:val="sl-SI"/>
    </w:rPr>
  </w:style>
  <w:style w:type="table" w:styleId="Tabelamrea">
    <w:name w:val="Table Grid"/>
    <w:basedOn w:val="Navadnatabela"/>
    <w:uiPriority w:val="39"/>
    <w:qFormat/>
    <w:rsid w:val="00116F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lava">
    <w:name w:val="header"/>
    <w:basedOn w:val="Navaden"/>
    <w:link w:val="GlavaZnak"/>
    <w:uiPriority w:val="99"/>
    <w:unhideWhenUsed/>
    <w:rsid w:val="00116FAD"/>
    <w:pPr>
      <w:tabs>
        <w:tab w:val="center" w:pos="4819"/>
        <w:tab w:val="right" w:pos="9638"/>
      </w:tabs>
      <w:spacing w:after="0" w:line="240" w:lineRule="auto"/>
    </w:pPr>
  </w:style>
  <w:style w:type="character" w:customStyle="1" w:styleId="GlavaZnak">
    <w:name w:val="Glava Znak"/>
    <w:basedOn w:val="Privzetapisavaodstavka"/>
    <w:link w:val="Glava"/>
    <w:uiPriority w:val="99"/>
    <w:rsid w:val="00116FAD"/>
  </w:style>
  <w:style w:type="paragraph" w:styleId="Noga">
    <w:name w:val="footer"/>
    <w:basedOn w:val="Navaden"/>
    <w:link w:val="NogaZnak"/>
    <w:uiPriority w:val="99"/>
    <w:unhideWhenUsed/>
    <w:rsid w:val="00116FAD"/>
    <w:pPr>
      <w:tabs>
        <w:tab w:val="center" w:pos="4819"/>
        <w:tab w:val="right" w:pos="9638"/>
      </w:tabs>
      <w:spacing w:after="0" w:line="240" w:lineRule="auto"/>
    </w:pPr>
  </w:style>
  <w:style w:type="character" w:customStyle="1" w:styleId="NogaZnak">
    <w:name w:val="Noga Znak"/>
    <w:basedOn w:val="Privzetapisavaodstavka"/>
    <w:link w:val="Noga"/>
    <w:uiPriority w:val="99"/>
    <w:rsid w:val="00116FAD"/>
  </w:style>
  <w:style w:type="paragraph" w:styleId="Besedilooblaka">
    <w:name w:val="Balloon Text"/>
    <w:basedOn w:val="Navaden"/>
    <w:link w:val="BesedilooblakaZnak"/>
    <w:uiPriority w:val="99"/>
    <w:semiHidden/>
    <w:unhideWhenUsed/>
    <w:rsid w:val="00116FAD"/>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116FAD"/>
    <w:rPr>
      <w:rFonts w:ascii="Segoe UI" w:hAnsi="Segoe UI" w:cs="Segoe UI"/>
      <w:sz w:val="18"/>
      <w:szCs w:val="18"/>
    </w:rPr>
  </w:style>
  <w:style w:type="table" w:customStyle="1" w:styleId="Grigliatabella1">
    <w:name w:val="Griglia tabella1"/>
    <w:basedOn w:val="Navadnatabela"/>
    <w:next w:val="Tabelamrea"/>
    <w:uiPriority w:val="59"/>
    <w:rsid w:val="006F7861"/>
    <w:pPr>
      <w:spacing w:after="0" w:line="240" w:lineRule="auto"/>
    </w:pPr>
    <w:rPr>
      <w:rFonts w:ascii="Trebuchet MS" w:hAnsi="Trebuchet MS" w:cs="Tahoma"/>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utocornice">
    <w:name w:val="Contenuto cornice"/>
    <w:basedOn w:val="Navaden"/>
    <w:qFormat/>
    <w:rsid w:val="00BF5BB6"/>
    <w:pPr>
      <w:tabs>
        <w:tab w:val="left" w:pos="8365"/>
      </w:tabs>
    </w:pPr>
    <w:rPr>
      <w:rFonts w:cs="Tahoma"/>
    </w:rPr>
  </w:style>
  <w:style w:type="paragraph" w:customStyle="1" w:styleId="Contenutotabella">
    <w:name w:val="Contenuto tabella"/>
    <w:basedOn w:val="Telobesedila"/>
    <w:semiHidden/>
    <w:qFormat/>
    <w:locked/>
    <w:rsid w:val="00F06A95"/>
    <w:pPr>
      <w:suppressLineNumbers/>
      <w:tabs>
        <w:tab w:val="left" w:pos="8365"/>
      </w:tabs>
      <w:suppressAutoHyphens/>
      <w:spacing w:line="240" w:lineRule="atLeast"/>
    </w:pPr>
    <w:rPr>
      <w:rFonts w:ascii="Times New Roman" w:hAnsi="Times New Roman" w:cstheme="minorHAnsi"/>
      <w:lang w:val="en-GB" w:eastAsia="ar-SA"/>
    </w:rPr>
  </w:style>
  <w:style w:type="paragraph" w:styleId="Telobesedila">
    <w:name w:val="Body Text"/>
    <w:basedOn w:val="Navaden"/>
    <w:link w:val="TelobesedilaZnak"/>
    <w:uiPriority w:val="99"/>
    <w:semiHidden/>
    <w:unhideWhenUsed/>
    <w:rsid w:val="00F06A95"/>
    <w:pPr>
      <w:spacing w:after="120"/>
    </w:pPr>
  </w:style>
  <w:style w:type="character" w:customStyle="1" w:styleId="TelobesedilaZnak">
    <w:name w:val="Telo besedila Znak"/>
    <w:basedOn w:val="Privzetapisavaodstavka"/>
    <w:link w:val="Telobesedila"/>
    <w:uiPriority w:val="99"/>
    <w:semiHidden/>
    <w:rsid w:val="00F06A95"/>
  </w:style>
  <w:style w:type="character" w:styleId="Hiperpovezava">
    <w:name w:val="Hyperlink"/>
    <w:basedOn w:val="Privzetapisavaodstavka"/>
    <w:uiPriority w:val="99"/>
    <w:unhideWhenUsed/>
    <w:rsid w:val="00F06A95"/>
    <w:rPr>
      <w:color w:val="0563C1" w:themeColor="hyperlink"/>
      <w:u w:val="single"/>
    </w:rPr>
  </w:style>
  <w:style w:type="paragraph" w:styleId="NaslovTOC">
    <w:name w:val="TOC Heading"/>
    <w:basedOn w:val="Naslov1"/>
    <w:next w:val="Navaden"/>
    <w:uiPriority w:val="39"/>
    <w:unhideWhenUsed/>
    <w:qFormat/>
    <w:rsid w:val="00D435CE"/>
    <w:pPr>
      <w:spacing w:before="480" w:line="276" w:lineRule="auto"/>
      <w:outlineLvl w:val="9"/>
    </w:pPr>
    <w:rPr>
      <w:rFonts w:asciiTheme="minorHAnsi" w:hAnsiTheme="minorHAnsi"/>
      <w:b w:val="0"/>
      <w:bCs w:val="0"/>
      <w:color w:val="auto"/>
      <w:sz w:val="28"/>
      <w:szCs w:val="28"/>
    </w:rPr>
  </w:style>
  <w:style w:type="paragraph" w:styleId="Kazalovsebine2">
    <w:name w:val="toc 2"/>
    <w:basedOn w:val="Navaden"/>
    <w:next w:val="Navaden"/>
    <w:autoRedefine/>
    <w:uiPriority w:val="39"/>
    <w:unhideWhenUsed/>
    <w:rsid w:val="00B603CF"/>
    <w:pPr>
      <w:tabs>
        <w:tab w:val="left" w:pos="880"/>
        <w:tab w:val="right" w:leader="dot" w:pos="9628"/>
      </w:tabs>
      <w:spacing w:after="100" w:line="276" w:lineRule="auto"/>
      <w:ind w:left="220"/>
    </w:pPr>
    <w:rPr>
      <w:rFonts w:eastAsiaTheme="minorEastAsia"/>
      <w:color w:val="000000" w:themeColor="text1" w:themeShade="BF"/>
      <w:lang w:eastAsia="it-IT"/>
    </w:rPr>
  </w:style>
  <w:style w:type="paragraph" w:styleId="Kazalovsebine1">
    <w:name w:val="toc 1"/>
    <w:basedOn w:val="Navaden"/>
    <w:next w:val="Navaden"/>
    <w:autoRedefine/>
    <w:uiPriority w:val="39"/>
    <w:unhideWhenUsed/>
    <w:rsid w:val="00D435CE"/>
    <w:pPr>
      <w:spacing w:after="100" w:line="276" w:lineRule="auto"/>
    </w:pPr>
    <w:rPr>
      <w:rFonts w:eastAsiaTheme="minorEastAsia"/>
      <w:color w:val="000000" w:themeColor="text1" w:themeShade="BF"/>
      <w:lang w:eastAsia="it-IT"/>
    </w:rPr>
  </w:style>
  <w:style w:type="paragraph" w:styleId="Kazalovsebine3">
    <w:name w:val="toc 3"/>
    <w:basedOn w:val="Navaden"/>
    <w:next w:val="Navaden"/>
    <w:autoRedefine/>
    <w:uiPriority w:val="39"/>
    <w:unhideWhenUsed/>
    <w:rsid w:val="00D435CE"/>
    <w:pPr>
      <w:spacing w:after="100" w:line="276" w:lineRule="auto"/>
      <w:ind w:left="440"/>
    </w:pPr>
    <w:rPr>
      <w:rFonts w:eastAsiaTheme="minorEastAsia"/>
      <w:color w:val="000000" w:themeColor="text1" w:themeShade="BF"/>
      <w:lang w:eastAsia="it-IT"/>
    </w:rPr>
  </w:style>
  <w:style w:type="paragraph" w:styleId="Kazalovsebine4">
    <w:name w:val="toc 4"/>
    <w:basedOn w:val="Navaden"/>
    <w:next w:val="Navaden"/>
    <w:autoRedefine/>
    <w:uiPriority w:val="39"/>
    <w:unhideWhenUsed/>
    <w:rsid w:val="00B47021"/>
    <w:pPr>
      <w:spacing w:after="100"/>
      <w:ind w:left="660"/>
    </w:pPr>
    <w:rPr>
      <w:rFonts w:asciiTheme="minorHAnsi" w:eastAsiaTheme="minorEastAsia" w:hAnsiTheme="minorHAnsi"/>
    </w:rPr>
  </w:style>
  <w:style w:type="paragraph" w:styleId="Kazalovsebine5">
    <w:name w:val="toc 5"/>
    <w:basedOn w:val="Navaden"/>
    <w:next w:val="Navaden"/>
    <w:autoRedefine/>
    <w:uiPriority w:val="39"/>
    <w:unhideWhenUsed/>
    <w:rsid w:val="00B47021"/>
    <w:pPr>
      <w:spacing w:after="100"/>
      <w:ind w:left="880"/>
    </w:pPr>
    <w:rPr>
      <w:rFonts w:asciiTheme="minorHAnsi" w:eastAsiaTheme="minorEastAsia" w:hAnsiTheme="minorHAnsi"/>
    </w:rPr>
  </w:style>
  <w:style w:type="paragraph" w:styleId="Kazalovsebine6">
    <w:name w:val="toc 6"/>
    <w:basedOn w:val="Navaden"/>
    <w:next w:val="Navaden"/>
    <w:autoRedefine/>
    <w:uiPriority w:val="39"/>
    <w:unhideWhenUsed/>
    <w:rsid w:val="00B47021"/>
    <w:pPr>
      <w:spacing w:after="100"/>
      <w:ind w:left="1100"/>
    </w:pPr>
    <w:rPr>
      <w:rFonts w:asciiTheme="minorHAnsi" w:eastAsiaTheme="minorEastAsia" w:hAnsiTheme="minorHAnsi"/>
    </w:rPr>
  </w:style>
  <w:style w:type="paragraph" w:styleId="Kazalovsebine7">
    <w:name w:val="toc 7"/>
    <w:basedOn w:val="Navaden"/>
    <w:next w:val="Navaden"/>
    <w:autoRedefine/>
    <w:uiPriority w:val="39"/>
    <w:unhideWhenUsed/>
    <w:rsid w:val="00B47021"/>
    <w:pPr>
      <w:spacing w:after="100"/>
      <w:ind w:left="1320"/>
    </w:pPr>
    <w:rPr>
      <w:rFonts w:asciiTheme="minorHAnsi" w:eastAsiaTheme="minorEastAsia" w:hAnsiTheme="minorHAnsi"/>
    </w:rPr>
  </w:style>
  <w:style w:type="paragraph" w:styleId="Kazalovsebine8">
    <w:name w:val="toc 8"/>
    <w:basedOn w:val="Navaden"/>
    <w:next w:val="Navaden"/>
    <w:autoRedefine/>
    <w:uiPriority w:val="39"/>
    <w:unhideWhenUsed/>
    <w:rsid w:val="00B47021"/>
    <w:pPr>
      <w:spacing w:after="100"/>
      <w:ind w:left="1540"/>
    </w:pPr>
    <w:rPr>
      <w:rFonts w:asciiTheme="minorHAnsi" w:eastAsiaTheme="minorEastAsia" w:hAnsiTheme="minorHAnsi"/>
    </w:rPr>
  </w:style>
  <w:style w:type="paragraph" w:styleId="Kazalovsebine9">
    <w:name w:val="toc 9"/>
    <w:basedOn w:val="Navaden"/>
    <w:next w:val="Navaden"/>
    <w:autoRedefine/>
    <w:uiPriority w:val="39"/>
    <w:unhideWhenUsed/>
    <w:rsid w:val="00B47021"/>
    <w:pPr>
      <w:spacing w:after="100"/>
      <w:ind w:left="1760"/>
    </w:pPr>
    <w:rPr>
      <w:rFonts w:asciiTheme="minorHAnsi" w:eastAsiaTheme="minorEastAsia" w:hAnsiTheme="minorHAnsi"/>
    </w:rPr>
  </w:style>
  <w:style w:type="character" w:customStyle="1" w:styleId="UnresolvedMention1">
    <w:name w:val="Unresolved Mention1"/>
    <w:basedOn w:val="Privzetapisavaodstavka"/>
    <w:uiPriority w:val="99"/>
    <w:unhideWhenUsed/>
    <w:rsid w:val="00B47021"/>
    <w:rPr>
      <w:color w:val="605E5C"/>
      <w:shd w:val="clear" w:color="auto" w:fill="E1DFDD"/>
    </w:rPr>
  </w:style>
  <w:style w:type="paragraph" w:styleId="Naslov">
    <w:name w:val="Title"/>
    <w:basedOn w:val="Navaden"/>
    <w:next w:val="Navaden"/>
    <w:link w:val="NaslovZnak"/>
    <w:uiPriority w:val="10"/>
    <w:qFormat/>
    <w:rsid w:val="00D01333"/>
    <w:rPr>
      <w:b/>
      <w:color w:val="203B88"/>
      <w:sz w:val="56"/>
      <w:szCs w:val="56"/>
    </w:rPr>
  </w:style>
  <w:style w:type="character" w:customStyle="1" w:styleId="NaslovZnak">
    <w:name w:val="Naslov Znak"/>
    <w:basedOn w:val="Privzetapisavaodstavka"/>
    <w:link w:val="Naslov"/>
    <w:uiPriority w:val="10"/>
    <w:rsid w:val="00D01333"/>
    <w:rPr>
      <w:rFonts w:ascii="Trebuchet MS" w:hAnsi="Trebuchet MS"/>
      <w:b/>
      <w:color w:val="203B88"/>
      <w:sz w:val="56"/>
      <w:szCs w:val="56"/>
      <w:lang w:val="sl-SI"/>
    </w:rPr>
  </w:style>
  <w:style w:type="paragraph" w:styleId="Podnaslov">
    <w:name w:val="Subtitle"/>
    <w:basedOn w:val="Navaden"/>
    <w:next w:val="Navaden"/>
    <w:link w:val="PodnaslovZnak"/>
    <w:uiPriority w:val="11"/>
    <w:qFormat/>
    <w:rsid w:val="00D01333"/>
    <w:rPr>
      <w:b/>
      <w:color w:val="203B88"/>
      <w:sz w:val="24"/>
      <w:szCs w:val="24"/>
    </w:rPr>
  </w:style>
  <w:style w:type="character" w:customStyle="1" w:styleId="PodnaslovZnak">
    <w:name w:val="Podnaslov Znak"/>
    <w:basedOn w:val="Privzetapisavaodstavka"/>
    <w:link w:val="Podnaslov"/>
    <w:uiPriority w:val="11"/>
    <w:rsid w:val="00D01333"/>
    <w:rPr>
      <w:rFonts w:ascii="Trebuchet MS" w:hAnsi="Trebuchet MS"/>
      <w:b/>
      <w:color w:val="203B88"/>
      <w:sz w:val="24"/>
      <w:szCs w:val="24"/>
      <w:lang w:val="sl-SI"/>
    </w:rPr>
  </w:style>
  <w:style w:type="paragraph" w:customStyle="1" w:styleId="Default">
    <w:name w:val="Default"/>
    <w:rsid w:val="00264D04"/>
    <w:pPr>
      <w:autoSpaceDE w:val="0"/>
      <w:autoSpaceDN w:val="0"/>
      <w:adjustRightInd w:val="0"/>
      <w:spacing w:after="0" w:line="240" w:lineRule="auto"/>
    </w:pPr>
    <w:rPr>
      <w:rFonts w:ascii="Calibri" w:hAnsi="Calibri" w:cs="Calibri"/>
      <w:color w:val="000000"/>
      <w:sz w:val="24"/>
      <w:szCs w:val="24"/>
      <w:lang w:val="sl-SI"/>
    </w:rPr>
  </w:style>
  <w:style w:type="paragraph" w:styleId="Napis">
    <w:name w:val="caption"/>
    <w:basedOn w:val="Navaden"/>
    <w:next w:val="Navaden"/>
    <w:uiPriority w:val="35"/>
    <w:unhideWhenUsed/>
    <w:qFormat/>
    <w:rsid w:val="00264D04"/>
    <w:pPr>
      <w:spacing w:after="200" w:line="240" w:lineRule="auto"/>
    </w:pPr>
    <w:rPr>
      <w:rFonts w:asciiTheme="minorHAnsi" w:hAnsiTheme="minorHAnsi"/>
      <w:i/>
      <w:iCs/>
      <w:color w:val="44546A" w:themeColor="text2"/>
      <w:sz w:val="18"/>
      <w:szCs w:val="18"/>
    </w:rPr>
  </w:style>
  <w:style w:type="paragraph" w:styleId="HTML-oblikovano">
    <w:name w:val="HTML Preformatted"/>
    <w:basedOn w:val="Navaden"/>
    <w:link w:val="HTML-oblikovanoZnak"/>
    <w:uiPriority w:val="99"/>
    <w:unhideWhenUsed/>
    <w:rsid w:val="004A2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sl-SI"/>
    </w:rPr>
  </w:style>
  <w:style w:type="character" w:customStyle="1" w:styleId="HTML-oblikovanoZnak">
    <w:name w:val="HTML-oblikovano Znak"/>
    <w:basedOn w:val="Privzetapisavaodstavka"/>
    <w:link w:val="HTML-oblikovano"/>
    <w:uiPriority w:val="99"/>
    <w:rsid w:val="004A2BF5"/>
    <w:rPr>
      <w:rFonts w:ascii="Courier New" w:eastAsia="Times New Roman" w:hAnsi="Courier New" w:cs="Courier New"/>
      <w:sz w:val="20"/>
      <w:szCs w:val="20"/>
      <w:lang w:val="sl-SI" w:eastAsia="sl-SI"/>
    </w:rPr>
  </w:style>
  <w:style w:type="character" w:styleId="Pripombasklic">
    <w:name w:val="annotation reference"/>
    <w:basedOn w:val="Privzetapisavaodstavka"/>
    <w:uiPriority w:val="99"/>
    <w:unhideWhenUsed/>
    <w:rsid w:val="004A2BF5"/>
    <w:rPr>
      <w:sz w:val="16"/>
      <w:szCs w:val="16"/>
    </w:rPr>
  </w:style>
  <w:style w:type="paragraph" w:styleId="Pripombabesedilo">
    <w:name w:val="annotation text"/>
    <w:basedOn w:val="Navaden"/>
    <w:link w:val="PripombabesediloZnak"/>
    <w:uiPriority w:val="99"/>
    <w:unhideWhenUsed/>
    <w:rsid w:val="004A2BF5"/>
    <w:pPr>
      <w:spacing w:line="240" w:lineRule="auto"/>
      <w:jc w:val="left"/>
    </w:pPr>
    <w:rPr>
      <w:rFonts w:asciiTheme="minorHAnsi" w:hAnsiTheme="minorHAnsi"/>
      <w:sz w:val="20"/>
      <w:szCs w:val="20"/>
    </w:rPr>
  </w:style>
  <w:style w:type="character" w:customStyle="1" w:styleId="PripombabesediloZnak">
    <w:name w:val="Pripomba – besedilo Znak"/>
    <w:basedOn w:val="Privzetapisavaodstavka"/>
    <w:link w:val="Pripombabesedilo"/>
    <w:uiPriority w:val="99"/>
    <w:rsid w:val="004A2BF5"/>
    <w:rPr>
      <w:sz w:val="20"/>
      <w:szCs w:val="20"/>
      <w:lang w:val="sl-SI"/>
    </w:rPr>
  </w:style>
  <w:style w:type="paragraph" w:styleId="Zadevapripombe">
    <w:name w:val="annotation subject"/>
    <w:basedOn w:val="Pripombabesedilo"/>
    <w:next w:val="Pripombabesedilo"/>
    <w:link w:val="ZadevapripombeZnak"/>
    <w:uiPriority w:val="99"/>
    <w:semiHidden/>
    <w:unhideWhenUsed/>
    <w:rsid w:val="004A2BF5"/>
    <w:rPr>
      <w:b/>
      <w:bCs/>
    </w:rPr>
  </w:style>
  <w:style w:type="character" w:customStyle="1" w:styleId="ZadevapripombeZnak">
    <w:name w:val="Zadeva pripombe Znak"/>
    <w:basedOn w:val="PripombabesediloZnak"/>
    <w:link w:val="Zadevapripombe"/>
    <w:uiPriority w:val="99"/>
    <w:semiHidden/>
    <w:rsid w:val="004A2BF5"/>
    <w:rPr>
      <w:b/>
      <w:bCs/>
      <w:sz w:val="20"/>
      <w:szCs w:val="20"/>
      <w:lang w:val="sl-SI"/>
    </w:rPr>
  </w:style>
  <w:style w:type="paragraph" w:styleId="Revizija">
    <w:name w:val="Revision"/>
    <w:hidden/>
    <w:uiPriority w:val="99"/>
    <w:semiHidden/>
    <w:rsid w:val="004A2BF5"/>
    <w:pPr>
      <w:spacing w:after="0" w:line="240" w:lineRule="auto"/>
    </w:pPr>
    <w:rPr>
      <w:lang w:val="sl-SI"/>
    </w:rPr>
  </w:style>
  <w:style w:type="paragraph" w:styleId="Navadensplet">
    <w:name w:val="Normal (Web)"/>
    <w:basedOn w:val="Navaden"/>
    <w:uiPriority w:val="99"/>
    <w:unhideWhenUsed/>
    <w:rsid w:val="009C1F88"/>
    <w:pP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character" w:styleId="SledenaHiperpovezava">
    <w:name w:val="FollowedHyperlink"/>
    <w:basedOn w:val="Privzetapisavaodstavka"/>
    <w:uiPriority w:val="99"/>
    <w:semiHidden/>
    <w:unhideWhenUsed/>
    <w:rsid w:val="009C1F88"/>
    <w:rPr>
      <w:color w:val="954F72" w:themeColor="followedHyperlink"/>
      <w:u w:val="single"/>
    </w:rPr>
  </w:style>
  <w:style w:type="paragraph" w:customStyle="1" w:styleId="gmail-msofooter">
    <w:name w:val="gmail-msofooter"/>
    <w:basedOn w:val="Navaden"/>
    <w:rsid w:val="00FA4E45"/>
    <w:pPr>
      <w:spacing w:before="100" w:beforeAutospacing="1" w:after="100" w:afterAutospacing="1" w:line="240" w:lineRule="auto"/>
    </w:pPr>
    <w:rPr>
      <w:rFonts w:ascii="Times New Roman" w:hAnsi="Times New Roman" w:cs="Times New Roman"/>
      <w:sz w:val="24"/>
      <w:szCs w:val="24"/>
      <w:lang w:eastAsia="sl-SI"/>
    </w:rPr>
  </w:style>
  <w:style w:type="character" w:styleId="Krepko">
    <w:name w:val="Strong"/>
    <w:basedOn w:val="Privzetapisavaodstavka"/>
    <w:uiPriority w:val="22"/>
    <w:qFormat/>
    <w:rsid w:val="00FA4E45"/>
    <w:rPr>
      <w:b/>
      <w:bCs/>
    </w:rPr>
  </w:style>
  <w:style w:type="paragraph" w:customStyle="1" w:styleId="statut">
    <w:name w:val="statut"/>
    <w:basedOn w:val="Navaden"/>
    <w:rsid w:val="00FA4E45"/>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typedudocumentcp">
    <w:name w:val="typedudocument_cp"/>
    <w:basedOn w:val="Navaden"/>
    <w:rsid w:val="00FA4E45"/>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titreobjetcp">
    <w:name w:val="titreobjet_cp"/>
    <w:basedOn w:val="Navaden"/>
    <w:rsid w:val="00FA4E45"/>
    <w:pPr>
      <w:spacing w:before="100" w:beforeAutospacing="1" w:after="100" w:afterAutospacing="1" w:line="240" w:lineRule="auto"/>
    </w:pPr>
    <w:rPr>
      <w:rFonts w:ascii="Times New Roman" w:eastAsia="Times New Roman" w:hAnsi="Times New Roman" w:cs="Times New Roman"/>
      <w:sz w:val="24"/>
      <w:szCs w:val="24"/>
      <w:lang w:eastAsia="sl-SI"/>
    </w:rPr>
  </w:style>
  <w:style w:type="table" w:customStyle="1" w:styleId="TableGrid1">
    <w:name w:val="Table Grid1"/>
    <w:basedOn w:val="Navadnatabela"/>
    <w:next w:val="Tabelamrea"/>
    <w:uiPriority w:val="39"/>
    <w:rsid w:val="00FA4E45"/>
    <w:pPr>
      <w:spacing w:after="0" w:line="240" w:lineRule="auto"/>
    </w:pPr>
    <w:rPr>
      <w:rFonts w:ascii="Calibri" w:eastAsia="Calibri" w:hAnsi="Calibri" w:cs="Times New Roman"/>
      <w:lang w:val="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Navadnatabela"/>
    <w:next w:val="Tabelamrea"/>
    <w:uiPriority w:val="39"/>
    <w:rsid w:val="00FA4E45"/>
    <w:pPr>
      <w:spacing w:after="0" w:line="240" w:lineRule="auto"/>
    </w:pPr>
    <w:rPr>
      <w:rFonts w:ascii="Calibri" w:eastAsia="Calibri" w:hAnsi="Calibri" w:cs="Times New Roman"/>
      <w:lang w:val="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mrea4poudarek6">
    <w:name w:val="Grid Table 4 Accent 6"/>
    <w:basedOn w:val="Navadnatabela"/>
    <w:uiPriority w:val="49"/>
    <w:rsid w:val="004F43A0"/>
    <w:pPr>
      <w:spacing w:after="0" w:line="240" w:lineRule="auto"/>
    </w:pPr>
    <w:rPr>
      <w:lang w:val="sl-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mrea2poudarek6">
    <w:name w:val="Grid Table 2 Accent 6"/>
    <w:basedOn w:val="Navadnatabela"/>
    <w:uiPriority w:val="47"/>
    <w:rsid w:val="004F43A0"/>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temnamrea5poudarek6">
    <w:name w:val="Grid Table 5 Dark Accent 6"/>
    <w:basedOn w:val="Navadnatabela"/>
    <w:uiPriority w:val="50"/>
    <w:rsid w:val="004F43A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elatemnamrea5poudarek3">
    <w:name w:val="Grid Table 5 Dark Accent 3"/>
    <w:basedOn w:val="Navadnatabela"/>
    <w:uiPriority w:val="50"/>
    <w:rsid w:val="004F43A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customStyle="1" w:styleId="Mention1">
    <w:name w:val="Mention1"/>
    <w:basedOn w:val="Privzetapisavaodstavka"/>
    <w:uiPriority w:val="99"/>
    <w:unhideWhenUsed/>
    <w:rsid w:val="004F43A0"/>
    <w:rPr>
      <w:color w:val="2B579A"/>
      <w:shd w:val="clear" w:color="auto" w:fill="E1DFDD"/>
    </w:rPr>
  </w:style>
  <w:style w:type="character" w:customStyle="1" w:styleId="Nerazreenaomemba1">
    <w:name w:val="Nerazrešena omemba1"/>
    <w:basedOn w:val="Privzetapisavaodstavka"/>
    <w:uiPriority w:val="99"/>
    <w:semiHidden/>
    <w:unhideWhenUsed/>
    <w:rsid w:val="007514BD"/>
    <w:rPr>
      <w:color w:val="605E5C"/>
      <w:shd w:val="clear" w:color="auto" w:fill="E1DFDD"/>
    </w:rPr>
  </w:style>
  <w:style w:type="character" w:styleId="Sprotnaopomba-sklic">
    <w:name w:val="footnote reference"/>
    <w:basedOn w:val="Privzetapisavaodstavka"/>
    <w:uiPriority w:val="99"/>
    <w:semiHidden/>
    <w:unhideWhenUsed/>
    <w:rsid w:val="007514BD"/>
    <w:rPr>
      <w:vertAlign w:val="superscript"/>
    </w:rPr>
  </w:style>
  <w:style w:type="character" w:customStyle="1" w:styleId="A3">
    <w:name w:val="A3"/>
    <w:uiPriority w:val="99"/>
    <w:rsid w:val="007514BD"/>
    <w:rPr>
      <w:rFonts w:ascii="Source Sans Pro Light" w:hAnsi="Source Sans Pro Light" w:cs="Source Sans Pro Light" w:hint="default"/>
      <w:color w:val="000000"/>
      <w:sz w:val="18"/>
      <w:szCs w:val="18"/>
    </w:rPr>
  </w:style>
  <w:style w:type="paragraph" w:styleId="Sprotnaopomba-besedilo">
    <w:name w:val="footnote text"/>
    <w:basedOn w:val="Navaden"/>
    <w:link w:val="Sprotnaopomba-besediloZnak"/>
    <w:uiPriority w:val="99"/>
    <w:unhideWhenUsed/>
    <w:rsid w:val="007514BD"/>
    <w:pPr>
      <w:spacing w:after="120" w:line="240" w:lineRule="auto"/>
      <w:jc w:val="left"/>
    </w:pPr>
    <w:rPr>
      <w:rFonts w:asciiTheme="minorHAnsi" w:eastAsia="Times New Roman" w:hAnsiTheme="minorHAnsi" w:cs="SSFranklinGothic-BookOblique"/>
      <w:iCs/>
      <w:color w:val="000000"/>
      <w:sz w:val="20"/>
      <w:szCs w:val="20"/>
    </w:rPr>
  </w:style>
  <w:style w:type="character" w:customStyle="1" w:styleId="Sprotnaopomba-besediloZnak">
    <w:name w:val="Sprotna opomba - besedilo Znak"/>
    <w:basedOn w:val="Privzetapisavaodstavka"/>
    <w:link w:val="Sprotnaopomba-besedilo"/>
    <w:uiPriority w:val="99"/>
    <w:rsid w:val="007514BD"/>
    <w:rPr>
      <w:rFonts w:eastAsia="Times New Roman" w:cs="SSFranklinGothic-BookOblique"/>
      <w:iCs/>
      <w:color w:val="000000"/>
      <w:sz w:val="20"/>
      <w:szCs w:val="20"/>
      <w:lang w:val="sl-SI"/>
    </w:rPr>
  </w:style>
  <w:style w:type="character" w:customStyle="1" w:styleId="UnresolvedMention10">
    <w:name w:val="Unresolved Mention1"/>
    <w:basedOn w:val="Privzetapisavaodstavka"/>
    <w:uiPriority w:val="99"/>
    <w:unhideWhenUsed/>
    <w:rsid w:val="007514BD"/>
    <w:rPr>
      <w:color w:val="605E5C"/>
      <w:shd w:val="clear" w:color="auto" w:fill="E1DFDD"/>
    </w:rPr>
  </w:style>
  <w:style w:type="character" w:customStyle="1" w:styleId="tlid-translation">
    <w:name w:val="tlid-translation"/>
    <w:basedOn w:val="Privzetapisavaodstavka"/>
    <w:rsid w:val="00D708EC"/>
  </w:style>
  <w:style w:type="paragraph" w:customStyle="1" w:styleId="Pa1">
    <w:name w:val="Pa1"/>
    <w:basedOn w:val="Default"/>
    <w:next w:val="Default"/>
    <w:uiPriority w:val="99"/>
    <w:rsid w:val="00D708EC"/>
    <w:pPr>
      <w:spacing w:line="241" w:lineRule="atLeast"/>
    </w:pPr>
    <w:rPr>
      <w:rFonts w:ascii="Franklin Gothic Demi" w:hAnsi="Franklin Gothic Demi" w:cstheme="minorBidi"/>
      <w:color w:val="auto"/>
      <w:lang w:val="en-US"/>
    </w:rPr>
  </w:style>
  <w:style w:type="character" w:customStyle="1" w:styleId="A9">
    <w:name w:val="A9"/>
    <w:uiPriority w:val="99"/>
    <w:qFormat/>
    <w:rsid w:val="00D708EC"/>
    <w:rPr>
      <w:rFonts w:cs="Franklin Gothic Demi"/>
      <w:color w:val="000000"/>
      <w:sz w:val="48"/>
      <w:szCs w:val="48"/>
    </w:rPr>
  </w:style>
  <w:style w:type="character" w:customStyle="1" w:styleId="highlight">
    <w:name w:val="highlight"/>
    <w:basedOn w:val="Privzetapisavaodstavka"/>
    <w:qFormat/>
    <w:rsid w:val="00D708EC"/>
  </w:style>
  <w:style w:type="paragraph" w:customStyle="1" w:styleId="Style12">
    <w:name w:val="Style12"/>
    <w:basedOn w:val="Navaden"/>
    <w:rsid w:val="00D708EC"/>
    <w:pPr>
      <w:widowControl w:val="0"/>
      <w:autoSpaceDE w:val="0"/>
      <w:autoSpaceDN w:val="0"/>
      <w:adjustRightInd w:val="0"/>
      <w:snapToGrid w:val="0"/>
      <w:spacing w:after="0" w:line="259" w:lineRule="exact"/>
      <w:ind w:hanging="533"/>
    </w:pPr>
    <w:rPr>
      <w:rFonts w:ascii="Times New Roman" w:eastAsia="Times New Roman" w:hAnsi="Times New Roman" w:cs="Times New Roman"/>
      <w:sz w:val="24"/>
      <w:szCs w:val="24"/>
      <w:lang w:eastAsia="sl-SI"/>
    </w:rPr>
  </w:style>
  <w:style w:type="character" w:customStyle="1" w:styleId="FontStyle20">
    <w:name w:val="Font Style20"/>
    <w:qFormat/>
    <w:rsid w:val="00D708EC"/>
    <w:rPr>
      <w:rFonts w:ascii="Times New Roman" w:hAnsi="Times New Roman" w:cs="Times New Roman" w:hint="default"/>
      <w:color w:val="000000"/>
      <w:sz w:val="20"/>
    </w:rPr>
  </w:style>
  <w:style w:type="table" w:styleId="Navadnatabela2">
    <w:name w:val="Plain Table 2"/>
    <w:basedOn w:val="Navadnatabela"/>
    <w:uiPriority w:val="42"/>
    <w:rsid w:val="00305F3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Kazaloslik">
    <w:name w:val="table of figures"/>
    <w:basedOn w:val="Navaden"/>
    <w:next w:val="Navaden"/>
    <w:uiPriority w:val="99"/>
    <w:unhideWhenUsed/>
    <w:rsid w:val="003A7819"/>
    <w:pPr>
      <w:spacing w:after="0"/>
    </w:pPr>
  </w:style>
  <w:style w:type="table" w:customStyle="1" w:styleId="Style1">
    <w:name w:val="Style1"/>
    <w:basedOn w:val="Navadnatabela"/>
    <w:uiPriority w:val="99"/>
    <w:rsid w:val="00673CB9"/>
    <w:pPr>
      <w:spacing w:after="0" w:line="240" w:lineRule="auto"/>
    </w:pPr>
    <w:tblPr/>
  </w:style>
  <w:style w:type="character" w:customStyle="1" w:styleId="UnresolvedMention2">
    <w:name w:val="Unresolved Mention2"/>
    <w:basedOn w:val="Privzetapisavaodstavka"/>
    <w:uiPriority w:val="99"/>
    <w:semiHidden/>
    <w:unhideWhenUsed/>
    <w:rsid w:val="00083059"/>
    <w:rPr>
      <w:color w:val="605E5C"/>
      <w:shd w:val="clear" w:color="auto" w:fill="E1DFDD"/>
    </w:rPr>
  </w:style>
  <w:style w:type="paragraph" w:customStyle="1" w:styleId="v1msonormal">
    <w:name w:val="v1msonormal"/>
    <w:basedOn w:val="Navaden"/>
    <w:rsid w:val="00D7446D"/>
    <w:pP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Napis1">
    <w:name w:val="Napis1"/>
    <w:basedOn w:val="Navaden"/>
    <w:next w:val="Navaden"/>
    <w:link w:val="Napis1Znak"/>
    <w:rsid w:val="00583FDE"/>
    <w:pPr>
      <w:keepNext/>
      <w:suppressAutoHyphens/>
      <w:spacing w:after="0" w:line="240" w:lineRule="auto"/>
    </w:pPr>
    <w:rPr>
      <w:rFonts w:ascii="Calibri" w:eastAsia="Arial" w:hAnsi="Calibri" w:cs="Arial"/>
      <w:b/>
      <w:bCs/>
      <w:color w:val="000000"/>
      <w:lang w:eastAsia="ar-SA"/>
    </w:rPr>
  </w:style>
  <w:style w:type="character" w:customStyle="1" w:styleId="Napis1Znak">
    <w:name w:val="Napis1 Znak"/>
    <w:link w:val="Napis1"/>
    <w:rsid w:val="00583FDE"/>
    <w:rPr>
      <w:rFonts w:ascii="Calibri" w:eastAsia="Arial" w:hAnsi="Calibri" w:cs="Arial"/>
      <w:b/>
      <w:bCs/>
      <w:color w:val="000000"/>
      <w:lang w:val="sl-SI" w:eastAsia="ar-SA"/>
    </w:rPr>
  </w:style>
  <w:style w:type="character" w:customStyle="1" w:styleId="Nerazreenaomemba2">
    <w:name w:val="Nerazrešena omemba2"/>
    <w:basedOn w:val="Privzetapisavaodstavka"/>
    <w:uiPriority w:val="99"/>
    <w:unhideWhenUsed/>
    <w:rsid w:val="00077A6A"/>
    <w:rPr>
      <w:color w:val="605E5C"/>
      <w:shd w:val="clear" w:color="auto" w:fill="E1DFDD"/>
    </w:rPr>
  </w:style>
  <w:style w:type="character" w:customStyle="1" w:styleId="Omemba1">
    <w:name w:val="Omemba1"/>
    <w:basedOn w:val="Privzetapisavaodstavka"/>
    <w:uiPriority w:val="99"/>
    <w:unhideWhenUsed/>
    <w:rsid w:val="00077A6A"/>
    <w:rPr>
      <w:color w:val="2B579A"/>
      <w:shd w:val="clear" w:color="auto" w:fill="E1DFDD"/>
    </w:rPr>
  </w:style>
  <w:style w:type="character" w:customStyle="1" w:styleId="acopre">
    <w:name w:val="acopre"/>
    <w:basedOn w:val="Privzetapisavaodstavka"/>
    <w:rsid w:val="006F28F1"/>
  </w:style>
  <w:style w:type="character" w:customStyle="1" w:styleId="Nerazreenaomemba20">
    <w:name w:val="Nerazrešena omemba2"/>
    <w:basedOn w:val="Privzetapisavaodstavka"/>
    <w:uiPriority w:val="99"/>
    <w:semiHidden/>
    <w:unhideWhenUsed/>
    <w:rsid w:val="00967E6F"/>
    <w:rPr>
      <w:color w:val="605E5C"/>
      <w:shd w:val="clear" w:color="auto" w:fill="E1DFDD"/>
    </w:rPr>
  </w:style>
  <w:style w:type="character" w:customStyle="1" w:styleId="mce-spellchecker-word">
    <w:name w:val="mce-spellchecker-word"/>
    <w:basedOn w:val="Privzetapisavaodstavka"/>
    <w:rsid w:val="00967E6F"/>
  </w:style>
  <w:style w:type="character" w:customStyle="1" w:styleId="fontstyle01">
    <w:name w:val="fontstyle01"/>
    <w:basedOn w:val="Privzetapisavaodstavka"/>
    <w:qFormat/>
    <w:rsid w:val="00A312DA"/>
    <w:rPr>
      <w:rFonts w:ascii="Raleway-Regular" w:hAnsi="Raleway-Regular" w:hint="default"/>
      <w:b w:val="0"/>
      <w:bCs w:val="0"/>
      <w:i w:val="0"/>
      <w:iCs w:val="0"/>
      <w:color w:val="000000"/>
      <w:sz w:val="20"/>
      <w:szCs w:val="20"/>
    </w:rPr>
  </w:style>
  <w:style w:type="table" w:customStyle="1" w:styleId="TableGrid3">
    <w:name w:val="Table Grid3"/>
    <w:basedOn w:val="Navadnatabela"/>
    <w:next w:val="Tabelamrea"/>
    <w:uiPriority w:val="39"/>
    <w:rsid w:val="005913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Navadnatabela"/>
    <w:next w:val="Tabelamrea"/>
    <w:uiPriority w:val="39"/>
    <w:rsid w:val="005913CE"/>
    <w:pPr>
      <w:spacing w:after="0" w:line="240" w:lineRule="auto"/>
    </w:pPr>
    <w:rPr>
      <w:rFonts w:ascii="Calibri" w:eastAsia="Calibri" w:hAnsi="Calibri" w:cs="Times New Roman"/>
      <w:lang w:val="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Navadnatabela"/>
    <w:next w:val="Tabelamrea"/>
    <w:uiPriority w:val="39"/>
    <w:rsid w:val="005913CE"/>
    <w:pPr>
      <w:spacing w:after="0" w:line="240" w:lineRule="auto"/>
    </w:pPr>
    <w:rPr>
      <w:rFonts w:ascii="Calibri" w:eastAsia="Calibri" w:hAnsi="Calibri" w:cs="Times New Roman"/>
      <w:lang w:val="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udarek">
    <w:name w:val="Emphasis"/>
    <w:basedOn w:val="Privzetapisavaodstavka"/>
    <w:uiPriority w:val="20"/>
    <w:qFormat/>
    <w:rsid w:val="007C240A"/>
    <w:rPr>
      <w:i/>
      <w:iCs/>
    </w:rPr>
  </w:style>
  <w:style w:type="character" w:styleId="HTML-citat">
    <w:name w:val="HTML Cite"/>
    <w:basedOn w:val="Privzetapisavaodstavka"/>
    <w:uiPriority w:val="99"/>
    <w:semiHidden/>
    <w:unhideWhenUsed/>
    <w:rsid w:val="00DD497A"/>
    <w:rPr>
      <w:i/>
      <w:iCs/>
    </w:rPr>
  </w:style>
  <w:style w:type="character" w:customStyle="1" w:styleId="Nerazreenaomemba3">
    <w:name w:val="Nerazrešena omemba3"/>
    <w:basedOn w:val="Privzetapisavaodstavka"/>
    <w:uiPriority w:val="99"/>
    <w:semiHidden/>
    <w:unhideWhenUsed/>
    <w:rsid w:val="00BE4D70"/>
    <w:rPr>
      <w:color w:val="605E5C"/>
      <w:shd w:val="clear" w:color="auto" w:fill="E1DFDD"/>
    </w:rPr>
  </w:style>
  <w:style w:type="character" w:styleId="Besedilooznabemesta">
    <w:name w:val="Placeholder Text"/>
    <w:basedOn w:val="Privzetapisavaodstavka"/>
    <w:uiPriority w:val="99"/>
    <w:semiHidden/>
    <w:rsid w:val="00982F26"/>
    <w:rPr>
      <w:color w:val="808080"/>
    </w:rPr>
  </w:style>
  <w:style w:type="table" w:styleId="Navadnatabela3">
    <w:name w:val="Plain Table 3"/>
    <w:basedOn w:val="Navadnatabela"/>
    <w:uiPriority w:val="43"/>
    <w:rsid w:val="00982F2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Navadnatabela5">
    <w:name w:val="Plain Table 5"/>
    <w:basedOn w:val="Navadnatabela"/>
    <w:uiPriority w:val="45"/>
    <w:rsid w:val="00982F2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abarvnamrea7">
    <w:name w:val="Grid Table 7 Colorful"/>
    <w:basedOn w:val="Navadnatabela"/>
    <w:uiPriority w:val="52"/>
    <w:rsid w:val="00982F26"/>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elabarvnamrea7poudarek3">
    <w:name w:val="Grid Table 7 Colorful Accent 3"/>
    <w:basedOn w:val="Navadnatabela"/>
    <w:uiPriority w:val="52"/>
    <w:rsid w:val="00982F26"/>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elabarvnamrea6poudarek3">
    <w:name w:val="Grid Table 6 Colorful Accent 3"/>
    <w:basedOn w:val="Navadnatabela"/>
    <w:uiPriority w:val="51"/>
    <w:rsid w:val="00982F26"/>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len">
    <w:name w:val="len"/>
    <w:basedOn w:val="Navaden"/>
    <w:rsid w:val="00E73BA7"/>
    <w:pP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lennaslov">
    <w:name w:val="lennaslov"/>
    <w:basedOn w:val="Navaden"/>
    <w:rsid w:val="00E73BA7"/>
    <w:pP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paragraph" w:customStyle="1" w:styleId="odstavek">
    <w:name w:val="odstavek"/>
    <w:basedOn w:val="Navaden"/>
    <w:rsid w:val="00E73BA7"/>
    <w:pPr>
      <w:spacing w:before="100" w:beforeAutospacing="1" w:after="100" w:afterAutospacing="1" w:line="240" w:lineRule="auto"/>
      <w:jc w:val="left"/>
    </w:pPr>
    <w:rPr>
      <w:rFonts w:ascii="Times New Roman" w:eastAsia="Times New Roman" w:hAnsi="Times New Roman" w:cs="Times New Roman"/>
      <w:sz w:val="24"/>
      <w:szCs w:val="24"/>
      <w:lang w:eastAsia="sl-SI"/>
    </w:rPr>
  </w:style>
  <w:style w:type="character" w:customStyle="1" w:styleId="gissauthor">
    <w:name w:val="gissauthor"/>
    <w:basedOn w:val="Privzetapisavaodstavka"/>
    <w:rsid w:val="00882ADC"/>
  </w:style>
  <w:style w:type="table" w:customStyle="1" w:styleId="TableGrid">
    <w:name w:val="TableGrid"/>
    <w:rsid w:val="00CB452A"/>
    <w:pPr>
      <w:spacing w:after="0" w:line="240" w:lineRule="auto"/>
    </w:pPr>
    <w:rPr>
      <w:rFonts w:eastAsiaTheme="minorEastAsia"/>
      <w:lang w:val="sl-SI" w:eastAsia="sl-SI"/>
    </w:rPr>
    <w:tblPr>
      <w:tblCellMar>
        <w:top w:w="0" w:type="dxa"/>
        <w:left w:w="0" w:type="dxa"/>
        <w:bottom w:w="0" w:type="dxa"/>
        <w:right w:w="0" w:type="dxa"/>
      </w:tblCellMar>
    </w:tblPr>
  </w:style>
  <w:style w:type="character" w:styleId="Nerazreenaomemba">
    <w:name w:val="Unresolved Mention"/>
    <w:basedOn w:val="Privzetapisavaodstavka"/>
    <w:uiPriority w:val="99"/>
    <w:semiHidden/>
    <w:unhideWhenUsed/>
    <w:rsid w:val="007A027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061172">
      <w:bodyDiv w:val="1"/>
      <w:marLeft w:val="0"/>
      <w:marRight w:val="0"/>
      <w:marTop w:val="0"/>
      <w:marBottom w:val="0"/>
      <w:divBdr>
        <w:top w:val="none" w:sz="0" w:space="0" w:color="auto"/>
        <w:left w:val="none" w:sz="0" w:space="0" w:color="auto"/>
        <w:bottom w:val="none" w:sz="0" w:space="0" w:color="auto"/>
        <w:right w:val="none" w:sz="0" w:space="0" w:color="auto"/>
      </w:divBdr>
    </w:div>
    <w:div w:id="243613665">
      <w:bodyDiv w:val="1"/>
      <w:marLeft w:val="0"/>
      <w:marRight w:val="0"/>
      <w:marTop w:val="0"/>
      <w:marBottom w:val="0"/>
      <w:divBdr>
        <w:top w:val="none" w:sz="0" w:space="0" w:color="auto"/>
        <w:left w:val="none" w:sz="0" w:space="0" w:color="auto"/>
        <w:bottom w:val="none" w:sz="0" w:space="0" w:color="auto"/>
        <w:right w:val="none" w:sz="0" w:space="0" w:color="auto"/>
      </w:divBdr>
    </w:div>
    <w:div w:id="251936040">
      <w:bodyDiv w:val="1"/>
      <w:marLeft w:val="0"/>
      <w:marRight w:val="0"/>
      <w:marTop w:val="0"/>
      <w:marBottom w:val="0"/>
      <w:divBdr>
        <w:top w:val="none" w:sz="0" w:space="0" w:color="auto"/>
        <w:left w:val="none" w:sz="0" w:space="0" w:color="auto"/>
        <w:bottom w:val="none" w:sz="0" w:space="0" w:color="auto"/>
        <w:right w:val="none" w:sz="0" w:space="0" w:color="auto"/>
      </w:divBdr>
    </w:div>
    <w:div w:id="372777086">
      <w:bodyDiv w:val="1"/>
      <w:marLeft w:val="0"/>
      <w:marRight w:val="0"/>
      <w:marTop w:val="0"/>
      <w:marBottom w:val="0"/>
      <w:divBdr>
        <w:top w:val="none" w:sz="0" w:space="0" w:color="auto"/>
        <w:left w:val="none" w:sz="0" w:space="0" w:color="auto"/>
        <w:bottom w:val="none" w:sz="0" w:space="0" w:color="auto"/>
        <w:right w:val="none" w:sz="0" w:space="0" w:color="auto"/>
      </w:divBdr>
    </w:div>
    <w:div w:id="475340366">
      <w:bodyDiv w:val="1"/>
      <w:marLeft w:val="0"/>
      <w:marRight w:val="0"/>
      <w:marTop w:val="0"/>
      <w:marBottom w:val="0"/>
      <w:divBdr>
        <w:top w:val="none" w:sz="0" w:space="0" w:color="auto"/>
        <w:left w:val="none" w:sz="0" w:space="0" w:color="auto"/>
        <w:bottom w:val="none" w:sz="0" w:space="0" w:color="auto"/>
        <w:right w:val="none" w:sz="0" w:space="0" w:color="auto"/>
      </w:divBdr>
    </w:div>
    <w:div w:id="500238647">
      <w:bodyDiv w:val="1"/>
      <w:marLeft w:val="0"/>
      <w:marRight w:val="0"/>
      <w:marTop w:val="0"/>
      <w:marBottom w:val="0"/>
      <w:divBdr>
        <w:top w:val="none" w:sz="0" w:space="0" w:color="auto"/>
        <w:left w:val="none" w:sz="0" w:space="0" w:color="auto"/>
        <w:bottom w:val="none" w:sz="0" w:space="0" w:color="auto"/>
        <w:right w:val="none" w:sz="0" w:space="0" w:color="auto"/>
      </w:divBdr>
    </w:div>
    <w:div w:id="586840169">
      <w:bodyDiv w:val="1"/>
      <w:marLeft w:val="0"/>
      <w:marRight w:val="0"/>
      <w:marTop w:val="0"/>
      <w:marBottom w:val="0"/>
      <w:divBdr>
        <w:top w:val="none" w:sz="0" w:space="0" w:color="auto"/>
        <w:left w:val="none" w:sz="0" w:space="0" w:color="auto"/>
        <w:bottom w:val="none" w:sz="0" w:space="0" w:color="auto"/>
        <w:right w:val="none" w:sz="0" w:space="0" w:color="auto"/>
      </w:divBdr>
    </w:div>
    <w:div w:id="702562325">
      <w:bodyDiv w:val="1"/>
      <w:marLeft w:val="0"/>
      <w:marRight w:val="0"/>
      <w:marTop w:val="0"/>
      <w:marBottom w:val="0"/>
      <w:divBdr>
        <w:top w:val="none" w:sz="0" w:space="0" w:color="auto"/>
        <w:left w:val="none" w:sz="0" w:space="0" w:color="auto"/>
        <w:bottom w:val="none" w:sz="0" w:space="0" w:color="auto"/>
        <w:right w:val="none" w:sz="0" w:space="0" w:color="auto"/>
      </w:divBdr>
    </w:div>
    <w:div w:id="955528564">
      <w:bodyDiv w:val="1"/>
      <w:marLeft w:val="0"/>
      <w:marRight w:val="0"/>
      <w:marTop w:val="0"/>
      <w:marBottom w:val="0"/>
      <w:divBdr>
        <w:top w:val="none" w:sz="0" w:space="0" w:color="auto"/>
        <w:left w:val="none" w:sz="0" w:space="0" w:color="auto"/>
        <w:bottom w:val="none" w:sz="0" w:space="0" w:color="auto"/>
        <w:right w:val="none" w:sz="0" w:space="0" w:color="auto"/>
      </w:divBdr>
    </w:div>
    <w:div w:id="969359626">
      <w:bodyDiv w:val="1"/>
      <w:marLeft w:val="0"/>
      <w:marRight w:val="0"/>
      <w:marTop w:val="0"/>
      <w:marBottom w:val="0"/>
      <w:divBdr>
        <w:top w:val="none" w:sz="0" w:space="0" w:color="auto"/>
        <w:left w:val="none" w:sz="0" w:space="0" w:color="auto"/>
        <w:bottom w:val="none" w:sz="0" w:space="0" w:color="auto"/>
        <w:right w:val="none" w:sz="0" w:space="0" w:color="auto"/>
      </w:divBdr>
    </w:div>
    <w:div w:id="1245190694">
      <w:bodyDiv w:val="1"/>
      <w:marLeft w:val="0"/>
      <w:marRight w:val="0"/>
      <w:marTop w:val="0"/>
      <w:marBottom w:val="0"/>
      <w:divBdr>
        <w:top w:val="none" w:sz="0" w:space="0" w:color="auto"/>
        <w:left w:val="none" w:sz="0" w:space="0" w:color="auto"/>
        <w:bottom w:val="none" w:sz="0" w:space="0" w:color="auto"/>
        <w:right w:val="none" w:sz="0" w:space="0" w:color="auto"/>
      </w:divBdr>
    </w:div>
    <w:div w:id="1308704861">
      <w:bodyDiv w:val="1"/>
      <w:marLeft w:val="0"/>
      <w:marRight w:val="0"/>
      <w:marTop w:val="0"/>
      <w:marBottom w:val="0"/>
      <w:divBdr>
        <w:top w:val="none" w:sz="0" w:space="0" w:color="auto"/>
        <w:left w:val="none" w:sz="0" w:space="0" w:color="auto"/>
        <w:bottom w:val="none" w:sz="0" w:space="0" w:color="auto"/>
        <w:right w:val="none" w:sz="0" w:space="0" w:color="auto"/>
      </w:divBdr>
    </w:div>
    <w:div w:id="1334139829">
      <w:bodyDiv w:val="1"/>
      <w:marLeft w:val="0"/>
      <w:marRight w:val="0"/>
      <w:marTop w:val="0"/>
      <w:marBottom w:val="0"/>
      <w:divBdr>
        <w:top w:val="none" w:sz="0" w:space="0" w:color="auto"/>
        <w:left w:val="none" w:sz="0" w:space="0" w:color="auto"/>
        <w:bottom w:val="none" w:sz="0" w:space="0" w:color="auto"/>
        <w:right w:val="none" w:sz="0" w:space="0" w:color="auto"/>
      </w:divBdr>
    </w:div>
    <w:div w:id="1344549003">
      <w:bodyDiv w:val="1"/>
      <w:marLeft w:val="0"/>
      <w:marRight w:val="0"/>
      <w:marTop w:val="0"/>
      <w:marBottom w:val="0"/>
      <w:divBdr>
        <w:top w:val="none" w:sz="0" w:space="0" w:color="auto"/>
        <w:left w:val="none" w:sz="0" w:space="0" w:color="auto"/>
        <w:bottom w:val="none" w:sz="0" w:space="0" w:color="auto"/>
        <w:right w:val="none" w:sz="0" w:space="0" w:color="auto"/>
      </w:divBdr>
    </w:div>
    <w:div w:id="1477599691">
      <w:bodyDiv w:val="1"/>
      <w:marLeft w:val="0"/>
      <w:marRight w:val="0"/>
      <w:marTop w:val="0"/>
      <w:marBottom w:val="0"/>
      <w:divBdr>
        <w:top w:val="none" w:sz="0" w:space="0" w:color="auto"/>
        <w:left w:val="none" w:sz="0" w:space="0" w:color="auto"/>
        <w:bottom w:val="none" w:sz="0" w:space="0" w:color="auto"/>
        <w:right w:val="none" w:sz="0" w:space="0" w:color="auto"/>
      </w:divBdr>
    </w:div>
    <w:div w:id="1662152198">
      <w:bodyDiv w:val="1"/>
      <w:marLeft w:val="0"/>
      <w:marRight w:val="0"/>
      <w:marTop w:val="0"/>
      <w:marBottom w:val="0"/>
      <w:divBdr>
        <w:top w:val="none" w:sz="0" w:space="0" w:color="auto"/>
        <w:left w:val="none" w:sz="0" w:space="0" w:color="auto"/>
        <w:bottom w:val="none" w:sz="0" w:space="0" w:color="auto"/>
        <w:right w:val="none" w:sz="0" w:space="0" w:color="auto"/>
      </w:divBdr>
    </w:div>
    <w:div w:id="1917518281">
      <w:bodyDiv w:val="1"/>
      <w:marLeft w:val="0"/>
      <w:marRight w:val="0"/>
      <w:marTop w:val="0"/>
      <w:marBottom w:val="0"/>
      <w:divBdr>
        <w:top w:val="none" w:sz="0" w:space="0" w:color="auto"/>
        <w:left w:val="none" w:sz="0" w:space="0" w:color="auto"/>
        <w:bottom w:val="none" w:sz="0" w:space="0" w:color="auto"/>
        <w:right w:val="none" w:sz="0" w:space="0" w:color="auto"/>
      </w:divBdr>
    </w:div>
    <w:div w:id="2026788422">
      <w:bodyDiv w:val="1"/>
      <w:marLeft w:val="0"/>
      <w:marRight w:val="0"/>
      <w:marTop w:val="0"/>
      <w:marBottom w:val="0"/>
      <w:divBdr>
        <w:top w:val="none" w:sz="0" w:space="0" w:color="auto"/>
        <w:left w:val="none" w:sz="0" w:space="0" w:color="auto"/>
        <w:bottom w:val="none" w:sz="0" w:space="0" w:color="auto"/>
        <w:right w:val="none" w:sz="0" w:space="0" w:color="auto"/>
      </w:divBdr>
    </w:div>
    <w:div w:id="2138066780">
      <w:bodyDiv w:val="1"/>
      <w:marLeft w:val="0"/>
      <w:marRight w:val="0"/>
      <w:marTop w:val="0"/>
      <w:marBottom w:val="0"/>
      <w:divBdr>
        <w:top w:val="none" w:sz="0" w:space="0" w:color="auto"/>
        <w:left w:val="none" w:sz="0" w:space="0" w:color="auto"/>
        <w:bottom w:val="none" w:sz="0" w:space="0" w:color="auto"/>
        <w:right w:val="none" w:sz="0" w:space="0" w:color="auto"/>
      </w:divBdr>
    </w:div>
    <w:div w:id="2140606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uradni-list.si/1/objava.jsp?sop=2012-01-1700" TargetMode="External"/><Relationship Id="rId299" Type="http://schemas.openxmlformats.org/officeDocument/2006/relationships/hyperlink" Target="http://obcine.nijz.si/" TargetMode="External"/><Relationship Id="rId303" Type="http://schemas.openxmlformats.org/officeDocument/2006/relationships/header" Target="header3.xml"/><Relationship Id="rId21" Type="http://schemas.openxmlformats.org/officeDocument/2006/relationships/footer" Target="footer2.xml"/><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hyperlink" Target="http://www.uradni-list.si/1/objava.jsp?sop=2017-01-3026" TargetMode="External"/><Relationship Id="rId159" Type="http://schemas.openxmlformats.org/officeDocument/2006/relationships/image" Target="media/image101.png"/><Relationship Id="rId170" Type="http://schemas.openxmlformats.org/officeDocument/2006/relationships/hyperlink" Target="http://www.slovenia.info/uploads/dokumenti/kljuni_dokumenti/strategija_turizem_koncno_9.10.2017.pdf" TargetMode="External"/><Relationship Id="rId191" Type="http://schemas.openxmlformats.org/officeDocument/2006/relationships/image" Target="media/image120.png"/><Relationship Id="rId205" Type="http://schemas.openxmlformats.org/officeDocument/2006/relationships/hyperlink" Target="https://www.arso.gov.si/vode/reke/publikacije%20in%20poro%c4%8dila/Kemijsko%20stanje%20za%20splet_NUV2_vodotoki.pdf" TargetMode="External"/><Relationship Id="rId226" Type="http://schemas.openxmlformats.org/officeDocument/2006/relationships/hyperlink" Target="https://www.uradni-list.si/glasilo-uradni-list-rs/vsebina/2017-01-2386/pravilnik-o-spremembah-pravilnika-o-pitni-vodi" TargetMode="External"/><Relationship Id="rId247" Type="http://schemas.openxmlformats.org/officeDocument/2006/relationships/image" Target="media/image146.png"/><Relationship Id="rId107" Type="http://schemas.openxmlformats.org/officeDocument/2006/relationships/image" Target="media/image88.png"/><Relationship Id="rId268" Type="http://schemas.openxmlformats.org/officeDocument/2006/relationships/image" Target="media/image164.png"/><Relationship Id="rId289" Type="http://schemas.openxmlformats.org/officeDocument/2006/relationships/hyperlink" Target="http://obcine.nijz.si/" TargetMode="External"/><Relationship Id="rId11" Type="http://schemas.openxmlformats.org/officeDocument/2006/relationships/image" Target="media/image4.png"/><Relationship Id="rId32" Type="http://schemas.openxmlformats.org/officeDocument/2006/relationships/image" Target="media/image20.png"/><Relationship Id="rId53" Type="http://schemas.openxmlformats.org/officeDocument/2006/relationships/image" Target="media/image39.png"/><Relationship Id="rId74" Type="http://schemas.openxmlformats.org/officeDocument/2006/relationships/image" Target="media/image60.jpeg"/><Relationship Id="rId128" Type="http://schemas.openxmlformats.org/officeDocument/2006/relationships/hyperlink" Target="http://www.uradni-list.si/1/objava.jsp?sop=2011-01-3723" TargetMode="External"/><Relationship Id="rId149" Type="http://schemas.openxmlformats.org/officeDocument/2006/relationships/image" Target="media/image91.png"/><Relationship Id="rId5" Type="http://schemas.openxmlformats.org/officeDocument/2006/relationships/webSettings" Target="webSettings.xml"/><Relationship Id="rId95" Type="http://schemas.openxmlformats.org/officeDocument/2006/relationships/hyperlink" Target="https://www.mojgozdar.si/" TargetMode="External"/><Relationship Id="rId160" Type="http://schemas.openxmlformats.org/officeDocument/2006/relationships/hyperlink" Target="https://www.novagorica-turizem.com/goriski-zakladi/2018062611055263/Zelena%20Nova%20Gorica" TargetMode="External"/><Relationship Id="rId181" Type="http://schemas.openxmlformats.org/officeDocument/2006/relationships/image" Target="media/image110.png"/><Relationship Id="rId216" Type="http://schemas.openxmlformats.org/officeDocument/2006/relationships/hyperlink" Target="http://www.evode.gov.si/index.php?id=59" TargetMode="External"/><Relationship Id="rId237" Type="http://schemas.openxmlformats.org/officeDocument/2006/relationships/image" Target="media/image137.png"/><Relationship Id="rId258" Type="http://schemas.openxmlformats.org/officeDocument/2006/relationships/image" Target="media/image157.png"/><Relationship Id="rId279" Type="http://schemas.openxmlformats.org/officeDocument/2006/relationships/hyperlink" Target="http://www.pisrs.si/Pis.web/pregledPredpisa?id=URED6925" TargetMode="External"/><Relationship Id="rId22" Type="http://schemas.openxmlformats.org/officeDocument/2006/relationships/image" Target="media/image11.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hyperlink" Target="http://www.uradni-list.si/1/objava.jsp?sop=2013-01-0372" TargetMode="External"/><Relationship Id="rId139" Type="http://schemas.openxmlformats.org/officeDocument/2006/relationships/hyperlink" Target="http://www.uradni-list.si/1/objava.jsp?sop=2019-01-1624" TargetMode="External"/><Relationship Id="rId290" Type="http://schemas.openxmlformats.org/officeDocument/2006/relationships/hyperlink" Target="http://obcine.nijz.si/" TargetMode="External"/><Relationship Id="rId304" Type="http://schemas.openxmlformats.org/officeDocument/2006/relationships/footer" Target="footer3.xml"/><Relationship Id="rId85" Type="http://schemas.openxmlformats.org/officeDocument/2006/relationships/image" Target="media/image69.png"/><Relationship Id="rId150" Type="http://schemas.openxmlformats.org/officeDocument/2006/relationships/image" Target="media/image92.png"/><Relationship Id="rId171" Type="http://schemas.openxmlformats.org/officeDocument/2006/relationships/hyperlink" Target="https://www.nova-gorica.si/strategije-mestne-obcine-nova-gorica/2019120911020659/trajnostna_urbana_strategija_nova_gorica_2020_tus/" TargetMode="External"/><Relationship Id="rId192" Type="http://schemas.openxmlformats.org/officeDocument/2006/relationships/image" Target="media/image121.png"/><Relationship Id="rId206" Type="http://schemas.openxmlformats.org/officeDocument/2006/relationships/hyperlink" Target="http://www.arso.gov.si/vode/reke/" TargetMode="External"/><Relationship Id="rId227" Type="http://schemas.openxmlformats.org/officeDocument/2006/relationships/hyperlink" Target="http://www.uradni-list.si/1/objava.jsp?urlid=200382&amp;stevilka=3941" TargetMode="External"/><Relationship Id="rId248" Type="http://schemas.openxmlformats.org/officeDocument/2006/relationships/image" Target="media/image147.png"/><Relationship Id="rId269" Type="http://schemas.openxmlformats.org/officeDocument/2006/relationships/image" Target="media/image165.png"/><Relationship Id="rId12" Type="http://schemas.openxmlformats.org/officeDocument/2006/relationships/image" Target="media/image5.jpeg"/><Relationship Id="rId33" Type="http://schemas.openxmlformats.org/officeDocument/2006/relationships/image" Target="media/image21.png"/><Relationship Id="rId108" Type="http://schemas.openxmlformats.org/officeDocument/2006/relationships/hyperlink" Target="http://www.ikglr.gov.si/si/delovna_podrocja/izvajanje_del_v_gozdovih/" TargetMode="External"/><Relationship Id="rId129" Type="http://schemas.openxmlformats.org/officeDocument/2006/relationships/hyperlink" Target="http://www.uradni-list.si/1/objava.jsp?sop=2012-01-1700" TargetMode="External"/><Relationship Id="rId280" Type="http://schemas.openxmlformats.org/officeDocument/2006/relationships/hyperlink" Target="http://www.pisrs.si/Pis.web/pregledPredpisa?id=PRAV1068" TargetMode="External"/><Relationship Id="rId54" Type="http://schemas.openxmlformats.org/officeDocument/2006/relationships/image" Target="media/image40.png"/><Relationship Id="rId75" Type="http://schemas.openxmlformats.org/officeDocument/2006/relationships/hyperlink" Target="https://www.gov.si/novice/2020-04-20-drzava-z-novimi-ukrepi-do-pomoci-kmetom-in-zivilski-industriji-41052/" TargetMode="External"/><Relationship Id="rId96" Type="http://schemas.openxmlformats.org/officeDocument/2006/relationships/image" Target="media/image78.png"/><Relationship Id="rId140" Type="http://schemas.openxmlformats.org/officeDocument/2006/relationships/image" Target="media/image89.png"/><Relationship Id="rId161" Type="http://schemas.openxmlformats.org/officeDocument/2006/relationships/hyperlink" Target="https://www.nytimes.com/interactive/2019/10/14/dining/drinks/climate-change-wine.html" TargetMode="External"/><Relationship Id="rId182" Type="http://schemas.openxmlformats.org/officeDocument/2006/relationships/image" Target="media/image111.png"/><Relationship Id="rId217" Type="http://schemas.openxmlformats.org/officeDocument/2006/relationships/hyperlink" Target="https://www.stat.si/StatWeb/" TargetMode="External"/><Relationship Id="rId6" Type="http://schemas.openxmlformats.org/officeDocument/2006/relationships/footnotes" Target="footnotes.xml"/><Relationship Id="rId238" Type="http://schemas.openxmlformats.org/officeDocument/2006/relationships/image" Target="media/image138.png"/><Relationship Id="rId259" Type="http://schemas.openxmlformats.org/officeDocument/2006/relationships/image" Target="media/image158.png"/><Relationship Id="rId23" Type="http://schemas.openxmlformats.org/officeDocument/2006/relationships/image" Target="media/image12.png"/><Relationship Id="rId119" Type="http://schemas.openxmlformats.org/officeDocument/2006/relationships/hyperlink" Target="http://www.uradni-list.si/1/objava.jsp?sop=2016-01-3927" TargetMode="External"/><Relationship Id="rId270" Type="http://schemas.openxmlformats.org/officeDocument/2006/relationships/image" Target="media/image166.png"/><Relationship Id="rId291" Type="http://schemas.openxmlformats.org/officeDocument/2006/relationships/hyperlink" Target="http://obcine.nijz.si/" TargetMode="External"/><Relationship Id="rId305" Type="http://schemas.openxmlformats.org/officeDocument/2006/relationships/fontTable" Target="fontTable.xml"/><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0.png"/><Relationship Id="rId130" Type="http://schemas.openxmlformats.org/officeDocument/2006/relationships/hyperlink" Target="http://www.uradni-list.si/1/objava.jsp?sop=2013-01-0785" TargetMode="External"/><Relationship Id="rId151" Type="http://schemas.openxmlformats.org/officeDocument/2006/relationships/image" Target="media/image93.png"/><Relationship Id="rId172" Type="http://schemas.openxmlformats.org/officeDocument/2006/relationships/hyperlink" Target="http://www.uradni-list.si/1/objava.jsp?sop=2018-01-0541" TargetMode="External"/><Relationship Id="rId193" Type="http://schemas.openxmlformats.org/officeDocument/2006/relationships/image" Target="media/image122.png"/><Relationship Id="rId207" Type="http://schemas.openxmlformats.org/officeDocument/2006/relationships/hyperlink" Target="http://www.arso.gov.si/vode/reke/" TargetMode="External"/><Relationship Id="rId228" Type="http://schemas.openxmlformats.org/officeDocument/2006/relationships/hyperlink" Target="http://www.uradni-list.si/1/objava.jsp?urlid=200925&amp;stevilka=1066" TargetMode="External"/><Relationship Id="rId249" Type="http://schemas.openxmlformats.org/officeDocument/2006/relationships/image" Target="media/image148.png"/><Relationship Id="rId13" Type="http://schemas.openxmlformats.org/officeDocument/2006/relationships/image" Target="media/image6.jpeg"/><Relationship Id="rId109" Type="http://schemas.openxmlformats.org/officeDocument/2006/relationships/hyperlink" Target="https://www.zdravgozd.si/prognoze_zapis.aspx?idpor=29" TargetMode="External"/><Relationship Id="rId260" Type="http://schemas.openxmlformats.org/officeDocument/2006/relationships/hyperlink" Target="https://www.ciria.org/Memberships/The_SuDs_Manual_C753_Chapters.aspx" TargetMode="External"/><Relationship Id="rId281" Type="http://schemas.openxmlformats.org/officeDocument/2006/relationships/hyperlink" Target="http://www.pisrs.si/Pis.web/pregledPredpisa?id=PRAV9225" TargetMode="External"/><Relationship Id="rId34" Type="http://schemas.openxmlformats.org/officeDocument/2006/relationships/image" Target="media/image22.png"/><Relationship Id="rId55" Type="http://schemas.openxmlformats.org/officeDocument/2006/relationships/image" Target="media/image41.png"/><Relationship Id="rId76" Type="http://schemas.openxmlformats.org/officeDocument/2006/relationships/image" Target="media/image61.emf"/><Relationship Id="rId97" Type="http://schemas.openxmlformats.org/officeDocument/2006/relationships/image" Target="media/image79.png"/><Relationship Id="rId120" Type="http://schemas.openxmlformats.org/officeDocument/2006/relationships/hyperlink" Target="http://www.uradni-list.si/1/objava.jsp?sop=2017-01-3026" TargetMode="External"/><Relationship Id="rId141" Type="http://schemas.openxmlformats.org/officeDocument/2006/relationships/hyperlink" Target="http://www.uradni-list.si/1/objava.jsp?sop=2018-01-3235" TargetMode="External"/><Relationship Id="rId7" Type="http://schemas.openxmlformats.org/officeDocument/2006/relationships/endnotes" Target="endnotes.xml"/><Relationship Id="rId162" Type="http://schemas.openxmlformats.org/officeDocument/2006/relationships/hyperlink" Target="http://www.cisl.cam.ac.uk/business-action/low-carbon-transformation/ipcc-climate-science-business-briefings/tourism" TargetMode="External"/><Relationship Id="rId183" Type="http://schemas.openxmlformats.org/officeDocument/2006/relationships/image" Target="media/image112.png"/><Relationship Id="rId218" Type="http://schemas.openxmlformats.org/officeDocument/2006/relationships/hyperlink" Target="http://www.pisrs.si/Pis.web/pregledPredpisa?id=URED6071" TargetMode="External"/><Relationship Id="rId239" Type="http://schemas.openxmlformats.org/officeDocument/2006/relationships/hyperlink" Target="https://doi.org/10.1002/esp.2223" TargetMode="External"/><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image" Target="media/image149.png"/><Relationship Id="rId255" Type="http://schemas.openxmlformats.org/officeDocument/2006/relationships/image" Target="media/image154.png"/><Relationship Id="rId271" Type="http://schemas.openxmlformats.org/officeDocument/2006/relationships/image" Target="media/image167.png"/><Relationship Id="rId276" Type="http://schemas.openxmlformats.org/officeDocument/2006/relationships/hyperlink" Target="http://pisrs.si/Pis.web/pregledPredpisa?id=ZAKO6765" TargetMode="External"/><Relationship Id="rId292" Type="http://schemas.openxmlformats.org/officeDocument/2006/relationships/hyperlink" Target="http://obcine.nijz.si/" TargetMode="External"/><Relationship Id="rId297" Type="http://schemas.openxmlformats.org/officeDocument/2006/relationships/hyperlink" Target="http://obcine.nijz.si/" TargetMode="External"/><Relationship Id="rId306" Type="http://schemas.openxmlformats.org/officeDocument/2006/relationships/theme" Target="theme/theme1.xml"/><Relationship Id="rId24" Type="http://schemas.openxmlformats.org/officeDocument/2006/relationships/image" Target="media/image13.png"/><Relationship Id="rId40" Type="http://schemas.openxmlformats.org/officeDocument/2006/relationships/hyperlink" Target="http://www.skupnostobcin.si" TargetMode="External"/><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hyperlink" Target="http://dx.doi.org/10.20315/NZG.29" TargetMode="External"/><Relationship Id="rId115" Type="http://schemas.openxmlformats.org/officeDocument/2006/relationships/hyperlink" Target="http://www.uradni-list.si/1/objava.jsp?sop=2008-01-2482" TargetMode="External"/><Relationship Id="rId131" Type="http://schemas.openxmlformats.org/officeDocument/2006/relationships/hyperlink" Target="http://www.uradni-list.si/1/objava.jsp?sop=2013-01-3306" TargetMode="External"/><Relationship Id="rId136" Type="http://schemas.openxmlformats.org/officeDocument/2006/relationships/hyperlink" Target="http://www.uradni-list.si/1/objava.jsp?sop=2015-01-1930" TargetMode="External"/><Relationship Id="rId157" Type="http://schemas.openxmlformats.org/officeDocument/2006/relationships/image" Target="media/image99.png"/><Relationship Id="rId178" Type="http://schemas.openxmlformats.org/officeDocument/2006/relationships/image" Target="media/image107.png"/><Relationship Id="rId301" Type="http://schemas.openxmlformats.org/officeDocument/2006/relationships/hyperlink" Target="http://obcine.nijz.si/" TargetMode="External"/><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94.png"/><Relationship Id="rId173" Type="http://schemas.openxmlformats.org/officeDocument/2006/relationships/image" Target="media/image102.png"/><Relationship Id="rId194" Type="http://schemas.openxmlformats.org/officeDocument/2006/relationships/image" Target="media/image123.png"/><Relationship Id="rId199" Type="http://schemas.openxmlformats.org/officeDocument/2006/relationships/image" Target="media/image128.png"/><Relationship Id="rId203" Type="http://schemas.openxmlformats.org/officeDocument/2006/relationships/hyperlink" Target="http://vode.arso.gov.si/hidarhiv/index.php" TargetMode="External"/><Relationship Id="rId208" Type="http://schemas.openxmlformats.org/officeDocument/2006/relationships/hyperlink" Target="http://www.arso.gov.si/vode/reke/" TargetMode="External"/><Relationship Id="rId229" Type="http://schemas.openxmlformats.org/officeDocument/2006/relationships/hyperlink" Target="http://www.uradni-list.si/1/content?id=123288" TargetMode="External"/><Relationship Id="rId19" Type="http://schemas.openxmlformats.org/officeDocument/2006/relationships/hyperlink" Target="file:///\\golea-srv01\SkupnaMapa\04_MEDNARODNI%20PROJEKTI\03_SECAP\05_Dokazila%20o%20delu\06_&#352;esto%20poro&#269;ilo\WP3.2\01_RVA\MONG\SECAP_NG_koncno_porocilo_dec2021.docx" TargetMode="External"/><Relationship Id="rId224" Type="http://schemas.openxmlformats.org/officeDocument/2006/relationships/hyperlink" Target="http://www.uradni-list.si/1/objava.jsp?urlid=200925&amp;stevilka=1065" TargetMode="External"/><Relationship Id="rId240" Type="http://schemas.openxmlformats.org/officeDocument/2006/relationships/image" Target="media/image139.png"/><Relationship Id="rId245" Type="http://schemas.openxmlformats.org/officeDocument/2006/relationships/image" Target="media/image144.png"/><Relationship Id="rId261" Type="http://schemas.openxmlformats.org/officeDocument/2006/relationships/hyperlink" Target="http://www.bewaterproject.eu/images/results/adaptations-plans/RBAP_Vipava_FINAL.pdf" TargetMode="External"/><Relationship Id="rId266" Type="http://schemas.openxmlformats.org/officeDocument/2006/relationships/image" Target="media/image162.png"/><Relationship Id="rId287" Type="http://schemas.openxmlformats.org/officeDocument/2006/relationships/image" Target="media/image170.jpg"/><Relationship Id="rId14" Type="http://schemas.openxmlformats.org/officeDocument/2006/relationships/image" Target="media/image7.jpe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hyperlink" Target="http://www.uradni-list.si/1/objava.jsp?sop=2008-01-3348" TargetMode="External"/><Relationship Id="rId147" Type="http://schemas.openxmlformats.org/officeDocument/2006/relationships/hyperlink" Target="https://www.euro.who.int/__data/assets/pdf_file/0018/112473/E91350.pdf" TargetMode="External"/><Relationship Id="rId168" Type="http://schemas.openxmlformats.org/officeDocument/2006/relationships/hyperlink" Target="http://www.tandfonline.com/doi/full/10.1080/13683500.2017.1410110" TargetMode="External"/><Relationship Id="rId282" Type="http://schemas.openxmlformats.org/officeDocument/2006/relationships/hyperlink" Target="http://www.pisrs.si/Pis.web/pregledPredpisa?id=PRAV49" TargetMode="Externa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hyperlink" Target="http://www.invazivke.si" TargetMode="External"/><Relationship Id="rId98" Type="http://schemas.openxmlformats.org/officeDocument/2006/relationships/image" Target="media/image80.png"/><Relationship Id="rId121" Type="http://schemas.openxmlformats.org/officeDocument/2006/relationships/hyperlink" Target="http://www.uradni-list.si/1/objava.jsp?sop=2019-01-0005" TargetMode="External"/><Relationship Id="rId142" Type="http://schemas.openxmlformats.org/officeDocument/2006/relationships/hyperlink" Target="https://www.nijz.si/sites/www.nijz.si/files/uploaded/priporocila_povrsinske_vode_splosna_2020_k.pdf" TargetMode="External"/><Relationship Id="rId163" Type="http://schemas.openxmlformats.org/officeDocument/2006/relationships/hyperlink" Target="https://www.pzs.si/javno/kvgn_dokumenti/Seminarske%20naloge%20VGN/Mirt%20Tja%C5%A1a_Ju%C5%BEni%20obronki%20trnovskega%20gozda.pdf" TargetMode="External"/><Relationship Id="rId184" Type="http://schemas.openxmlformats.org/officeDocument/2006/relationships/image" Target="media/image113.png"/><Relationship Id="rId189" Type="http://schemas.openxmlformats.org/officeDocument/2006/relationships/image" Target="media/image118.png"/><Relationship Id="rId219" Type="http://schemas.openxmlformats.org/officeDocument/2006/relationships/hyperlink" Target="https://www.vik-ng.si/nase-dejavnosti/oskrba-z-vodo/kakovost-pitne-vode" TargetMode="External"/><Relationship Id="rId3" Type="http://schemas.openxmlformats.org/officeDocument/2006/relationships/styles" Target="styles.xml"/><Relationship Id="rId214" Type="http://schemas.openxmlformats.org/officeDocument/2006/relationships/hyperlink" Target="http://www.arso.gov.si/vode/reke/ocena%20stanja/" TargetMode="External"/><Relationship Id="rId230" Type="http://schemas.openxmlformats.org/officeDocument/2006/relationships/hyperlink" Target="http://www.uradni-list.si/1/content?id=125645" TargetMode="External"/><Relationship Id="rId235" Type="http://schemas.openxmlformats.org/officeDocument/2006/relationships/image" Target="media/image135.png"/><Relationship Id="rId251" Type="http://schemas.openxmlformats.org/officeDocument/2006/relationships/image" Target="media/image150.png"/><Relationship Id="rId256" Type="http://schemas.openxmlformats.org/officeDocument/2006/relationships/image" Target="media/image155.png"/><Relationship Id="rId277" Type="http://schemas.openxmlformats.org/officeDocument/2006/relationships/hyperlink" Target="http://www.pisrs.si/Pis.web/pregledPredpisa?id=ZAKO4716" TargetMode="External"/><Relationship Id="rId298" Type="http://schemas.openxmlformats.org/officeDocument/2006/relationships/hyperlink" Target="http://obcine.nijz.si/" TargetMode="External"/><Relationship Id="rId25" Type="http://schemas.openxmlformats.org/officeDocument/2006/relationships/hyperlink" Target="https://www.mojgozdar.si/" TargetMode="External"/><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hyperlink" Target="http://www.uradni-list.si/1/objava.jsp?sop=2008-01-3448" TargetMode="External"/><Relationship Id="rId137" Type="http://schemas.openxmlformats.org/officeDocument/2006/relationships/hyperlink" Target="http://www.uradni-list.si/1/objava.jsp?sop=2017-01-2917" TargetMode="External"/><Relationship Id="rId158" Type="http://schemas.openxmlformats.org/officeDocument/2006/relationships/image" Target="media/image100.png"/><Relationship Id="rId272" Type="http://schemas.openxmlformats.org/officeDocument/2006/relationships/hyperlink" Target="http://www.pisrs.si/Pis.web/pregledPredpisa?id=ZAKO5537" TargetMode="External"/><Relationship Id="rId293" Type="http://schemas.openxmlformats.org/officeDocument/2006/relationships/hyperlink" Target="http://obcine.nijz.si/" TargetMode="External"/><Relationship Id="rId302" Type="http://schemas.openxmlformats.org/officeDocument/2006/relationships/image" Target="media/image172.emf"/><Relationship Id="rId20" Type="http://schemas.openxmlformats.org/officeDocument/2006/relationships/header" Target="header2.xml"/><Relationship Id="rId41" Type="http://schemas.openxmlformats.org/officeDocument/2006/relationships/hyperlink" Target="https://www.stat.si/StatWeb/" TargetMode="External"/><Relationship Id="rId62" Type="http://schemas.openxmlformats.org/officeDocument/2006/relationships/image" Target="media/image48.png"/><Relationship Id="rId83" Type="http://schemas.openxmlformats.org/officeDocument/2006/relationships/hyperlink" Target="https://publications.jrc.ec.europa.eu/repository/bitstream/JRC112986/jrc112986_kj-nb-29412-en-n.pdf" TargetMode="External"/><Relationship Id="rId88" Type="http://schemas.openxmlformats.org/officeDocument/2006/relationships/image" Target="media/image72.png"/><Relationship Id="rId111" Type="http://schemas.openxmlformats.org/officeDocument/2006/relationships/hyperlink" Target="http://www.gasilec.net/severno-primorska-regija" TargetMode="External"/><Relationship Id="rId132" Type="http://schemas.openxmlformats.org/officeDocument/2006/relationships/hyperlink" Target="http://www.uradni-list.si/1/objava.jsp?sop=2013-01-3548" TargetMode="External"/><Relationship Id="rId153" Type="http://schemas.openxmlformats.org/officeDocument/2006/relationships/image" Target="media/image95.png"/><Relationship Id="rId174" Type="http://schemas.openxmlformats.org/officeDocument/2006/relationships/image" Target="media/image103.png"/><Relationship Id="rId179" Type="http://schemas.openxmlformats.org/officeDocument/2006/relationships/image" Target="media/image108.png"/><Relationship Id="rId195" Type="http://schemas.openxmlformats.org/officeDocument/2006/relationships/image" Target="media/image124.png"/><Relationship Id="rId209" Type="http://schemas.openxmlformats.org/officeDocument/2006/relationships/hyperlink" Target="http://www.arso.gov.si/vode/reke/" TargetMode="External"/><Relationship Id="rId190" Type="http://schemas.openxmlformats.org/officeDocument/2006/relationships/image" Target="media/image119.png"/><Relationship Id="rId204" Type="http://schemas.openxmlformats.org/officeDocument/2006/relationships/hyperlink" Target="https://www.arso.gov.si/vode/reke/publikacije%20in%20poro%c4%8dila/Ekolo%c5%a1ko%20stanje_NUV2_reke.pdf" TargetMode="External"/><Relationship Id="rId220" Type="http://schemas.openxmlformats.org/officeDocument/2006/relationships/hyperlink" Target="http://www.uradni-list.si/1/objava.jsp?urlid=200419&amp;stevilka=865" TargetMode="External"/><Relationship Id="rId225" Type="http://schemas.openxmlformats.org/officeDocument/2006/relationships/hyperlink" Target="http://www.uradni-list.si/1/content?id=123288" TargetMode="External"/><Relationship Id="rId241" Type="http://schemas.openxmlformats.org/officeDocument/2006/relationships/image" Target="media/image140.png"/><Relationship Id="rId246" Type="http://schemas.openxmlformats.org/officeDocument/2006/relationships/image" Target="media/image145.png"/><Relationship Id="rId267" Type="http://schemas.openxmlformats.org/officeDocument/2006/relationships/image" Target="media/image163.png"/><Relationship Id="rId288" Type="http://schemas.openxmlformats.org/officeDocument/2006/relationships/image" Target="media/image171.emf"/><Relationship Id="rId15" Type="http://schemas.openxmlformats.org/officeDocument/2006/relationships/header" Target="header1.xml"/><Relationship Id="rId36" Type="http://schemas.openxmlformats.org/officeDocument/2006/relationships/image" Target="media/image24.png"/><Relationship Id="rId57" Type="http://schemas.openxmlformats.org/officeDocument/2006/relationships/image" Target="media/image43.png"/><Relationship Id="rId106" Type="http://schemas.openxmlformats.org/officeDocument/2006/relationships/image" Target="media/image87.png"/><Relationship Id="rId127" Type="http://schemas.openxmlformats.org/officeDocument/2006/relationships/hyperlink" Target="http://www.uradni-list.si/1/objava.jsp?sop=2010-01-3387" TargetMode="External"/><Relationship Id="rId262" Type="http://schemas.openxmlformats.org/officeDocument/2006/relationships/hyperlink" Target="https://www.gov.si/assets/organi-v-sestavi/ARSO/PVO/Navodila-izdelovalcem-porocil-o-vplivih-na-okolje-podnebne-spremembe.pdf" TargetMode="External"/><Relationship Id="rId283" Type="http://schemas.openxmlformats.org/officeDocument/2006/relationships/hyperlink" Target="http://www.pisrs.si/Pis.web/pregledPredpisa?id=PRAV8042" TargetMode="External"/><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38.png"/><Relationship Id="rId73" Type="http://schemas.openxmlformats.org/officeDocument/2006/relationships/image" Target="media/image59.jpeg"/><Relationship Id="rId78" Type="http://schemas.openxmlformats.org/officeDocument/2006/relationships/image" Target="media/image63.png"/><Relationship Id="rId94" Type="http://schemas.openxmlformats.org/officeDocument/2006/relationships/image" Target="media/image77.png"/><Relationship Id="rId99" Type="http://schemas.openxmlformats.org/officeDocument/2006/relationships/hyperlink" Target="http://wcm.gozdis.si/ocene-potencialov" TargetMode="External"/><Relationship Id="rId101" Type="http://schemas.openxmlformats.org/officeDocument/2006/relationships/image" Target="media/image82.png"/><Relationship Id="rId122" Type="http://schemas.openxmlformats.org/officeDocument/2006/relationships/hyperlink" Target="http://www.uradni-list.si/1/objava.jsp?sop=2019-01-3228" TargetMode="External"/><Relationship Id="rId143" Type="http://schemas.openxmlformats.org/officeDocument/2006/relationships/image" Target="media/image90.png"/><Relationship Id="rId148" Type="http://schemas.openxmlformats.org/officeDocument/2006/relationships/hyperlink" Target="http://www.euro.who.int/__data/assets/pdf_file/0005/78647/E91843.pdf" TargetMode="External"/><Relationship Id="rId164" Type="http://schemas.openxmlformats.org/officeDocument/2006/relationships/hyperlink" Target="https://www.adviclim.eu/wp-content/uploads/2015/06/B1-deliverable.pdf" TargetMode="External"/><Relationship Id="rId169" Type="http://schemas.openxmlformats.org/officeDocument/2006/relationships/hyperlink" Target="https://www.gov.si/assets/ministrstva/MKGP/JAVNI-RAZPISI/2020/M8-6-predelava/Stopnja_gozd_obcine-Priloga_3.pdf" TargetMode="External"/><Relationship Id="rId185" Type="http://schemas.openxmlformats.org/officeDocument/2006/relationships/image" Target="media/image114.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09.png"/><Relationship Id="rId210" Type="http://schemas.openxmlformats.org/officeDocument/2006/relationships/hyperlink" Target="http://www.arso.gov.si/vode/podzemne%20vode/" TargetMode="External"/><Relationship Id="rId215" Type="http://schemas.openxmlformats.org/officeDocument/2006/relationships/hyperlink" Target="http://www.arso.gov.si/vode/podzemne%20vode/" TargetMode="External"/><Relationship Id="rId236" Type="http://schemas.openxmlformats.org/officeDocument/2006/relationships/image" Target="media/image136.png"/><Relationship Id="rId257" Type="http://schemas.openxmlformats.org/officeDocument/2006/relationships/image" Target="media/image156.png"/><Relationship Id="rId278" Type="http://schemas.openxmlformats.org/officeDocument/2006/relationships/hyperlink" Target="http://www.pisrs.si/Pis.web/pregledPredpisa?id=ZAKO6672" TargetMode="External"/><Relationship Id="rId26" Type="http://schemas.openxmlformats.org/officeDocument/2006/relationships/image" Target="media/image14.jpeg"/><Relationship Id="rId231" Type="http://schemas.openxmlformats.org/officeDocument/2006/relationships/image" Target="media/image131.png"/><Relationship Id="rId252" Type="http://schemas.openxmlformats.org/officeDocument/2006/relationships/image" Target="media/image151.png"/><Relationship Id="rId273" Type="http://schemas.openxmlformats.org/officeDocument/2006/relationships/hyperlink" Target="http://www.pisrs.si/Pis.web/pregledPredpisa?id=ZAKO1626" TargetMode="External"/><Relationship Id="rId294" Type="http://schemas.openxmlformats.org/officeDocument/2006/relationships/hyperlink" Target="http://obcine.nijz.si/" TargetMode="External"/><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hyperlink" Target="https://www.golea.si/wp-content/uploads/2019/10/SEAP_MONG_koncno_porocilo_apr2019.pdf" TargetMode="External"/><Relationship Id="rId133" Type="http://schemas.openxmlformats.org/officeDocument/2006/relationships/hyperlink" Target="http://www.uradni-list.si/1/objava.jsp?sop=2013-01-3549" TargetMode="External"/><Relationship Id="rId154" Type="http://schemas.openxmlformats.org/officeDocument/2006/relationships/image" Target="media/image96.png"/><Relationship Id="rId175" Type="http://schemas.openxmlformats.org/officeDocument/2006/relationships/image" Target="media/image104.png"/><Relationship Id="rId196" Type="http://schemas.openxmlformats.org/officeDocument/2006/relationships/image" Target="media/image125.png"/><Relationship Id="rId200" Type="http://schemas.openxmlformats.org/officeDocument/2006/relationships/image" Target="media/image129.png"/><Relationship Id="rId16" Type="http://schemas.openxmlformats.org/officeDocument/2006/relationships/footer" Target="footer1.xml"/><Relationship Id="rId221" Type="http://schemas.openxmlformats.org/officeDocument/2006/relationships/hyperlink" Target="http://www.uradni-list.si/1/objava.jsp?urlid=200435&amp;stevilka=1550" TargetMode="External"/><Relationship Id="rId242" Type="http://schemas.openxmlformats.org/officeDocument/2006/relationships/image" Target="media/image141.png"/><Relationship Id="rId263" Type="http://schemas.openxmlformats.org/officeDocument/2006/relationships/image" Target="media/image159.png"/><Relationship Id="rId284" Type="http://schemas.openxmlformats.org/officeDocument/2006/relationships/hyperlink" Target="http://www.pisrs.si/Pis.web/pregledPredpisa?id=PRAV13450" TargetMode="External"/><Relationship Id="rId37" Type="http://schemas.openxmlformats.org/officeDocument/2006/relationships/image" Target="media/image25.png"/><Relationship Id="rId58" Type="http://schemas.openxmlformats.org/officeDocument/2006/relationships/image" Target="media/image44.png"/><Relationship Id="rId79" Type="http://schemas.openxmlformats.org/officeDocument/2006/relationships/image" Target="media/image64.emf"/><Relationship Id="rId102" Type="http://schemas.openxmlformats.org/officeDocument/2006/relationships/image" Target="media/image83.png"/><Relationship Id="rId123" Type="http://schemas.openxmlformats.org/officeDocument/2006/relationships/hyperlink" Target="http://www.uradni-list.si/1/objava.jsp?sop=2020-01-1233" TargetMode="External"/><Relationship Id="rId144" Type="http://schemas.openxmlformats.org/officeDocument/2006/relationships/hyperlink" Target="http://dx.doi.org/" TargetMode="External"/><Relationship Id="rId90" Type="http://schemas.openxmlformats.org/officeDocument/2006/relationships/image" Target="media/image74.png"/><Relationship Id="rId165" Type="http://schemas.openxmlformats.org/officeDocument/2006/relationships/hyperlink" Target="https://www.nova-gorica.si/mma/ocena_ogrozenosti_2015/2015031013273714/?m=1425990457" TargetMode="External"/><Relationship Id="rId186" Type="http://schemas.openxmlformats.org/officeDocument/2006/relationships/image" Target="media/image115.png"/><Relationship Id="rId211" Type="http://schemas.openxmlformats.org/officeDocument/2006/relationships/hyperlink" Target="http://www.arso.gov.si/vode/reke/ocena%20stanja/" TargetMode="External"/><Relationship Id="rId232" Type="http://schemas.openxmlformats.org/officeDocument/2006/relationships/image" Target="media/image132.png"/><Relationship Id="rId253" Type="http://schemas.openxmlformats.org/officeDocument/2006/relationships/image" Target="media/image152.png"/><Relationship Id="rId274" Type="http://schemas.openxmlformats.org/officeDocument/2006/relationships/hyperlink" Target="http://www.pisrs.si/Pis.web/pregledPredpisa?id=ZAKO7077" TargetMode="External"/><Relationship Id="rId295" Type="http://schemas.openxmlformats.org/officeDocument/2006/relationships/hyperlink" Target="http://obcine.nijz.si/" TargetMode="External"/><Relationship Id="rId27" Type="http://schemas.openxmlformats.org/officeDocument/2006/relationships/image" Target="media/image15.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hyperlink" Target="http://www.uradni-list.si/1/objava.jsp?sop=2008-01-0455" TargetMode="External"/><Relationship Id="rId134" Type="http://schemas.openxmlformats.org/officeDocument/2006/relationships/hyperlink" Target="http://www.uradni-list.si/1/objava.jsp?sop=2013-01-4125" TargetMode="External"/><Relationship Id="rId80" Type="http://schemas.openxmlformats.org/officeDocument/2006/relationships/image" Target="media/image65.emf"/><Relationship Id="rId155" Type="http://schemas.openxmlformats.org/officeDocument/2006/relationships/image" Target="media/image97.png"/><Relationship Id="rId176" Type="http://schemas.openxmlformats.org/officeDocument/2006/relationships/image" Target="media/image105.png"/><Relationship Id="rId197" Type="http://schemas.openxmlformats.org/officeDocument/2006/relationships/image" Target="media/image126.png"/><Relationship Id="rId201" Type="http://schemas.openxmlformats.org/officeDocument/2006/relationships/hyperlink" Target="https://www.1ka.si/a/284976" TargetMode="External"/><Relationship Id="rId222" Type="http://schemas.openxmlformats.org/officeDocument/2006/relationships/hyperlink" Target="http://www.uradni-list.si/1/objava.jsp?urlid=200626&amp;stevilka=1068" TargetMode="External"/><Relationship Id="rId243" Type="http://schemas.openxmlformats.org/officeDocument/2006/relationships/image" Target="media/image142.png"/><Relationship Id="rId264" Type="http://schemas.openxmlformats.org/officeDocument/2006/relationships/image" Target="media/image160.png"/><Relationship Id="rId285" Type="http://schemas.openxmlformats.org/officeDocument/2006/relationships/image" Target="media/image168.jpg"/><Relationship Id="rId17" Type="http://schemas.openxmlformats.org/officeDocument/2006/relationships/hyperlink" Target="file:///\\golea-srv01\SkupnaMapa\04_MEDNARODNI%20PROJEKTI\03_SECAP\05_Dokazila%20o%20delu\06_&#352;esto%20poro&#269;ilo\WP3.2\01_RVA\MONG\SECAP_NG_koncno_porocilo_dec2021.docx" TargetMode="External"/><Relationship Id="rId38" Type="http://schemas.openxmlformats.org/officeDocument/2006/relationships/image" Target="media/image26.png"/><Relationship Id="rId59" Type="http://schemas.openxmlformats.org/officeDocument/2006/relationships/image" Target="media/image45.png"/><Relationship Id="rId103" Type="http://schemas.openxmlformats.org/officeDocument/2006/relationships/image" Target="media/image84.jpeg"/><Relationship Id="rId124" Type="http://schemas.openxmlformats.org/officeDocument/2006/relationships/hyperlink" Target="http://www.uradni-list.si/1/objava.jsp?sop=2006-01-4833" TargetMode="External"/><Relationship Id="rId70" Type="http://schemas.openxmlformats.org/officeDocument/2006/relationships/image" Target="media/image56.png"/><Relationship Id="rId91" Type="http://schemas.openxmlformats.org/officeDocument/2006/relationships/image" Target="media/image75.png"/><Relationship Id="rId145" Type="http://schemas.openxmlformats.org/officeDocument/2006/relationships/hyperlink" Target="https://www.eea.europa.eu/data-and-maps/indicators/air-pollution-by-ozone-2/assessment" TargetMode="External"/><Relationship Id="rId166" Type="http://schemas.openxmlformats.org/officeDocument/2006/relationships/hyperlink" Target="https://www.nova-gorica.com/mma_bin.php?id=2010070213470052" TargetMode="External"/><Relationship Id="rId187" Type="http://schemas.openxmlformats.org/officeDocument/2006/relationships/image" Target="media/image116.png"/><Relationship Id="rId1" Type="http://schemas.openxmlformats.org/officeDocument/2006/relationships/customXml" Target="../customXml/item1.xml"/><Relationship Id="rId212" Type="http://schemas.openxmlformats.org/officeDocument/2006/relationships/hyperlink" Target="http://www.arso.gov.si/vode/reke/ocena%20stanja/" TargetMode="External"/><Relationship Id="rId233" Type="http://schemas.openxmlformats.org/officeDocument/2006/relationships/image" Target="media/image133.png"/><Relationship Id="rId254" Type="http://schemas.openxmlformats.org/officeDocument/2006/relationships/image" Target="media/image153.png"/><Relationship Id="rId28" Type="http://schemas.openxmlformats.org/officeDocument/2006/relationships/image" Target="media/image16.png"/><Relationship Id="rId49" Type="http://schemas.openxmlformats.org/officeDocument/2006/relationships/image" Target="media/image35.png"/><Relationship Id="rId114" Type="http://schemas.openxmlformats.org/officeDocument/2006/relationships/hyperlink" Target="http://www.uradni-list.si/1/objava.jsp?sop=2008-01-0831" TargetMode="External"/><Relationship Id="rId275" Type="http://schemas.openxmlformats.org/officeDocument/2006/relationships/hyperlink" Target="http://www.pisrs.si/Pis.web/pregledPredpisa?id=ZAKO4291" TargetMode="External"/><Relationship Id="rId296" Type="http://schemas.openxmlformats.org/officeDocument/2006/relationships/hyperlink" Target="http://obcine.nijz.si/" TargetMode="External"/><Relationship Id="rId300" Type="http://schemas.openxmlformats.org/officeDocument/2006/relationships/hyperlink" Target="http://obcine.nijz.si/" TargetMode="External"/><Relationship Id="rId60" Type="http://schemas.openxmlformats.org/officeDocument/2006/relationships/image" Target="media/image46.png"/><Relationship Id="rId81" Type="http://schemas.openxmlformats.org/officeDocument/2006/relationships/image" Target="media/image66.png"/><Relationship Id="rId135" Type="http://schemas.openxmlformats.org/officeDocument/2006/relationships/hyperlink" Target="http://www.uradni-list.si/1/objava.jsp?sop=2014-01-3951" TargetMode="External"/><Relationship Id="rId156" Type="http://schemas.openxmlformats.org/officeDocument/2006/relationships/image" Target="media/image98.png"/><Relationship Id="rId177" Type="http://schemas.openxmlformats.org/officeDocument/2006/relationships/image" Target="media/image106.png"/><Relationship Id="rId198" Type="http://schemas.openxmlformats.org/officeDocument/2006/relationships/image" Target="media/image127.png"/><Relationship Id="rId202" Type="http://schemas.openxmlformats.org/officeDocument/2006/relationships/image" Target="media/image130.png"/><Relationship Id="rId223" Type="http://schemas.openxmlformats.org/officeDocument/2006/relationships/hyperlink" Target="http://www.uradni-list.si/1/objava.jsp?urlid=200692&amp;stevilka=3975" TargetMode="External"/><Relationship Id="rId244" Type="http://schemas.openxmlformats.org/officeDocument/2006/relationships/image" Target="media/image143.png"/><Relationship Id="rId18" Type="http://schemas.openxmlformats.org/officeDocument/2006/relationships/hyperlink" Target="file:///\\golea-srv01\SkupnaMapa\04_MEDNARODNI%20PROJEKTI\03_SECAP\05_Dokazila%20o%20delu\06_&#352;esto%20poro&#269;ilo\WP3.2\01_RVA\MONG\SECAP_NG_koncno_porocilo_dec2021.docx" TargetMode="External"/><Relationship Id="rId39" Type="http://schemas.openxmlformats.org/officeDocument/2006/relationships/image" Target="media/image27.png"/><Relationship Id="rId265" Type="http://schemas.openxmlformats.org/officeDocument/2006/relationships/image" Target="media/image161.png"/><Relationship Id="rId286" Type="http://schemas.openxmlformats.org/officeDocument/2006/relationships/image" Target="media/image169.emf"/><Relationship Id="rId50" Type="http://schemas.openxmlformats.org/officeDocument/2006/relationships/image" Target="media/image36.png"/><Relationship Id="rId104" Type="http://schemas.openxmlformats.org/officeDocument/2006/relationships/image" Target="media/image85.jpg"/><Relationship Id="rId125" Type="http://schemas.openxmlformats.org/officeDocument/2006/relationships/hyperlink" Target="http://www.uradni-list.si/1/objava.jsp?sop=2007-01-4489" TargetMode="External"/><Relationship Id="rId146" Type="http://schemas.openxmlformats.org/officeDocument/2006/relationships/hyperlink" Target="https://www.stat.si/obcine/sl/Municip/Index/52" TargetMode="External"/><Relationship Id="rId167" Type="http://schemas.openxmlformats.org/officeDocument/2006/relationships/hyperlink" Target="https://zrsvn-varstvonarave.si/wp-content/uploads/2019/07/Petkovsek_4946.pdf" TargetMode="External"/><Relationship Id="rId188" Type="http://schemas.openxmlformats.org/officeDocument/2006/relationships/image" Target="media/image117.png"/><Relationship Id="rId71" Type="http://schemas.openxmlformats.org/officeDocument/2006/relationships/image" Target="media/image57.png"/><Relationship Id="rId92" Type="http://schemas.openxmlformats.org/officeDocument/2006/relationships/image" Target="media/image76.png"/><Relationship Id="rId213" Type="http://schemas.openxmlformats.org/officeDocument/2006/relationships/hyperlink" Target="http://www.arso.gov.si/vode/reke/ocena%20stanja/" TargetMode="External"/><Relationship Id="rId234" Type="http://schemas.openxmlformats.org/officeDocument/2006/relationships/image" Target="media/image134.png"/></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2C46F7-C271-4E0E-B18D-64B98C7D07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322</Pages>
  <Words>99285</Words>
  <Characters>565931</Characters>
  <Application>Microsoft Office Word</Application>
  <DocSecurity>0</DocSecurity>
  <Lines>4716</Lines>
  <Paragraphs>1327</Paragraphs>
  <ScaleCrop>false</ScaleCrop>
  <HeadingPairs>
    <vt:vector size="6" baseType="variant">
      <vt:variant>
        <vt:lpstr>Naslov</vt:lpstr>
      </vt:variant>
      <vt:variant>
        <vt:i4>1</vt:i4>
      </vt:variant>
      <vt:variant>
        <vt:lpstr>Title</vt:lpstr>
      </vt:variant>
      <vt:variant>
        <vt:i4>1</vt:i4>
      </vt:variant>
      <vt:variant>
        <vt:lpstr>Titolo</vt:lpstr>
      </vt:variant>
      <vt:variant>
        <vt:i4>1</vt:i4>
      </vt:variant>
    </vt:vector>
  </HeadingPairs>
  <TitlesOfParts>
    <vt:vector size="3" baseType="lpstr">
      <vt:lpstr/>
      <vt:lpstr/>
      <vt:lpstr/>
    </vt:vector>
  </TitlesOfParts>
  <Company/>
  <LinksUpToDate>false</LinksUpToDate>
  <CharactersWithSpaces>663889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Alessandro Vianello</dc:creator>
  <cp:keywords/>
  <dc:description/>
  <cp:lastModifiedBy>Ivana Kacafura</cp:lastModifiedBy>
  <cp:revision>2</cp:revision>
  <cp:lastPrinted>2020-11-30T17:52:00Z</cp:lastPrinted>
  <dcterms:created xsi:type="dcterms:W3CDTF">2022-03-01T10:33:00Z</dcterms:created>
  <dcterms:modified xsi:type="dcterms:W3CDTF">2022-03-01T10:33:00Z</dcterms:modified>
</cp:coreProperties>
</file>