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2D71" w14:textId="4D0865BC" w:rsidR="005315FB" w:rsidRPr="00CC2BD9" w:rsidRDefault="005315FB" w:rsidP="005315FB">
      <w:pPr>
        <w:spacing w:after="0" w:line="240" w:lineRule="auto"/>
        <w:contextualSpacing/>
        <w:jc w:val="right"/>
        <w:rPr>
          <w:rFonts w:ascii="Arial" w:eastAsia="MS Mincho" w:hAnsi="Arial" w:cs="Arial"/>
          <w:b/>
          <w:bCs/>
          <w:i/>
          <w:iCs/>
          <w:lang w:eastAsia="sl-SI"/>
        </w:rPr>
      </w:pPr>
      <w:r w:rsidRPr="00CC2BD9">
        <w:rPr>
          <w:rFonts w:ascii="Arial" w:eastAsia="MS Mincho" w:hAnsi="Arial" w:cs="Arial"/>
          <w:b/>
          <w:bCs/>
          <w:i/>
          <w:iCs/>
          <w:lang w:eastAsia="sl-SI"/>
        </w:rPr>
        <w:t xml:space="preserve">PRILOGA </w:t>
      </w:r>
      <w:r w:rsidR="00F552EB" w:rsidRPr="00CC2BD9">
        <w:rPr>
          <w:rFonts w:ascii="Arial" w:eastAsia="MS Mincho" w:hAnsi="Arial" w:cs="Arial"/>
          <w:b/>
          <w:bCs/>
          <w:i/>
          <w:iCs/>
          <w:lang w:eastAsia="sl-SI"/>
        </w:rPr>
        <w:t>3</w:t>
      </w:r>
    </w:p>
    <w:p w14:paraId="3D781873" w14:textId="77777777" w:rsidR="005315FB" w:rsidRPr="004004B4" w:rsidRDefault="005315FB" w:rsidP="005315FB">
      <w:pPr>
        <w:spacing w:after="0" w:line="240" w:lineRule="auto"/>
        <w:contextualSpacing/>
        <w:jc w:val="both"/>
        <w:rPr>
          <w:rFonts w:ascii="Arial" w:eastAsia="MS Mincho" w:hAnsi="Arial" w:cs="Arial"/>
          <w:b/>
          <w:bCs/>
          <w:i/>
          <w:iCs/>
          <w:sz w:val="18"/>
          <w:szCs w:val="18"/>
          <w:lang w:eastAsia="sl-SI"/>
        </w:rPr>
      </w:pPr>
    </w:p>
    <w:p w14:paraId="434EC9CC" w14:textId="77777777" w:rsidR="005315FB" w:rsidRPr="004E4821" w:rsidRDefault="005315FB" w:rsidP="005315FB">
      <w:pPr>
        <w:spacing w:after="0" w:line="240" w:lineRule="auto"/>
        <w:contextualSpacing/>
        <w:jc w:val="both"/>
        <w:rPr>
          <w:rFonts w:ascii="Arial" w:eastAsia="MS Mincho" w:hAnsi="Arial" w:cs="Arial"/>
          <w:b/>
          <w:bCs/>
          <w:lang w:eastAsia="sl-SI"/>
        </w:rPr>
      </w:pPr>
    </w:p>
    <w:p w14:paraId="40A05EAB" w14:textId="296BEDBB" w:rsidR="005315FB" w:rsidRPr="004E4821" w:rsidRDefault="005315FB" w:rsidP="005315FB">
      <w:pPr>
        <w:spacing w:after="0" w:line="240" w:lineRule="auto"/>
        <w:contextualSpacing/>
        <w:jc w:val="both"/>
        <w:rPr>
          <w:rFonts w:ascii="Arial" w:eastAsia="Times New Roman" w:hAnsi="Arial" w:cs="Arial"/>
          <w:b/>
          <w:noProof/>
          <w:sz w:val="20"/>
          <w:szCs w:val="20"/>
          <w:lang w:eastAsia="sl-SI"/>
        </w:rPr>
      </w:pPr>
      <w:r w:rsidRPr="004E4821">
        <w:rPr>
          <w:rFonts w:ascii="Arial" w:eastAsia="Times New Roman" w:hAnsi="Arial" w:cs="Arial"/>
          <w:b/>
          <w:noProof/>
          <w:sz w:val="20"/>
          <w:szCs w:val="20"/>
          <w:lang w:eastAsia="sl-SI"/>
        </w:rPr>
        <w:t xml:space="preserve">ZAHTEVANI POGOJI  IN </w:t>
      </w:r>
      <w:r w:rsidR="00BA05BB">
        <w:rPr>
          <w:rFonts w:ascii="Arial" w:eastAsia="Times New Roman" w:hAnsi="Arial" w:cs="Arial"/>
          <w:b/>
          <w:noProof/>
          <w:sz w:val="20"/>
          <w:szCs w:val="20"/>
          <w:lang w:eastAsia="sl-SI"/>
        </w:rPr>
        <w:t xml:space="preserve">NAČIN NJIHOVEGA PREVERJANJA </w:t>
      </w:r>
      <w:r w:rsidRPr="004E4821">
        <w:rPr>
          <w:rFonts w:ascii="Arial" w:eastAsia="Times New Roman" w:hAnsi="Arial" w:cs="Arial"/>
          <w:b/>
          <w:noProof/>
          <w:sz w:val="20"/>
          <w:szCs w:val="20"/>
          <w:lang w:eastAsia="sl-SI"/>
        </w:rPr>
        <w:t xml:space="preserve">    </w:t>
      </w:r>
    </w:p>
    <w:p w14:paraId="635C8B81" w14:textId="77777777" w:rsidR="005315FB" w:rsidRPr="004E4821" w:rsidRDefault="005315FB" w:rsidP="005315FB">
      <w:pPr>
        <w:spacing w:after="0" w:line="240" w:lineRule="auto"/>
        <w:jc w:val="both"/>
        <w:rPr>
          <w:rFonts w:ascii="Arial" w:eastAsia="Times New Roman" w:hAnsi="Arial" w:cs="Arial"/>
          <w:noProof/>
          <w:sz w:val="20"/>
          <w:szCs w:val="20"/>
        </w:rPr>
      </w:pPr>
    </w:p>
    <w:p w14:paraId="7060B558" w14:textId="77777777" w:rsidR="005315FB" w:rsidRPr="004E4821" w:rsidRDefault="005315FB" w:rsidP="005315FB">
      <w:pPr>
        <w:spacing w:after="0" w:line="240" w:lineRule="auto"/>
        <w:jc w:val="both"/>
        <w:rPr>
          <w:rFonts w:ascii="Arial" w:eastAsia="Times New Roman" w:hAnsi="Arial" w:cs="Arial"/>
          <w:noProof/>
          <w:sz w:val="20"/>
          <w:szCs w:val="20"/>
        </w:rPr>
      </w:pPr>
    </w:p>
    <w:p w14:paraId="4919D6DF" w14:textId="1C66F77B" w:rsidR="005315FB" w:rsidRPr="004E4821" w:rsidRDefault="005315FB" w:rsidP="005315FB">
      <w:pPr>
        <w:spacing w:after="0" w:line="240" w:lineRule="auto"/>
        <w:jc w:val="both"/>
        <w:rPr>
          <w:rFonts w:ascii="Arial" w:hAnsi="Arial" w:cs="Arial"/>
          <w:sz w:val="20"/>
          <w:szCs w:val="20"/>
        </w:rPr>
      </w:pPr>
      <w:r w:rsidRPr="004E4821">
        <w:rPr>
          <w:rFonts w:ascii="Arial" w:hAnsi="Arial" w:cs="Arial"/>
          <w:sz w:val="20"/>
          <w:szCs w:val="20"/>
        </w:rPr>
        <w:t xml:space="preserve">V   Nameri za prodajo nepremičnin (v nadaljevanju; namera  ) so navedeni pogoji, ki  morajo biti izpolnjeni in so predmet preverjanja. V primeru, da katerikoli od navedenih pogojev ni izpolnjen, se ocenjevanje po merilih ne izvede, </w:t>
      </w:r>
      <w:r w:rsidR="00743480">
        <w:rPr>
          <w:rFonts w:ascii="Arial" w:hAnsi="Arial" w:cs="Arial"/>
          <w:sz w:val="20"/>
          <w:szCs w:val="20"/>
        </w:rPr>
        <w:t xml:space="preserve">ponudba </w:t>
      </w:r>
      <w:r w:rsidRPr="004E4821">
        <w:rPr>
          <w:rFonts w:ascii="Arial" w:hAnsi="Arial" w:cs="Arial"/>
          <w:sz w:val="20"/>
          <w:szCs w:val="20"/>
        </w:rPr>
        <w:t xml:space="preserve"> pa se zavrne. </w:t>
      </w:r>
    </w:p>
    <w:p w14:paraId="7F55040C" w14:textId="77777777" w:rsidR="005315FB" w:rsidRPr="004E4821" w:rsidRDefault="005315FB" w:rsidP="005315FB">
      <w:pPr>
        <w:spacing w:after="0" w:line="240" w:lineRule="auto"/>
        <w:jc w:val="both"/>
        <w:rPr>
          <w:rFonts w:ascii="Arial" w:hAnsi="Arial" w:cs="Arial"/>
          <w:sz w:val="20"/>
          <w:szCs w:val="20"/>
        </w:rPr>
      </w:pPr>
    </w:p>
    <w:p w14:paraId="7B8934CB" w14:textId="55E4648E" w:rsidR="005315FB" w:rsidRPr="004E4821" w:rsidRDefault="005315FB" w:rsidP="005315FB">
      <w:pPr>
        <w:spacing w:after="0" w:line="240" w:lineRule="auto"/>
        <w:jc w:val="both"/>
        <w:rPr>
          <w:rFonts w:ascii="Arial" w:hAnsi="Arial" w:cs="Arial"/>
          <w:sz w:val="20"/>
          <w:szCs w:val="20"/>
        </w:rPr>
      </w:pPr>
      <w:r w:rsidRPr="004E4821">
        <w:rPr>
          <w:rFonts w:ascii="Arial" w:hAnsi="Arial" w:cs="Arial"/>
          <w:sz w:val="20"/>
          <w:szCs w:val="20"/>
        </w:rPr>
        <w:t xml:space="preserve">Mestna občina Nova Gorica( v nadaljevanju; </w:t>
      </w:r>
      <w:r>
        <w:rPr>
          <w:rFonts w:ascii="Arial" w:hAnsi="Arial" w:cs="Arial"/>
          <w:sz w:val="20"/>
          <w:szCs w:val="20"/>
        </w:rPr>
        <w:t xml:space="preserve">MONG </w:t>
      </w:r>
      <w:r w:rsidRPr="004E4821">
        <w:rPr>
          <w:rFonts w:ascii="Arial" w:hAnsi="Arial" w:cs="Arial"/>
          <w:sz w:val="20"/>
          <w:szCs w:val="20"/>
        </w:rPr>
        <w:t xml:space="preserve">)  bo pogoje preverjala na podlagi navedb </w:t>
      </w:r>
      <w:r w:rsidR="00743480">
        <w:rPr>
          <w:rFonts w:ascii="Arial" w:hAnsi="Arial" w:cs="Arial"/>
          <w:sz w:val="20"/>
          <w:szCs w:val="20"/>
        </w:rPr>
        <w:t xml:space="preserve"> v ponudbi </w:t>
      </w:r>
      <w:r w:rsidRPr="004E4821">
        <w:rPr>
          <w:rFonts w:ascii="Arial" w:hAnsi="Arial" w:cs="Arial"/>
          <w:sz w:val="20"/>
          <w:szCs w:val="20"/>
        </w:rPr>
        <w:t xml:space="preserve"> in prilogah, v javno dostopnih evidencah ali pa po potrebi zahtevala dodatne obrazložitve s strani </w:t>
      </w:r>
      <w:r>
        <w:rPr>
          <w:rFonts w:ascii="Arial" w:hAnsi="Arial" w:cs="Arial"/>
          <w:sz w:val="20"/>
          <w:szCs w:val="20"/>
        </w:rPr>
        <w:t xml:space="preserve">ponudnika </w:t>
      </w:r>
    </w:p>
    <w:p w14:paraId="59BB5A70" w14:textId="77777777" w:rsidR="005315FB" w:rsidRPr="004E4821" w:rsidRDefault="005315FB" w:rsidP="005315FB">
      <w:pPr>
        <w:spacing w:after="0" w:line="240" w:lineRule="auto"/>
        <w:jc w:val="both"/>
        <w:rPr>
          <w:rFonts w:ascii="Arial" w:hAnsi="Arial" w:cs="Arial"/>
        </w:rPr>
      </w:pPr>
    </w:p>
    <w:p w14:paraId="03895CEC" w14:textId="77777777" w:rsidR="005315FB" w:rsidRPr="004E4821" w:rsidRDefault="005315FB" w:rsidP="005315FB">
      <w:pPr>
        <w:spacing w:after="0" w:line="240" w:lineRule="auto"/>
        <w:contextualSpacing/>
        <w:jc w:val="both"/>
        <w:rPr>
          <w:rFonts w:ascii="Arial" w:eastAsia="Times New Roman" w:hAnsi="Arial" w:cs="Arial"/>
          <w:b/>
          <w:noProof/>
          <w:lang w:eastAsia="sl-SI"/>
        </w:rPr>
      </w:pPr>
    </w:p>
    <w:p w14:paraId="47BE823B" w14:textId="058875D4" w:rsidR="005315FB" w:rsidRPr="00743480" w:rsidRDefault="005315FB" w:rsidP="005315FB">
      <w:pPr>
        <w:rPr>
          <w:rFonts w:ascii="Arial" w:eastAsia="Calibri" w:hAnsi="Arial" w:cs="Arial"/>
          <w:sz w:val="20"/>
          <w:szCs w:val="20"/>
          <w:lang w:eastAsia="sl-SI"/>
        </w:rPr>
      </w:pPr>
      <w:r w:rsidRPr="00743480">
        <w:rPr>
          <w:rFonts w:ascii="Arial" w:eastAsia="Calibri" w:hAnsi="Arial" w:cs="Arial"/>
          <w:sz w:val="20"/>
          <w:szCs w:val="20"/>
          <w:lang w:eastAsia="sl-SI"/>
        </w:rPr>
        <w:t>Izpolnjevanje splošnih pogojev za ponudnika se bo preverjalo na naslednji način: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77"/>
        <w:gridCol w:w="3957"/>
      </w:tblGrid>
      <w:tr w:rsidR="005315FB" w:rsidRPr="004E4821" w14:paraId="2732DB3E" w14:textId="77777777" w:rsidTr="00E03951">
        <w:trPr>
          <w:trHeight w:val="273"/>
          <w:tblHeader/>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296E99F" w14:textId="0D4AF331" w:rsidR="005315FB" w:rsidRPr="004E4821" w:rsidRDefault="005315FB" w:rsidP="00E03951">
            <w:pPr>
              <w:ind w:left="-83"/>
              <w:jc w:val="center"/>
              <w:rPr>
                <w:rFonts w:ascii="Arial" w:hAnsi="Arial" w:cs="Arial"/>
                <w:b/>
                <w:sz w:val="20"/>
                <w:szCs w:val="20"/>
                <w:lang w:eastAsia="sl-SI" w:bidi="en-US"/>
              </w:rPr>
            </w:pPr>
            <w:r w:rsidRPr="004E4821">
              <w:rPr>
                <w:rFonts w:ascii="Arial" w:hAnsi="Arial" w:cs="Arial"/>
                <w:b/>
                <w:sz w:val="20"/>
                <w:szCs w:val="20"/>
                <w:lang w:eastAsia="sl-SI" w:bidi="en-US"/>
              </w:rPr>
              <w:t>SPLOŠNI POGOJI ZA P</w:t>
            </w:r>
            <w:r>
              <w:rPr>
                <w:rFonts w:ascii="Arial" w:hAnsi="Arial" w:cs="Arial"/>
                <w:b/>
                <w:sz w:val="20"/>
                <w:szCs w:val="20"/>
                <w:lang w:eastAsia="sl-SI" w:bidi="en-US"/>
              </w:rPr>
              <w:t xml:space="preserve">ONUDNIKE </w:t>
            </w:r>
            <w:r w:rsidRPr="004E4821">
              <w:rPr>
                <w:rFonts w:ascii="Arial" w:hAnsi="Arial" w:cs="Arial"/>
                <w:b/>
                <w:sz w:val="20"/>
                <w:szCs w:val="20"/>
                <w:lang w:eastAsia="sl-SI" w:bidi="en-US"/>
              </w:rPr>
              <w:t xml:space="preserve"> </w:t>
            </w:r>
          </w:p>
        </w:tc>
        <w:tc>
          <w:tcPr>
            <w:tcW w:w="395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28D70F3" w14:textId="77777777" w:rsidR="005315FB" w:rsidRPr="004E4821" w:rsidRDefault="005315FB" w:rsidP="00E03951">
            <w:pPr>
              <w:ind w:left="426" w:hanging="426"/>
              <w:jc w:val="center"/>
              <w:rPr>
                <w:rFonts w:ascii="Arial" w:hAnsi="Arial" w:cs="Arial"/>
                <w:b/>
                <w:sz w:val="20"/>
                <w:szCs w:val="20"/>
                <w:lang w:val="en-US" w:eastAsia="sl-SI" w:bidi="en-US"/>
              </w:rPr>
            </w:pPr>
            <w:r w:rsidRPr="004E4821">
              <w:rPr>
                <w:rFonts w:ascii="Arial" w:hAnsi="Arial" w:cs="Arial"/>
                <w:b/>
                <w:sz w:val="20"/>
                <w:szCs w:val="20"/>
                <w:lang w:val="en-US" w:eastAsia="sl-SI" w:bidi="en-US"/>
              </w:rPr>
              <w:t>DOKAZILO IN NAČIN PREVERJANJA</w:t>
            </w:r>
          </w:p>
        </w:tc>
      </w:tr>
      <w:tr w:rsidR="005315FB" w:rsidRPr="004E4821" w14:paraId="3EA56CDE" w14:textId="77777777" w:rsidTr="00E03951">
        <w:trPr>
          <w:trHeight w:val="875"/>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65119F81" w14:textId="59070D17" w:rsidR="005315FB" w:rsidRPr="004E4821" w:rsidRDefault="005315FB" w:rsidP="00E03951">
            <w:pPr>
              <w:spacing w:after="0" w:line="240" w:lineRule="auto"/>
              <w:contextualSpacing/>
              <w:jc w:val="both"/>
              <w:rPr>
                <w:rFonts w:ascii="Arial" w:hAnsi="Arial" w:cs="Arial"/>
                <w:sz w:val="20"/>
                <w:szCs w:val="20"/>
                <w:lang w:eastAsia="sl-SI" w:bidi="en-US"/>
              </w:rPr>
            </w:pPr>
            <w:r w:rsidRPr="004E4821">
              <w:rPr>
                <w:rFonts w:ascii="Arial" w:hAnsi="Arial" w:cs="Arial"/>
                <w:sz w:val="20"/>
                <w:szCs w:val="20"/>
                <w:lang w:eastAsia="sl-SI" w:bidi="en-US"/>
              </w:rPr>
              <w:t xml:space="preserve">1). </w:t>
            </w:r>
            <w:r w:rsidRPr="004E4821">
              <w:rPr>
                <w:rFonts w:ascii="Arial" w:eastAsia="Times New Roman" w:hAnsi="Arial" w:cs="Arial"/>
                <w:sz w:val="20"/>
                <w:szCs w:val="20"/>
              </w:rPr>
              <w:t>P</w:t>
            </w:r>
            <w:r>
              <w:rPr>
                <w:rFonts w:ascii="Arial" w:eastAsia="Times New Roman" w:hAnsi="Arial" w:cs="Arial"/>
                <w:sz w:val="20"/>
                <w:szCs w:val="20"/>
              </w:rPr>
              <w:t xml:space="preserve">onudnik </w:t>
            </w:r>
            <w:r w:rsidRPr="004E4821">
              <w:rPr>
                <w:rFonts w:ascii="Arial" w:eastAsia="Times New Roman" w:hAnsi="Arial" w:cs="Arial"/>
                <w:sz w:val="20"/>
                <w:szCs w:val="20"/>
              </w:rPr>
              <w:t xml:space="preserve"> izpolnjuje pogoje</w:t>
            </w:r>
            <w:r>
              <w:rPr>
                <w:rFonts w:ascii="Arial" w:eastAsia="Times New Roman" w:hAnsi="Arial" w:cs="Arial"/>
                <w:sz w:val="20"/>
                <w:szCs w:val="20"/>
              </w:rPr>
              <w:t xml:space="preserve"> glede zahtevane </w:t>
            </w:r>
            <w:r w:rsidRPr="004E4821">
              <w:rPr>
                <w:rFonts w:ascii="Arial" w:eastAsia="Times New Roman" w:hAnsi="Arial" w:cs="Arial"/>
                <w:sz w:val="20"/>
                <w:szCs w:val="20"/>
              </w:rPr>
              <w:t xml:space="preserve"> </w:t>
            </w:r>
            <w:r>
              <w:rPr>
                <w:rFonts w:ascii="Arial" w:eastAsia="Times New Roman" w:hAnsi="Arial" w:cs="Arial"/>
                <w:sz w:val="20"/>
                <w:szCs w:val="20"/>
              </w:rPr>
              <w:t xml:space="preserve"> določene </w:t>
            </w:r>
            <w:r w:rsidRPr="004E4821">
              <w:rPr>
                <w:rFonts w:ascii="Arial" w:eastAsia="Times New Roman" w:hAnsi="Arial" w:cs="Arial"/>
                <w:sz w:val="20"/>
                <w:szCs w:val="20"/>
              </w:rPr>
              <w:t xml:space="preserve"> pravno-organizacijske oblike </w:t>
            </w:r>
            <w:r>
              <w:rPr>
                <w:rFonts w:ascii="Arial" w:eastAsia="Times New Roman" w:hAnsi="Arial" w:cs="Arial"/>
                <w:sz w:val="20"/>
                <w:szCs w:val="20"/>
              </w:rPr>
              <w:t xml:space="preserve"> in velikost</w:t>
            </w:r>
            <w:r w:rsidR="00743480">
              <w:rPr>
                <w:rFonts w:ascii="Arial" w:eastAsia="Times New Roman" w:hAnsi="Arial" w:cs="Arial"/>
                <w:sz w:val="20"/>
                <w:szCs w:val="20"/>
              </w:rPr>
              <w:t>i</w:t>
            </w:r>
            <w:r>
              <w:rPr>
                <w:rFonts w:ascii="Arial" w:eastAsia="Times New Roman" w:hAnsi="Arial" w:cs="Arial"/>
                <w:sz w:val="20"/>
                <w:szCs w:val="20"/>
              </w:rPr>
              <w:t xml:space="preserve">  </w:t>
            </w:r>
          </w:p>
        </w:tc>
        <w:tc>
          <w:tcPr>
            <w:tcW w:w="3957" w:type="dxa"/>
            <w:tcBorders>
              <w:top w:val="single" w:sz="4" w:space="0" w:color="000000"/>
              <w:left w:val="single" w:sz="4" w:space="0" w:color="000000"/>
              <w:bottom w:val="single" w:sz="4" w:space="0" w:color="000000"/>
              <w:right w:val="single" w:sz="4" w:space="0" w:color="000000"/>
            </w:tcBorders>
          </w:tcPr>
          <w:p w14:paraId="70210ABA" w14:textId="0A3B5CD1" w:rsidR="005315FB" w:rsidRPr="004E4821" w:rsidRDefault="005315FB" w:rsidP="00743480">
            <w:pPr>
              <w:jc w:val="both"/>
              <w:rPr>
                <w:rFonts w:ascii="Arial" w:hAnsi="Arial" w:cs="Arial"/>
                <w:sz w:val="20"/>
                <w:szCs w:val="20"/>
                <w:lang w:eastAsia="sl-SI" w:bidi="en-US"/>
              </w:rPr>
            </w:pPr>
            <w:r w:rsidRPr="004E4821">
              <w:rPr>
                <w:rFonts w:ascii="Arial" w:hAnsi="Arial" w:cs="Arial"/>
                <w:sz w:val="20"/>
                <w:szCs w:val="20"/>
                <w:lang w:eastAsia="sl-SI" w:bidi="en-US"/>
              </w:rPr>
              <w:t xml:space="preserve">Izpolnjevanje pogoja se  preveri  s  priloženim  potrdilom iz evidence AJPES oziroma iz dodatnih dokazil </w:t>
            </w:r>
            <w:r>
              <w:rPr>
                <w:rFonts w:ascii="Arial" w:hAnsi="Arial" w:cs="Arial"/>
                <w:sz w:val="20"/>
                <w:szCs w:val="20"/>
                <w:lang w:eastAsia="sl-SI" w:bidi="en-US"/>
              </w:rPr>
              <w:t>ponudnika.</w:t>
            </w:r>
          </w:p>
        </w:tc>
      </w:tr>
      <w:tr w:rsidR="005315FB" w:rsidRPr="004E4821" w14:paraId="4F24F323" w14:textId="77777777" w:rsidTr="00E03951">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6B4E5EAE" w14:textId="3BE7ABA0" w:rsidR="005315FB" w:rsidRPr="004E4821" w:rsidRDefault="005315FB" w:rsidP="00743480">
            <w:pPr>
              <w:jc w:val="both"/>
              <w:rPr>
                <w:rFonts w:ascii="Arial" w:eastAsia="Times New Roman" w:hAnsi="Arial" w:cs="Arial"/>
                <w:sz w:val="20"/>
                <w:szCs w:val="20"/>
                <w:lang w:bidi="en-US"/>
              </w:rPr>
            </w:pPr>
            <w:bookmarkStart w:id="0" w:name="_Hlk96080088"/>
            <w:r w:rsidRPr="004E4821">
              <w:rPr>
                <w:rFonts w:ascii="Arial" w:hAnsi="Arial" w:cs="Arial"/>
                <w:sz w:val="20"/>
                <w:szCs w:val="20"/>
              </w:rPr>
              <w:t>2). P</w:t>
            </w:r>
            <w:r w:rsidR="003E5352">
              <w:rPr>
                <w:rFonts w:ascii="Arial" w:hAnsi="Arial" w:cs="Arial"/>
                <w:sz w:val="20"/>
                <w:szCs w:val="20"/>
              </w:rPr>
              <w:t xml:space="preserve">onudnik </w:t>
            </w:r>
            <w:r w:rsidRPr="004E4821">
              <w:rPr>
                <w:rFonts w:ascii="Arial" w:hAnsi="Arial" w:cs="Arial"/>
                <w:sz w:val="20"/>
                <w:szCs w:val="20"/>
              </w:rPr>
              <w:t xml:space="preserve">j na dan oddaje </w:t>
            </w:r>
            <w:r w:rsidR="00743480">
              <w:rPr>
                <w:rFonts w:ascii="Arial" w:hAnsi="Arial" w:cs="Arial"/>
                <w:sz w:val="20"/>
                <w:szCs w:val="20"/>
              </w:rPr>
              <w:t xml:space="preserve">ponudbe </w:t>
            </w:r>
            <w:r w:rsidRPr="004E4821">
              <w:rPr>
                <w:rFonts w:ascii="Arial" w:hAnsi="Arial" w:cs="Arial"/>
                <w:sz w:val="20"/>
                <w:szCs w:val="20"/>
              </w:rPr>
              <w:t xml:space="preserve"> nima neporavnanih zapadlih finančnih obveznosti v višini 50 eurov ali več do  občine  ali do institucij , ki so v lastništvu oziroma v solastništvu občine pri čemer neporavnane obveznosti izhajajo iz naslova pogodb o sofinanciranju iz javnih sredstev in so bile kot neporavnane in zapadle pred tem spoznane s pravnomočnim izvršilnim naslovom. </w:t>
            </w:r>
            <w:bookmarkEnd w:id="0"/>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89337D7" w14:textId="77777777" w:rsidR="005315FB" w:rsidRPr="004E4821" w:rsidRDefault="005315FB" w:rsidP="00E03951">
            <w:pPr>
              <w:rPr>
                <w:rFonts w:ascii="Arial" w:hAnsi="Arial" w:cs="Arial"/>
                <w:sz w:val="20"/>
                <w:szCs w:val="20"/>
              </w:rPr>
            </w:pPr>
            <w:r w:rsidRPr="004E4821">
              <w:rPr>
                <w:rFonts w:ascii="Arial" w:hAnsi="Arial" w:cs="Arial"/>
                <w:sz w:val="20"/>
                <w:szCs w:val="20"/>
              </w:rPr>
              <w:t>Izpolnjevanje pogoja preveri občina  z izjavo in iz evidenc  občine in izvajalskih institucij.</w:t>
            </w:r>
          </w:p>
          <w:p w14:paraId="02D20C0D" w14:textId="77777777" w:rsidR="005315FB" w:rsidRPr="004E4821" w:rsidRDefault="005315FB" w:rsidP="00E03951">
            <w:pPr>
              <w:rPr>
                <w:rFonts w:ascii="Arial" w:hAnsi="Arial" w:cs="Arial"/>
                <w:sz w:val="20"/>
                <w:szCs w:val="20"/>
                <w:lang w:eastAsia="sl-SI" w:bidi="en-US"/>
              </w:rPr>
            </w:pPr>
          </w:p>
        </w:tc>
      </w:tr>
      <w:tr w:rsidR="005315FB" w:rsidRPr="004E4821" w14:paraId="53758299" w14:textId="77777777" w:rsidTr="00E03951">
        <w:trPr>
          <w:trHeight w:val="2267"/>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57906A32" w14:textId="52E402C6" w:rsidR="005315FB" w:rsidRPr="004E4821" w:rsidRDefault="005315FB" w:rsidP="00743480">
            <w:pPr>
              <w:jc w:val="both"/>
              <w:rPr>
                <w:rFonts w:ascii="Arial" w:hAnsi="Arial" w:cs="Arial"/>
                <w:sz w:val="20"/>
                <w:szCs w:val="20"/>
              </w:rPr>
            </w:pPr>
            <w:bookmarkStart w:id="1" w:name="_Hlk96080244"/>
            <w:r w:rsidRPr="004E4821">
              <w:rPr>
                <w:rFonts w:ascii="Arial" w:hAnsi="Arial" w:cs="Arial"/>
                <w:sz w:val="20"/>
                <w:szCs w:val="20"/>
              </w:rPr>
              <w:t>3). P</w:t>
            </w:r>
            <w:r w:rsidR="003E5352">
              <w:rPr>
                <w:rFonts w:ascii="Arial" w:hAnsi="Arial" w:cs="Arial"/>
                <w:sz w:val="20"/>
                <w:szCs w:val="20"/>
              </w:rPr>
              <w:t xml:space="preserve">onudnik </w:t>
            </w:r>
            <w:r w:rsidRPr="004E4821">
              <w:rPr>
                <w:rFonts w:ascii="Arial" w:hAnsi="Arial" w:cs="Arial"/>
                <w:sz w:val="20"/>
                <w:szCs w:val="20"/>
              </w:rPr>
              <w:t xml:space="preserve"> na dan oddaje </w:t>
            </w:r>
            <w:r w:rsidR="00743480">
              <w:rPr>
                <w:rFonts w:ascii="Arial" w:hAnsi="Arial" w:cs="Arial"/>
                <w:sz w:val="20"/>
                <w:szCs w:val="20"/>
              </w:rPr>
              <w:t xml:space="preserve">ponudbe </w:t>
            </w:r>
            <w:r w:rsidRPr="004E4821">
              <w:rPr>
                <w:rFonts w:ascii="Arial" w:hAnsi="Arial" w:cs="Arial"/>
                <w:sz w:val="20"/>
                <w:szCs w:val="20"/>
              </w:rPr>
              <w:t xml:space="preserve"> nima neporavnanih zapadlih finančnih obveznosti iz naslova obveznih dajatev in drugih denarnih nedavčnih obveznosti v skladu z zakonom, ki ureja finančno upravo, ki jih pobira davčni organ (v višini 50 eurov ali več na dan oddaje vloge); šteje se, da p</w:t>
            </w:r>
            <w:r w:rsidR="003E5352">
              <w:rPr>
                <w:rFonts w:ascii="Arial" w:hAnsi="Arial" w:cs="Arial"/>
                <w:sz w:val="20"/>
                <w:szCs w:val="20"/>
              </w:rPr>
              <w:t xml:space="preserve">onudnik </w:t>
            </w:r>
            <w:r w:rsidRPr="004E4821">
              <w:rPr>
                <w:rFonts w:ascii="Arial" w:hAnsi="Arial" w:cs="Arial"/>
                <w:sz w:val="20"/>
                <w:szCs w:val="20"/>
              </w:rPr>
              <w:t>, ki je gospodarski subjekt, ne izpolnjuje obveznosti tudi, če nima predloženih vseh obračunov davčnih odtegljajev za dohodke iz delovnega razmerja za obdobje zadnjega leta do dne oddaje vloge.</w:t>
            </w:r>
            <w:bookmarkEnd w:id="1"/>
          </w:p>
        </w:tc>
        <w:tc>
          <w:tcPr>
            <w:tcW w:w="3957" w:type="dxa"/>
            <w:tcBorders>
              <w:top w:val="single" w:sz="4" w:space="0" w:color="000000"/>
              <w:left w:val="single" w:sz="4" w:space="0" w:color="000000"/>
              <w:bottom w:val="single" w:sz="4" w:space="0" w:color="000000"/>
              <w:right w:val="single" w:sz="4" w:space="0" w:color="000000"/>
            </w:tcBorders>
            <w:shd w:val="clear" w:color="auto" w:fill="auto"/>
            <w:hideMark/>
          </w:tcPr>
          <w:p w14:paraId="5A46E0E5" w14:textId="009FD572" w:rsidR="005315FB" w:rsidRPr="004E4821" w:rsidRDefault="005315FB" w:rsidP="00E03951">
            <w:pPr>
              <w:rPr>
                <w:rFonts w:ascii="Arial" w:hAnsi="Arial" w:cs="Arial"/>
                <w:sz w:val="20"/>
                <w:szCs w:val="20"/>
              </w:rPr>
            </w:pPr>
            <w:r w:rsidRPr="004E4821">
              <w:rPr>
                <w:rFonts w:ascii="Arial" w:hAnsi="Arial" w:cs="Arial"/>
                <w:sz w:val="20"/>
                <w:szCs w:val="20"/>
              </w:rPr>
              <w:t xml:space="preserve">Izpolnjevanje pogoja </w:t>
            </w:r>
            <w:r w:rsidR="003E5352">
              <w:rPr>
                <w:rFonts w:ascii="Arial" w:hAnsi="Arial" w:cs="Arial"/>
                <w:sz w:val="20"/>
                <w:szCs w:val="20"/>
              </w:rPr>
              <w:t xml:space="preserve"> se preverja s </w:t>
            </w:r>
            <w:r w:rsidRPr="004E4821">
              <w:rPr>
                <w:rFonts w:ascii="Arial" w:hAnsi="Arial" w:cs="Arial"/>
                <w:sz w:val="20"/>
                <w:szCs w:val="20"/>
              </w:rPr>
              <w:t xml:space="preserve">priloženim potrdilom  Finančne uprave Republike Slovenije o plačanih davkih in prispevkih. </w:t>
            </w:r>
          </w:p>
          <w:p w14:paraId="6C2E9E23" w14:textId="77777777" w:rsidR="005315FB" w:rsidRPr="004E4821" w:rsidRDefault="005315FB" w:rsidP="00E03951">
            <w:pPr>
              <w:rPr>
                <w:rFonts w:ascii="Arial" w:hAnsi="Arial" w:cs="Arial"/>
                <w:sz w:val="20"/>
                <w:szCs w:val="20"/>
              </w:rPr>
            </w:pPr>
          </w:p>
        </w:tc>
      </w:tr>
      <w:tr w:rsidR="005315FB" w:rsidRPr="004E4821" w14:paraId="59C0F936" w14:textId="77777777" w:rsidTr="00E03951">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201859" w14:textId="7DD9F0AF" w:rsidR="005315FB" w:rsidRPr="004E4821" w:rsidRDefault="005315FB" w:rsidP="00743480">
            <w:pPr>
              <w:spacing w:line="252" w:lineRule="auto"/>
              <w:contextualSpacing/>
              <w:jc w:val="both"/>
              <w:rPr>
                <w:rFonts w:ascii="Arial" w:eastAsiaTheme="minorEastAsia" w:hAnsi="Arial" w:cs="Arial"/>
                <w:sz w:val="20"/>
                <w:szCs w:val="20"/>
              </w:rPr>
            </w:pPr>
            <w:r w:rsidRPr="004E4821">
              <w:rPr>
                <w:rFonts w:ascii="Arial" w:eastAsiaTheme="minorEastAsia" w:hAnsi="Arial" w:cs="Arial"/>
                <w:sz w:val="20"/>
                <w:szCs w:val="20"/>
              </w:rPr>
              <w:t>4). P</w:t>
            </w:r>
            <w:r w:rsidR="003E5352">
              <w:rPr>
                <w:rFonts w:ascii="Arial" w:eastAsiaTheme="minorEastAsia" w:hAnsi="Arial" w:cs="Arial"/>
                <w:sz w:val="20"/>
                <w:szCs w:val="20"/>
              </w:rPr>
              <w:t xml:space="preserve">onudnik </w:t>
            </w:r>
            <w:r w:rsidRPr="004E4821">
              <w:rPr>
                <w:rFonts w:ascii="Arial" w:eastAsiaTheme="minorEastAsia" w:hAnsi="Arial" w:cs="Arial"/>
                <w:sz w:val="20"/>
                <w:szCs w:val="20"/>
              </w:rPr>
              <w:t xml:space="preserve"> ni v postopku prisilne poravnave, stečajnem postopku, postopku likvidacije ali prisilnega prenehanja, z njegovimi posli iz drugih razlogov ne upravlja sodišče, ni opustil poslovne dejavnosti in na dan oddaje vloge ni bil v stanju insolventnosti, po določbah Zakona o finančnem poslovanju, postopkih zaradi insolventnosti in prisilnem prenehanju (Uradni list RS, št. 176/21 – uradno prečiščeno besedilo, 178/21 – </w:t>
            </w:r>
            <w:proofErr w:type="spellStart"/>
            <w:r w:rsidRPr="004E4821">
              <w:rPr>
                <w:rFonts w:ascii="Arial" w:eastAsiaTheme="minorEastAsia" w:hAnsi="Arial" w:cs="Arial"/>
                <w:sz w:val="20"/>
                <w:szCs w:val="20"/>
              </w:rPr>
              <w:t>popr</w:t>
            </w:r>
            <w:proofErr w:type="spellEnd"/>
            <w:r w:rsidRPr="004E4821">
              <w:rPr>
                <w:rFonts w:ascii="Arial" w:eastAsiaTheme="minorEastAsia" w:hAnsi="Arial" w:cs="Arial"/>
                <w:sz w:val="20"/>
                <w:szCs w:val="20"/>
              </w:rPr>
              <w:t xml:space="preserve">. in 196/21 – </w:t>
            </w:r>
            <w:proofErr w:type="spellStart"/>
            <w:r w:rsidRPr="004E4821">
              <w:rPr>
                <w:rFonts w:ascii="Arial" w:eastAsiaTheme="minorEastAsia" w:hAnsi="Arial" w:cs="Arial"/>
                <w:sz w:val="20"/>
                <w:szCs w:val="20"/>
              </w:rPr>
              <w:t>odl</w:t>
            </w:r>
            <w:proofErr w:type="spellEnd"/>
            <w:r w:rsidRPr="004E4821">
              <w:rPr>
                <w:rFonts w:ascii="Arial" w:eastAsiaTheme="minorEastAsia" w:hAnsi="Arial" w:cs="Arial"/>
                <w:sz w:val="20"/>
                <w:szCs w:val="20"/>
              </w:rPr>
              <w:t xml:space="preserve">. US).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052F656" w14:textId="77777777" w:rsidR="005315FB" w:rsidRPr="004E4821" w:rsidRDefault="005315FB" w:rsidP="00E03951">
            <w:pPr>
              <w:rPr>
                <w:rFonts w:ascii="Arial" w:eastAsiaTheme="minorEastAsia" w:hAnsi="Arial" w:cs="Arial"/>
                <w:sz w:val="20"/>
                <w:szCs w:val="20"/>
              </w:rPr>
            </w:pPr>
            <w:r w:rsidRPr="004E4821">
              <w:rPr>
                <w:rFonts w:ascii="Arial" w:eastAsiaTheme="minorEastAsia" w:hAnsi="Arial" w:cs="Arial"/>
                <w:sz w:val="20"/>
                <w:szCs w:val="20"/>
              </w:rPr>
              <w:t>Izpolnjevanje pogoja preveri občina  z izjavo in potrdilom iz evidence AJPES-a.</w:t>
            </w:r>
          </w:p>
        </w:tc>
      </w:tr>
      <w:tr w:rsidR="005315FB" w:rsidRPr="004E4821" w14:paraId="6FAC8F5B" w14:textId="77777777" w:rsidTr="00E03951">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B2580C1" w14:textId="29497DA4" w:rsidR="005315FB" w:rsidRPr="004E4821" w:rsidRDefault="005315FB" w:rsidP="00743480">
            <w:pPr>
              <w:spacing w:line="252" w:lineRule="auto"/>
              <w:contextualSpacing/>
              <w:jc w:val="both"/>
              <w:rPr>
                <w:rFonts w:ascii="Arial" w:eastAsiaTheme="minorEastAsia" w:hAnsi="Arial" w:cs="Arial"/>
                <w:sz w:val="20"/>
                <w:szCs w:val="20"/>
              </w:rPr>
            </w:pPr>
            <w:r w:rsidRPr="004E4821">
              <w:rPr>
                <w:rFonts w:ascii="Arial" w:eastAsiaTheme="minorEastAsia" w:hAnsi="Arial" w:cs="Arial"/>
                <w:sz w:val="20"/>
                <w:szCs w:val="20"/>
              </w:rPr>
              <w:t>5). P</w:t>
            </w:r>
            <w:r w:rsidR="003E5352">
              <w:rPr>
                <w:rFonts w:ascii="Arial" w:eastAsiaTheme="minorEastAsia" w:hAnsi="Arial" w:cs="Arial"/>
                <w:sz w:val="20"/>
                <w:szCs w:val="20"/>
              </w:rPr>
              <w:t xml:space="preserve">onudnik </w:t>
            </w:r>
            <w:r w:rsidRPr="004E4821">
              <w:rPr>
                <w:rFonts w:ascii="Arial" w:eastAsiaTheme="minorEastAsia" w:hAnsi="Arial" w:cs="Arial"/>
                <w:sz w:val="20"/>
                <w:szCs w:val="20"/>
              </w:rPr>
              <w:t xml:space="preserve">  ne prejema in ni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nista v težavah skladno z 18. točko 2. člena Uredbe 651/2014/EU.</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8C95AC8" w14:textId="77777777" w:rsidR="005315FB" w:rsidRPr="004E4821" w:rsidRDefault="005315FB" w:rsidP="00E03951">
            <w:pPr>
              <w:spacing w:after="0" w:line="240" w:lineRule="auto"/>
              <w:rPr>
                <w:rFonts w:ascii="Arial" w:eastAsiaTheme="minorEastAsia" w:hAnsi="Arial" w:cs="Arial"/>
                <w:sz w:val="20"/>
                <w:szCs w:val="20"/>
              </w:rPr>
            </w:pPr>
            <w:r w:rsidRPr="004E4821">
              <w:rPr>
                <w:rFonts w:ascii="Arial" w:eastAsiaTheme="minorEastAsia" w:hAnsi="Arial" w:cs="Arial"/>
                <w:sz w:val="20"/>
                <w:szCs w:val="20"/>
              </w:rPr>
              <w:t>Izpolnjevanje pogoja preveri občina  z izjavo.</w:t>
            </w:r>
          </w:p>
        </w:tc>
      </w:tr>
      <w:tr w:rsidR="005315FB" w:rsidRPr="004E4821" w14:paraId="52F8575A" w14:textId="77777777" w:rsidTr="00E03951">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4A049B0E" w14:textId="55D5BD9D" w:rsidR="005315FB" w:rsidRPr="004E4821" w:rsidRDefault="005315FB" w:rsidP="00743480">
            <w:pPr>
              <w:contextualSpacing/>
              <w:jc w:val="both"/>
              <w:rPr>
                <w:rFonts w:ascii="Arial" w:hAnsi="Arial" w:cs="Arial"/>
                <w:sz w:val="20"/>
                <w:szCs w:val="20"/>
              </w:rPr>
            </w:pPr>
            <w:r w:rsidRPr="004E4821">
              <w:rPr>
                <w:rFonts w:ascii="Arial" w:eastAsiaTheme="minorEastAsia" w:hAnsi="Arial" w:cs="Arial"/>
                <w:sz w:val="20"/>
                <w:szCs w:val="20"/>
              </w:rPr>
              <w:lastRenderedPageBreak/>
              <w:t>6).Za p</w:t>
            </w:r>
            <w:r w:rsidR="003E5352">
              <w:rPr>
                <w:rFonts w:ascii="Arial" w:eastAsiaTheme="minorEastAsia" w:hAnsi="Arial" w:cs="Arial"/>
                <w:sz w:val="20"/>
                <w:szCs w:val="20"/>
              </w:rPr>
              <w:t xml:space="preserve">onudnika </w:t>
            </w:r>
            <w:r w:rsidRPr="004E4821">
              <w:rPr>
                <w:rFonts w:ascii="Arial" w:eastAsiaTheme="minorEastAsia" w:hAnsi="Arial" w:cs="Arial"/>
                <w:sz w:val="20"/>
                <w:szCs w:val="20"/>
              </w:rPr>
              <w:t xml:space="preserve"> ni podana prepoved poslovanja v razmerju do ministrstva v obsegu, kot izhaja iz 35. in 36. člena </w:t>
            </w:r>
            <w:proofErr w:type="spellStart"/>
            <w:r w:rsidRPr="004E4821">
              <w:rPr>
                <w:rFonts w:ascii="Arial" w:eastAsiaTheme="minorEastAsia" w:hAnsi="Arial" w:cs="Arial"/>
                <w:sz w:val="20"/>
                <w:szCs w:val="20"/>
              </w:rPr>
              <w:t>ZIntPK</w:t>
            </w:r>
            <w:proofErr w:type="spellEnd"/>
            <w:r w:rsidRPr="004E4821">
              <w:rPr>
                <w:rFonts w:ascii="Arial" w:eastAsiaTheme="minorEastAsia" w:hAnsi="Arial" w:cs="Arial"/>
                <w:sz w:val="20"/>
                <w:szCs w:val="20"/>
              </w:rPr>
              <w:t xml:space="preserve"> (</w:t>
            </w:r>
            <w:r w:rsidRPr="004E4821">
              <w:rPr>
                <w:rFonts w:ascii="Arial" w:hAnsi="Arial" w:cs="Arial"/>
                <w:sz w:val="20"/>
                <w:szCs w:val="20"/>
              </w:rPr>
              <w:t xml:space="preserve">Zakona o integriteti in preprečevanju korupcije, Uradni list RS, št. 69/11 – uradno prečiščeno besedilo). </w:t>
            </w:r>
            <w:r w:rsidRPr="004E4821">
              <w:rPr>
                <w:rFonts w:ascii="Arial" w:eastAsiaTheme="minorEastAsia" w:hAnsi="Arial" w:cs="Arial"/>
                <w:sz w:val="20"/>
                <w:szCs w:val="20"/>
              </w:rPr>
              <w:t xml:space="preserve">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DBD51D0" w14:textId="77777777" w:rsidR="005315FB" w:rsidRPr="004E4821" w:rsidRDefault="005315FB" w:rsidP="00E03951">
            <w:pPr>
              <w:rPr>
                <w:rFonts w:ascii="Arial" w:hAnsi="Arial" w:cs="Arial"/>
                <w:sz w:val="20"/>
                <w:szCs w:val="20"/>
                <w:lang w:eastAsia="sl-SI" w:bidi="en-US"/>
              </w:rPr>
            </w:pPr>
            <w:r w:rsidRPr="004E4821">
              <w:rPr>
                <w:rFonts w:ascii="Arial" w:eastAsiaTheme="minorEastAsia" w:hAnsi="Arial" w:cs="Arial"/>
                <w:sz w:val="20"/>
                <w:szCs w:val="20"/>
              </w:rPr>
              <w:t xml:space="preserve">Izpolnjevanje pogoja preveri občina  z izjavo in </w:t>
            </w:r>
            <w:r w:rsidRPr="004E4821">
              <w:rPr>
                <w:rFonts w:ascii="Arial" w:hAnsi="Arial" w:cs="Arial"/>
                <w:sz w:val="20"/>
                <w:szCs w:val="20"/>
                <w:lang w:eastAsia="sl-SI" w:bidi="en-US"/>
              </w:rPr>
              <w:t>na spletni</w:t>
            </w:r>
            <w:r w:rsidRPr="004E4821">
              <w:rPr>
                <w:rFonts w:ascii="Arial" w:hAnsi="Arial" w:cs="Arial"/>
                <w:sz w:val="20"/>
                <w:szCs w:val="20"/>
                <w:lang w:val="it-IT" w:eastAsia="sl-SI" w:bidi="en-US"/>
              </w:rPr>
              <w:t xml:space="preserve"> strani (</w:t>
            </w:r>
            <w:hyperlink r:id="rId5" w:history="1">
              <w:r w:rsidRPr="004E4821">
                <w:rPr>
                  <w:rStyle w:val="Hiperpovezava"/>
                  <w:rFonts w:ascii="Arial" w:hAnsi="Arial" w:cs="Arial"/>
                  <w:sz w:val="20"/>
                  <w:szCs w:val="20"/>
                  <w:lang w:val="it-IT" w:eastAsia="sl-SI" w:bidi="en-US"/>
                </w:rPr>
                <w:t>http://erar.si/omejitve</w:t>
              </w:r>
            </w:hyperlink>
            <w:r w:rsidRPr="004E4821">
              <w:rPr>
                <w:rStyle w:val="Hiperpovezava"/>
                <w:rFonts w:ascii="Arial" w:hAnsi="Arial" w:cs="Arial"/>
                <w:sz w:val="20"/>
                <w:szCs w:val="20"/>
                <w:lang w:val="it-IT" w:eastAsia="sl-SI" w:bidi="en-US"/>
              </w:rPr>
              <w:t>)</w:t>
            </w:r>
            <w:r w:rsidRPr="004E4821">
              <w:t xml:space="preserve"> .</w:t>
            </w:r>
          </w:p>
        </w:tc>
      </w:tr>
      <w:tr w:rsidR="005315FB" w:rsidRPr="004E4821" w14:paraId="06AFD66B" w14:textId="77777777" w:rsidTr="00E03951">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C3BF9C7" w14:textId="190E9F90" w:rsidR="005315FB" w:rsidRPr="004E4821" w:rsidRDefault="005315FB" w:rsidP="00743480">
            <w:pPr>
              <w:jc w:val="both"/>
              <w:rPr>
                <w:rFonts w:ascii="Arial" w:hAnsi="Arial" w:cs="Arial"/>
                <w:sz w:val="20"/>
                <w:szCs w:val="20"/>
              </w:rPr>
            </w:pPr>
            <w:r w:rsidRPr="004E4821">
              <w:rPr>
                <w:rFonts w:ascii="Arial" w:eastAsiaTheme="minorEastAsia" w:hAnsi="Arial" w:cs="Arial"/>
                <w:sz w:val="20"/>
                <w:szCs w:val="20"/>
              </w:rPr>
              <w:t>7). P</w:t>
            </w:r>
            <w:r w:rsidR="003E5352">
              <w:rPr>
                <w:rFonts w:ascii="Arial" w:eastAsiaTheme="minorEastAsia" w:hAnsi="Arial" w:cs="Arial"/>
                <w:sz w:val="20"/>
                <w:szCs w:val="20"/>
              </w:rPr>
              <w:t xml:space="preserve">onudnik </w:t>
            </w:r>
            <w:r w:rsidRPr="004E4821">
              <w:rPr>
                <w:rFonts w:ascii="Arial" w:eastAsiaTheme="minorEastAsia" w:hAnsi="Arial" w:cs="Arial"/>
                <w:sz w:val="20"/>
                <w:szCs w:val="20"/>
              </w:rPr>
              <w:t xml:space="preserve"> ni v postopku vračanja neupravičeno prejete državne pomoči na podlagi odločbe Evropske komisije, ki je prejeto državno pomoč razglasila za nezakonito in nezdružljivo s skupnim trgom Skupnosti.</w:t>
            </w:r>
            <w:r w:rsidRPr="004E4821">
              <w:rPr>
                <w:rFonts w:ascii="Arial" w:hAnsi="Arial" w:cs="Arial"/>
                <w:sz w:val="20"/>
                <w:szCs w:val="20"/>
              </w:rPr>
              <w:t xml:space="preserve"> </w:t>
            </w:r>
            <w:r w:rsidRPr="004E4821">
              <w:rPr>
                <w:rFonts w:ascii="Arial" w:eastAsiaTheme="minorEastAsia" w:hAnsi="Arial" w:cs="Arial"/>
                <w:sz w:val="20"/>
                <w:szCs w:val="20"/>
              </w:rPr>
              <w:t>(izjava ter dodatna preveritev v javnih evidencah EK).</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3EA1837" w14:textId="77777777" w:rsidR="005315FB" w:rsidRPr="004E4821" w:rsidRDefault="005315FB" w:rsidP="00E03951">
            <w:pPr>
              <w:rPr>
                <w:rFonts w:ascii="Arial" w:hAnsi="Arial" w:cs="Arial"/>
                <w:sz w:val="20"/>
                <w:szCs w:val="20"/>
                <w:lang w:eastAsia="sl-SI" w:bidi="en-US"/>
              </w:rPr>
            </w:pPr>
            <w:r w:rsidRPr="004E4821">
              <w:rPr>
                <w:rFonts w:ascii="Arial" w:eastAsiaTheme="minorEastAsia" w:hAnsi="Arial" w:cs="Arial"/>
                <w:sz w:val="20"/>
                <w:szCs w:val="20"/>
              </w:rPr>
              <w:t>Izpolnjevanje pogoja preveri občina z izjavo.</w:t>
            </w:r>
          </w:p>
        </w:tc>
      </w:tr>
      <w:tr w:rsidR="005315FB" w:rsidRPr="004E4821" w14:paraId="1649EC8C" w14:textId="77777777" w:rsidTr="00E03951">
        <w:trPr>
          <w:trHeight w:val="273"/>
          <w:jc w:val="center"/>
        </w:trPr>
        <w:tc>
          <w:tcPr>
            <w:tcW w:w="5677" w:type="dxa"/>
            <w:tcBorders>
              <w:top w:val="single" w:sz="4" w:space="0" w:color="000000"/>
              <w:left w:val="single" w:sz="4" w:space="0" w:color="000000"/>
              <w:bottom w:val="single" w:sz="4" w:space="0" w:color="auto"/>
              <w:right w:val="single" w:sz="4" w:space="0" w:color="000000"/>
            </w:tcBorders>
            <w:shd w:val="clear" w:color="auto" w:fill="auto"/>
          </w:tcPr>
          <w:p w14:paraId="22C17195" w14:textId="3355A92B" w:rsidR="005315FB" w:rsidRPr="004E4821" w:rsidRDefault="005315FB" w:rsidP="00743480">
            <w:pPr>
              <w:jc w:val="both"/>
              <w:rPr>
                <w:rFonts w:ascii="Arial" w:hAnsi="Arial" w:cs="Arial"/>
                <w:sz w:val="20"/>
                <w:szCs w:val="20"/>
              </w:rPr>
            </w:pPr>
            <w:r w:rsidRPr="004E4821">
              <w:rPr>
                <w:rFonts w:ascii="Arial" w:eastAsia="Times New Roman" w:hAnsi="Arial" w:cs="Arial"/>
                <w:sz w:val="20"/>
                <w:szCs w:val="20"/>
                <w:lang w:bidi="en-US"/>
              </w:rPr>
              <w:t xml:space="preserve">8). </w:t>
            </w:r>
            <w:r w:rsidRPr="004E4821">
              <w:rPr>
                <w:rFonts w:ascii="Arial" w:eastAsiaTheme="minorEastAsia" w:hAnsi="Arial" w:cs="Arial"/>
                <w:sz w:val="20"/>
                <w:szCs w:val="20"/>
              </w:rPr>
              <w:t xml:space="preserve">Za </w:t>
            </w:r>
            <w:r w:rsidR="003E5352">
              <w:rPr>
                <w:rFonts w:ascii="Arial" w:eastAsiaTheme="minorEastAsia" w:hAnsi="Arial" w:cs="Arial"/>
                <w:sz w:val="20"/>
                <w:szCs w:val="20"/>
              </w:rPr>
              <w:t xml:space="preserve">znesek investicijske spodbude </w:t>
            </w:r>
            <w:r w:rsidRPr="004E4821">
              <w:rPr>
                <w:rFonts w:ascii="Arial" w:eastAsiaTheme="minorEastAsia" w:hAnsi="Arial" w:cs="Arial"/>
                <w:sz w:val="20"/>
                <w:szCs w:val="20"/>
              </w:rPr>
              <w:t xml:space="preserve"> (razlika med plačano kupnino in ocenjeno vrednostjo nepremičnin</w:t>
            </w:r>
            <w:r w:rsidR="00743480">
              <w:rPr>
                <w:rFonts w:ascii="Arial" w:eastAsiaTheme="minorEastAsia" w:hAnsi="Arial" w:cs="Arial"/>
                <w:sz w:val="20"/>
                <w:szCs w:val="20"/>
              </w:rPr>
              <w:t xml:space="preserve">e </w:t>
            </w:r>
            <w:r w:rsidRPr="004E4821">
              <w:rPr>
                <w:rFonts w:ascii="Arial" w:eastAsiaTheme="minorEastAsia" w:hAnsi="Arial" w:cs="Arial"/>
                <w:sz w:val="20"/>
                <w:szCs w:val="20"/>
              </w:rPr>
              <w:t>) p</w:t>
            </w:r>
            <w:r w:rsidR="003E5352">
              <w:rPr>
                <w:rFonts w:ascii="Arial" w:eastAsiaTheme="minorEastAsia" w:hAnsi="Arial" w:cs="Arial"/>
                <w:sz w:val="20"/>
                <w:szCs w:val="20"/>
              </w:rPr>
              <w:t xml:space="preserve">onudnik </w:t>
            </w:r>
            <w:r w:rsidRPr="004E4821">
              <w:rPr>
                <w:rFonts w:ascii="Arial" w:eastAsiaTheme="minorEastAsia" w:hAnsi="Arial" w:cs="Arial"/>
                <w:sz w:val="20"/>
                <w:szCs w:val="20"/>
              </w:rPr>
              <w:t xml:space="preserve"> ni in ne bo pridobil sredstev iz drugih javnih virov (sredstev evropskega, državnega ali lokalnega proračuna) (prepoved dvojnega financiranja).</w:t>
            </w:r>
          </w:p>
        </w:tc>
        <w:tc>
          <w:tcPr>
            <w:tcW w:w="3957" w:type="dxa"/>
            <w:tcBorders>
              <w:top w:val="single" w:sz="4" w:space="0" w:color="000000"/>
              <w:left w:val="single" w:sz="4" w:space="0" w:color="000000"/>
              <w:bottom w:val="single" w:sz="4" w:space="0" w:color="auto"/>
              <w:right w:val="single" w:sz="4" w:space="0" w:color="000000"/>
            </w:tcBorders>
            <w:shd w:val="clear" w:color="auto" w:fill="auto"/>
          </w:tcPr>
          <w:p w14:paraId="722F2922" w14:textId="77777777" w:rsidR="005315FB" w:rsidRPr="004E4821" w:rsidRDefault="005315FB" w:rsidP="00E03951">
            <w:pPr>
              <w:rPr>
                <w:rFonts w:ascii="Arial" w:hAnsi="Arial" w:cs="Arial"/>
                <w:sz w:val="20"/>
                <w:szCs w:val="20"/>
                <w:lang w:eastAsia="sl-SI" w:bidi="en-US"/>
              </w:rPr>
            </w:pPr>
            <w:r w:rsidRPr="004E4821">
              <w:rPr>
                <w:rFonts w:ascii="Arial" w:eastAsiaTheme="minorEastAsia" w:hAnsi="Arial" w:cs="Arial"/>
                <w:sz w:val="20"/>
                <w:szCs w:val="20"/>
              </w:rPr>
              <w:t>Izpolnjevanje pogoja preveri občina  z izjavo.</w:t>
            </w:r>
          </w:p>
        </w:tc>
      </w:tr>
      <w:tr w:rsidR="005315FB" w:rsidRPr="004E4821" w14:paraId="4B150158" w14:textId="77777777" w:rsidTr="00E03951">
        <w:trPr>
          <w:trHeight w:val="273"/>
          <w:jc w:val="center"/>
        </w:trPr>
        <w:tc>
          <w:tcPr>
            <w:tcW w:w="5677" w:type="dxa"/>
            <w:tcBorders>
              <w:top w:val="single" w:sz="4" w:space="0" w:color="auto"/>
              <w:left w:val="single" w:sz="4" w:space="0" w:color="auto"/>
              <w:bottom w:val="single" w:sz="4" w:space="0" w:color="auto"/>
              <w:right w:val="single" w:sz="4" w:space="0" w:color="auto"/>
            </w:tcBorders>
            <w:shd w:val="clear" w:color="auto" w:fill="auto"/>
          </w:tcPr>
          <w:p w14:paraId="2D047F9E" w14:textId="1274D92C" w:rsidR="005315FB" w:rsidRPr="004E4821" w:rsidRDefault="005315FB" w:rsidP="00743480">
            <w:pPr>
              <w:spacing w:after="0" w:line="240" w:lineRule="auto"/>
              <w:contextualSpacing/>
              <w:jc w:val="both"/>
              <w:rPr>
                <w:rFonts w:ascii="Arial" w:hAnsi="Arial" w:cs="Arial"/>
                <w:sz w:val="20"/>
                <w:szCs w:val="20"/>
              </w:rPr>
            </w:pPr>
            <w:r w:rsidRPr="004E4821">
              <w:rPr>
                <w:rFonts w:ascii="Arial" w:hAnsi="Arial" w:cs="Arial"/>
                <w:sz w:val="20"/>
                <w:szCs w:val="20"/>
              </w:rPr>
              <w:t xml:space="preserve">9). </w:t>
            </w:r>
            <w:r w:rsidRPr="004E4821">
              <w:rPr>
                <w:rFonts w:ascii="Arial" w:eastAsiaTheme="minorEastAsia" w:hAnsi="Arial" w:cs="Arial"/>
                <w:sz w:val="20"/>
                <w:szCs w:val="20"/>
              </w:rPr>
              <w:t xml:space="preserve">Dejanski lastnik(i) gospodarske družbe v skladu z 19. členom Zakona o preprečevanju pranja denarja in financiranja terorizma (Uradni list RS, št. 68/16, 81/19, 91/20 in 2/21 – </w:t>
            </w:r>
            <w:proofErr w:type="spellStart"/>
            <w:r w:rsidRPr="004E4821">
              <w:rPr>
                <w:rFonts w:ascii="Arial" w:eastAsiaTheme="minorEastAsia" w:hAnsi="Arial" w:cs="Arial"/>
                <w:sz w:val="20"/>
                <w:szCs w:val="20"/>
              </w:rPr>
              <w:t>popr</w:t>
            </w:r>
            <w:proofErr w:type="spellEnd"/>
            <w:r w:rsidRPr="004E4821">
              <w:rPr>
                <w:rFonts w:ascii="Arial" w:eastAsiaTheme="minorEastAsia" w:hAnsi="Arial" w:cs="Arial"/>
                <w:sz w:val="20"/>
                <w:szCs w:val="20"/>
              </w:rPr>
              <w:t>.) ni(so) vpleten(i) v postopke pranja denarja in financiranja terorizma. P</w:t>
            </w:r>
            <w:r w:rsidR="003E5352">
              <w:rPr>
                <w:rFonts w:ascii="Arial" w:eastAsiaTheme="minorEastAsia" w:hAnsi="Arial" w:cs="Arial"/>
                <w:sz w:val="20"/>
                <w:szCs w:val="20"/>
              </w:rPr>
              <w:t>onudnik</w:t>
            </w:r>
            <w:r w:rsidRPr="004E4821">
              <w:rPr>
                <w:rFonts w:ascii="Arial" w:eastAsiaTheme="minorEastAsia" w:hAnsi="Arial" w:cs="Arial"/>
                <w:sz w:val="20"/>
                <w:szCs w:val="20"/>
              </w:rPr>
              <w:t xml:space="preserve"> je skladno z navedenim zakonom zavezan k vpisu podatkov v Register dejanskih lastnikov (v nadaljevanju: Register), ki ga vodi Agencija Republike Slovenije za javnopravne evidence in storitve (AJPES).</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20A09230" w14:textId="77777777" w:rsidR="005315FB" w:rsidRPr="004E4821" w:rsidRDefault="005315FB" w:rsidP="00E03951">
            <w:pPr>
              <w:rPr>
                <w:rFonts w:ascii="Arial" w:hAnsi="Arial" w:cs="Arial"/>
                <w:sz w:val="20"/>
                <w:szCs w:val="20"/>
                <w:lang w:eastAsia="sl-SI" w:bidi="en-US"/>
              </w:rPr>
            </w:pPr>
            <w:r w:rsidRPr="004E4821">
              <w:rPr>
                <w:rFonts w:ascii="Arial" w:eastAsiaTheme="minorEastAsia" w:hAnsi="Arial" w:cs="Arial"/>
                <w:sz w:val="20"/>
                <w:szCs w:val="20"/>
              </w:rPr>
              <w:t xml:space="preserve">Izpolnjevanje pogoja preveri občina  z izjavo. </w:t>
            </w:r>
          </w:p>
        </w:tc>
      </w:tr>
      <w:tr w:rsidR="005315FB" w:rsidRPr="004E4821" w14:paraId="366FC820" w14:textId="77777777" w:rsidTr="00E03951">
        <w:trPr>
          <w:trHeight w:val="273"/>
          <w:jc w:val="center"/>
        </w:trPr>
        <w:tc>
          <w:tcPr>
            <w:tcW w:w="5677" w:type="dxa"/>
            <w:tcBorders>
              <w:top w:val="single" w:sz="4" w:space="0" w:color="auto"/>
              <w:left w:val="single" w:sz="4" w:space="0" w:color="auto"/>
              <w:bottom w:val="single" w:sz="4" w:space="0" w:color="auto"/>
              <w:right w:val="single" w:sz="4" w:space="0" w:color="auto"/>
            </w:tcBorders>
            <w:shd w:val="clear" w:color="auto" w:fill="auto"/>
          </w:tcPr>
          <w:p w14:paraId="7FE178DD" w14:textId="75A73533" w:rsidR="005315FB" w:rsidRPr="004E4821" w:rsidRDefault="005315FB" w:rsidP="00743480">
            <w:pPr>
              <w:spacing w:after="0" w:line="240" w:lineRule="auto"/>
              <w:contextualSpacing/>
              <w:jc w:val="both"/>
              <w:rPr>
                <w:rFonts w:ascii="Arial" w:hAnsi="Arial" w:cs="Arial"/>
                <w:sz w:val="20"/>
                <w:szCs w:val="20"/>
              </w:rPr>
            </w:pPr>
            <w:r w:rsidRPr="004E4821">
              <w:rPr>
                <w:rFonts w:ascii="Arial" w:hAnsi="Arial" w:cs="Arial"/>
                <w:sz w:val="20"/>
                <w:szCs w:val="20"/>
              </w:rPr>
              <w:t xml:space="preserve">10). </w:t>
            </w:r>
            <w:r w:rsidRPr="004E4821">
              <w:rPr>
                <w:rFonts w:ascii="Arial" w:eastAsiaTheme="minorEastAsia" w:hAnsi="Arial" w:cs="Arial"/>
                <w:sz w:val="20"/>
                <w:szCs w:val="20"/>
              </w:rPr>
              <w:t>P</w:t>
            </w:r>
            <w:r w:rsidR="003E5352">
              <w:rPr>
                <w:rFonts w:ascii="Arial" w:eastAsiaTheme="minorEastAsia" w:hAnsi="Arial" w:cs="Arial"/>
                <w:sz w:val="20"/>
                <w:szCs w:val="20"/>
              </w:rPr>
              <w:t xml:space="preserve">onudnik </w:t>
            </w:r>
            <w:r w:rsidRPr="004E4821">
              <w:rPr>
                <w:rFonts w:ascii="Arial" w:eastAsiaTheme="minorEastAsia" w:hAnsi="Arial" w:cs="Arial"/>
                <w:sz w:val="20"/>
                <w:szCs w:val="20"/>
              </w:rPr>
              <w:t xml:space="preserve"> mora upoštevati pravilo kumulacije državnih pomoči - skupna višina državne pomoči(razlika med plačano kupnino in ocenjeno vrednostjo nepremičnin)- ne sme presegati največje intenzivnosti pomoči ali zneska državne pomoči, kot jih določa shema državnih pomoči, po katerih se izvaja  prodaja predmetnih nepremičnin </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07E6A5B5" w14:textId="77777777" w:rsidR="005315FB" w:rsidRPr="004E4821" w:rsidRDefault="005315FB" w:rsidP="00E03951">
            <w:pPr>
              <w:rPr>
                <w:rFonts w:ascii="Arial" w:eastAsiaTheme="minorEastAsia" w:hAnsi="Arial" w:cs="Arial"/>
                <w:sz w:val="20"/>
                <w:szCs w:val="20"/>
              </w:rPr>
            </w:pPr>
            <w:r w:rsidRPr="004E4821">
              <w:rPr>
                <w:rFonts w:ascii="Arial" w:hAnsi="Arial" w:cs="Arial"/>
                <w:sz w:val="20"/>
                <w:szCs w:val="20"/>
              </w:rPr>
              <w:t>Izpolnjevanje pogoja preveri občina  z izjavo.</w:t>
            </w:r>
          </w:p>
        </w:tc>
      </w:tr>
    </w:tbl>
    <w:p w14:paraId="795D5661" w14:textId="77777777" w:rsidR="005315FB" w:rsidRPr="004E4821" w:rsidRDefault="005315FB" w:rsidP="005315FB">
      <w:pPr>
        <w:rPr>
          <w:rFonts w:ascii="Arial" w:eastAsia="Calibri" w:hAnsi="Arial" w:cs="Arial"/>
          <w:sz w:val="20"/>
          <w:szCs w:val="20"/>
          <w:lang w:eastAsia="sl-SI"/>
        </w:rPr>
      </w:pPr>
    </w:p>
    <w:p w14:paraId="0CC7B084" w14:textId="77777777" w:rsidR="005315FB" w:rsidRPr="004E4821" w:rsidRDefault="005315FB" w:rsidP="005315FB">
      <w:pPr>
        <w:contextualSpacing/>
        <w:rPr>
          <w:rFonts w:ascii="Arial" w:hAnsi="Arial" w:cs="Arial"/>
          <w:sz w:val="20"/>
          <w:szCs w:val="20"/>
        </w:rPr>
      </w:pPr>
    </w:p>
    <w:p w14:paraId="63CB735F" w14:textId="7847A91D" w:rsidR="005315FB" w:rsidRDefault="005315FB" w:rsidP="005315FB">
      <w:pPr>
        <w:spacing w:after="0" w:line="240" w:lineRule="auto"/>
        <w:ind w:left="-426"/>
        <w:contextualSpacing/>
        <w:jc w:val="both"/>
        <w:rPr>
          <w:rFonts w:ascii="Arial" w:eastAsia="Times New Roman" w:hAnsi="Arial" w:cs="Arial"/>
          <w:b/>
          <w:noProof/>
          <w:sz w:val="20"/>
          <w:szCs w:val="20"/>
          <w:lang w:eastAsia="sl-SI"/>
        </w:rPr>
      </w:pPr>
      <w:r w:rsidRPr="004E4821">
        <w:rPr>
          <w:rFonts w:ascii="Arial" w:eastAsia="Times New Roman" w:hAnsi="Arial" w:cs="Arial"/>
          <w:b/>
          <w:noProof/>
          <w:sz w:val="20"/>
          <w:szCs w:val="20"/>
          <w:lang w:eastAsia="sl-SI"/>
        </w:rPr>
        <w:t xml:space="preserve"> Izpolnjevanje  pogojev za  dodelitev investicijske spodbude</w:t>
      </w:r>
    </w:p>
    <w:p w14:paraId="702FBD36" w14:textId="77777777" w:rsidR="00743480" w:rsidRPr="004E4821" w:rsidRDefault="00743480" w:rsidP="005315FB">
      <w:pPr>
        <w:spacing w:after="0" w:line="240" w:lineRule="auto"/>
        <w:ind w:left="-426"/>
        <w:contextualSpacing/>
        <w:jc w:val="both"/>
        <w:rPr>
          <w:rFonts w:ascii="Arial" w:eastAsia="Times New Roman" w:hAnsi="Arial" w:cs="Arial"/>
          <w:b/>
          <w:noProof/>
          <w:sz w:val="20"/>
          <w:szCs w:val="20"/>
          <w:lang w:eastAsia="sl-SI"/>
        </w:rPr>
      </w:pPr>
    </w:p>
    <w:p w14:paraId="0F15DEED" w14:textId="77777777" w:rsidR="005315FB" w:rsidRPr="004E4821" w:rsidRDefault="005315FB" w:rsidP="005315FB">
      <w:pPr>
        <w:spacing w:after="0" w:line="240" w:lineRule="auto"/>
        <w:ind w:left="-426"/>
        <w:contextualSpacing/>
        <w:jc w:val="both"/>
        <w:rPr>
          <w:rFonts w:ascii="Arial" w:hAnsi="Arial" w:cs="Arial"/>
          <w:sz w:val="20"/>
          <w:szCs w:val="20"/>
        </w:rPr>
      </w:pPr>
    </w:p>
    <w:p w14:paraId="5515F4A6" w14:textId="77777777" w:rsidR="005315FB" w:rsidRPr="00743480" w:rsidRDefault="005315FB" w:rsidP="00743480">
      <w:pPr>
        <w:contextualSpacing/>
        <w:jc w:val="both"/>
        <w:rPr>
          <w:rFonts w:ascii="Arial" w:hAnsi="Arial" w:cs="Arial"/>
          <w:sz w:val="20"/>
          <w:szCs w:val="20"/>
        </w:rPr>
      </w:pPr>
      <w:r w:rsidRPr="00743480">
        <w:rPr>
          <w:rFonts w:ascii="Arial" w:hAnsi="Arial" w:cs="Arial"/>
          <w:sz w:val="20"/>
          <w:szCs w:val="20"/>
        </w:rPr>
        <w:t>Izpolnjevanje  pogojev  glede dinamike realizacije  investicije in pogojev   dodelitev investicijske spodbude se bo preverjalo na naslednji način:</w:t>
      </w:r>
    </w:p>
    <w:p w14:paraId="46577A3E" w14:textId="77777777" w:rsidR="005315FB" w:rsidRPr="004E4821" w:rsidRDefault="005315FB" w:rsidP="005315FB">
      <w:pPr>
        <w:contextualSpacing/>
        <w:rPr>
          <w:rFonts w:ascii="Arial" w:hAnsi="Arial" w:cs="Arial"/>
          <w:sz w:val="20"/>
          <w:szCs w:val="20"/>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253"/>
      </w:tblGrid>
      <w:tr w:rsidR="005315FB" w:rsidRPr="004E4821" w14:paraId="20B7765D"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4F9729E"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 xml:space="preserve">POSEBNI POGOJI ZA SODELOVANJE  </w:t>
            </w:r>
          </w:p>
        </w:tc>
        <w:tc>
          <w:tcPr>
            <w:tcW w:w="425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0AEE5ED"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DOKAZILO IN NAČIN PREVERJANJA</w:t>
            </w:r>
          </w:p>
        </w:tc>
      </w:tr>
      <w:tr w:rsidR="005315FB" w:rsidRPr="004E4821" w14:paraId="51FCCB05"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9448947" w14:textId="71636AA0" w:rsidR="005315FB" w:rsidRPr="004E4821" w:rsidRDefault="005315FB" w:rsidP="00381ED5">
            <w:pPr>
              <w:pStyle w:val="Odstavekseznama"/>
              <w:numPr>
                <w:ilvl w:val="0"/>
                <w:numId w:val="11"/>
              </w:numPr>
              <w:rPr>
                <w:rFonts w:ascii="Arial" w:hAnsi="Arial" w:cs="Arial"/>
                <w:sz w:val="20"/>
                <w:szCs w:val="20"/>
              </w:rPr>
            </w:pPr>
            <w:r w:rsidRPr="004E4821">
              <w:rPr>
                <w:rFonts w:ascii="Arial" w:hAnsi="Arial" w:cs="Arial"/>
                <w:sz w:val="20"/>
                <w:szCs w:val="20"/>
              </w:rPr>
              <w:t>Investicija na zemljišču, ki je predmet prodaje  k, mora biti zaključena najkasneje  do 30.9. 2026</w:t>
            </w:r>
            <w:r w:rsidRPr="004E4821">
              <w:rPr>
                <w:rFonts w:ascii="Arial" w:hAnsi="Arial" w:cs="Arial"/>
                <w:b/>
                <w:bCs/>
                <w:sz w:val="20"/>
                <w:szCs w:val="20"/>
              </w:rPr>
              <w:t xml:space="preserve">  </w:t>
            </w:r>
            <w:r w:rsidRPr="003E5352">
              <w:rPr>
                <w:rFonts w:ascii="Arial" w:hAnsi="Arial" w:cs="Arial"/>
                <w:sz w:val="20"/>
                <w:szCs w:val="20"/>
              </w:rPr>
              <w:t>(pridobljeno</w:t>
            </w:r>
            <w:r w:rsidR="003E5352" w:rsidRPr="003E5352">
              <w:rPr>
                <w:rFonts w:ascii="Arial" w:hAnsi="Arial" w:cs="Arial"/>
                <w:sz w:val="20"/>
                <w:szCs w:val="20"/>
              </w:rPr>
              <w:t xml:space="preserve"> pravnomočno</w:t>
            </w:r>
            <w:r w:rsidR="003E5352">
              <w:rPr>
                <w:rFonts w:ascii="Arial" w:hAnsi="Arial" w:cs="Arial"/>
                <w:b/>
                <w:bCs/>
                <w:sz w:val="20"/>
                <w:szCs w:val="20"/>
              </w:rPr>
              <w:t xml:space="preserve"> </w:t>
            </w:r>
            <w:r w:rsidRPr="004E4821">
              <w:rPr>
                <w:rFonts w:ascii="Arial" w:hAnsi="Arial" w:cs="Arial"/>
                <w:sz w:val="20"/>
                <w:szCs w:val="20"/>
              </w:rPr>
              <w:t xml:space="preserve"> uporabno dovoljenje)</w:t>
            </w:r>
          </w:p>
          <w:p w14:paraId="15534B2D" w14:textId="725CC93B" w:rsidR="005315FB" w:rsidRPr="004E4821" w:rsidRDefault="005315FB" w:rsidP="00381ED5">
            <w:pPr>
              <w:pStyle w:val="Odstavekseznama"/>
              <w:numPr>
                <w:ilvl w:val="0"/>
                <w:numId w:val="11"/>
              </w:numPr>
              <w:rPr>
                <w:rFonts w:ascii="Arial" w:hAnsi="Arial" w:cs="Arial"/>
                <w:sz w:val="20"/>
                <w:szCs w:val="20"/>
              </w:rPr>
            </w:pPr>
            <w:r w:rsidRPr="004E4821">
              <w:rPr>
                <w:rFonts w:ascii="Arial" w:hAnsi="Arial" w:cs="Arial"/>
                <w:sz w:val="20"/>
                <w:szCs w:val="20"/>
              </w:rPr>
              <w:t>Vloga za gradbeno dovoljenje mora biti vloženo najkasneje do 31</w:t>
            </w:r>
            <w:r w:rsidR="003E5352">
              <w:rPr>
                <w:rFonts w:ascii="Arial" w:hAnsi="Arial" w:cs="Arial"/>
                <w:sz w:val="20"/>
                <w:szCs w:val="20"/>
              </w:rPr>
              <w:t>.</w:t>
            </w:r>
            <w:r w:rsidRPr="004E4821">
              <w:rPr>
                <w:rFonts w:ascii="Arial" w:hAnsi="Arial" w:cs="Arial"/>
                <w:sz w:val="20"/>
                <w:szCs w:val="20"/>
              </w:rPr>
              <w:t>12.2023</w:t>
            </w:r>
          </w:p>
          <w:p w14:paraId="3777C3C8" w14:textId="77777777" w:rsidR="005315FB" w:rsidRPr="004E4821" w:rsidRDefault="005315FB" w:rsidP="00381ED5">
            <w:pPr>
              <w:pStyle w:val="Odstavekseznama"/>
              <w:numPr>
                <w:ilvl w:val="0"/>
                <w:numId w:val="11"/>
              </w:numPr>
              <w:rPr>
                <w:rFonts w:ascii="Arial" w:hAnsi="Arial" w:cs="Arial"/>
                <w:sz w:val="20"/>
                <w:szCs w:val="20"/>
              </w:rPr>
            </w:pPr>
            <w:r w:rsidRPr="004E4821">
              <w:rPr>
                <w:rFonts w:ascii="Arial" w:hAnsi="Arial" w:cs="Arial"/>
                <w:sz w:val="20"/>
                <w:szCs w:val="20"/>
              </w:rPr>
              <w:t xml:space="preserve"> gradbeno dovoljenje za gradnjo mora biti  pridobljeno najkasneje do 31.3. 2024</w:t>
            </w:r>
          </w:p>
          <w:p w14:paraId="089E9F9C" w14:textId="77777777" w:rsidR="005315FB" w:rsidRPr="004E4821" w:rsidRDefault="005315FB" w:rsidP="00E03951">
            <w:pPr>
              <w:ind w:left="36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85DCFE1" w14:textId="77777777" w:rsidR="005315FB" w:rsidRPr="003E5352" w:rsidRDefault="005315FB" w:rsidP="003E5352">
            <w:pPr>
              <w:contextualSpacing/>
              <w:jc w:val="both"/>
              <w:rPr>
                <w:rFonts w:ascii="Arial" w:hAnsi="Arial" w:cs="Arial"/>
                <w:sz w:val="20"/>
                <w:szCs w:val="20"/>
              </w:rPr>
            </w:pPr>
            <w:r w:rsidRPr="004E4821">
              <w:rPr>
                <w:rFonts w:ascii="Arial" w:hAnsi="Arial" w:cs="Arial"/>
                <w:sz w:val="20"/>
                <w:szCs w:val="20"/>
              </w:rPr>
              <w:t xml:space="preserve"> </w:t>
            </w:r>
            <w:r w:rsidRPr="004E4821">
              <w:rPr>
                <w:rFonts w:ascii="Arial" w:hAnsi="Arial" w:cs="Arial"/>
              </w:rPr>
              <w:t xml:space="preserve"> </w:t>
            </w:r>
            <w:r w:rsidRPr="003E5352">
              <w:rPr>
                <w:rFonts w:ascii="Arial" w:hAnsi="Arial" w:cs="Arial"/>
                <w:sz w:val="20"/>
                <w:szCs w:val="20"/>
              </w:rPr>
              <w:t xml:space="preserve">skladno z določili Zakona o spodbujanju investicij  v kupoprodajno pogodbi, v korist Mestne občine Nova Gorica vneseno določilo o odkupni pravici, na podlagi katerega lahko občina zahteva povratno prodajo nepremičnine za ceno, ki ne presega vlaganj, zmanjšano za amortizacijo, z ustreznim zemljiškoknjižnim dovolilom.   V kolikor dinamika investicije ne bo izpolnjena     </w:t>
            </w:r>
          </w:p>
        </w:tc>
      </w:tr>
      <w:tr w:rsidR="005315FB" w:rsidRPr="004E4821" w14:paraId="3E791B3B"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A056850"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 xml:space="preserve">2). Vrednost investicije  na zemljišču, ki je predmet kupnine (to je vsota upravičenih in neupravičenih stroškov naložb v opredmetena in neopredmetena osnovna </w:t>
            </w:r>
            <w:r w:rsidRPr="004E4821">
              <w:rPr>
                <w:rFonts w:ascii="Arial" w:hAnsi="Arial" w:cs="Arial"/>
                <w:sz w:val="20"/>
                <w:szCs w:val="20"/>
              </w:rPr>
              <w:lastRenderedPageBreak/>
              <w:t>sredstva brez davka na dodano vrednost ter drugih davkov in dajatev) mora znašati:</w:t>
            </w:r>
          </w:p>
          <w:p w14:paraId="6C7FBBAC" w14:textId="77777777" w:rsidR="005315FB" w:rsidRPr="004E4821" w:rsidRDefault="005315FB" w:rsidP="00381ED5">
            <w:pPr>
              <w:numPr>
                <w:ilvl w:val="0"/>
                <w:numId w:val="6"/>
              </w:numPr>
              <w:spacing w:after="0"/>
              <w:contextualSpacing/>
              <w:jc w:val="both"/>
              <w:rPr>
                <w:rFonts w:ascii="Arial" w:eastAsia="Times New Roman" w:hAnsi="Arial" w:cs="Arial"/>
                <w:sz w:val="20"/>
                <w:szCs w:val="20"/>
              </w:rPr>
            </w:pPr>
            <w:r w:rsidRPr="004E4821">
              <w:rPr>
                <w:rFonts w:ascii="Arial" w:eastAsia="Times New Roman" w:hAnsi="Arial" w:cs="Arial"/>
                <w:sz w:val="20"/>
                <w:szCs w:val="20"/>
              </w:rPr>
              <w:t xml:space="preserve">od 1.000.000 do 12.000.000 eurov v predelovalni dejavnosti, </w:t>
            </w:r>
          </w:p>
          <w:p w14:paraId="7B4FA3ED" w14:textId="77777777" w:rsidR="005315FB" w:rsidRPr="004E4821" w:rsidRDefault="005315FB" w:rsidP="00381ED5">
            <w:pPr>
              <w:numPr>
                <w:ilvl w:val="0"/>
                <w:numId w:val="6"/>
              </w:numPr>
              <w:spacing w:after="0"/>
              <w:contextualSpacing/>
              <w:jc w:val="both"/>
              <w:rPr>
                <w:rFonts w:ascii="Arial" w:eastAsia="Times New Roman" w:hAnsi="Arial" w:cs="Arial"/>
                <w:sz w:val="20"/>
                <w:szCs w:val="20"/>
              </w:rPr>
            </w:pPr>
            <w:r w:rsidRPr="004E4821">
              <w:rPr>
                <w:rFonts w:ascii="Arial" w:eastAsia="Times New Roman" w:hAnsi="Arial" w:cs="Arial"/>
                <w:sz w:val="20"/>
                <w:szCs w:val="20"/>
              </w:rPr>
              <w:t>od 500.000 do 3.000.000 eurov v storitveni dejavnosti, in</w:t>
            </w:r>
          </w:p>
          <w:p w14:paraId="3950B169" w14:textId="77777777" w:rsidR="005315FB" w:rsidRPr="004E4821" w:rsidRDefault="005315FB" w:rsidP="00381ED5">
            <w:pPr>
              <w:numPr>
                <w:ilvl w:val="0"/>
                <w:numId w:val="6"/>
              </w:numPr>
              <w:spacing w:after="0"/>
              <w:contextualSpacing/>
              <w:jc w:val="both"/>
              <w:rPr>
                <w:rFonts w:ascii="Arial" w:eastAsia="Times New Roman" w:hAnsi="Arial" w:cs="Arial"/>
                <w:sz w:val="20"/>
                <w:szCs w:val="20"/>
              </w:rPr>
            </w:pPr>
            <w:r w:rsidRPr="004E4821">
              <w:rPr>
                <w:rFonts w:ascii="Arial" w:eastAsia="Times New Roman" w:hAnsi="Arial" w:cs="Arial"/>
                <w:sz w:val="20"/>
                <w:szCs w:val="20"/>
              </w:rPr>
              <w:t>od 500.000 do 2.000.000 eurov v razvojno-raziskovalni dejavnosti,</w:t>
            </w:r>
          </w:p>
          <w:p w14:paraId="67B2DBCA"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pri čemer mora v vseh treh primerih investicija v stroje in opremo znašati najmanj 50 % vrednosti investicije.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3A6BBA2"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lastRenderedPageBreak/>
              <w:t xml:space="preserve">Izpolnjevanje pogoja preveri občina z dokazili  (CENITEV OBJEKTA  IN OPREME) po zaključku investicije   </w:t>
            </w:r>
          </w:p>
        </w:tc>
      </w:tr>
      <w:tr w:rsidR="005315FB" w:rsidRPr="004E4821" w14:paraId="59981148"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716770E"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 xml:space="preserve">3). Kupec zemljišča mora najmanj tri leta po zaključku investicije  na zemljišču ki je predmet prodaje   ohraniti najmanj povprečno število zaposlenih iz obdobja zadnjih 12 mesecev pred mesecem oddaje  ponudbe za nakup zemljišča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3E23F02" w14:textId="077CDED3"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Izpolnjevanje pogoja preverja  občina </w:t>
            </w:r>
            <w:r w:rsidR="00743480">
              <w:rPr>
                <w:rFonts w:ascii="Arial" w:hAnsi="Arial" w:cs="Arial"/>
                <w:sz w:val="20"/>
                <w:szCs w:val="20"/>
              </w:rPr>
              <w:t xml:space="preserve">na podlagi </w:t>
            </w:r>
            <w:r w:rsidRPr="004E4821">
              <w:rPr>
                <w:rFonts w:ascii="Arial" w:hAnsi="Arial" w:cs="Arial"/>
                <w:sz w:val="20"/>
                <w:szCs w:val="20"/>
              </w:rPr>
              <w:t>iz AJPES-a(primerja se povprečno število zaposlenih v obdobju zadnjih 12 mesecev pred oddajo vloge s  povprečnim številom zaposlenih v obdobju zadnjih treh let po zaključku investicije) in   na osnovi  dokazil, ki  se določijo v prodajni pogodbi in izkazujejo dejansko število zaposlenih v predmetne</w:t>
            </w:r>
            <w:r w:rsidR="003E5352">
              <w:rPr>
                <w:rFonts w:ascii="Arial" w:hAnsi="Arial" w:cs="Arial"/>
                <w:sz w:val="20"/>
                <w:szCs w:val="20"/>
              </w:rPr>
              <w:t>m</w:t>
            </w:r>
            <w:r w:rsidRPr="004E4821">
              <w:rPr>
                <w:rFonts w:ascii="Arial" w:hAnsi="Arial" w:cs="Arial"/>
                <w:sz w:val="20"/>
                <w:szCs w:val="20"/>
              </w:rPr>
              <w:t xml:space="preserve"> obdobju . </w:t>
            </w:r>
          </w:p>
        </w:tc>
      </w:tr>
      <w:tr w:rsidR="005315FB" w:rsidRPr="004E4821" w14:paraId="5FD5F851"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9DBE407" w14:textId="77777777"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4). Kupec zemljišča  mora imeti dve leti po zaključku investicije višjo dodano vrednost na zaposlenega   od dodane vrednosti na zaposlenega v  poslovnem letu pred letom oddaje vloge.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3C7B776" w14:textId="4005EA25"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Izpolnjevanje pogoja preveri občina na osnovi   podatkov iz AJPES-a na osnovi letnih poročil kupca zemljišč </w:t>
            </w:r>
            <w:r w:rsidR="003E5352">
              <w:rPr>
                <w:rFonts w:ascii="Arial" w:hAnsi="Arial" w:cs="Arial"/>
                <w:sz w:val="20"/>
                <w:szCs w:val="20"/>
              </w:rPr>
              <w:t xml:space="preserve"> in </w:t>
            </w:r>
            <w:r w:rsidRPr="004E4821">
              <w:rPr>
                <w:rFonts w:ascii="Arial" w:hAnsi="Arial" w:cs="Arial"/>
                <w:sz w:val="20"/>
                <w:szCs w:val="20"/>
              </w:rPr>
              <w:t xml:space="preserve"> na osnovi dokazil določenimi v prodajni pogodbi</w:t>
            </w:r>
            <w:r w:rsidR="00743480">
              <w:rPr>
                <w:rFonts w:ascii="Arial" w:hAnsi="Arial" w:cs="Arial"/>
                <w:sz w:val="20"/>
                <w:szCs w:val="20"/>
              </w:rPr>
              <w:t xml:space="preserve"> </w:t>
            </w:r>
            <w:r w:rsidRPr="004E4821">
              <w:rPr>
                <w:rFonts w:ascii="Arial" w:hAnsi="Arial" w:cs="Arial"/>
                <w:sz w:val="20"/>
                <w:szCs w:val="20"/>
              </w:rPr>
              <w:t>(primerja se predvidena dodana vrednost na zaposlenega v gospodarski družbi za drugo poslovno leto, ki sledi letu, ko je investicija zaključena, z doseženo dodano vrednostjo na zaposlenega v gospodarski družbi v poslovnem letu pred letom oddaje vloge</w:t>
            </w:r>
            <w:r w:rsidR="003E5352">
              <w:rPr>
                <w:rFonts w:ascii="Arial" w:hAnsi="Arial" w:cs="Arial"/>
                <w:sz w:val="20"/>
                <w:szCs w:val="20"/>
              </w:rPr>
              <w:t>.</w:t>
            </w:r>
            <w:r w:rsidRPr="004E4821">
              <w:rPr>
                <w:rFonts w:ascii="Arial" w:hAnsi="Arial" w:cs="Arial"/>
                <w:sz w:val="20"/>
                <w:szCs w:val="20"/>
              </w:rPr>
              <w:t xml:space="preserve"> </w:t>
            </w:r>
            <w:r w:rsidR="003E5352">
              <w:rPr>
                <w:rFonts w:ascii="Arial" w:hAnsi="Arial" w:cs="Arial"/>
                <w:sz w:val="20"/>
                <w:szCs w:val="20"/>
              </w:rPr>
              <w:t>V</w:t>
            </w:r>
            <w:r w:rsidRPr="004E4821">
              <w:rPr>
                <w:rFonts w:ascii="Arial" w:hAnsi="Arial" w:cs="Arial"/>
                <w:sz w:val="20"/>
                <w:szCs w:val="20"/>
              </w:rPr>
              <w:t>rednost se preveri v aplikacijah kot so</w:t>
            </w:r>
            <w:r w:rsidR="003E5352">
              <w:rPr>
                <w:rFonts w:ascii="Arial" w:hAnsi="Arial" w:cs="Arial"/>
                <w:sz w:val="20"/>
                <w:szCs w:val="20"/>
              </w:rPr>
              <w:t xml:space="preserve"> E</w:t>
            </w:r>
            <w:r w:rsidRPr="004E4821">
              <w:rPr>
                <w:rFonts w:ascii="Arial" w:hAnsi="Arial" w:cs="Arial"/>
                <w:sz w:val="20"/>
                <w:szCs w:val="20"/>
              </w:rPr>
              <w:t>BONITETA, GVIN…) in z predložitvijo bilance stanja in izkaza uspeha  kupca</w:t>
            </w:r>
            <w:r w:rsidR="003E5352">
              <w:rPr>
                <w:rFonts w:ascii="Arial" w:hAnsi="Arial" w:cs="Arial"/>
                <w:sz w:val="20"/>
                <w:szCs w:val="20"/>
              </w:rPr>
              <w:t xml:space="preserve"> v ocenjevanem letu </w:t>
            </w:r>
          </w:p>
        </w:tc>
      </w:tr>
      <w:tr w:rsidR="005315FB" w:rsidRPr="004E4821" w14:paraId="7D201750"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A41C16" w14:textId="77777777" w:rsidR="005315FB" w:rsidRPr="004E4821" w:rsidRDefault="005315FB" w:rsidP="00E03951">
            <w:pPr>
              <w:contextualSpacing/>
              <w:jc w:val="both"/>
              <w:rPr>
                <w:rFonts w:ascii="Arial" w:eastAsia="Times New Roman" w:hAnsi="Arial" w:cs="Arial"/>
                <w:sz w:val="20"/>
                <w:szCs w:val="20"/>
              </w:rPr>
            </w:pPr>
            <w:r w:rsidRPr="004E4821">
              <w:rPr>
                <w:rFonts w:ascii="Arial" w:hAnsi="Arial" w:cs="Arial"/>
                <w:sz w:val="20"/>
                <w:szCs w:val="20"/>
              </w:rPr>
              <w:t xml:space="preserve">5). </w:t>
            </w:r>
            <w:r w:rsidRPr="004E4821">
              <w:rPr>
                <w:rFonts w:ascii="Arial" w:eastAsia="Times New Roman" w:hAnsi="Arial" w:cs="Arial"/>
                <w:sz w:val="20"/>
                <w:szCs w:val="20"/>
              </w:rPr>
              <w:t xml:space="preserve">Nameravana gradnja objektov na zemljišču, ki je predmet prodaje je skladna s prostorskim aktom, kar je razvidno iz priloženega mnenja samoupravne lokalne skupnosti, ki ga priloži prijavitelj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8D6379B" w14:textId="707050A7"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Izpolnjevanje pogoja preveri   občina na osnovi </w:t>
            </w:r>
            <w:r w:rsidR="00B42CE9">
              <w:rPr>
                <w:rFonts w:ascii="Arial" w:hAnsi="Arial" w:cs="Arial"/>
                <w:sz w:val="20"/>
                <w:szCs w:val="20"/>
              </w:rPr>
              <w:t>potrdil ponudnika</w:t>
            </w:r>
          </w:p>
        </w:tc>
      </w:tr>
      <w:tr w:rsidR="005315FB" w:rsidRPr="004E4821" w14:paraId="7F763D50"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32B4861"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6). Končni prejemnik mora doseči skupno najmanj 50 točk na osnovi ocenjevanja investicije pri merilih od 1 do 10, pri čemer se dodatno merilo ne upošteva.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E8495DE" w14:textId="3E396756"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Izpolnjevanje pogoja preveri  občina  naknadno na osnovi izvedenega ocenjevanja </w:t>
            </w:r>
            <w:r w:rsidR="00743480">
              <w:rPr>
                <w:rFonts w:ascii="Arial" w:hAnsi="Arial" w:cs="Arial"/>
                <w:sz w:val="20"/>
                <w:szCs w:val="20"/>
              </w:rPr>
              <w:t xml:space="preserve">ponudbe </w:t>
            </w:r>
            <w:r w:rsidRPr="004E4821">
              <w:rPr>
                <w:rFonts w:ascii="Arial" w:hAnsi="Arial" w:cs="Arial"/>
                <w:sz w:val="20"/>
                <w:szCs w:val="20"/>
              </w:rPr>
              <w:t xml:space="preserve"> in preverja skladno z določili v prodajni pogodbi</w:t>
            </w:r>
          </w:p>
        </w:tc>
      </w:tr>
      <w:tr w:rsidR="005315FB" w:rsidRPr="004E4821" w14:paraId="045C8F9A"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1B13D4" w14:textId="77777777" w:rsidR="005315FB" w:rsidRPr="004E4821" w:rsidRDefault="005315FB" w:rsidP="003E5352">
            <w:pPr>
              <w:contextualSpacing/>
              <w:jc w:val="both"/>
              <w:rPr>
                <w:rFonts w:ascii="Arial" w:hAnsi="Arial" w:cs="Arial"/>
                <w:sz w:val="20"/>
                <w:szCs w:val="20"/>
              </w:rPr>
            </w:pPr>
            <w:r w:rsidRPr="004E4821">
              <w:rPr>
                <w:rFonts w:ascii="Arial" w:hAnsi="Arial" w:cs="Arial"/>
                <w:sz w:val="20"/>
                <w:szCs w:val="20"/>
              </w:rPr>
              <w:t xml:space="preserve">7). Investicija mora imeti pozitiven vpliv na regijo, v kateri bo investicija izvedena, iz ekonomskega, </w:t>
            </w:r>
            <w:proofErr w:type="spellStart"/>
            <w:r w:rsidRPr="004E4821">
              <w:rPr>
                <w:rFonts w:ascii="Arial" w:hAnsi="Arial" w:cs="Arial"/>
                <w:sz w:val="20"/>
                <w:szCs w:val="20"/>
              </w:rPr>
              <w:t>okoljskega</w:t>
            </w:r>
            <w:proofErr w:type="spellEnd"/>
            <w:r w:rsidRPr="004E4821">
              <w:rPr>
                <w:rFonts w:ascii="Arial" w:hAnsi="Arial" w:cs="Arial"/>
                <w:sz w:val="20"/>
                <w:szCs w:val="20"/>
              </w:rPr>
              <w:t xml:space="preserve">, prostorskega in socialnega vidika, kar pomeni, da  mora seštevek točk pri posameznem vidiku investicije predstavljati najmanj 10 odstotkov vseh točk posameznega vidika investicije. </w:t>
            </w:r>
          </w:p>
          <w:p w14:paraId="07D4B045"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u w:val="single"/>
              </w:rPr>
              <w:t>Ekonomski vidik</w:t>
            </w:r>
            <w:r w:rsidRPr="004E4821">
              <w:rPr>
                <w:rFonts w:ascii="Arial" w:hAnsi="Arial" w:cs="Arial"/>
                <w:sz w:val="20"/>
                <w:szCs w:val="20"/>
              </w:rPr>
              <w:t xml:space="preserve"> investicije se presoja glede na dve merili: </w:t>
            </w:r>
          </w:p>
          <w:p w14:paraId="057AEB1C"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 xml:space="preserve">prednostna področja ter </w:t>
            </w:r>
          </w:p>
          <w:p w14:paraId="579A52CF"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stopnjo tehnološke zahtevnosti investicije.</w:t>
            </w:r>
          </w:p>
          <w:p w14:paraId="5667AD88" w14:textId="77777777" w:rsidR="005315FB" w:rsidRPr="004E4821" w:rsidRDefault="005315FB" w:rsidP="00E03951">
            <w:pPr>
              <w:contextualSpacing/>
              <w:rPr>
                <w:rFonts w:ascii="Arial" w:hAnsi="Arial" w:cs="Arial"/>
                <w:sz w:val="20"/>
                <w:szCs w:val="20"/>
              </w:rPr>
            </w:pPr>
            <w:proofErr w:type="spellStart"/>
            <w:r w:rsidRPr="004E4821">
              <w:rPr>
                <w:rFonts w:ascii="Arial" w:hAnsi="Arial" w:cs="Arial"/>
                <w:sz w:val="20"/>
                <w:szCs w:val="20"/>
                <w:u w:val="single"/>
              </w:rPr>
              <w:t>Okoljski</w:t>
            </w:r>
            <w:proofErr w:type="spellEnd"/>
            <w:r w:rsidRPr="004E4821">
              <w:rPr>
                <w:rFonts w:ascii="Arial" w:hAnsi="Arial" w:cs="Arial"/>
                <w:sz w:val="20"/>
                <w:szCs w:val="20"/>
                <w:u w:val="single"/>
              </w:rPr>
              <w:t xml:space="preserve"> vidik</w:t>
            </w:r>
            <w:r w:rsidRPr="004E4821">
              <w:rPr>
                <w:rFonts w:ascii="Arial" w:hAnsi="Arial" w:cs="Arial"/>
                <w:sz w:val="20"/>
                <w:szCs w:val="20"/>
              </w:rPr>
              <w:t xml:space="preserve"> investicije se presoja glede na štiri merila:</w:t>
            </w:r>
          </w:p>
          <w:p w14:paraId="62792E8B"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vpliv gospodarske družbe in investicije na okolje,</w:t>
            </w:r>
          </w:p>
          <w:p w14:paraId="5DFB792A"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lastRenderedPageBreak/>
              <w:t>prispevek investicije na področju prehoda na krožno gospodarstvo, vključno s preprečevanjem in nadzorovanjem onesnaževanja,</w:t>
            </w:r>
          </w:p>
          <w:p w14:paraId="136424F7"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prispevek investicije na področju blažitve podnebnih sprememb,</w:t>
            </w:r>
          </w:p>
          <w:p w14:paraId="03EAD001"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 xml:space="preserve">prispevek gospodarske družbe k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odgovornosti lokalnega okolja in razogljičenju prometnega sektorja. </w:t>
            </w:r>
          </w:p>
          <w:p w14:paraId="623A79A6"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u w:val="single"/>
              </w:rPr>
              <w:t>Prostorski vidik</w:t>
            </w:r>
            <w:r w:rsidRPr="004E4821">
              <w:rPr>
                <w:rFonts w:ascii="Arial" w:hAnsi="Arial" w:cs="Arial"/>
                <w:sz w:val="20"/>
                <w:szCs w:val="20"/>
              </w:rPr>
              <w:t xml:space="preserve"> investicije se presoja glede na dve merili: </w:t>
            </w:r>
          </w:p>
          <w:p w14:paraId="7859B37D"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 xml:space="preserve">skladnost načrtovane investicije z namensko rabo prostora, določeno v prostorskih aktih, </w:t>
            </w:r>
          </w:p>
          <w:p w14:paraId="2447A89D"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učinke investicije na skladen regionalni razvoj.</w:t>
            </w:r>
          </w:p>
          <w:p w14:paraId="6C1C5F95"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u w:val="single"/>
              </w:rPr>
              <w:t>Socialni vidik</w:t>
            </w:r>
            <w:r w:rsidRPr="004E4821">
              <w:rPr>
                <w:rFonts w:ascii="Arial" w:hAnsi="Arial" w:cs="Arial"/>
                <w:sz w:val="20"/>
                <w:szCs w:val="20"/>
              </w:rPr>
              <w:t xml:space="preserve"> investicije se presoja glede na dve merili:</w:t>
            </w:r>
          </w:p>
          <w:p w14:paraId="178BBB16"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prispevek gospodarske družbe k digitalni preobrazbi,</w:t>
            </w:r>
          </w:p>
          <w:p w14:paraId="6694FA74" w14:textId="77777777" w:rsidR="005315FB" w:rsidRPr="004E4821" w:rsidRDefault="005315FB" w:rsidP="00381ED5">
            <w:pPr>
              <w:pStyle w:val="Odstavekseznama"/>
              <w:numPr>
                <w:ilvl w:val="0"/>
                <w:numId w:val="7"/>
              </w:numPr>
              <w:rPr>
                <w:rFonts w:ascii="Arial" w:hAnsi="Arial" w:cs="Arial"/>
                <w:sz w:val="20"/>
                <w:szCs w:val="20"/>
              </w:rPr>
            </w:pPr>
            <w:r w:rsidRPr="004E4821">
              <w:rPr>
                <w:rFonts w:ascii="Arial" w:hAnsi="Arial" w:cs="Arial"/>
                <w:sz w:val="20"/>
                <w:szCs w:val="20"/>
              </w:rPr>
              <w:t>sodelovanje gospodarske družbe z lokalnim okoljem ali širšo skupnostjo.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C592E92" w14:textId="5B5236C4"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lastRenderedPageBreak/>
              <w:t xml:space="preserve">Izpolnjevanje pogoja preveri občina  naknadno na osnovi izvedenega ocenjevanja vloge. V kolikor se </w:t>
            </w:r>
            <w:r w:rsidR="003E5352">
              <w:rPr>
                <w:rFonts w:ascii="Arial" w:hAnsi="Arial" w:cs="Arial"/>
                <w:sz w:val="20"/>
                <w:szCs w:val="20"/>
              </w:rPr>
              <w:t xml:space="preserve">ponudnik  </w:t>
            </w:r>
            <w:r w:rsidRPr="004E4821">
              <w:rPr>
                <w:rFonts w:ascii="Arial" w:hAnsi="Arial" w:cs="Arial"/>
                <w:sz w:val="20"/>
                <w:szCs w:val="20"/>
              </w:rPr>
              <w:t xml:space="preserve"> obveže da bo tekom </w:t>
            </w:r>
            <w:r w:rsidR="003E5352">
              <w:rPr>
                <w:rFonts w:ascii="Arial" w:hAnsi="Arial" w:cs="Arial"/>
                <w:sz w:val="20"/>
                <w:szCs w:val="20"/>
              </w:rPr>
              <w:t xml:space="preserve">izvajanja </w:t>
            </w:r>
            <w:r w:rsidRPr="004E4821">
              <w:rPr>
                <w:rFonts w:ascii="Arial" w:hAnsi="Arial" w:cs="Arial"/>
                <w:sz w:val="20"/>
                <w:szCs w:val="20"/>
              </w:rPr>
              <w:t>investicije   izpolnil in pridobil dokazil</w:t>
            </w:r>
            <w:r w:rsidR="00743480">
              <w:rPr>
                <w:rFonts w:ascii="Arial" w:hAnsi="Arial" w:cs="Arial"/>
                <w:sz w:val="20"/>
                <w:szCs w:val="20"/>
              </w:rPr>
              <w:t>a</w:t>
            </w:r>
            <w:r w:rsidRPr="004E4821">
              <w:rPr>
                <w:rFonts w:ascii="Arial" w:hAnsi="Arial" w:cs="Arial"/>
                <w:sz w:val="20"/>
                <w:szCs w:val="20"/>
              </w:rPr>
              <w:t>, ki izkazuje da ustreza  posameznemu vidiku</w:t>
            </w:r>
            <w:r w:rsidR="003E5352">
              <w:rPr>
                <w:rFonts w:ascii="Arial" w:hAnsi="Arial" w:cs="Arial"/>
                <w:sz w:val="20"/>
                <w:szCs w:val="20"/>
              </w:rPr>
              <w:t xml:space="preserve"> se zaveze in sankcije v primeru neizpolnitve opredelijo v prodajni pogodbi. </w:t>
            </w:r>
            <w:r w:rsidRPr="004E4821">
              <w:rPr>
                <w:rFonts w:ascii="Arial" w:hAnsi="Arial" w:cs="Arial"/>
                <w:sz w:val="20"/>
                <w:szCs w:val="20"/>
              </w:rPr>
              <w:t xml:space="preserve"> </w:t>
            </w:r>
          </w:p>
        </w:tc>
      </w:tr>
      <w:tr w:rsidR="005315FB" w:rsidRPr="004E4821" w14:paraId="701D1504"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FDC475"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 xml:space="preserve">8). Investicija  mora prispevati k zelenemu prehodu. Šteje se, da investicija prispeva k zelenemu prehodu, če vsota dodeljenih točk pri štirih merilih, po katerih se presoja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vidik investicije (to je pri merilih od 3 do 6), predstavlja najmanj 40 % vsote dodeljenih točk pri merilih od 1 do 10, pri čemer se dodatno merilo ne upošteva.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66C194" w14:textId="7EBB5364" w:rsidR="005315FB" w:rsidRPr="004E4821" w:rsidRDefault="005315FB" w:rsidP="00BA05BB">
            <w:pPr>
              <w:contextualSpacing/>
              <w:jc w:val="both"/>
              <w:rPr>
                <w:rFonts w:ascii="Arial" w:hAnsi="Arial" w:cs="Arial"/>
                <w:sz w:val="20"/>
                <w:szCs w:val="20"/>
              </w:rPr>
            </w:pPr>
            <w:r w:rsidRPr="004E4821">
              <w:rPr>
                <w:rFonts w:ascii="Arial" w:hAnsi="Arial" w:cs="Arial"/>
                <w:sz w:val="20"/>
                <w:szCs w:val="20"/>
              </w:rPr>
              <w:t xml:space="preserve">Izpolnjevanje pogoja preveri  </w:t>
            </w:r>
            <w:r w:rsidR="00743480">
              <w:rPr>
                <w:rFonts w:ascii="Arial" w:hAnsi="Arial" w:cs="Arial"/>
                <w:sz w:val="20"/>
                <w:szCs w:val="20"/>
              </w:rPr>
              <w:t xml:space="preserve">občina </w:t>
            </w:r>
            <w:r w:rsidRPr="004E4821">
              <w:rPr>
                <w:rFonts w:ascii="Arial" w:hAnsi="Arial" w:cs="Arial"/>
                <w:sz w:val="20"/>
                <w:szCs w:val="20"/>
              </w:rPr>
              <w:t>naknadno na osnovi izvedenega ocenjevanja vloge</w:t>
            </w:r>
            <w:r w:rsidR="00BA05BB">
              <w:rPr>
                <w:rFonts w:ascii="Arial" w:hAnsi="Arial" w:cs="Arial"/>
                <w:sz w:val="20"/>
                <w:szCs w:val="20"/>
              </w:rPr>
              <w:t xml:space="preserve"> </w:t>
            </w:r>
            <w:r w:rsidRPr="004E4821">
              <w:rPr>
                <w:rFonts w:ascii="Arial" w:hAnsi="Arial" w:cs="Arial"/>
                <w:sz w:val="20"/>
                <w:szCs w:val="20"/>
              </w:rPr>
              <w:t>in preverja skladno z določili prodajne pogodbe v obd</w:t>
            </w:r>
            <w:r w:rsidR="00BA05BB">
              <w:rPr>
                <w:rFonts w:ascii="Arial" w:hAnsi="Arial" w:cs="Arial"/>
                <w:sz w:val="20"/>
                <w:szCs w:val="20"/>
              </w:rPr>
              <w:t>o</w:t>
            </w:r>
            <w:r w:rsidRPr="004E4821">
              <w:rPr>
                <w:rFonts w:ascii="Arial" w:hAnsi="Arial" w:cs="Arial"/>
                <w:sz w:val="20"/>
                <w:szCs w:val="20"/>
              </w:rPr>
              <w:t>bju izvajanja investicije in še tri leta po zaključku investicije.</w:t>
            </w:r>
          </w:p>
        </w:tc>
      </w:tr>
      <w:tr w:rsidR="005315FB" w:rsidRPr="004E4821" w14:paraId="44976545"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BC3AE2"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 xml:space="preserve">9). Za investicijo mora biti izkazana ekonomska, finančna, tehnična, prostorska in tehnološka izvedljivost ter upravičenost investicije.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E2BB078" w14:textId="77777777"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Izpolnjevanje pogoja preveri občina  z izjavo in na osnovi podatkov iz prejete vloge. </w:t>
            </w:r>
          </w:p>
          <w:p w14:paraId="0D1DA032" w14:textId="65041B05"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 xml:space="preserve">Prijavitelj izpolnjevanje pogoja izkaže s predloženim investicijskim programom (IP). K </w:t>
            </w:r>
            <w:r w:rsidR="00743480">
              <w:rPr>
                <w:rFonts w:ascii="Arial" w:hAnsi="Arial" w:cs="Arial"/>
                <w:sz w:val="20"/>
                <w:szCs w:val="20"/>
              </w:rPr>
              <w:t xml:space="preserve">ponudbi </w:t>
            </w:r>
            <w:r w:rsidRPr="004E4821">
              <w:rPr>
                <w:rFonts w:ascii="Arial" w:hAnsi="Arial" w:cs="Arial"/>
                <w:sz w:val="20"/>
                <w:szCs w:val="20"/>
              </w:rPr>
              <w:t xml:space="preserve"> priloženi  IP, pri izdelavi katerega se smiselno upoštevajo določila Uredbe o enotni metodologiji za pripravo in obravnavo investicijske dokumentacije na področju javnih financ (Uradni list RS št. 60/06, 54/10 in 27/16), mora biti potrjen s strani p</w:t>
            </w:r>
            <w:r w:rsidR="00BA05BB">
              <w:rPr>
                <w:rFonts w:ascii="Arial" w:hAnsi="Arial" w:cs="Arial"/>
                <w:sz w:val="20"/>
                <w:szCs w:val="20"/>
              </w:rPr>
              <w:t>onudnika.</w:t>
            </w:r>
            <w:r w:rsidRPr="004E4821">
              <w:rPr>
                <w:rFonts w:ascii="Arial" w:hAnsi="Arial" w:cs="Arial"/>
                <w:sz w:val="20"/>
                <w:szCs w:val="20"/>
              </w:rPr>
              <w:t xml:space="preserve">. </w:t>
            </w:r>
          </w:p>
        </w:tc>
      </w:tr>
      <w:tr w:rsidR="005315FB" w:rsidRPr="004E4821" w14:paraId="586D8530"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14F05D" w14:textId="77777777" w:rsidR="005315FB" w:rsidRPr="004E4821" w:rsidRDefault="005315FB" w:rsidP="00E03951">
            <w:pPr>
              <w:contextualSpacing/>
              <w:rPr>
                <w:rFonts w:ascii="Arial" w:hAnsi="Arial" w:cs="Arial"/>
                <w:sz w:val="20"/>
                <w:szCs w:val="20"/>
              </w:rPr>
            </w:pPr>
            <w:bookmarkStart w:id="2" w:name="_Hlk116647234"/>
            <w:r w:rsidRPr="004E4821">
              <w:rPr>
                <w:rFonts w:ascii="Arial" w:hAnsi="Arial" w:cs="Arial"/>
                <w:sz w:val="20"/>
                <w:szCs w:val="20"/>
              </w:rPr>
              <w:t>10). Investicije se ne sme nanašati na sledeče izključene dejavnosti:</w:t>
            </w:r>
          </w:p>
          <w:p w14:paraId="615619FE"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primarni sektor kmetijske proizvodnje,</w:t>
            </w:r>
          </w:p>
          <w:p w14:paraId="3F300901"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30D63C23"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w:t>
            </w:r>
          </w:p>
          <w:p w14:paraId="25CDDD36"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premogovništvo,</w:t>
            </w:r>
          </w:p>
          <w:p w14:paraId="65AC39EE"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lastRenderedPageBreak/>
              <w:t>jeklarstvo, kot je opredeljeno v 43. točki 2. člena Uredbe 651/2014/EU,</w:t>
            </w:r>
          </w:p>
          <w:p w14:paraId="1B374D15"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prometni sektor in povezana infrastruktura, kot je opredeljeno v 45. točki 2. člena Uredbe 651/2014/EU,</w:t>
            </w:r>
          </w:p>
          <w:p w14:paraId="3394EE81"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ladjedelništvo,</w:t>
            </w:r>
          </w:p>
          <w:p w14:paraId="738E9677"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industrija sintetičnih vlaken, kot je opredeljena v 44. točki 2. člena Uredbe 651/2014/EU,</w:t>
            </w:r>
          </w:p>
          <w:p w14:paraId="402F37A2"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proizvodnja in distribucija energije ter energetska infrastruktura,</w:t>
            </w:r>
          </w:p>
          <w:p w14:paraId="6E762AF9"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proizvodnja orožja in streliva,</w:t>
            </w:r>
          </w:p>
          <w:p w14:paraId="465B8C97"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gradbeništvo,</w:t>
            </w:r>
          </w:p>
          <w:p w14:paraId="412D59B1"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izobraževanje in</w:t>
            </w:r>
          </w:p>
          <w:p w14:paraId="03D6B72B" w14:textId="77777777" w:rsidR="005315FB" w:rsidRPr="004E4821" w:rsidRDefault="005315FB" w:rsidP="00381ED5">
            <w:pPr>
              <w:pStyle w:val="Odstavekseznama"/>
              <w:numPr>
                <w:ilvl w:val="0"/>
                <w:numId w:val="5"/>
              </w:numPr>
              <w:ind w:left="366"/>
              <w:rPr>
                <w:rFonts w:ascii="Arial" w:hAnsi="Arial" w:cs="Arial"/>
                <w:sz w:val="20"/>
                <w:szCs w:val="20"/>
              </w:rPr>
            </w:pPr>
            <w:r w:rsidRPr="004E4821">
              <w:rPr>
                <w:rFonts w:ascii="Arial" w:hAnsi="Arial" w:cs="Arial"/>
                <w:sz w:val="20"/>
                <w:szCs w:val="20"/>
              </w:rPr>
              <w:t>zdravstveno in socialno varstvo.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F3D9442" w14:textId="3356A53F" w:rsidR="005315FB" w:rsidRPr="004E4821" w:rsidRDefault="005315FB" w:rsidP="00E03951">
            <w:pPr>
              <w:contextualSpacing/>
              <w:rPr>
                <w:rFonts w:ascii="Arial" w:hAnsi="Arial" w:cs="Arial"/>
                <w:sz w:val="20"/>
                <w:szCs w:val="20"/>
              </w:rPr>
            </w:pPr>
            <w:r w:rsidRPr="004E4821">
              <w:rPr>
                <w:rFonts w:ascii="Arial" w:hAnsi="Arial" w:cs="Arial"/>
                <w:sz w:val="20"/>
                <w:szCs w:val="20"/>
              </w:rPr>
              <w:lastRenderedPageBreak/>
              <w:t xml:space="preserve">Izpolnjevanje pogoja preveri občina  z izjavo in na osnovi podatkov iz prejete </w:t>
            </w:r>
            <w:r w:rsidR="00743480">
              <w:rPr>
                <w:rFonts w:ascii="Arial" w:hAnsi="Arial" w:cs="Arial"/>
                <w:sz w:val="20"/>
                <w:szCs w:val="20"/>
              </w:rPr>
              <w:t xml:space="preserve">ponudbe </w:t>
            </w:r>
            <w:r w:rsidRPr="004E4821">
              <w:rPr>
                <w:rFonts w:ascii="Arial" w:hAnsi="Arial" w:cs="Arial"/>
                <w:sz w:val="20"/>
                <w:szCs w:val="20"/>
              </w:rPr>
              <w:t xml:space="preserve"> ter podatkov iz AJPES-a </w:t>
            </w:r>
          </w:p>
        </w:tc>
      </w:tr>
      <w:bookmarkEnd w:id="2"/>
      <w:tr w:rsidR="005315FB" w:rsidRPr="004E4821" w14:paraId="7D6925F4"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C9B5AC6" w14:textId="33799AB7" w:rsidR="005315FB" w:rsidRPr="004E4821" w:rsidRDefault="005315FB" w:rsidP="00743480">
            <w:pPr>
              <w:spacing w:after="0" w:line="276" w:lineRule="auto"/>
              <w:rPr>
                <w:rFonts w:ascii="Arial" w:eastAsia="Times New Roman" w:hAnsi="Arial" w:cs="Arial"/>
                <w:sz w:val="20"/>
                <w:szCs w:val="20"/>
              </w:rPr>
            </w:pPr>
            <w:r w:rsidRPr="004E4821">
              <w:rPr>
                <w:rFonts w:ascii="Arial" w:eastAsia="Times New Roman" w:hAnsi="Arial" w:cs="Arial"/>
                <w:sz w:val="20"/>
                <w:szCs w:val="20"/>
              </w:rPr>
              <w:t xml:space="preserve">11). </w:t>
            </w:r>
            <w:r w:rsidR="00743480">
              <w:rPr>
                <w:rFonts w:ascii="Arial" w:eastAsia="Times New Roman" w:hAnsi="Arial" w:cs="Arial"/>
                <w:sz w:val="20"/>
                <w:szCs w:val="20"/>
              </w:rPr>
              <w:t xml:space="preserve">Investicijska spodbuda </w:t>
            </w:r>
            <w:r w:rsidRPr="004E4821">
              <w:rPr>
                <w:rFonts w:ascii="Arial" w:eastAsia="Times New Roman" w:hAnsi="Arial" w:cs="Arial"/>
                <w:sz w:val="20"/>
                <w:szCs w:val="20"/>
              </w:rPr>
              <w:t>(razlika med prodajno in ocenjeno vrednostjo</w:t>
            </w:r>
            <w:r w:rsidR="00743480">
              <w:rPr>
                <w:rFonts w:ascii="Arial" w:eastAsia="Times New Roman" w:hAnsi="Arial" w:cs="Arial"/>
                <w:sz w:val="20"/>
                <w:szCs w:val="20"/>
              </w:rPr>
              <w:t xml:space="preserve"> nepremičnine, ki je predmet prodaje</w:t>
            </w:r>
            <w:r w:rsidRPr="004E4821">
              <w:rPr>
                <w:rFonts w:ascii="Arial" w:eastAsia="Times New Roman" w:hAnsi="Arial" w:cs="Arial"/>
                <w:sz w:val="20"/>
                <w:szCs w:val="20"/>
              </w:rPr>
              <w:t xml:space="preserve">) se ne sme združevati s pomočjo »de </w:t>
            </w:r>
            <w:proofErr w:type="spellStart"/>
            <w:r w:rsidRPr="004E4821">
              <w:rPr>
                <w:rFonts w:ascii="Arial" w:eastAsia="Times New Roman" w:hAnsi="Arial" w:cs="Arial"/>
                <w:sz w:val="20"/>
                <w:szCs w:val="20"/>
              </w:rPr>
              <w:t>minimis</w:t>
            </w:r>
            <w:proofErr w:type="spellEnd"/>
            <w:r w:rsidRPr="004E4821">
              <w:rPr>
                <w:rFonts w:ascii="Arial" w:eastAsia="Times New Roman" w:hAnsi="Arial" w:cs="Arial"/>
                <w:sz w:val="20"/>
                <w:szCs w:val="20"/>
              </w:rPr>
              <w:t xml:space="preserve">« za iste upravičene stroške, če bi bile s tem presežene dovoljene meje intenzivnosti po  regionalni shemi državne pomoči, ki je podlaga za obravnavo </w:t>
            </w:r>
            <w:r w:rsidR="00743480">
              <w:rPr>
                <w:rFonts w:ascii="Arial" w:eastAsia="Times New Roman" w:hAnsi="Arial" w:cs="Arial"/>
                <w:sz w:val="20"/>
                <w:szCs w:val="20"/>
              </w:rPr>
              <w:t>ponudbe.</w:t>
            </w:r>
            <w:r w:rsidRPr="004E4821">
              <w:rPr>
                <w:rFonts w:ascii="Arial" w:eastAsia="Times New Roman"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EF6640C"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Izpolnjevanje pogoja preveri občina z izjavo.</w:t>
            </w:r>
          </w:p>
        </w:tc>
      </w:tr>
      <w:tr w:rsidR="005315FB" w:rsidRPr="004E4821" w14:paraId="5D1B36C6"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5E1FCBF" w14:textId="77777777" w:rsidR="005315FB" w:rsidRPr="004E4821" w:rsidRDefault="005315FB" w:rsidP="00743480">
            <w:pPr>
              <w:contextualSpacing/>
              <w:jc w:val="both"/>
              <w:rPr>
                <w:rFonts w:ascii="Arial" w:hAnsi="Arial" w:cs="Arial"/>
                <w:sz w:val="20"/>
                <w:szCs w:val="20"/>
              </w:rPr>
            </w:pPr>
            <w:r w:rsidRPr="004E4821">
              <w:rPr>
                <w:rFonts w:ascii="Arial" w:hAnsi="Arial" w:cs="Arial"/>
                <w:sz w:val="20"/>
                <w:szCs w:val="20"/>
              </w:rPr>
              <w:t>12).</w:t>
            </w:r>
            <w:r w:rsidRPr="004E4821">
              <w:rPr>
                <w:rFonts w:ascii="Arial" w:eastAsia="Calibri" w:hAnsi="Arial" w:cs="Arial"/>
                <w:sz w:val="20"/>
                <w:szCs w:val="20"/>
              </w:rPr>
              <w:t xml:space="preserve"> Investicija se ne nanaša na dejavnosti, povezane z izvozom, ko je spodbuda neposredno vezana na izvožene količine, vzpostavitev in delovanje distribucijske mreže ali na druge tekoče izdatke, povezane z izvozno dejavnostjo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9AA1603"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Izpolnjevanje pogoja preveri občina  z izjavo.</w:t>
            </w:r>
          </w:p>
        </w:tc>
      </w:tr>
      <w:tr w:rsidR="005315FB" w:rsidRPr="004E4821" w14:paraId="6D395BB4" w14:textId="77777777" w:rsidTr="003E5352">
        <w:trPr>
          <w:trHeight w:val="27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81120EB" w14:textId="5B3137DE" w:rsidR="005315FB" w:rsidRPr="004E4821" w:rsidRDefault="005315FB" w:rsidP="00E03951">
            <w:pPr>
              <w:contextualSpacing/>
              <w:rPr>
                <w:rFonts w:ascii="Arial" w:hAnsi="Arial" w:cs="Arial"/>
                <w:sz w:val="20"/>
                <w:szCs w:val="20"/>
              </w:rPr>
            </w:pPr>
            <w:r w:rsidRPr="004E4821">
              <w:rPr>
                <w:rFonts w:ascii="Arial" w:hAnsi="Arial" w:cs="Arial"/>
                <w:sz w:val="20"/>
                <w:szCs w:val="20"/>
              </w:rPr>
              <w:t>13).</w:t>
            </w:r>
            <w:r w:rsidRPr="004E4821">
              <w:rPr>
                <w:rFonts w:ascii="Arial" w:eastAsia="Calibri" w:hAnsi="Arial" w:cs="Arial"/>
                <w:sz w:val="20"/>
                <w:szCs w:val="20"/>
              </w:rPr>
              <w:t xml:space="preserve"> Pri investiciji  ne dajemo prednost uporabi domačega blaga pred uporabo uvoženega blaga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428D327" w14:textId="77777777" w:rsidR="005315FB" w:rsidRPr="004E4821" w:rsidRDefault="005315FB" w:rsidP="00E03951">
            <w:pPr>
              <w:contextualSpacing/>
              <w:rPr>
                <w:rFonts w:ascii="Arial" w:hAnsi="Arial" w:cs="Arial"/>
                <w:sz w:val="20"/>
                <w:szCs w:val="20"/>
              </w:rPr>
            </w:pPr>
            <w:r w:rsidRPr="004E4821">
              <w:rPr>
                <w:rFonts w:ascii="Arial" w:hAnsi="Arial" w:cs="Arial"/>
                <w:sz w:val="20"/>
                <w:szCs w:val="20"/>
              </w:rPr>
              <w:t>Izpolnjevanje pogoja preveri občina z izjavo.</w:t>
            </w:r>
          </w:p>
        </w:tc>
      </w:tr>
    </w:tbl>
    <w:p w14:paraId="4C7FEEBE" w14:textId="77777777" w:rsidR="005315FB" w:rsidRPr="004E4821" w:rsidRDefault="005315FB" w:rsidP="005315FB">
      <w:pPr>
        <w:contextualSpacing/>
        <w:rPr>
          <w:rFonts w:ascii="Arial" w:hAnsi="Arial" w:cs="Arial"/>
          <w:sz w:val="20"/>
          <w:szCs w:val="20"/>
        </w:rPr>
      </w:pPr>
    </w:p>
    <w:p w14:paraId="62F6CDA8" w14:textId="77777777" w:rsidR="005315FB" w:rsidRPr="004E4821" w:rsidRDefault="005315FB" w:rsidP="005315FB">
      <w:pPr>
        <w:contextualSpacing/>
        <w:rPr>
          <w:rFonts w:ascii="Arial" w:hAnsi="Arial" w:cs="Arial"/>
          <w:sz w:val="20"/>
          <w:szCs w:val="20"/>
        </w:rPr>
      </w:pPr>
    </w:p>
    <w:p w14:paraId="313C8FAE" w14:textId="77777777" w:rsidR="005315FB" w:rsidRPr="004E4821" w:rsidRDefault="005315FB" w:rsidP="005315FB">
      <w:pPr>
        <w:contextualSpacing/>
        <w:rPr>
          <w:rFonts w:ascii="Arial" w:hAnsi="Arial" w:cs="Arial"/>
          <w:sz w:val="20"/>
          <w:szCs w:val="20"/>
        </w:rPr>
      </w:pPr>
    </w:p>
    <w:p w14:paraId="7B60E464" w14:textId="77777777" w:rsidR="005315FB" w:rsidRPr="004E4821" w:rsidRDefault="005315FB" w:rsidP="005315FB">
      <w:pPr>
        <w:contextualSpacing/>
        <w:rPr>
          <w:rFonts w:ascii="Arial" w:hAnsi="Arial" w:cs="Arial"/>
          <w:sz w:val="20"/>
          <w:szCs w:val="20"/>
        </w:rPr>
      </w:pPr>
    </w:p>
    <w:p w14:paraId="4F26DCE5" w14:textId="77777777" w:rsidR="005315FB" w:rsidRPr="004E4821" w:rsidRDefault="005315FB" w:rsidP="005315FB">
      <w:pPr>
        <w:contextualSpacing/>
        <w:rPr>
          <w:rFonts w:ascii="Arial" w:hAnsi="Arial" w:cs="Arial"/>
          <w:sz w:val="20"/>
          <w:szCs w:val="20"/>
        </w:rPr>
      </w:pPr>
    </w:p>
    <w:p w14:paraId="20F50DBE" w14:textId="77777777" w:rsidR="005315FB" w:rsidRPr="004E4821" w:rsidRDefault="005315FB" w:rsidP="005315FB">
      <w:pPr>
        <w:contextualSpacing/>
        <w:rPr>
          <w:rFonts w:ascii="Arial" w:hAnsi="Arial" w:cs="Arial"/>
          <w:sz w:val="20"/>
          <w:szCs w:val="20"/>
        </w:rPr>
      </w:pPr>
    </w:p>
    <w:p w14:paraId="741CEF9D" w14:textId="77777777" w:rsidR="005315FB" w:rsidRPr="004E4821" w:rsidRDefault="005315FB" w:rsidP="005315FB">
      <w:pPr>
        <w:contextualSpacing/>
        <w:rPr>
          <w:rFonts w:ascii="Arial" w:hAnsi="Arial" w:cs="Arial"/>
          <w:sz w:val="20"/>
          <w:szCs w:val="20"/>
        </w:rPr>
      </w:pPr>
    </w:p>
    <w:p w14:paraId="15213FB7" w14:textId="77777777" w:rsidR="005315FB" w:rsidRPr="004E4821" w:rsidRDefault="005315FB" w:rsidP="005315FB">
      <w:pPr>
        <w:contextualSpacing/>
        <w:rPr>
          <w:rFonts w:ascii="Arial" w:hAnsi="Arial" w:cs="Arial"/>
          <w:sz w:val="20"/>
          <w:szCs w:val="20"/>
        </w:rPr>
      </w:pPr>
    </w:p>
    <w:p w14:paraId="379615B0" w14:textId="77777777" w:rsidR="005315FB" w:rsidRPr="004E4821" w:rsidRDefault="005315FB" w:rsidP="005315FB">
      <w:pPr>
        <w:contextualSpacing/>
        <w:rPr>
          <w:rFonts w:ascii="Arial" w:hAnsi="Arial" w:cs="Arial"/>
          <w:sz w:val="20"/>
          <w:szCs w:val="20"/>
        </w:rPr>
      </w:pPr>
    </w:p>
    <w:p w14:paraId="13CAE259" w14:textId="77777777" w:rsidR="005315FB" w:rsidRPr="004E4821" w:rsidRDefault="005315FB" w:rsidP="005315FB">
      <w:pPr>
        <w:contextualSpacing/>
        <w:rPr>
          <w:rFonts w:ascii="Arial" w:hAnsi="Arial" w:cs="Arial"/>
          <w:sz w:val="20"/>
          <w:szCs w:val="20"/>
        </w:rPr>
      </w:pPr>
    </w:p>
    <w:p w14:paraId="695A28E7" w14:textId="77777777" w:rsidR="005315FB" w:rsidRPr="004E4821" w:rsidRDefault="005315FB" w:rsidP="005315FB">
      <w:pPr>
        <w:contextualSpacing/>
        <w:rPr>
          <w:rFonts w:ascii="Arial" w:hAnsi="Arial" w:cs="Arial"/>
          <w:sz w:val="20"/>
          <w:szCs w:val="20"/>
        </w:rPr>
      </w:pPr>
    </w:p>
    <w:sectPr w:rsidR="005315FB" w:rsidRPr="004E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E9D"/>
    <w:multiLevelType w:val="hybridMultilevel"/>
    <w:tmpl w:val="7B1C81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058AE"/>
    <w:multiLevelType w:val="hybridMultilevel"/>
    <w:tmpl w:val="8D78BD82"/>
    <w:lvl w:ilvl="0" w:tplc="A0EAAC68">
      <w:start w:val="1"/>
      <w:numFmt w:val="bullet"/>
      <w:lvlText w:val=""/>
      <w:lvlJc w:val="left"/>
      <w:pPr>
        <w:ind w:left="360" w:hanging="360"/>
      </w:pPr>
      <w:rPr>
        <w:rFonts w:ascii="Symbol" w:hAnsi="Symbol" w:hint="default"/>
      </w:rPr>
    </w:lvl>
    <w:lvl w:ilvl="1" w:tplc="A0EAAC6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5D64BCF"/>
    <w:multiLevelType w:val="hybridMultilevel"/>
    <w:tmpl w:val="BC5A4180"/>
    <w:lvl w:ilvl="0" w:tplc="04240011">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2F16F5"/>
    <w:multiLevelType w:val="hybridMultilevel"/>
    <w:tmpl w:val="CAFA7E06"/>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D20770E"/>
    <w:multiLevelType w:val="hybridMultilevel"/>
    <w:tmpl w:val="471C6C5C"/>
    <w:lvl w:ilvl="0" w:tplc="657CD1CE">
      <w:start w:val="1"/>
      <w:numFmt w:val="bullet"/>
      <w:lvlText w:val="•"/>
      <w:lvlJc w:val="left"/>
      <w:pPr>
        <w:ind w:left="703" w:hanging="705"/>
      </w:pPr>
      <w:rPr>
        <w:rFonts w:ascii="Arial" w:eastAsia="Times New Roman" w:hAnsi="Arial" w:cs="Arial" w:hint="default"/>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6"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12962"/>
    <w:multiLevelType w:val="hybridMultilevel"/>
    <w:tmpl w:val="7F00C10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EC0E8C"/>
    <w:multiLevelType w:val="hybridMultilevel"/>
    <w:tmpl w:val="033ED024"/>
    <w:lvl w:ilvl="0" w:tplc="657CD1CE">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31249020">
    <w:abstractNumId w:val="9"/>
  </w:num>
  <w:num w:numId="2" w16cid:durableId="988826165">
    <w:abstractNumId w:val="1"/>
  </w:num>
  <w:num w:numId="3" w16cid:durableId="1777556102">
    <w:abstractNumId w:val="7"/>
  </w:num>
  <w:num w:numId="4" w16cid:durableId="276329045">
    <w:abstractNumId w:val="6"/>
  </w:num>
  <w:num w:numId="5" w16cid:durableId="118956035">
    <w:abstractNumId w:val="8"/>
  </w:num>
  <w:num w:numId="6" w16cid:durableId="275908465">
    <w:abstractNumId w:val="2"/>
  </w:num>
  <w:num w:numId="7" w16cid:durableId="555630240">
    <w:abstractNumId w:val="4"/>
  </w:num>
  <w:num w:numId="8" w16cid:durableId="250361293">
    <w:abstractNumId w:val="5"/>
  </w:num>
  <w:num w:numId="9" w16cid:durableId="885216877">
    <w:abstractNumId w:val="0"/>
  </w:num>
  <w:num w:numId="10" w16cid:durableId="1380006984">
    <w:abstractNumId w:val="10"/>
  </w:num>
  <w:num w:numId="11" w16cid:durableId="127860854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CB"/>
    <w:rsid w:val="000628E2"/>
    <w:rsid w:val="00225814"/>
    <w:rsid w:val="00381ED5"/>
    <w:rsid w:val="003E5352"/>
    <w:rsid w:val="004D3A5B"/>
    <w:rsid w:val="005315FB"/>
    <w:rsid w:val="005A0A88"/>
    <w:rsid w:val="005D01E5"/>
    <w:rsid w:val="00743480"/>
    <w:rsid w:val="00B42CE9"/>
    <w:rsid w:val="00BA05BB"/>
    <w:rsid w:val="00CC2BD9"/>
    <w:rsid w:val="00E055F7"/>
    <w:rsid w:val="00F30DCB"/>
    <w:rsid w:val="00F552EB"/>
    <w:rsid w:val="00FE1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C580"/>
  <w15:chartTrackingRefBased/>
  <w15:docId w15:val="{BFB5D34B-CE76-4645-886C-2E0D041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15FB"/>
  </w:style>
  <w:style w:type="paragraph" w:styleId="Naslov10">
    <w:name w:val="heading 1"/>
    <w:basedOn w:val="Navaden"/>
    <w:next w:val="Navaden"/>
    <w:link w:val="Naslov1Znak"/>
    <w:uiPriority w:val="99"/>
    <w:qFormat/>
    <w:rsid w:val="005315FB"/>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iPriority w:val="99"/>
    <w:unhideWhenUsed/>
    <w:qFormat/>
    <w:rsid w:val="005315FB"/>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9"/>
    <w:unhideWhenUsed/>
    <w:qFormat/>
    <w:rsid w:val="00531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9"/>
    <w:qFormat/>
    <w:rsid w:val="005315FB"/>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5315FB"/>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5315FB"/>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5315FB"/>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5315FB"/>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5315FB"/>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0"/>
    <w:uiPriority w:val="99"/>
    <w:rsid w:val="005315FB"/>
    <w:rPr>
      <w:rFonts w:ascii="Calibri" w:hAnsi="Calibri" w:cs="Tahoma"/>
      <w:b/>
      <w:bCs/>
      <w:sz w:val="32"/>
      <w:szCs w:val="32"/>
    </w:rPr>
  </w:style>
  <w:style w:type="character" w:customStyle="1" w:styleId="Naslov2Znak">
    <w:name w:val="Naslov 2 Znak"/>
    <w:basedOn w:val="Privzetapisavaodstavka"/>
    <w:link w:val="Naslov2"/>
    <w:uiPriority w:val="99"/>
    <w:rsid w:val="005315FB"/>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uiPriority w:val="99"/>
    <w:rsid w:val="005315FB"/>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9"/>
    <w:rsid w:val="005315FB"/>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5315FB"/>
    <w:rPr>
      <w:rFonts w:ascii="Arial" w:eastAsia="Times New Roman" w:hAnsi="Arial" w:cs="Times New Roman"/>
      <w:lang w:val="x-none" w:eastAsia="x-none"/>
    </w:rPr>
  </w:style>
  <w:style w:type="character" w:customStyle="1" w:styleId="Naslov6Znak">
    <w:name w:val="Naslov 6 Znak"/>
    <w:basedOn w:val="Privzetapisavaodstavka"/>
    <w:link w:val="Naslov6"/>
    <w:uiPriority w:val="99"/>
    <w:rsid w:val="005315FB"/>
    <w:rPr>
      <w:rFonts w:ascii="Calibri" w:eastAsia="Times New Roman" w:hAnsi="Calibri" w:cs="Times New Roman"/>
      <w:b/>
      <w:bCs/>
    </w:rPr>
  </w:style>
  <w:style w:type="character" w:customStyle="1" w:styleId="Naslov7Znak">
    <w:name w:val="Naslov 7 Znak"/>
    <w:basedOn w:val="Privzetapisavaodstavka"/>
    <w:link w:val="Naslov7"/>
    <w:uiPriority w:val="99"/>
    <w:rsid w:val="005315FB"/>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5315FB"/>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5315FB"/>
    <w:rPr>
      <w:rFonts w:ascii="Arial" w:eastAsia="Times New Roman" w:hAnsi="Arial" w:cs="Times New Roman"/>
      <w:b/>
      <w:bCs/>
      <w:i/>
      <w:iCs/>
      <w:sz w:val="18"/>
      <w:szCs w:val="18"/>
      <w:lang w:val="x-none" w:eastAsia="x-none"/>
    </w:rPr>
  </w:style>
  <w:style w:type="paragraph" w:styleId="Besedilooblaka">
    <w:name w:val="Balloon Text"/>
    <w:basedOn w:val="Navaden"/>
    <w:link w:val="BesedilooblakaZnak"/>
    <w:uiPriority w:val="99"/>
    <w:unhideWhenUsed/>
    <w:rsid w:val="005315F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5315FB"/>
    <w:rPr>
      <w:rFonts w:ascii="Segoe UI" w:hAnsi="Segoe UI" w:cs="Segoe UI"/>
      <w:sz w:val="18"/>
      <w:szCs w:val="18"/>
    </w:rPr>
  </w:style>
  <w:style w:type="character" w:styleId="Pripombasklic">
    <w:name w:val="annotation reference"/>
    <w:aliases w:val="Komentar - sklic"/>
    <w:basedOn w:val="Privzetapisavaodstavka"/>
    <w:uiPriority w:val="99"/>
    <w:unhideWhenUsed/>
    <w:rsid w:val="005315FB"/>
    <w:rPr>
      <w:sz w:val="16"/>
      <w:szCs w:val="16"/>
    </w:rPr>
  </w:style>
  <w:style w:type="paragraph" w:styleId="Pripombabesedilo">
    <w:name w:val="annotation text"/>
    <w:aliases w:val="Komentar - besedilo,Komentar - besedilo1,Znak9, Znak9"/>
    <w:basedOn w:val="Navaden"/>
    <w:link w:val="PripombabesediloZnak"/>
    <w:uiPriority w:val="99"/>
    <w:unhideWhenUsed/>
    <w:rsid w:val="005315FB"/>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5315FB"/>
    <w:rPr>
      <w:sz w:val="20"/>
      <w:szCs w:val="20"/>
    </w:rPr>
  </w:style>
  <w:style w:type="paragraph" w:styleId="Zadevapripombe">
    <w:name w:val="annotation subject"/>
    <w:basedOn w:val="Pripombabesedilo"/>
    <w:next w:val="Pripombabesedilo"/>
    <w:link w:val="ZadevapripombeZnak"/>
    <w:uiPriority w:val="99"/>
    <w:unhideWhenUsed/>
    <w:rsid w:val="005315FB"/>
    <w:rPr>
      <w:b/>
      <w:bCs/>
    </w:rPr>
  </w:style>
  <w:style w:type="character" w:customStyle="1" w:styleId="ZadevapripombeZnak">
    <w:name w:val="Zadeva pripombe Znak"/>
    <w:basedOn w:val="PripombabesediloZnak"/>
    <w:link w:val="Zadevapripombe"/>
    <w:uiPriority w:val="99"/>
    <w:rsid w:val="005315FB"/>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5315FB"/>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5315FB"/>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5315FB"/>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5315FB"/>
    <w:rPr>
      <w:vertAlign w:val="superscript"/>
    </w:rPr>
  </w:style>
  <w:style w:type="character" w:styleId="Hiperpovezava">
    <w:name w:val="Hyperlink"/>
    <w:basedOn w:val="Privzetapisavaodstavka"/>
    <w:uiPriority w:val="99"/>
    <w:unhideWhenUsed/>
    <w:rsid w:val="005315FB"/>
    <w:rPr>
      <w:color w:val="0563C1" w:themeColor="hyperlink"/>
      <w:u w:val="single"/>
    </w:rPr>
  </w:style>
  <w:style w:type="character" w:styleId="SledenaHiperpovezava">
    <w:name w:val="FollowedHyperlink"/>
    <w:basedOn w:val="Privzetapisavaodstavka"/>
    <w:uiPriority w:val="99"/>
    <w:unhideWhenUsed/>
    <w:rsid w:val="005315FB"/>
    <w:rPr>
      <w:color w:val="954F72" w:themeColor="followedHyperlink"/>
      <w:u w:val="single"/>
    </w:rPr>
  </w:style>
  <w:style w:type="paragraph" w:customStyle="1" w:styleId="NASLOV1">
    <w:name w:val="NASLOV1"/>
    <w:basedOn w:val="Odstavekseznama"/>
    <w:next w:val="Navaden"/>
    <w:qFormat/>
    <w:rsid w:val="005315FB"/>
    <w:pPr>
      <w:numPr>
        <w:numId w:val="1"/>
      </w:numPr>
      <w:spacing w:after="0" w:line="240" w:lineRule="auto"/>
      <w:ind w:left="567" w:hanging="567"/>
      <w:outlineLvl w:val="0"/>
    </w:pPr>
    <w:rPr>
      <w:rFonts w:eastAsia="Times New Roman" w:cs="Tahoma"/>
      <w:b/>
      <w:bCs/>
      <w:sz w:val="32"/>
      <w:szCs w:val="32"/>
      <w:lang w:eastAsia="sl-SI"/>
    </w:rPr>
  </w:style>
  <w:style w:type="paragraph" w:customStyle="1" w:styleId="Naslov61">
    <w:name w:val="Naslov 61"/>
    <w:basedOn w:val="Navaden"/>
    <w:next w:val="Navaden"/>
    <w:unhideWhenUsed/>
    <w:qFormat/>
    <w:rsid w:val="005315FB"/>
    <w:pPr>
      <w:spacing w:before="240" w:after="60" w:line="240" w:lineRule="auto"/>
      <w:outlineLvl w:val="5"/>
    </w:pPr>
    <w:rPr>
      <w:rFonts w:eastAsia="Times New Roman"/>
      <w:b/>
      <w:bCs/>
      <w:lang w:eastAsia="sl-SI"/>
    </w:rPr>
  </w:style>
  <w:style w:type="paragraph" w:styleId="Telobesedila">
    <w:name w:val="Body Text"/>
    <w:basedOn w:val="Navaden"/>
    <w:link w:val="TelobesedilaZnak"/>
    <w:uiPriority w:val="99"/>
    <w:rsid w:val="005315FB"/>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5315FB"/>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5315F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5315F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5315F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5315FB"/>
    <w:rPr>
      <w:rFonts w:ascii="Times New Roman" w:eastAsia="Times New Roman" w:hAnsi="Times New Roman" w:cs="Times New Roman"/>
      <w:sz w:val="24"/>
      <w:szCs w:val="24"/>
      <w:lang w:eastAsia="sl-SI"/>
    </w:rPr>
  </w:style>
  <w:style w:type="table" w:styleId="Tabelamrea">
    <w:name w:val="Table Grid"/>
    <w:basedOn w:val="Navadnatabela"/>
    <w:uiPriority w:val="59"/>
    <w:rsid w:val="005315F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315FB"/>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315FB"/>
    <w:pPr>
      <w:widowControl w:val="0"/>
      <w:spacing w:after="0" w:line="240" w:lineRule="auto"/>
    </w:pPr>
    <w:rPr>
      <w:rFonts w:ascii="Calibri" w:eastAsia="Calibri" w:hAnsi="Calibri" w:cs="Times New Roman"/>
      <w:lang w:eastAsia="sl-SI" w:bidi="sl-SI"/>
    </w:rPr>
  </w:style>
  <w:style w:type="character" w:styleId="tevilkastrani">
    <w:name w:val="page number"/>
    <w:basedOn w:val="Privzetapisavaodstavka"/>
    <w:rsid w:val="005315FB"/>
    <w:rPr>
      <w:rFonts w:cs="Times New Roman"/>
    </w:rPr>
  </w:style>
  <w:style w:type="paragraph" w:customStyle="1" w:styleId="Slog5Znak">
    <w:name w:val="Slog5 Znak"/>
    <w:basedOn w:val="Navaden"/>
    <w:link w:val="Slog5ZnakZnak"/>
    <w:autoRedefine/>
    <w:rsid w:val="005315FB"/>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5315FB"/>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5315FB"/>
  </w:style>
  <w:style w:type="character" w:customStyle="1" w:styleId="TEKSTZnak">
    <w:name w:val="TEKST Znak"/>
    <w:basedOn w:val="Privzetapisavaodstavka"/>
    <w:link w:val="TEKST"/>
    <w:locked/>
    <w:rsid w:val="005315FB"/>
    <w:rPr>
      <w:rFonts w:ascii="Trebuchet MS" w:hAnsi="Trebuchet MS"/>
    </w:rPr>
  </w:style>
  <w:style w:type="paragraph" w:customStyle="1" w:styleId="TEKST">
    <w:name w:val="TEKST"/>
    <w:basedOn w:val="Navaden"/>
    <w:link w:val="TEKSTZnak"/>
    <w:rsid w:val="005315FB"/>
    <w:pPr>
      <w:spacing w:after="0" w:line="264" w:lineRule="auto"/>
      <w:jc w:val="both"/>
    </w:pPr>
    <w:rPr>
      <w:rFonts w:ascii="Trebuchet MS" w:hAnsi="Trebuchet MS"/>
    </w:rPr>
  </w:style>
  <w:style w:type="paragraph" w:customStyle="1" w:styleId="BodyText21">
    <w:name w:val="Body Text 21"/>
    <w:basedOn w:val="Navaden"/>
    <w:rsid w:val="005315FB"/>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5315FB"/>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5315FB"/>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15FB"/>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5315FB"/>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5315FB"/>
    <w:rPr>
      <w:rFonts w:ascii="EC Square Sans Pro" w:hAnsi="EC Square Sans Pro" w:cs="EC Square Sans Pro" w:hint="default"/>
      <w:color w:val="000000"/>
      <w:sz w:val="76"/>
      <w:szCs w:val="76"/>
    </w:rPr>
  </w:style>
  <w:style w:type="paragraph" w:styleId="Revizija">
    <w:name w:val="Revision"/>
    <w:hidden/>
    <w:uiPriority w:val="99"/>
    <w:semiHidden/>
    <w:rsid w:val="005315FB"/>
    <w:pPr>
      <w:spacing w:after="0" w:line="240" w:lineRule="auto"/>
    </w:pPr>
    <w:rPr>
      <w:rFonts w:ascii="Arial Narrow" w:eastAsia="MS Mincho" w:hAnsi="Arial Narrow" w:cs="Times New Roman"/>
      <w:szCs w:val="24"/>
    </w:rPr>
  </w:style>
  <w:style w:type="paragraph" w:customStyle="1" w:styleId="odstavek">
    <w:name w:val="odstavek"/>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5315FB"/>
    <w:rPr>
      <w:color w:val="808080"/>
    </w:rPr>
  </w:style>
  <w:style w:type="paragraph" w:customStyle="1" w:styleId="len1">
    <w:name w:val="len1"/>
    <w:basedOn w:val="Navaden"/>
    <w:rsid w:val="005315F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5315FB"/>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5315FB"/>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5315FB"/>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5315FB"/>
    <w:rPr>
      <w:rFonts w:ascii="Tahoma" w:eastAsia="Times New Roman" w:hAnsi="Tahoma" w:cs="Tahoma"/>
      <w:sz w:val="16"/>
      <w:szCs w:val="16"/>
      <w:lang w:val="en-US"/>
    </w:rPr>
  </w:style>
  <w:style w:type="table" w:customStyle="1" w:styleId="Tabelamrea2">
    <w:name w:val="Tabela – mreža2"/>
    <w:basedOn w:val="Navadnatabela"/>
    <w:next w:val="Tabelamrea"/>
    <w:uiPriority w:val="39"/>
    <w:rsid w:val="005315F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315FB"/>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315FB"/>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5315FB"/>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5315FB"/>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5315FB"/>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5315FB"/>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5315F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53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315FB"/>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5315FB"/>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5315FB"/>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5315FB"/>
    <w:rPr>
      <w:rFonts w:ascii="EUAlbertina" w:eastAsia="Times New Roman" w:hAnsi="EUAlbertina" w:cs="Times New Roman"/>
      <w:color w:val="auto"/>
      <w:lang w:eastAsia="sl-SI"/>
    </w:rPr>
  </w:style>
  <w:style w:type="paragraph" w:customStyle="1" w:styleId="CM3">
    <w:name w:val="CM3"/>
    <w:basedOn w:val="Default"/>
    <w:next w:val="Default"/>
    <w:uiPriority w:val="99"/>
    <w:rsid w:val="005315FB"/>
    <w:rPr>
      <w:rFonts w:ascii="EUAlbertina" w:eastAsia="Times New Roman" w:hAnsi="EUAlbertina" w:cs="Times New Roman"/>
      <w:color w:val="auto"/>
      <w:lang w:eastAsia="sl-SI"/>
    </w:rPr>
  </w:style>
  <w:style w:type="paragraph" w:styleId="Navadensplet">
    <w:name w:val="Normal (Web)"/>
    <w:basedOn w:val="Navaden"/>
    <w:uiPriority w:val="99"/>
    <w:unhideWhenUsed/>
    <w:rsid w:val="005315FB"/>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5315FB"/>
    <w:rPr>
      <w:i/>
      <w:iCs/>
    </w:rPr>
  </w:style>
  <w:style w:type="paragraph" w:customStyle="1" w:styleId="ColorfulList-Accent11">
    <w:name w:val="Colorful List - Accent 11"/>
    <w:basedOn w:val="Navaden"/>
    <w:qFormat/>
    <w:rsid w:val="005315FB"/>
    <w:pPr>
      <w:spacing w:after="200" w:line="276" w:lineRule="auto"/>
      <w:ind w:left="720"/>
      <w:contextualSpacing/>
    </w:pPr>
    <w:rPr>
      <w:rFonts w:ascii="Calibri" w:eastAsia="Times New Roman" w:hAnsi="Calibri" w:cs="Times New Roman"/>
    </w:rPr>
  </w:style>
  <w:style w:type="character" w:styleId="Krepko">
    <w:name w:val="Strong"/>
    <w:uiPriority w:val="22"/>
    <w:qFormat/>
    <w:rsid w:val="005315FB"/>
    <w:rPr>
      <w:b/>
      <w:bCs/>
    </w:rPr>
  </w:style>
  <w:style w:type="paragraph" w:customStyle="1" w:styleId="ZnakZnak2Znak1">
    <w:name w:val="Znak Znak2 Znak1"/>
    <w:basedOn w:val="Navaden"/>
    <w:rsid w:val="005315FB"/>
    <w:pPr>
      <w:spacing w:line="240" w:lineRule="exact"/>
    </w:pPr>
    <w:rPr>
      <w:rFonts w:ascii="Tahoma" w:eastAsia="Times New Roman" w:hAnsi="Tahoma" w:cs="Times New Roman"/>
      <w:sz w:val="20"/>
      <w:szCs w:val="20"/>
      <w:lang w:val="en-US"/>
    </w:rPr>
  </w:style>
  <w:style w:type="character" w:customStyle="1" w:styleId="A4">
    <w:name w:val="A4"/>
    <w:uiPriority w:val="99"/>
    <w:rsid w:val="005315FB"/>
    <w:rPr>
      <w:rFonts w:cs="EC Square Sans Pro"/>
      <w:color w:val="000000"/>
      <w:sz w:val="50"/>
      <w:szCs w:val="50"/>
    </w:rPr>
  </w:style>
  <w:style w:type="character" w:customStyle="1" w:styleId="Naslov6Znak1">
    <w:name w:val="Naslov 6 Znak1"/>
    <w:basedOn w:val="Privzetapisavaodstavka"/>
    <w:uiPriority w:val="9"/>
    <w:semiHidden/>
    <w:rsid w:val="005315FB"/>
    <w:rPr>
      <w:rFonts w:asciiTheme="majorHAnsi" w:eastAsiaTheme="majorEastAsia" w:hAnsiTheme="majorHAnsi" w:cstheme="majorBidi"/>
      <w:color w:val="1F3763" w:themeColor="accent1" w:themeShade="7F"/>
    </w:rPr>
  </w:style>
  <w:style w:type="character" w:customStyle="1" w:styleId="Naslov1Znak1">
    <w:name w:val="Naslov 1 Znak1"/>
    <w:basedOn w:val="Privzetapisavaodstavka"/>
    <w:uiPriority w:val="9"/>
    <w:rsid w:val="005315FB"/>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5315FB"/>
    <w:pPr>
      <w:spacing w:after="120" w:line="480" w:lineRule="auto"/>
    </w:pPr>
  </w:style>
  <w:style w:type="character" w:customStyle="1" w:styleId="Telobesedila2Znak">
    <w:name w:val="Telo besedila 2 Znak"/>
    <w:basedOn w:val="Privzetapisavaodstavka"/>
    <w:link w:val="Telobesedila2"/>
    <w:uiPriority w:val="99"/>
    <w:semiHidden/>
    <w:rsid w:val="005315FB"/>
  </w:style>
  <w:style w:type="paragraph" w:customStyle="1" w:styleId="Natevanje">
    <w:name w:val="Naštevanje"/>
    <w:basedOn w:val="Navaden"/>
    <w:rsid w:val="005315FB"/>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5315FB"/>
    <w:pPr>
      <w:spacing w:after="120"/>
      <w:ind w:left="283"/>
    </w:pPr>
  </w:style>
  <w:style w:type="character" w:customStyle="1" w:styleId="Telobesedila-zamikZnak">
    <w:name w:val="Telo besedila - zamik Znak"/>
    <w:basedOn w:val="Privzetapisavaodstavka"/>
    <w:link w:val="Telobesedila-zamik"/>
    <w:uiPriority w:val="99"/>
    <w:rsid w:val="005315FB"/>
  </w:style>
  <w:style w:type="paragraph" w:customStyle="1" w:styleId="Alineazaodstavkom">
    <w:name w:val="Alinea za odstavkom"/>
    <w:basedOn w:val="Navaden"/>
    <w:link w:val="AlineazaodstavkomZnak"/>
    <w:qFormat/>
    <w:rsid w:val="005315FB"/>
    <w:pPr>
      <w:numPr>
        <w:numId w:val="3"/>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5315FB"/>
    <w:rPr>
      <w:rFonts w:ascii="Arial" w:eastAsia="Times New Roman" w:hAnsi="Arial" w:cs="Arial"/>
      <w:lang w:eastAsia="sl-SI"/>
    </w:rPr>
  </w:style>
  <w:style w:type="paragraph" w:customStyle="1" w:styleId="rkovnatokazaodstavkomA">
    <w:name w:val="Črkovna točka za odstavkom A)"/>
    <w:qFormat/>
    <w:rsid w:val="005315FB"/>
    <w:pPr>
      <w:numPr>
        <w:numId w:val="4"/>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5315FB"/>
    <w:rPr>
      <w:color w:val="605E5C"/>
      <w:shd w:val="clear" w:color="auto" w:fill="E1DFDD"/>
    </w:rPr>
  </w:style>
  <w:style w:type="paragraph" w:styleId="Kazalovsebine1">
    <w:name w:val="toc 1"/>
    <w:basedOn w:val="Navaden"/>
    <w:next w:val="Navaden"/>
    <w:autoRedefine/>
    <w:uiPriority w:val="39"/>
    <w:rsid w:val="005315FB"/>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5315FB"/>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5315FB"/>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5315FB"/>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5315FB"/>
    <w:rPr>
      <w:rFonts w:cs="Times New Roman"/>
      <w:b/>
      <w:bCs/>
      <w:color w:val="000000"/>
    </w:rPr>
  </w:style>
  <w:style w:type="character" w:customStyle="1" w:styleId="st1">
    <w:name w:val="st1"/>
    <w:uiPriority w:val="99"/>
    <w:rsid w:val="005315FB"/>
    <w:rPr>
      <w:rFonts w:cs="Times New Roman"/>
      <w:color w:val="222222"/>
      <w:sz w:val="27"/>
      <w:szCs w:val="27"/>
    </w:rPr>
  </w:style>
  <w:style w:type="paragraph" w:styleId="Telobesedila3">
    <w:name w:val="Body Text 3"/>
    <w:basedOn w:val="Navaden"/>
    <w:link w:val="Telobesedila3Znak"/>
    <w:uiPriority w:val="99"/>
    <w:semiHidden/>
    <w:unhideWhenUsed/>
    <w:rsid w:val="005315FB"/>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5315FB"/>
    <w:rPr>
      <w:rFonts w:ascii="Times New Roman" w:eastAsia="Times New Roman" w:hAnsi="Times New Roman" w:cs="Times New Roman"/>
      <w:sz w:val="16"/>
      <w:szCs w:val="16"/>
      <w:lang w:val="x-none" w:eastAsia="x-none"/>
    </w:rPr>
  </w:style>
  <w:style w:type="paragraph" w:styleId="Brezrazmikov">
    <w:name w:val="No Spacing"/>
    <w:uiPriority w:val="1"/>
    <w:qFormat/>
    <w:rsid w:val="005315FB"/>
    <w:pPr>
      <w:spacing w:after="0" w:line="240" w:lineRule="auto"/>
    </w:pPr>
    <w:rPr>
      <w:rFonts w:ascii="Calibri" w:eastAsia="Calibri" w:hAnsi="Calibri" w:cs="Times New Roman"/>
    </w:rPr>
  </w:style>
  <w:style w:type="paragraph" w:customStyle="1" w:styleId="Odstavek0">
    <w:name w:val="Odstavek"/>
    <w:basedOn w:val="Navaden"/>
    <w:link w:val="OdstavekZnak"/>
    <w:qFormat/>
    <w:rsid w:val="005315F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5315FB"/>
    <w:rPr>
      <w:rFonts w:ascii="Arial" w:eastAsia="Times New Roman" w:hAnsi="Arial" w:cs="Times New Roman"/>
      <w:lang w:val="x-none" w:eastAsia="x-none"/>
    </w:rPr>
  </w:style>
  <w:style w:type="paragraph" w:customStyle="1" w:styleId="alineazaodstavkom0">
    <w:name w:val="alineazaodstavkom"/>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5315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53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rar.si/omejitv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11184</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Melita Osvaldič</cp:lastModifiedBy>
  <cp:revision>3</cp:revision>
  <dcterms:created xsi:type="dcterms:W3CDTF">2022-11-03T10:02:00Z</dcterms:created>
  <dcterms:modified xsi:type="dcterms:W3CDTF">2022-11-03T10:15:00Z</dcterms:modified>
</cp:coreProperties>
</file>